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JPG" ContentType="image/.jp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4D14C8">
      <w:pPr>
        <w:adjustRightInd w:val="0"/>
        <w:snapToGrid w:val="0"/>
        <w:spacing w:line="700" w:lineRule="exact"/>
        <w:jc w:val="right"/>
        <w:rPr>
          <w:rFonts w:ascii="Times New Roman" w:hAnsi="Times New Roman" w:eastAsia="黑体"/>
          <w:b/>
          <w:spacing w:val="-2"/>
          <w:kern w:val="0"/>
          <w:sz w:val="28"/>
          <w:szCs w:val="20"/>
        </w:rPr>
      </w:pPr>
      <w:bookmarkStart w:id="0" w:name="_Toc450581447"/>
      <w:bookmarkStart w:id="1" w:name="_Toc406075631"/>
      <w:bookmarkStart w:id="2" w:name="_Toc243333932"/>
      <w:bookmarkStart w:id="3" w:name="_Toc296593017"/>
      <w:bookmarkStart w:id="4" w:name="_Toc450581451"/>
      <w:bookmarkStart w:id="5" w:name="_Toc340072287"/>
    </w:p>
    <w:p w14:paraId="0423044B">
      <w:pPr>
        <w:spacing w:line="360" w:lineRule="auto"/>
        <w:rPr>
          <w:rFonts w:ascii="Times New Roman" w:hAnsi="Times New Roman" w:eastAsia="黑体"/>
          <w:spacing w:val="-2"/>
          <w:kern w:val="0"/>
          <w:sz w:val="20"/>
          <w:szCs w:val="20"/>
        </w:rPr>
      </w:pPr>
    </w:p>
    <w:p w14:paraId="4E68573C">
      <w:pPr>
        <w:spacing w:line="360" w:lineRule="auto"/>
        <w:rPr>
          <w:rFonts w:ascii="Times New Roman" w:hAnsi="Times New Roman" w:eastAsia="黑体"/>
          <w:spacing w:val="-2"/>
          <w:kern w:val="0"/>
          <w:sz w:val="20"/>
          <w:szCs w:val="20"/>
        </w:rPr>
      </w:pPr>
    </w:p>
    <w:p w14:paraId="13E77629">
      <w:pPr>
        <w:widowControl/>
        <w:spacing w:before="120" w:beforeLines="50" w:after="120" w:afterLines="50" w:line="360" w:lineRule="auto"/>
        <w:jc w:val="center"/>
        <w:rPr>
          <w:rFonts w:ascii="Times New Roman" w:hAnsi="Times New Roman" w:eastAsia="黑体"/>
          <w:b/>
          <w:spacing w:val="-2"/>
          <w:kern w:val="0"/>
          <w:sz w:val="52"/>
          <w:szCs w:val="52"/>
        </w:rPr>
      </w:pPr>
      <w:bookmarkStart w:id="6" w:name="_Toc327895946"/>
      <w:bookmarkStart w:id="7" w:name="_Toc326224259"/>
      <w:bookmarkStart w:id="8" w:name="_Toc325990162"/>
      <w:r>
        <w:rPr>
          <w:rFonts w:ascii="Times New Roman" w:hAnsi="Times New Roman" w:eastAsia="黑体"/>
          <w:b/>
          <w:spacing w:val="-2"/>
          <w:kern w:val="0"/>
          <w:sz w:val="52"/>
          <w:szCs w:val="52"/>
        </w:rPr>
        <w:t>锆钛矿石分选加工项目</w:t>
      </w:r>
    </w:p>
    <w:p w14:paraId="31ACC2CF">
      <w:pPr>
        <w:snapToGrid w:val="0"/>
        <w:spacing w:line="600" w:lineRule="atLeast"/>
        <w:jc w:val="center"/>
        <w:rPr>
          <w:rFonts w:ascii="Times New Roman" w:hAnsi="Times New Roman" w:eastAsia="黑体"/>
          <w:b/>
          <w:spacing w:val="-70"/>
          <w:w w:val="90"/>
          <w:kern w:val="0"/>
          <w:sz w:val="84"/>
          <w:szCs w:val="84"/>
        </w:rPr>
      </w:pPr>
      <w:r>
        <w:rPr>
          <w:rFonts w:ascii="Times New Roman" w:hAnsi="Times New Roman" w:eastAsia="黑体"/>
          <w:b/>
          <w:spacing w:val="-70"/>
          <w:w w:val="90"/>
          <w:kern w:val="0"/>
          <w:sz w:val="84"/>
          <w:szCs w:val="84"/>
        </w:rPr>
        <w:t>环 境 影 响 报 告 书</w:t>
      </w:r>
      <w:bookmarkEnd w:id="6"/>
      <w:bookmarkEnd w:id="7"/>
      <w:bookmarkEnd w:id="8"/>
      <w:r>
        <w:rPr>
          <w:rFonts w:ascii="Times New Roman" w:hAnsi="Times New Roman" w:eastAsia="黑体"/>
          <w:b/>
          <w:spacing w:val="-70"/>
          <w:w w:val="90"/>
          <w:kern w:val="0"/>
          <w:sz w:val="84"/>
          <w:szCs w:val="84"/>
        </w:rPr>
        <w:t xml:space="preserve"> </w:t>
      </w:r>
    </w:p>
    <w:p w14:paraId="4BBA56B7">
      <w:pPr>
        <w:widowControl/>
        <w:spacing w:line="1000" w:lineRule="exact"/>
        <w:jc w:val="center"/>
        <w:rPr>
          <w:rFonts w:ascii="Times New Roman" w:hAnsi="Times New Roman" w:eastAsia="黑体"/>
          <w:b/>
          <w:spacing w:val="-2"/>
          <w:kern w:val="0"/>
          <w:sz w:val="36"/>
          <w:szCs w:val="36"/>
        </w:rPr>
      </w:pPr>
      <w:r>
        <w:rPr>
          <w:rFonts w:ascii="Times New Roman" w:hAnsi="Times New Roman" w:eastAsia="黑体"/>
          <w:b/>
          <w:spacing w:val="-2"/>
          <w:kern w:val="0"/>
          <w:sz w:val="36"/>
          <w:szCs w:val="36"/>
        </w:rPr>
        <w:t>（</w:t>
      </w:r>
      <w:r>
        <w:rPr>
          <w:rFonts w:hint="eastAsia" w:ascii="Times New Roman" w:hAnsi="Times New Roman" w:eastAsia="黑体"/>
          <w:b/>
          <w:spacing w:val="-2"/>
          <w:kern w:val="0"/>
          <w:sz w:val="36"/>
          <w:szCs w:val="36"/>
        </w:rPr>
        <w:t>公示本</w:t>
      </w:r>
      <w:r>
        <w:rPr>
          <w:rFonts w:ascii="Times New Roman" w:hAnsi="Times New Roman" w:eastAsia="黑体"/>
          <w:b/>
          <w:spacing w:val="-2"/>
          <w:kern w:val="0"/>
          <w:sz w:val="36"/>
          <w:szCs w:val="36"/>
        </w:rPr>
        <w:t>）</w:t>
      </w:r>
    </w:p>
    <w:p w14:paraId="469D8A50">
      <w:pPr>
        <w:widowControl/>
        <w:spacing w:before="120" w:beforeLines="50" w:after="120" w:afterLines="50" w:line="1000" w:lineRule="exact"/>
        <w:ind w:firstLine="1004"/>
        <w:jc w:val="center"/>
        <w:rPr>
          <w:rFonts w:ascii="Times New Roman" w:hAnsi="Times New Roman" w:eastAsia="黑体"/>
          <w:b/>
          <w:spacing w:val="-2"/>
          <w:kern w:val="0"/>
          <w:sz w:val="50"/>
          <w:szCs w:val="50"/>
        </w:rPr>
      </w:pPr>
    </w:p>
    <w:p w14:paraId="24D0051E">
      <w:pPr>
        <w:ind w:firstLine="1044"/>
        <w:jc w:val="center"/>
        <w:rPr>
          <w:rFonts w:ascii="Times New Roman" w:hAnsi="Times New Roman" w:eastAsia="黑体"/>
          <w:b/>
          <w:spacing w:val="-2"/>
          <w:kern w:val="0"/>
          <w:sz w:val="50"/>
          <w:szCs w:val="50"/>
        </w:rPr>
      </w:pPr>
    </w:p>
    <w:p w14:paraId="5B611282">
      <w:pPr>
        <w:ind w:firstLine="1044"/>
        <w:jc w:val="center"/>
        <w:rPr>
          <w:rFonts w:ascii="Times New Roman" w:hAnsi="Times New Roman" w:eastAsia="黑体"/>
          <w:b/>
          <w:spacing w:val="-2"/>
          <w:kern w:val="0"/>
          <w:sz w:val="50"/>
          <w:szCs w:val="50"/>
        </w:rPr>
      </w:pPr>
    </w:p>
    <w:p w14:paraId="360FF16D">
      <w:pPr>
        <w:ind w:firstLine="1044"/>
        <w:jc w:val="center"/>
        <w:rPr>
          <w:rFonts w:ascii="Times New Roman" w:hAnsi="Times New Roman" w:eastAsia="黑体"/>
          <w:b/>
          <w:spacing w:val="-2"/>
          <w:kern w:val="0"/>
          <w:sz w:val="50"/>
          <w:szCs w:val="50"/>
        </w:rPr>
      </w:pPr>
    </w:p>
    <w:p w14:paraId="1CADA12A">
      <w:pPr>
        <w:ind w:firstLine="1044"/>
        <w:jc w:val="center"/>
        <w:rPr>
          <w:rFonts w:ascii="Times New Roman" w:hAnsi="Times New Roman" w:eastAsia="黑体"/>
          <w:b/>
          <w:spacing w:val="-2"/>
          <w:kern w:val="0"/>
          <w:sz w:val="50"/>
          <w:szCs w:val="50"/>
        </w:rPr>
      </w:pPr>
    </w:p>
    <w:p w14:paraId="4C0C956F">
      <w:pPr>
        <w:ind w:firstLine="1044"/>
        <w:jc w:val="center"/>
        <w:rPr>
          <w:rFonts w:ascii="Times New Roman" w:hAnsi="Times New Roman" w:eastAsia="黑体"/>
          <w:b/>
          <w:spacing w:val="-2"/>
          <w:kern w:val="0"/>
          <w:sz w:val="50"/>
          <w:szCs w:val="50"/>
        </w:rPr>
      </w:pPr>
    </w:p>
    <w:p w14:paraId="19CDA09D">
      <w:pPr>
        <w:ind w:firstLine="1044"/>
        <w:jc w:val="center"/>
        <w:rPr>
          <w:rFonts w:ascii="Times New Roman" w:hAnsi="Times New Roman" w:eastAsia="黑体"/>
          <w:b/>
          <w:spacing w:val="-2"/>
          <w:kern w:val="0"/>
          <w:sz w:val="32"/>
          <w:szCs w:val="32"/>
        </w:rPr>
      </w:pPr>
    </w:p>
    <w:p w14:paraId="00975FFC">
      <w:pPr>
        <w:ind w:firstLine="1044"/>
        <w:jc w:val="center"/>
        <w:rPr>
          <w:rFonts w:ascii="Times New Roman" w:hAnsi="Times New Roman" w:eastAsia="黑体"/>
          <w:b/>
          <w:spacing w:val="-2"/>
          <w:kern w:val="0"/>
          <w:sz w:val="32"/>
          <w:szCs w:val="32"/>
        </w:rPr>
      </w:pPr>
    </w:p>
    <w:p w14:paraId="4A49FBD2">
      <w:pPr>
        <w:ind w:firstLine="1044"/>
        <w:jc w:val="center"/>
        <w:rPr>
          <w:rFonts w:ascii="Times New Roman" w:hAnsi="Times New Roman" w:eastAsia="黑体"/>
          <w:b/>
          <w:spacing w:val="-2"/>
          <w:kern w:val="0"/>
          <w:sz w:val="32"/>
          <w:szCs w:val="32"/>
        </w:rPr>
      </w:pPr>
    </w:p>
    <w:p w14:paraId="134E86C0">
      <w:pPr>
        <w:spacing w:line="360" w:lineRule="auto"/>
        <w:ind w:firstLine="939" w:firstLineChars="296"/>
        <w:rPr>
          <w:rFonts w:ascii="Times New Roman" w:hAnsi="Times New Roman" w:eastAsia="黑体"/>
          <w:b/>
          <w:spacing w:val="-2"/>
          <w:kern w:val="0"/>
          <w:sz w:val="32"/>
          <w:szCs w:val="32"/>
        </w:rPr>
      </w:pPr>
      <w:r>
        <w:rPr>
          <w:rFonts w:ascii="Times New Roman" w:hAnsi="Times New Roman" w:eastAsia="黑体"/>
          <w:b/>
          <w:spacing w:val="-2"/>
          <w:kern w:val="0"/>
          <w:sz w:val="32"/>
          <w:szCs w:val="32"/>
        </w:rPr>
        <w:t>建设单位：广西瑞腾贸易有限公司</w:t>
      </w:r>
    </w:p>
    <w:p w14:paraId="4694426D">
      <w:pPr>
        <w:spacing w:line="360" w:lineRule="auto"/>
        <w:ind w:firstLine="939" w:firstLineChars="296"/>
        <w:rPr>
          <w:rFonts w:ascii="Times New Roman" w:hAnsi="Times New Roman" w:eastAsia="黑体"/>
          <w:b/>
          <w:spacing w:val="-2"/>
          <w:kern w:val="0"/>
          <w:sz w:val="32"/>
          <w:szCs w:val="32"/>
        </w:rPr>
      </w:pPr>
    </w:p>
    <w:p w14:paraId="40C51ECC">
      <w:pPr>
        <w:spacing w:line="360" w:lineRule="auto"/>
        <w:ind w:firstLine="939" w:firstLineChars="296"/>
        <w:rPr>
          <w:rFonts w:ascii="Times New Roman" w:hAnsi="Times New Roman" w:eastAsia="黑体"/>
          <w:b/>
          <w:spacing w:val="-2"/>
          <w:kern w:val="0"/>
          <w:sz w:val="32"/>
          <w:szCs w:val="32"/>
        </w:rPr>
      </w:pPr>
      <w:r>
        <w:rPr>
          <w:rFonts w:ascii="Times New Roman" w:hAnsi="Times New Roman" w:eastAsia="黑体"/>
          <w:b/>
          <w:spacing w:val="-2"/>
          <w:kern w:val="0"/>
          <w:sz w:val="32"/>
          <w:szCs w:val="32"/>
        </w:rPr>
        <w:t>编制单位：广西绿港环保科技有限公司</w:t>
      </w:r>
    </w:p>
    <w:p w14:paraId="653B51B9">
      <w:pPr>
        <w:spacing w:line="360" w:lineRule="auto"/>
        <w:ind w:firstLine="939" w:firstLineChars="296"/>
        <w:rPr>
          <w:rFonts w:ascii="Times New Roman" w:hAnsi="Times New Roman" w:eastAsia="黑体"/>
          <w:b/>
          <w:spacing w:val="-2"/>
          <w:kern w:val="0"/>
          <w:sz w:val="32"/>
          <w:szCs w:val="32"/>
        </w:rPr>
      </w:pPr>
    </w:p>
    <w:p w14:paraId="2FBB0957">
      <w:pPr>
        <w:tabs>
          <w:tab w:val="left" w:pos="420"/>
          <w:tab w:val="right" w:leader="dot" w:pos="9060"/>
        </w:tabs>
        <w:spacing w:before="120" w:after="120" w:line="360" w:lineRule="auto"/>
        <w:ind w:firstLine="480"/>
        <w:jc w:val="center"/>
        <w:rPr>
          <w:rFonts w:ascii="Times New Roman" w:hAnsi="Times New Roman"/>
          <w:b/>
          <w:bCs/>
          <w:caps/>
          <w:snapToGrid w:val="0"/>
          <w:spacing w:val="-2"/>
          <w:kern w:val="0"/>
          <w:sz w:val="30"/>
          <w:szCs w:val="30"/>
        </w:rPr>
      </w:pPr>
      <w:r>
        <w:rPr>
          <w:rFonts w:ascii="Times New Roman" w:hAnsi="Times New Roman"/>
          <w:b/>
          <w:bCs/>
          <w:caps/>
          <w:snapToGrid w:val="0"/>
          <w:spacing w:val="-2"/>
          <w:kern w:val="0"/>
          <w:sz w:val="30"/>
          <w:szCs w:val="30"/>
        </w:rPr>
        <w:t>二〇二</w:t>
      </w:r>
      <w:r>
        <w:rPr>
          <w:rFonts w:hint="eastAsia" w:ascii="Times New Roman" w:hAnsi="Times New Roman"/>
          <w:b/>
          <w:bCs/>
          <w:caps/>
          <w:snapToGrid w:val="0"/>
          <w:spacing w:val="-2"/>
          <w:kern w:val="0"/>
          <w:sz w:val="30"/>
          <w:szCs w:val="30"/>
        </w:rPr>
        <w:t>五</w:t>
      </w:r>
      <w:r>
        <w:rPr>
          <w:rFonts w:ascii="Times New Roman" w:hAnsi="Times New Roman"/>
          <w:b/>
          <w:bCs/>
          <w:caps/>
          <w:snapToGrid w:val="0"/>
          <w:spacing w:val="-2"/>
          <w:kern w:val="0"/>
          <w:sz w:val="30"/>
          <w:szCs w:val="30"/>
        </w:rPr>
        <w:t>年</w:t>
      </w:r>
      <w:r>
        <w:rPr>
          <w:rFonts w:hint="eastAsia" w:ascii="Times New Roman" w:hAnsi="Times New Roman"/>
          <w:b/>
          <w:bCs/>
          <w:caps/>
          <w:snapToGrid w:val="0"/>
          <w:spacing w:val="-2"/>
          <w:kern w:val="0"/>
          <w:sz w:val="30"/>
          <w:szCs w:val="30"/>
        </w:rPr>
        <w:t>四</w:t>
      </w:r>
      <w:r>
        <w:rPr>
          <w:rFonts w:ascii="Times New Roman" w:hAnsi="Times New Roman"/>
          <w:b/>
          <w:bCs/>
          <w:caps/>
          <w:snapToGrid w:val="0"/>
          <w:spacing w:val="-2"/>
          <w:kern w:val="0"/>
          <w:sz w:val="30"/>
          <w:szCs w:val="30"/>
        </w:rPr>
        <w:t>月</w:t>
      </w:r>
    </w:p>
    <w:p w14:paraId="35620DFF">
      <w:pPr>
        <w:tabs>
          <w:tab w:val="left" w:pos="420"/>
          <w:tab w:val="right" w:leader="dot" w:pos="9060"/>
        </w:tabs>
        <w:spacing w:before="120" w:after="120" w:line="360" w:lineRule="auto"/>
        <w:ind w:firstLine="480"/>
        <w:jc w:val="center"/>
        <w:rPr>
          <w:rFonts w:ascii="Times New Roman" w:hAnsi="Times New Roman"/>
          <w:b/>
          <w:bCs/>
          <w:caps/>
          <w:snapToGrid w:val="0"/>
          <w:spacing w:val="-2"/>
          <w:kern w:val="0"/>
          <w:sz w:val="30"/>
          <w:szCs w:val="30"/>
        </w:rPr>
        <w:sectPr>
          <w:headerReference r:id="rId3" w:type="default"/>
          <w:footerReference r:id="rId4" w:type="default"/>
          <w:footerReference r:id="rId5" w:type="even"/>
          <w:pgSz w:w="11906" w:h="16838"/>
          <w:pgMar w:top="1418" w:right="1418" w:bottom="1418" w:left="1418" w:header="851" w:footer="992" w:gutter="0"/>
          <w:pgNumType w:fmt="upperRoman" w:start="1"/>
          <w:cols w:space="720" w:num="1"/>
          <w:titlePg/>
          <w:docGrid w:linePitch="312" w:charSpace="0"/>
        </w:sectPr>
      </w:pPr>
    </w:p>
    <w:p w14:paraId="0DBFBCBE">
      <w:pPr>
        <w:keepNext/>
        <w:keepLines/>
        <w:spacing w:line="360" w:lineRule="auto"/>
        <w:jc w:val="center"/>
        <w:outlineLvl w:val="0"/>
        <w:rPr>
          <w:rFonts w:ascii="Times New Roman" w:hAnsi="Times New Roman"/>
          <w:b/>
          <w:spacing w:val="-2"/>
          <w:kern w:val="44"/>
          <w:sz w:val="30"/>
          <w:szCs w:val="44"/>
        </w:rPr>
      </w:pPr>
      <w:bookmarkStart w:id="9" w:name="_Toc2608084"/>
      <w:bookmarkStart w:id="10" w:name="_Toc33600952"/>
      <w:bookmarkStart w:id="11" w:name="_Toc531287926"/>
      <w:bookmarkStart w:id="12" w:name="_Toc18911068"/>
      <w:bookmarkStart w:id="13" w:name="_Toc23501513"/>
      <w:bookmarkStart w:id="14" w:name="_Toc13419336"/>
      <w:bookmarkStart w:id="15" w:name="_Toc18911132"/>
      <w:bookmarkStart w:id="16" w:name="_Toc485713220"/>
      <w:bookmarkStart w:id="17" w:name="_Toc9823"/>
      <w:bookmarkStart w:id="18" w:name="_Toc501921155"/>
      <w:bookmarkStart w:id="19" w:name="_Toc480985240"/>
      <w:bookmarkStart w:id="20" w:name="_Toc508527105"/>
      <w:bookmarkStart w:id="21" w:name="_Toc34402494"/>
      <w:bookmarkStart w:id="22" w:name="_Toc482797429"/>
      <w:bookmarkStart w:id="23" w:name="_Toc488156119"/>
      <w:r>
        <w:rPr>
          <w:rFonts w:ascii="Times New Roman" w:hAnsi="Times New Roman"/>
          <w:b/>
          <w:spacing w:val="-2"/>
          <w:kern w:val="44"/>
          <w:sz w:val="30"/>
          <w:szCs w:val="44"/>
        </w:rPr>
        <w:t>概  述</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14:paraId="0FB874FB">
      <w:pPr>
        <w:spacing w:line="360" w:lineRule="auto"/>
        <w:ind w:firstLine="474" w:firstLineChars="200"/>
        <w:rPr>
          <w:rFonts w:ascii="Times New Roman" w:hAnsi="Times New Roman"/>
          <w:b/>
          <w:spacing w:val="-2"/>
          <w:kern w:val="0"/>
          <w:sz w:val="24"/>
          <w:szCs w:val="24"/>
        </w:rPr>
      </w:pPr>
      <w:r>
        <w:rPr>
          <w:rFonts w:ascii="Times New Roman" w:hAnsi="Times New Roman"/>
          <w:b/>
          <w:spacing w:val="-2"/>
          <w:kern w:val="0"/>
          <w:sz w:val="24"/>
          <w:szCs w:val="24"/>
        </w:rPr>
        <w:t>一、项目由来</w:t>
      </w:r>
    </w:p>
    <w:p w14:paraId="326C7E40">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钛原料主要用来生产钛白（二氧化钛）、金属钛（海绵钛）、含钛钢以及焊条涂料。它们所占的比例，我国和国外稍有不同。钛白，我国占88%，国外占92.4%；金属钛（海绵钛），我国占10%，国外占5.3%；含钛钢及焊条涂料，我国占2.0%，国外占2.3%。钛白不仅是性能优异的白色颜料，而且是重要的化工原料。它广泛用于涂料、油墨、塑料、橡胶、造纸和化纤工业。钛白涂料，色彩鲜艳，色调纯正；钛白是纸张的高级填料，使纸张薄而不透明，白度高，光泽好，强度大和光滑</w:t>
      </w:r>
      <w:r>
        <w:rPr>
          <w:rFonts w:hint="eastAsia" w:ascii="Times New Roman" w:hAnsi="Times New Roman"/>
          <w:spacing w:val="-2"/>
          <w:kern w:val="0"/>
          <w:sz w:val="24"/>
          <w:szCs w:val="24"/>
          <w:lang w:eastAsia="zh-CN"/>
        </w:rPr>
        <w:t>耐用</w:t>
      </w:r>
      <w:r>
        <w:rPr>
          <w:rFonts w:ascii="Times New Roman" w:hAnsi="Times New Roman"/>
          <w:spacing w:val="-2"/>
          <w:kern w:val="0"/>
          <w:sz w:val="24"/>
          <w:szCs w:val="24"/>
        </w:rPr>
        <w:t>。钛白用于塑料工业，是不透明的着色剂；用于橡胶工业，使白色和浅色橡胶强度高，伸展率大，耐老化和不易褪色。它也是化学纤维的最佳消光材料，使透明的化纤</w:t>
      </w:r>
      <w:r>
        <w:rPr>
          <w:rFonts w:hint="eastAsia" w:ascii="Times New Roman" w:hAnsi="Times New Roman"/>
          <w:spacing w:val="-2"/>
          <w:kern w:val="0"/>
          <w:sz w:val="24"/>
          <w:szCs w:val="24"/>
          <w:lang w:eastAsia="zh-CN"/>
        </w:rPr>
        <w:t>具有</w:t>
      </w:r>
      <w:r>
        <w:rPr>
          <w:rFonts w:ascii="Times New Roman" w:hAnsi="Times New Roman"/>
          <w:spacing w:val="-2"/>
          <w:kern w:val="0"/>
          <w:sz w:val="24"/>
          <w:szCs w:val="24"/>
        </w:rPr>
        <w:t>永久性消光效果，并可提高韧性。此外，还用于搪瓷、电器、电子原料等方面。钛精矿经冶炼成海绵钛后，再铸锭并制成工业纯钛和钛合金钛材。钛和钛合金钛材主要用于航空和宇航部门。与合金钢相比，钛合金可使飞机重量减轻40%。其他如人造卫星外壳、飞船蒙皮、火箭发动机壳体、导弹等等，钛合金都可大显身手。非宇航部门使用工业纯钛和钛合金主要在于发电站冷凝器、接触海水装置、化学装置和一些机械工程等方面</w:t>
      </w:r>
      <w:r>
        <w:rPr>
          <w:rFonts w:hint="eastAsia" w:ascii="Times New Roman" w:hAnsi="Times New Roman"/>
          <w:spacing w:val="-2"/>
          <w:kern w:val="0"/>
          <w:sz w:val="24"/>
          <w:szCs w:val="24"/>
        </w:rPr>
        <w:t>，</w:t>
      </w:r>
      <w:r>
        <w:rPr>
          <w:rFonts w:ascii="Times New Roman" w:hAnsi="Times New Roman"/>
          <w:spacing w:val="-2"/>
          <w:kern w:val="0"/>
          <w:sz w:val="24"/>
          <w:szCs w:val="24"/>
        </w:rPr>
        <w:t>尤其是海水淡化加热器用钛是钛工业发展中划时代事件。兵工部门将钛主要用于舰船和兵器生产。</w:t>
      </w:r>
    </w:p>
    <w:p w14:paraId="07343884">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金属钛除主要用于生产工业纯钛和钛合金外，另一用途是为钢铁工业生产钛铁合金和含钛钢。钛在钢中作为添加元素，可以改变钢的性能。使钢在同样回火温度下，具有更高的强度和硬度，或同样硬度要求下，回火到更高的温度。我国含钛钢有高强度低合金钢、结构钢、不锈钢、耐热合金、超高强度钢和磁钢等钢种系列，广泛用于汽车、船舶和石油钻探等方面，已发展成为仅次于锰钢的第二大钢系。</w:t>
      </w:r>
    </w:p>
    <w:p w14:paraId="7968DC91">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广西瑞腾贸易有限公司拟建的锆钛矿石分选加工项目，租用广西钦州保税区创大冷链物流公司进口汽车仓储物流园内的3号仓库</w:t>
      </w:r>
      <w:r>
        <w:rPr>
          <w:rFonts w:hint="eastAsia" w:ascii="Times New Roman" w:hAnsi="Times New Roman"/>
          <w:spacing w:val="-2"/>
          <w:kern w:val="0"/>
          <w:sz w:val="24"/>
          <w:szCs w:val="24"/>
        </w:rPr>
        <w:t>（中心坐标：</w:t>
      </w:r>
      <w:r>
        <w:rPr>
          <w:rFonts w:ascii="Times New Roman" w:hAnsi="Times New Roman"/>
          <w:sz w:val="24"/>
          <w:szCs w:val="24"/>
        </w:rPr>
        <w:t>东经108.66786629°，北纬21.67253665°</w:t>
      </w:r>
      <w:r>
        <w:rPr>
          <w:rFonts w:hint="eastAsia" w:ascii="Times New Roman" w:hAnsi="Times New Roman"/>
          <w:spacing w:val="-2"/>
          <w:kern w:val="0"/>
          <w:sz w:val="24"/>
          <w:szCs w:val="24"/>
        </w:rPr>
        <w:t>）</w:t>
      </w:r>
      <w:r>
        <w:rPr>
          <w:rFonts w:ascii="Times New Roman" w:hAnsi="Times New Roman"/>
          <w:spacing w:val="-2"/>
          <w:kern w:val="0"/>
          <w:sz w:val="24"/>
          <w:szCs w:val="24"/>
        </w:rPr>
        <w:t>，</w:t>
      </w:r>
      <w:bookmarkStart w:id="24" w:name="OLE_LINK1"/>
      <w:r>
        <w:rPr>
          <w:rFonts w:ascii="Times New Roman" w:hAnsi="Times New Roman"/>
          <w:spacing w:val="-2"/>
          <w:kern w:val="0"/>
          <w:sz w:val="24"/>
          <w:szCs w:val="24"/>
        </w:rPr>
        <w:t>利用毛矿为原料（大部分来</w:t>
      </w:r>
      <w:r>
        <w:rPr>
          <w:rFonts w:hint="eastAsia" w:ascii="Times New Roman" w:hAnsi="Times New Roman"/>
          <w:spacing w:val="-2"/>
          <w:kern w:val="0"/>
          <w:sz w:val="24"/>
          <w:szCs w:val="24"/>
        </w:rPr>
        <w:t>自非洲、东南亚</w:t>
      </w:r>
      <w:r>
        <w:rPr>
          <w:rFonts w:ascii="Times New Roman" w:hAnsi="Times New Roman"/>
          <w:spacing w:val="-2"/>
          <w:kern w:val="0"/>
          <w:sz w:val="24"/>
          <w:szCs w:val="24"/>
        </w:rPr>
        <w:t>）</w:t>
      </w:r>
      <w:r>
        <w:rPr>
          <w:rFonts w:hint="eastAsia" w:ascii="Times New Roman" w:hAnsi="Times New Roman"/>
          <w:spacing w:val="-2"/>
          <w:kern w:val="0"/>
          <w:sz w:val="24"/>
          <w:szCs w:val="24"/>
        </w:rPr>
        <w:t>，采用干式磁选工艺</w:t>
      </w:r>
      <w:r>
        <w:rPr>
          <w:rFonts w:ascii="Times New Roman" w:hAnsi="Times New Roman"/>
          <w:spacing w:val="-2"/>
          <w:kern w:val="0"/>
          <w:sz w:val="24"/>
          <w:szCs w:val="24"/>
        </w:rPr>
        <w:t>分选</w:t>
      </w:r>
      <w:r>
        <w:rPr>
          <w:rFonts w:hint="eastAsia" w:ascii="Times New Roman" w:hAnsi="Times New Roman"/>
          <w:spacing w:val="-2"/>
          <w:kern w:val="0"/>
          <w:sz w:val="24"/>
          <w:szCs w:val="24"/>
        </w:rPr>
        <w:t>出</w:t>
      </w:r>
      <w:r>
        <w:rPr>
          <w:rFonts w:ascii="Times New Roman" w:hAnsi="Times New Roman"/>
          <w:spacing w:val="-2"/>
          <w:kern w:val="0"/>
          <w:sz w:val="24"/>
          <w:szCs w:val="24"/>
        </w:rPr>
        <w:t>钛铁精矿。</w:t>
      </w:r>
      <w:bookmarkEnd w:id="24"/>
      <w:r>
        <w:rPr>
          <w:rFonts w:hint="eastAsia" w:ascii="Times New Roman" w:hAnsi="Times New Roman"/>
          <w:spacing w:val="-2"/>
          <w:kern w:val="0"/>
          <w:sz w:val="24"/>
          <w:szCs w:val="24"/>
        </w:rPr>
        <w:t>项目总用地面积约2500m</w:t>
      </w:r>
      <w:r>
        <w:rPr>
          <w:rFonts w:hint="eastAsia" w:ascii="Times New Roman" w:hAnsi="Times New Roman"/>
          <w:spacing w:val="-2"/>
          <w:kern w:val="0"/>
          <w:sz w:val="24"/>
          <w:szCs w:val="24"/>
          <w:vertAlign w:val="superscript"/>
        </w:rPr>
        <w:t>2</w:t>
      </w:r>
      <w:r>
        <w:rPr>
          <w:rFonts w:hint="eastAsia" w:ascii="Times New Roman" w:hAnsi="Times New Roman"/>
          <w:spacing w:val="-2"/>
          <w:kern w:val="0"/>
          <w:sz w:val="24"/>
          <w:szCs w:val="24"/>
        </w:rPr>
        <w:t>，建设2条钛铁精矿分选生产线，</w:t>
      </w:r>
      <w:r>
        <w:rPr>
          <w:rFonts w:hint="eastAsia" w:ascii="Times New Roman" w:hAnsi="Times New Roman"/>
          <w:spacing w:val="-2"/>
          <w:kern w:val="0"/>
          <w:sz w:val="24"/>
          <w:szCs w:val="24"/>
          <w:u w:val="single"/>
        </w:rPr>
        <w:t>年加工分选锆钛矿石24万吨</w:t>
      </w:r>
      <w:r>
        <w:rPr>
          <w:rFonts w:hint="eastAsia" w:ascii="Times New Roman" w:hAnsi="Times New Roman"/>
          <w:spacing w:val="-2"/>
          <w:kern w:val="0"/>
          <w:sz w:val="24"/>
          <w:szCs w:val="24"/>
        </w:rPr>
        <w:t>。项目在已建成的车间厂房内进行生产线设备安装后便可投入生产运营，无需进行土方开挖、基础工程、主体工程等施工。</w:t>
      </w:r>
    </w:p>
    <w:p w14:paraId="46E2A4DB">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根据《中华人民共和国环境影响评价法》（2018年12月29日修正）、《建设项目环境保护管理条例》和《建设项目环境影响评价分类管理名录》（2021年版）有关规定的要求，项目属于“七、有色金属矿采选业 09”类别中的“稀有稀土金属矿采选 093”，“全部”应编制环境影响报告书。本项目建成后预计</w:t>
      </w:r>
      <w:r>
        <w:rPr>
          <w:rFonts w:hint="eastAsia" w:ascii="Times New Roman" w:hAnsi="Times New Roman"/>
          <w:spacing w:val="-2"/>
          <w:kern w:val="0"/>
          <w:sz w:val="24"/>
          <w:szCs w:val="24"/>
          <w:u w:val="single"/>
        </w:rPr>
        <w:t>年加工分选锆钛矿石24万吨</w:t>
      </w:r>
      <w:r>
        <w:rPr>
          <w:rFonts w:hint="eastAsia" w:ascii="Times New Roman" w:hAnsi="Times New Roman"/>
          <w:spacing w:val="-2"/>
          <w:kern w:val="0"/>
          <w:sz w:val="24"/>
          <w:szCs w:val="24"/>
        </w:rPr>
        <w:t>，因此，本项目应编制环境影响报告书。</w:t>
      </w:r>
    </w:p>
    <w:p w14:paraId="7FDB3AE6">
      <w:pPr>
        <w:spacing w:line="360" w:lineRule="auto"/>
        <w:ind w:firstLine="472" w:firstLineChars="200"/>
        <w:rPr>
          <w:rFonts w:ascii="Times New Roman" w:hAnsi="Times New Roman"/>
          <w:bCs/>
          <w:spacing w:val="-2"/>
          <w:kern w:val="0"/>
          <w:sz w:val="24"/>
          <w:szCs w:val="24"/>
        </w:rPr>
      </w:pPr>
      <w:r>
        <w:rPr>
          <w:rFonts w:ascii="Times New Roman" w:hAnsi="Times New Roman"/>
          <w:bCs/>
          <w:spacing w:val="-2"/>
          <w:kern w:val="0"/>
          <w:sz w:val="24"/>
          <w:szCs w:val="24"/>
        </w:rPr>
        <w:t>本项目原矿及产品中</w:t>
      </w:r>
      <w:r>
        <w:rPr>
          <w:rFonts w:hint="eastAsia" w:ascii="Times New Roman" w:hAnsi="Times New Roman"/>
          <w:bCs/>
          <w:spacing w:val="-2"/>
          <w:kern w:val="0"/>
          <w:sz w:val="24"/>
          <w:szCs w:val="24"/>
        </w:rPr>
        <w:t>相关</w:t>
      </w:r>
      <w:r>
        <w:rPr>
          <w:rFonts w:ascii="Times New Roman" w:hAnsi="Times New Roman"/>
          <w:spacing w:val="-2"/>
          <w:kern w:val="0"/>
          <w:sz w:val="24"/>
          <w:szCs w:val="24"/>
        </w:rPr>
        <w:t>物料具有一定的放射性</w:t>
      </w:r>
      <w:r>
        <w:rPr>
          <w:rFonts w:hint="eastAsia" w:ascii="Times New Roman" w:hAnsi="Times New Roman"/>
          <w:spacing w:val="-2"/>
          <w:kern w:val="0"/>
          <w:sz w:val="24"/>
          <w:szCs w:val="24"/>
        </w:rPr>
        <w:t>，经对建设单位其他厂区相同来源毛矿的放射性核素活动浓度分析结果，</w:t>
      </w:r>
      <w:r>
        <w:rPr>
          <w:rFonts w:ascii="Times New Roman" w:hAnsi="Times New Roman"/>
          <w:bCs/>
          <w:spacing w:val="-2"/>
          <w:kern w:val="0"/>
          <w:sz w:val="24"/>
          <w:szCs w:val="24"/>
        </w:rPr>
        <w:t>铀（钍）系单个核素活度浓度超过1贝可/克（Bq/g）的物料，因此，根据《关于发布&lt;矿产资源开发利用辐射环境监督管理名录&gt;的公告》（公告2020年第54号）要求</w:t>
      </w:r>
      <w:r>
        <w:rPr>
          <w:rFonts w:hint="eastAsia" w:ascii="Times New Roman" w:hAnsi="Times New Roman"/>
          <w:bCs/>
          <w:spacing w:val="-2"/>
          <w:kern w:val="0"/>
          <w:sz w:val="24"/>
          <w:szCs w:val="24"/>
        </w:rPr>
        <w:t>，项目</w:t>
      </w:r>
      <w:r>
        <w:rPr>
          <w:rFonts w:ascii="Times New Roman" w:hAnsi="Times New Roman"/>
          <w:bCs/>
          <w:spacing w:val="-2"/>
          <w:kern w:val="0"/>
          <w:sz w:val="24"/>
          <w:szCs w:val="24"/>
        </w:rPr>
        <w:t>编制了《锆钛矿石分选加工项目辐射环境影响评价专篇》（以下简称</w:t>
      </w:r>
      <w:r>
        <w:rPr>
          <w:rFonts w:ascii="宋体" w:hAnsi="宋体"/>
          <w:bCs/>
          <w:spacing w:val="-2"/>
          <w:kern w:val="0"/>
          <w:sz w:val="24"/>
          <w:szCs w:val="24"/>
        </w:rPr>
        <w:t>“辐射评价专篇”</w:t>
      </w:r>
      <w:r>
        <w:rPr>
          <w:rFonts w:ascii="Times New Roman" w:hAnsi="Times New Roman"/>
          <w:bCs/>
          <w:spacing w:val="-2"/>
          <w:kern w:val="0"/>
          <w:sz w:val="24"/>
          <w:szCs w:val="24"/>
        </w:rPr>
        <w:t>），《锆钛矿石分选加工项目环境影响报告书》所涉及的辐射影响评价内容及相关数据均来源于《辐射评价专篇》。</w:t>
      </w:r>
    </w:p>
    <w:p w14:paraId="186F857D">
      <w:pPr>
        <w:tabs>
          <w:tab w:val="left" w:pos="1828"/>
          <w:tab w:val="left" w:pos="4888"/>
        </w:tabs>
        <w:spacing w:line="360" w:lineRule="auto"/>
        <w:ind w:firstLine="474" w:firstLineChars="200"/>
        <w:rPr>
          <w:rFonts w:ascii="Times New Roman" w:hAnsi="Times New Roman"/>
          <w:b/>
          <w:spacing w:val="-2"/>
          <w:kern w:val="0"/>
          <w:sz w:val="24"/>
          <w:szCs w:val="24"/>
        </w:rPr>
      </w:pPr>
      <w:r>
        <w:rPr>
          <w:rFonts w:ascii="Times New Roman" w:hAnsi="Times New Roman"/>
          <w:b/>
          <w:spacing w:val="-2"/>
          <w:kern w:val="0"/>
          <w:sz w:val="24"/>
          <w:szCs w:val="24"/>
        </w:rPr>
        <w:t>二、项目特点</w:t>
      </w:r>
    </w:p>
    <w:p w14:paraId="0960D0AC">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1、项目毛矿大部分来自非洲、东南亚，主要为滨海矿砂。海滨砂矿矿物种类多，单体解离度高，颗粒均匀且含泥量少，不需要破碎筛分工序。</w:t>
      </w:r>
    </w:p>
    <w:p w14:paraId="62321C2A">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2、本项目进口毛矿作原料，采用磁选工艺进行分选加工生产钛铁精矿。整个筛选过程只需用电，利用钛铁精矿与其他元素物质的物理性质不同，进行物理手段分选，</w:t>
      </w:r>
      <w:r>
        <w:rPr>
          <w:rFonts w:hint="eastAsia" w:ascii="Times New Roman" w:hAnsi="Times New Roman"/>
          <w:sz w:val="24"/>
          <w:szCs w:val="24"/>
        </w:rPr>
        <w:t>分选过程中</w:t>
      </w:r>
      <w:r>
        <w:rPr>
          <w:rFonts w:ascii="Times New Roman" w:hAnsi="Times New Roman"/>
          <w:sz w:val="24"/>
          <w:szCs w:val="24"/>
        </w:rPr>
        <w:t>无需用水及其他化学药剂等</w:t>
      </w:r>
      <w:r>
        <w:rPr>
          <w:rFonts w:hint="eastAsia" w:ascii="Times New Roman" w:hAnsi="Times New Roman"/>
          <w:sz w:val="24"/>
          <w:szCs w:val="24"/>
        </w:rPr>
        <w:t>，分选后</w:t>
      </w:r>
      <w:r>
        <w:rPr>
          <w:rFonts w:hint="eastAsia" w:ascii="Times New Roman" w:hAnsi="Times New Roman"/>
          <w:spacing w:val="-2"/>
          <w:kern w:val="0"/>
          <w:sz w:val="24"/>
          <w:szCs w:val="24"/>
        </w:rPr>
        <w:t>获得更高品位的钛铁精矿</w:t>
      </w:r>
      <w:r>
        <w:rPr>
          <w:rFonts w:ascii="Times New Roman" w:hAnsi="Times New Roman"/>
          <w:sz w:val="24"/>
          <w:szCs w:val="24"/>
        </w:rPr>
        <w:t>和</w:t>
      </w:r>
      <w:r>
        <w:rPr>
          <w:rFonts w:hint="eastAsia" w:ascii="Times New Roman" w:hAnsi="Times New Roman"/>
          <w:sz w:val="24"/>
          <w:szCs w:val="24"/>
        </w:rPr>
        <w:t>锆中矿，</w:t>
      </w:r>
      <w:r>
        <w:rPr>
          <w:rFonts w:ascii="Times New Roman" w:hAnsi="Times New Roman"/>
          <w:sz w:val="24"/>
          <w:szCs w:val="24"/>
        </w:rPr>
        <w:t>项目不再进行进一步的锆英砂、金红石、锡、独居石等其他矿物的分选</w:t>
      </w:r>
      <w:r>
        <w:rPr>
          <w:rFonts w:hint="eastAsia" w:ascii="Times New Roman" w:hAnsi="Times New Roman"/>
          <w:sz w:val="24"/>
          <w:szCs w:val="24"/>
        </w:rPr>
        <w:t>。产品钛铁精矿</w:t>
      </w:r>
      <w:r>
        <w:rPr>
          <w:rFonts w:ascii="Times New Roman" w:hAnsi="Times New Roman"/>
          <w:sz w:val="24"/>
          <w:szCs w:val="24"/>
        </w:rPr>
        <w:t>不进行钛</w:t>
      </w:r>
      <w:r>
        <w:rPr>
          <w:rFonts w:hint="eastAsia" w:ascii="Times New Roman" w:hAnsi="Times New Roman"/>
          <w:sz w:val="24"/>
          <w:szCs w:val="24"/>
        </w:rPr>
        <w:t>精矿</w:t>
      </w:r>
      <w:r>
        <w:rPr>
          <w:rFonts w:ascii="Times New Roman" w:hAnsi="Times New Roman"/>
          <w:sz w:val="24"/>
          <w:szCs w:val="24"/>
        </w:rPr>
        <w:t>和铁</w:t>
      </w:r>
      <w:r>
        <w:rPr>
          <w:rFonts w:hint="eastAsia" w:ascii="Times New Roman" w:hAnsi="Times New Roman"/>
          <w:sz w:val="24"/>
          <w:szCs w:val="24"/>
        </w:rPr>
        <w:t>矿</w:t>
      </w:r>
      <w:r>
        <w:rPr>
          <w:rFonts w:ascii="Times New Roman" w:hAnsi="Times New Roman"/>
          <w:sz w:val="24"/>
          <w:szCs w:val="24"/>
        </w:rPr>
        <w:t>的分离</w:t>
      </w:r>
      <w:r>
        <w:rPr>
          <w:rFonts w:hint="eastAsia" w:ascii="Times New Roman" w:hAnsi="Times New Roman"/>
          <w:sz w:val="24"/>
          <w:szCs w:val="24"/>
        </w:rPr>
        <w:t>，副产品锆中矿</w:t>
      </w:r>
      <w:r>
        <w:rPr>
          <w:rFonts w:ascii="Times New Roman" w:hAnsi="Times New Roman"/>
          <w:sz w:val="24"/>
          <w:szCs w:val="24"/>
        </w:rPr>
        <w:t>作为</w:t>
      </w:r>
      <w:r>
        <w:rPr>
          <w:rFonts w:hint="eastAsia" w:ascii="Times New Roman" w:hAnsi="Times New Roman"/>
          <w:sz w:val="24"/>
          <w:szCs w:val="24"/>
        </w:rPr>
        <w:t>原料出售给</w:t>
      </w:r>
      <w:r>
        <w:rPr>
          <w:rFonts w:ascii="Times New Roman" w:hAnsi="Times New Roman"/>
          <w:sz w:val="24"/>
          <w:szCs w:val="24"/>
        </w:rPr>
        <w:t>深度分选矿企业。</w:t>
      </w:r>
    </w:p>
    <w:p w14:paraId="376F749D">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3、</w:t>
      </w:r>
      <w:r>
        <w:rPr>
          <w:rFonts w:ascii="Times New Roman" w:hAnsi="Times New Roman"/>
          <w:spacing w:val="-2"/>
          <w:kern w:val="0"/>
          <w:sz w:val="24"/>
          <w:szCs w:val="24"/>
        </w:rPr>
        <w:t>本项目租用的生产用房位于广西钦州保税区创大冷链物流公司进口汽车仓储物流园内</w:t>
      </w:r>
      <w:r>
        <w:rPr>
          <w:rFonts w:hint="eastAsia" w:ascii="Times New Roman" w:hAnsi="Times New Roman"/>
          <w:spacing w:val="-2"/>
          <w:kern w:val="0"/>
          <w:sz w:val="24"/>
          <w:szCs w:val="24"/>
        </w:rPr>
        <w:t>的3号仓库</w:t>
      </w:r>
      <w:r>
        <w:rPr>
          <w:rFonts w:ascii="Times New Roman" w:hAnsi="Times New Roman"/>
          <w:spacing w:val="-2"/>
          <w:kern w:val="0"/>
          <w:sz w:val="24"/>
          <w:szCs w:val="24"/>
        </w:rPr>
        <w:t>，目前进口汽车仓储物流园区内地面均已硬化，配套的电气工程、给排水工程、照明工程、消防工程等均已完善，</w:t>
      </w:r>
      <w:r>
        <w:rPr>
          <w:rFonts w:hint="eastAsia" w:ascii="Times New Roman" w:hAnsi="Times New Roman"/>
          <w:spacing w:val="-2"/>
          <w:kern w:val="0"/>
          <w:sz w:val="24"/>
          <w:szCs w:val="24"/>
        </w:rPr>
        <w:t>园区内</w:t>
      </w:r>
      <w:r>
        <w:rPr>
          <w:rFonts w:ascii="Times New Roman" w:hAnsi="Times New Roman"/>
          <w:spacing w:val="-2"/>
          <w:kern w:val="0"/>
          <w:sz w:val="24"/>
          <w:szCs w:val="24"/>
        </w:rPr>
        <w:t>已建成1号仓库、3号仓库， 3号仓库位于进口汽车仓储物流园东南角</w:t>
      </w:r>
      <w:r>
        <w:rPr>
          <w:rFonts w:hint="eastAsia" w:ascii="Times New Roman" w:hAnsi="Times New Roman"/>
          <w:spacing w:val="-2"/>
          <w:kern w:val="0"/>
          <w:sz w:val="24"/>
          <w:szCs w:val="24"/>
        </w:rPr>
        <w:t>。项目租用3号仓库北侧部分面积约2500</w:t>
      </w:r>
      <w:r>
        <w:rPr>
          <w:rFonts w:ascii="Times New Roman" w:hAnsi="Times New Roman"/>
          <w:spacing w:val="-2"/>
          <w:kern w:val="0"/>
          <w:sz w:val="24"/>
          <w:szCs w:val="24"/>
        </w:rPr>
        <w:t>m</w:t>
      </w:r>
      <w:r>
        <w:rPr>
          <w:rFonts w:ascii="Times New Roman" w:hAnsi="Times New Roman"/>
          <w:spacing w:val="-2"/>
          <w:kern w:val="0"/>
          <w:sz w:val="24"/>
          <w:szCs w:val="24"/>
          <w:vertAlign w:val="superscript"/>
        </w:rPr>
        <w:t>2</w:t>
      </w:r>
      <w:r>
        <w:rPr>
          <w:rFonts w:ascii="Times New Roman" w:hAnsi="Times New Roman"/>
          <w:spacing w:val="-2"/>
          <w:kern w:val="0"/>
          <w:sz w:val="24"/>
          <w:szCs w:val="24"/>
        </w:rPr>
        <w:t>，厂房内</w:t>
      </w:r>
      <w:r>
        <w:rPr>
          <w:rFonts w:hint="eastAsia" w:ascii="Times New Roman" w:hAnsi="Times New Roman"/>
          <w:spacing w:val="-2"/>
          <w:kern w:val="0"/>
          <w:sz w:val="24"/>
          <w:szCs w:val="24"/>
        </w:rPr>
        <w:t>设置</w:t>
      </w:r>
      <w:r>
        <w:rPr>
          <w:rFonts w:ascii="Times New Roman" w:hAnsi="Times New Roman"/>
          <w:spacing w:val="-2"/>
          <w:kern w:val="0"/>
          <w:sz w:val="24"/>
          <w:szCs w:val="24"/>
        </w:rPr>
        <w:t>两个</w:t>
      </w:r>
      <w:r>
        <w:rPr>
          <w:rFonts w:hint="eastAsia" w:ascii="Times New Roman" w:hAnsi="Times New Roman"/>
          <w:spacing w:val="-2"/>
          <w:kern w:val="0"/>
          <w:sz w:val="24"/>
          <w:szCs w:val="24"/>
        </w:rPr>
        <w:t>生产</w:t>
      </w:r>
      <w:r>
        <w:rPr>
          <w:rFonts w:ascii="Times New Roman" w:hAnsi="Times New Roman"/>
          <w:spacing w:val="-2"/>
          <w:kern w:val="0"/>
          <w:sz w:val="24"/>
          <w:szCs w:val="24"/>
        </w:rPr>
        <w:t>车间，分别为1#原料处理车间、2#分选车间。项目建设</w:t>
      </w:r>
      <w:r>
        <w:rPr>
          <w:rFonts w:hint="eastAsia" w:ascii="Times New Roman" w:hAnsi="Times New Roman"/>
          <w:spacing w:val="-2"/>
          <w:kern w:val="0"/>
          <w:sz w:val="24"/>
          <w:szCs w:val="24"/>
        </w:rPr>
        <w:t>内容主要为厂房简易装修、</w:t>
      </w:r>
      <w:r>
        <w:rPr>
          <w:rFonts w:ascii="Times New Roman" w:hAnsi="Times New Roman"/>
          <w:spacing w:val="-2"/>
          <w:kern w:val="0"/>
          <w:sz w:val="24"/>
          <w:szCs w:val="24"/>
        </w:rPr>
        <w:t>设备安装、生产运营。</w:t>
      </w:r>
    </w:p>
    <w:p w14:paraId="49D98074">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4、</w:t>
      </w:r>
      <w:r>
        <w:rPr>
          <w:rFonts w:ascii="Times New Roman" w:hAnsi="Times New Roman"/>
          <w:spacing w:val="-2"/>
          <w:kern w:val="0"/>
          <w:sz w:val="24"/>
          <w:szCs w:val="24"/>
        </w:rPr>
        <w:t>项目施工期主要在已建成的</w:t>
      </w:r>
      <w:r>
        <w:rPr>
          <w:rFonts w:hint="eastAsia" w:ascii="Times New Roman" w:hAnsi="Times New Roman"/>
          <w:spacing w:val="-2"/>
          <w:kern w:val="0"/>
          <w:sz w:val="24"/>
          <w:szCs w:val="24"/>
        </w:rPr>
        <w:t>创大公司仓库</w:t>
      </w:r>
      <w:r>
        <w:rPr>
          <w:rFonts w:ascii="Times New Roman" w:hAnsi="Times New Roman"/>
          <w:spacing w:val="-2"/>
          <w:kern w:val="0"/>
          <w:sz w:val="24"/>
          <w:szCs w:val="24"/>
        </w:rPr>
        <w:t>内进行设备安装及厂房简易装修等，施工期不涉及土方开挖、基础工程、主体工程等施工。</w:t>
      </w:r>
      <w:r>
        <w:rPr>
          <w:rFonts w:hint="eastAsia" w:ascii="Times New Roman" w:hAnsi="Times New Roman"/>
          <w:spacing w:val="-2"/>
          <w:kern w:val="0"/>
          <w:sz w:val="24"/>
          <w:szCs w:val="24"/>
        </w:rPr>
        <w:t>施工期主要产生短时间的</w:t>
      </w:r>
      <w:r>
        <w:rPr>
          <w:rFonts w:ascii="Times New Roman" w:hAnsi="Times New Roman"/>
          <w:kern w:val="0"/>
          <w:sz w:val="24"/>
          <w:szCs w:val="24"/>
        </w:rPr>
        <w:t>间断偶发性的</w:t>
      </w:r>
      <w:r>
        <w:rPr>
          <w:rFonts w:hint="eastAsia" w:ascii="Times New Roman" w:hAnsi="Times New Roman"/>
          <w:kern w:val="0"/>
          <w:sz w:val="24"/>
          <w:szCs w:val="24"/>
        </w:rPr>
        <w:t>设备安装噪声、装修</w:t>
      </w:r>
      <w:r>
        <w:rPr>
          <w:rFonts w:ascii="Times New Roman" w:hAnsi="Times New Roman"/>
          <w:kern w:val="0"/>
          <w:sz w:val="24"/>
          <w:szCs w:val="24"/>
        </w:rPr>
        <w:t>以及生产线装配的包装废料等</w:t>
      </w:r>
      <w:r>
        <w:rPr>
          <w:rFonts w:hint="eastAsia" w:ascii="Times New Roman" w:hAnsi="Times New Roman"/>
          <w:kern w:val="0"/>
          <w:sz w:val="24"/>
          <w:szCs w:val="24"/>
        </w:rPr>
        <w:t>。</w:t>
      </w:r>
    </w:p>
    <w:p w14:paraId="3821BEAE">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5、项目运营期产生的特征污染物主要以烘干炉烟气、车间粉尘、含放射性固废及设备噪声为主，其中烘干炉烟气、车间粉尘的环境评价、放射性物料的辐射影响为本次评价的重点内容。</w:t>
      </w:r>
    </w:p>
    <w:p w14:paraId="019CD934">
      <w:pPr>
        <w:tabs>
          <w:tab w:val="left" w:pos="1828"/>
          <w:tab w:val="left" w:pos="4888"/>
        </w:tabs>
        <w:spacing w:line="360" w:lineRule="auto"/>
        <w:ind w:firstLine="474" w:firstLineChars="200"/>
        <w:rPr>
          <w:rFonts w:ascii="Times New Roman" w:hAnsi="Times New Roman"/>
          <w:b/>
          <w:spacing w:val="-2"/>
          <w:kern w:val="0"/>
          <w:sz w:val="24"/>
          <w:szCs w:val="24"/>
        </w:rPr>
      </w:pPr>
      <w:r>
        <w:rPr>
          <w:rFonts w:ascii="Times New Roman" w:hAnsi="Times New Roman"/>
          <w:b/>
          <w:spacing w:val="-2"/>
          <w:kern w:val="0"/>
          <w:sz w:val="24"/>
          <w:szCs w:val="24"/>
        </w:rPr>
        <w:t>三、环境影响评价工作过程</w:t>
      </w:r>
    </w:p>
    <w:p w14:paraId="79455802">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根据《中华人民共和国环境影响评价法》、《建设项目环境保护管理条例》和《建设项目环境影响评价分类管理名录》的有关规定，该项目应进行环境影响评价。评价单位接到委托后（委托书详见附件1），成立了项目组对现场进行踏勘，对评价区域进行调查分析和监</w:t>
      </w:r>
      <w:r>
        <w:rPr>
          <w:rFonts w:ascii="Times New Roman" w:hAnsi="Times New Roman"/>
          <w:spacing w:val="-2"/>
          <w:kern w:val="24"/>
          <w:sz w:val="24"/>
          <w:szCs w:val="24"/>
        </w:rPr>
        <w:t>测、搜集资料，按照现行的环评法规、导则、标准和技术文件的要求，编制完成本项目环境影响报告书。</w:t>
      </w:r>
      <w:r>
        <w:rPr>
          <w:rFonts w:ascii="Times New Roman" w:hAnsi="Times New Roman"/>
          <w:spacing w:val="-2"/>
          <w:kern w:val="0"/>
          <w:sz w:val="24"/>
          <w:szCs w:val="24"/>
        </w:rPr>
        <w:t>根据《矿产资源开发利用辐射环境监督管理名录》的有关规定，该项目应编制辐射环境影响评价专篇。由此广西瑞腾贸易有限公司委托广西壮族自治区辐射环境监督管理站开展该项目的辐射相关监测工作，在了解清楚项目所在区域的辐射环境后，编制完成了辐射环境影响评价专篇。</w:t>
      </w:r>
    </w:p>
    <w:p w14:paraId="744E46CD">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本项目的环境影响评价工作过程分为三个阶段，分述如下。本项目环境影响评价工作程序详见图1。</w:t>
      </w:r>
    </w:p>
    <w:p w14:paraId="79FF186F">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1、第一阶段工作内容</w:t>
      </w:r>
    </w:p>
    <w:p w14:paraId="4A59652B">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接受委托后，编制单位立即成立了课题组，研究国家和地方有关环境保护的法律法规、政策、标准及相关规划等；根据《中华人民共和国环境保护法》、《中华人民共和国环境影响评价法》、《建设项目环境保护管理条例》、《建设项目环境影响评价分类管理名录》，确定本项目需编制环境影响报告书。</w:t>
      </w:r>
    </w:p>
    <w:p w14:paraId="628AEC6C">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我公司与建设单位联系，充分收集资料并组织现场调研，认真研究与项目相关的技术文件和其他有关政策批文，并进行初步工程分析。根据项目的建设内容与特点进行环境影响因素识别与评价因子的筛选。明确评价重点和环境保护目标，确定各项环境因子的评价等级和评价标准。</w:t>
      </w:r>
    </w:p>
    <w:p w14:paraId="069CE838">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2、第二阶段工作内容</w:t>
      </w:r>
    </w:p>
    <w:p w14:paraId="4C855EEB">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组织相关环评技术人员对建设项目所在地进行现场调研并充分利用现有资料对环境质量现状进行调查分析。同时对建设项目进行深入工程分析。根据各环境要素的具体情况及工程分析内容，进行各环境要素环境影响预测与评价及各环境要素专题环境影响分析与评价。</w:t>
      </w:r>
    </w:p>
    <w:p w14:paraId="33974E84">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3、第三阶段工作内容</w:t>
      </w:r>
    </w:p>
    <w:p w14:paraId="4EABDC11">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根据环境影响评价情况，提出环境保护措施，进行技术经济可行性论证，提出环境管理要求和监测计划，最后给出建设项目环境可行性的评价结论，最终编制完成《锆钛矿石分选加工项目环境影响报告书》。</w:t>
      </w:r>
    </w:p>
    <w:p w14:paraId="32266845">
      <w:pPr>
        <w:spacing w:line="360" w:lineRule="auto"/>
        <w:ind w:firstLine="472" w:firstLineChars="200"/>
        <w:rPr>
          <w:rFonts w:ascii="Times New Roman" w:hAnsi="Times New Roman"/>
          <w:spacing w:val="-2"/>
          <w:kern w:val="0"/>
          <w:sz w:val="24"/>
          <w:szCs w:val="24"/>
        </w:rPr>
      </w:pPr>
    </w:p>
    <w:p w14:paraId="067AEEB8">
      <w:pPr>
        <w:jc w:val="center"/>
      </w:pPr>
      <w:r>
        <w:object>
          <v:shape id="_x0000_i1025" o:spt="75" type="#_x0000_t75" style="height:561.6pt;width:360pt;" o:ole="t" filled="f" o:preferrelative="t" stroked="f" coordsize="21600,21600">
            <v:path/>
            <v:fill on="f" focussize="0,0"/>
            <v:stroke on="f" joinstyle="miter"/>
            <v:imagedata r:id="rId20" o:title=""/>
            <o:lock v:ext="edit" aspectratio="f"/>
            <w10:wrap type="none"/>
            <w10:anchorlock/>
          </v:shape>
          <o:OLEObject Type="Embed" ProgID="Visio.Drawing.15" ShapeID="_x0000_i1025" DrawAspect="Content" ObjectID="_1468075725" r:id="rId19">
            <o:LockedField>false</o:LockedField>
          </o:OLEObject>
        </w:object>
      </w:r>
    </w:p>
    <w:p w14:paraId="3524BF8B">
      <w:pPr>
        <w:spacing w:line="360" w:lineRule="auto"/>
        <w:jc w:val="center"/>
        <w:rPr>
          <w:rFonts w:ascii="Times New Roman" w:hAnsi="Times New Roman"/>
          <w:b/>
          <w:bCs/>
          <w:sz w:val="24"/>
          <w:szCs w:val="24"/>
        </w:rPr>
      </w:pPr>
      <w:r>
        <w:rPr>
          <w:rFonts w:ascii="Times New Roman" w:hAnsi="Times New Roman"/>
          <w:b/>
          <w:bCs/>
          <w:sz w:val="24"/>
          <w:szCs w:val="24"/>
        </w:rPr>
        <w:t>图1 环境影响评价程序方框图</w:t>
      </w:r>
    </w:p>
    <w:p w14:paraId="5DD501E6">
      <w:pPr>
        <w:spacing w:line="360" w:lineRule="auto"/>
        <w:ind w:firstLine="474" w:firstLineChars="200"/>
        <w:rPr>
          <w:rFonts w:ascii="Times New Roman" w:hAnsi="Times New Roman"/>
          <w:b/>
          <w:spacing w:val="-2"/>
          <w:kern w:val="0"/>
          <w:sz w:val="24"/>
          <w:szCs w:val="24"/>
        </w:rPr>
      </w:pPr>
      <w:r>
        <w:rPr>
          <w:rFonts w:ascii="Times New Roman" w:hAnsi="Times New Roman"/>
          <w:b/>
          <w:spacing w:val="-2"/>
          <w:kern w:val="0"/>
          <w:sz w:val="24"/>
          <w:szCs w:val="24"/>
        </w:rPr>
        <w:t>四、分析判定相关情况</w:t>
      </w:r>
    </w:p>
    <w:p w14:paraId="4FB6BC8E">
      <w:pPr>
        <w:spacing w:line="360" w:lineRule="auto"/>
        <w:ind w:firstLine="474" w:firstLineChars="200"/>
        <w:rPr>
          <w:rFonts w:ascii="Times New Roman" w:hAnsi="Times New Roman"/>
          <w:b/>
          <w:bCs/>
          <w:spacing w:val="-2"/>
          <w:kern w:val="24"/>
          <w:sz w:val="24"/>
          <w:szCs w:val="24"/>
        </w:rPr>
      </w:pPr>
      <w:r>
        <w:rPr>
          <w:rFonts w:ascii="Times New Roman" w:hAnsi="Times New Roman"/>
          <w:b/>
          <w:bCs/>
          <w:spacing w:val="-2"/>
          <w:kern w:val="24"/>
          <w:sz w:val="24"/>
          <w:szCs w:val="24"/>
        </w:rPr>
        <w:t>1、产业政策相符性分析</w:t>
      </w:r>
    </w:p>
    <w:p w14:paraId="306C71EC">
      <w:pPr>
        <w:spacing w:line="360" w:lineRule="auto"/>
        <w:ind w:firstLine="474" w:firstLineChars="200"/>
        <w:rPr>
          <w:rFonts w:ascii="Times New Roman" w:hAnsi="Times New Roman"/>
          <w:b/>
          <w:bCs/>
          <w:spacing w:val="-2"/>
          <w:kern w:val="24"/>
          <w:sz w:val="24"/>
          <w:szCs w:val="24"/>
        </w:rPr>
      </w:pPr>
      <w:r>
        <w:rPr>
          <w:rFonts w:ascii="Times New Roman" w:hAnsi="Times New Roman"/>
          <w:b/>
          <w:bCs/>
          <w:spacing w:val="-2"/>
          <w:kern w:val="24"/>
          <w:sz w:val="24"/>
          <w:szCs w:val="24"/>
        </w:rPr>
        <w:t>（1）与《产业结构调整指导目录（2024年本）》相符性分析</w:t>
      </w:r>
    </w:p>
    <w:p w14:paraId="4B5B3882">
      <w:pPr>
        <w:spacing w:line="360" w:lineRule="auto"/>
        <w:ind w:firstLine="472" w:firstLineChars="200"/>
        <w:rPr>
          <w:rFonts w:ascii="Times New Roman" w:hAnsi="Times New Roman"/>
          <w:spacing w:val="-2"/>
          <w:kern w:val="24"/>
          <w:sz w:val="24"/>
          <w:szCs w:val="24"/>
        </w:rPr>
      </w:pPr>
      <w:r>
        <w:rPr>
          <w:rFonts w:ascii="Times New Roman" w:hAnsi="Times New Roman"/>
          <w:spacing w:val="-2"/>
          <w:kern w:val="24"/>
          <w:sz w:val="24"/>
          <w:szCs w:val="24"/>
        </w:rPr>
        <w:t>本项目由广西自贸区钦州港片区行政审批局备案（见附件2），项目代码为：2407-450704-04-01-568667，为</w:t>
      </w:r>
      <w:r>
        <w:rPr>
          <w:rFonts w:hint="eastAsia" w:ascii="Times New Roman" w:hAnsi="Times New Roman"/>
          <w:spacing w:val="-2"/>
          <w:kern w:val="24"/>
          <w:sz w:val="24"/>
          <w:szCs w:val="24"/>
          <w:u w:val="single"/>
        </w:rPr>
        <w:t>年加工分选锆钛矿石24万吨</w:t>
      </w:r>
      <w:r>
        <w:rPr>
          <w:rFonts w:ascii="Times New Roman" w:hAnsi="Times New Roman"/>
          <w:spacing w:val="-2"/>
          <w:kern w:val="24"/>
          <w:sz w:val="24"/>
          <w:szCs w:val="24"/>
        </w:rPr>
        <w:t>项目，属于《产业结构调整指导目录（2024年本）》中</w:t>
      </w:r>
      <w:r>
        <w:rPr>
          <w:rFonts w:ascii="宋体" w:hAnsi="宋体"/>
          <w:spacing w:val="-2"/>
          <w:kern w:val="24"/>
          <w:sz w:val="24"/>
          <w:szCs w:val="24"/>
        </w:rPr>
        <w:t>“</w:t>
      </w:r>
      <w:r>
        <w:rPr>
          <w:rFonts w:ascii="Times New Roman" w:hAnsi="Times New Roman"/>
          <w:spacing w:val="-2"/>
          <w:kern w:val="24"/>
          <w:sz w:val="24"/>
          <w:szCs w:val="24"/>
        </w:rPr>
        <w:t>四十二、环境保护与资源节约综合利用—12、共生、伴生矿产提取有价元素及资源综合利用技</w:t>
      </w:r>
      <w:r>
        <w:rPr>
          <w:rFonts w:ascii="宋体" w:hAnsi="宋体"/>
          <w:spacing w:val="-2"/>
          <w:kern w:val="24"/>
          <w:sz w:val="24"/>
          <w:szCs w:val="24"/>
        </w:rPr>
        <w:t>术”</w:t>
      </w:r>
      <w:r>
        <w:rPr>
          <w:rFonts w:ascii="Times New Roman" w:hAnsi="Times New Roman"/>
          <w:spacing w:val="-2"/>
          <w:kern w:val="24"/>
          <w:sz w:val="24"/>
          <w:szCs w:val="24"/>
        </w:rPr>
        <w:t>，属于鼓励类项目，项目建设符合产业政策。</w:t>
      </w:r>
    </w:p>
    <w:p w14:paraId="0593C1E6">
      <w:pPr>
        <w:spacing w:line="360" w:lineRule="auto"/>
        <w:ind w:firstLine="474" w:firstLineChars="200"/>
        <w:rPr>
          <w:rFonts w:ascii="Times New Roman" w:hAnsi="Times New Roman"/>
          <w:b/>
          <w:bCs/>
          <w:spacing w:val="-2"/>
          <w:kern w:val="24"/>
          <w:sz w:val="24"/>
          <w:szCs w:val="24"/>
        </w:rPr>
      </w:pPr>
      <w:r>
        <w:rPr>
          <w:rFonts w:ascii="Times New Roman" w:hAnsi="Times New Roman"/>
          <w:b/>
          <w:bCs/>
          <w:spacing w:val="-2"/>
          <w:kern w:val="24"/>
          <w:sz w:val="24"/>
          <w:szCs w:val="24"/>
        </w:rPr>
        <w:t>（2）与《工业炉窑大气污染综合治理方案》（环大气〔2019〕56号）相符性分析</w:t>
      </w:r>
    </w:p>
    <w:p w14:paraId="108252E6">
      <w:pPr>
        <w:spacing w:line="360" w:lineRule="auto"/>
        <w:ind w:firstLine="472" w:firstLineChars="200"/>
        <w:rPr>
          <w:rFonts w:ascii="Times New Roman" w:hAnsi="Times New Roman"/>
          <w:spacing w:val="-2"/>
          <w:kern w:val="24"/>
          <w:sz w:val="24"/>
          <w:szCs w:val="24"/>
        </w:rPr>
      </w:pPr>
      <w:r>
        <w:rPr>
          <w:rFonts w:ascii="Times New Roman" w:hAnsi="Times New Roman"/>
          <w:spacing w:val="-2"/>
          <w:kern w:val="24"/>
          <w:sz w:val="24"/>
          <w:szCs w:val="24"/>
        </w:rPr>
        <w:t>根据《工业炉窑大气污染综合治理方案》中的相关内容，</w:t>
      </w:r>
      <w:r>
        <w:rPr>
          <w:rFonts w:ascii="宋体" w:hAnsi="宋体" w:cs="Cambria Math"/>
          <w:spacing w:val="-2"/>
          <w:kern w:val="24"/>
          <w:sz w:val="24"/>
          <w:szCs w:val="24"/>
        </w:rPr>
        <w:t>①</w:t>
      </w:r>
      <w:r>
        <w:rPr>
          <w:rFonts w:ascii="Times New Roman" w:hAnsi="Times New Roman"/>
          <w:spacing w:val="-2"/>
          <w:kern w:val="24"/>
          <w:sz w:val="24"/>
          <w:szCs w:val="24"/>
        </w:rPr>
        <w:t>加大产业结构调整力度。严格建设项目环境准入。新建涉工业炉窑的建设项目，原则上要入园区，配套建设高效环保治理设施。</w:t>
      </w:r>
      <w:r>
        <w:rPr>
          <w:rFonts w:ascii="宋体" w:hAnsi="宋体" w:cs="Cambria Math"/>
          <w:spacing w:val="-2"/>
          <w:kern w:val="24"/>
          <w:sz w:val="24"/>
          <w:szCs w:val="24"/>
        </w:rPr>
        <w:t>②</w:t>
      </w:r>
      <w:r>
        <w:rPr>
          <w:rFonts w:ascii="Times New Roman" w:hAnsi="Times New Roman"/>
          <w:spacing w:val="-2"/>
          <w:kern w:val="24"/>
          <w:sz w:val="24"/>
          <w:szCs w:val="24"/>
        </w:rPr>
        <w:t>加大落后产能和不达标工业炉窑淘汰力度。分行业清理《产业结构调整指导目录》淘汰类工业炉窑。</w:t>
      </w:r>
      <w:r>
        <w:rPr>
          <w:rFonts w:ascii="宋体" w:hAnsi="宋体" w:cs="Cambria Math"/>
          <w:spacing w:val="-2"/>
          <w:kern w:val="24"/>
          <w:sz w:val="24"/>
          <w:szCs w:val="24"/>
        </w:rPr>
        <w:t>③</w:t>
      </w:r>
      <w:r>
        <w:rPr>
          <w:rFonts w:ascii="Times New Roman" w:hAnsi="Times New Roman"/>
          <w:spacing w:val="-2"/>
          <w:kern w:val="24"/>
          <w:sz w:val="24"/>
          <w:szCs w:val="24"/>
        </w:rPr>
        <w:t>加强无组织排放管理。严格控制工业炉窑生产工艺过程及相关物料储存、输送等无组织排放，在保障生产安全的前提下，采取密闭、封闭等有效措施。</w:t>
      </w:r>
    </w:p>
    <w:p w14:paraId="72B2F9D3">
      <w:pPr>
        <w:spacing w:line="360" w:lineRule="auto"/>
        <w:ind w:firstLine="472" w:firstLineChars="200"/>
        <w:rPr>
          <w:rFonts w:ascii="Times New Roman" w:hAnsi="Times New Roman"/>
          <w:spacing w:val="-2"/>
          <w:kern w:val="24"/>
          <w:sz w:val="24"/>
          <w:szCs w:val="24"/>
        </w:rPr>
      </w:pPr>
      <w:r>
        <w:rPr>
          <w:rFonts w:ascii="Times New Roman" w:hAnsi="Times New Roman"/>
          <w:spacing w:val="-2"/>
          <w:kern w:val="24"/>
          <w:sz w:val="24"/>
          <w:szCs w:val="24"/>
        </w:rPr>
        <w:t>项目位于广西钦州保税港区内，项目烘干炉烟气配套袋式除尘器处理，经1</w:t>
      </w:r>
      <w:r>
        <w:rPr>
          <w:rFonts w:hint="eastAsia" w:ascii="Times New Roman" w:hAnsi="Times New Roman"/>
          <w:spacing w:val="-2"/>
          <w:kern w:val="24"/>
          <w:sz w:val="24"/>
          <w:szCs w:val="24"/>
        </w:rPr>
        <w:t>9m</w:t>
      </w:r>
      <w:r>
        <w:rPr>
          <w:rFonts w:ascii="Times New Roman" w:hAnsi="Times New Roman"/>
          <w:spacing w:val="-2"/>
          <w:kern w:val="24"/>
          <w:sz w:val="24"/>
          <w:szCs w:val="24"/>
        </w:rPr>
        <w:t>排气筒排放，废气均能稳定达标排放。项目所使用的烘干炉以生物质燃料作为热源，能有效减少烘干炉的污染物排放，能够实现达标排放，符合《工业炉窑大气污染综合治理方案》要求。</w:t>
      </w:r>
    </w:p>
    <w:p w14:paraId="5726FD4D">
      <w:pPr>
        <w:spacing w:line="360" w:lineRule="auto"/>
        <w:ind w:firstLine="474" w:firstLineChars="200"/>
        <w:rPr>
          <w:rFonts w:ascii="Times New Roman" w:hAnsi="Times New Roman"/>
          <w:b/>
          <w:bCs/>
          <w:spacing w:val="-2"/>
          <w:kern w:val="24"/>
          <w:sz w:val="24"/>
          <w:szCs w:val="24"/>
        </w:rPr>
      </w:pPr>
      <w:r>
        <w:rPr>
          <w:rFonts w:hint="eastAsia" w:ascii="Times New Roman" w:hAnsi="Times New Roman"/>
          <w:b/>
          <w:bCs/>
          <w:spacing w:val="-2"/>
          <w:kern w:val="24"/>
          <w:sz w:val="24"/>
          <w:szCs w:val="24"/>
        </w:rPr>
        <w:t>（3）与《广西壮族自治区人民政府办公厅关于印发北钦防一体化产业协同发展限制布局清单（工业类2021年版）的通知》相符性分析</w:t>
      </w:r>
    </w:p>
    <w:p w14:paraId="0DD05150">
      <w:pPr>
        <w:spacing w:line="360" w:lineRule="auto"/>
        <w:ind w:firstLine="472" w:firstLineChars="200"/>
        <w:rPr>
          <w:rFonts w:ascii="Times New Roman" w:hAnsi="Times New Roman"/>
          <w:spacing w:val="-2"/>
          <w:kern w:val="24"/>
          <w:sz w:val="24"/>
          <w:szCs w:val="24"/>
        </w:rPr>
      </w:pPr>
      <w:r>
        <w:rPr>
          <w:rFonts w:hint="eastAsia" w:ascii="Times New Roman" w:hAnsi="Times New Roman"/>
          <w:spacing w:val="-2"/>
          <w:kern w:val="24"/>
          <w:sz w:val="24"/>
          <w:szCs w:val="24"/>
        </w:rPr>
        <w:t>根据《广西壮族自治区人民政府办公厅关于印发北钦防一体化产业协同发展限制布局清单（工业类2021年版）的通知》中相关的内容，钦州市重点园区钦州综合保税区限制清单为：不符合综合保税区产业政策的产品加工制造和产业服务项目。本项目属于有色金属矿采选业，符合钦州综合保税区有色金属发展规划，并且项目已获得中国（广西）自由贸易试验区钦州港片区贸易与物流发展局出具的《关于同意广西瑞腾贸易有限公司开展锆钛矿保税加工业务的函》，项目建设符合《广西壮族自治区人民政府办公厅关于印发北钦防一体化产业协同发展限制布局清单（工业类2021年版）的通知》要求。</w:t>
      </w:r>
    </w:p>
    <w:p w14:paraId="0BCC117A">
      <w:pPr>
        <w:spacing w:line="360" w:lineRule="auto"/>
        <w:ind w:firstLine="474" w:firstLineChars="200"/>
        <w:rPr>
          <w:rFonts w:ascii="Times New Roman" w:hAnsi="Times New Roman"/>
          <w:b/>
          <w:bCs/>
          <w:spacing w:val="-2"/>
          <w:kern w:val="24"/>
          <w:sz w:val="24"/>
          <w:szCs w:val="24"/>
        </w:rPr>
      </w:pPr>
      <w:r>
        <w:rPr>
          <w:rFonts w:ascii="Times New Roman" w:hAnsi="Times New Roman"/>
          <w:b/>
          <w:bCs/>
          <w:spacing w:val="-2"/>
          <w:kern w:val="24"/>
          <w:sz w:val="24"/>
          <w:szCs w:val="24"/>
        </w:rPr>
        <w:t>（</w:t>
      </w:r>
      <w:r>
        <w:rPr>
          <w:rFonts w:hint="eastAsia" w:ascii="Times New Roman" w:hAnsi="Times New Roman"/>
          <w:b/>
          <w:bCs/>
          <w:spacing w:val="-2"/>
          <w:kern w:val="24"/>
          <w:sz w:val="24"/>
          <w:szCs w:val="24"/>
        </w:rPr>
        <w:t>4</w:t>
      </w:r>
      <w:r>
        <w:rPr>
          <w:rFonts w:ascii="Times New Roman" w:hAnsi="Times New Roman"/>
          <w:b/>
          <w:bCs/>
          <w:spacing w:val="-2"/>
          <w:kern w:val="24"/>
          <w:sz w:val="24"/>
          <w:szCs w:val="24"/>
        </w:rPr>
        <w:t>）与《钦州市工业炉窑大气污染综合治理实施方案》（钦环发〔2019〕51号）相符性分析</w:t>
      </w:r>
    </w:p>
    <w:p w14:paraId="2EC73DA1">
      <w:pPr>
        <w:spacing w:line="360" w:lineRule="auto"/>
        <w:ind w:firstLine="472" w:firstLineChars="200"/>
        <w:rPr>
          <w:rFonts w:ascii="Times New Roman" w:hAnsi="Times New Roman"/>
          <w:spacing w:val="-2"/>
          <w:kern w:val="24"/>
          <w:sz w:val="24"/>
          <w:szCs w:val="24"/>
        </w:rPr>
      </w:pPr>
      <w:r>
        <w:rPr>
          <w:rFonts w:ascii="Times New Roman" w:hAnsi="Times New Roman"/>
          <w:spacing w:val="-2"/>
          <w:kern w:val="24"/>
          <w:sz w:val="24"/>
          <w:szCs w:val="24"/>
        </w:rPr>
        <w:t>根据《钦州市工业炉窑大气污染综合治理实施方案》中的相关内容，</w:t>
      </w:r>
      <w:r>
        <w:rPr>
          <w:rFonts w:ascii="宋体" w:hAnsi="宋体" w:cs="Cambria Math"/>
          <w:spacing w:val="-2"/>
          <w:kern w:val="24"/>
          <w:sz w:val="24"/>
          <w:szCs w:val="24"/>
        </w:rPr>
        <w:t>①</w:t>
      </w:r>
      <w:r>
        <w:rPr>
          <w:rFonts w:ascii="Times New Roman" w:hAnsi="Times New Roman"/>
          <w:spacing w:val="-2"/>
          <w:kern w:val="24"/>
          <w:sz w:val="24"/>
          <w:szCs w:val="24"/>
        </w:rPr>
        <w:t>严格建设项目环境准入，新建涉工业炉窑的建设项目，原则上要入园区，配套建设高效环保治理设施。</w:t>
      </w:r>
      <w:r>
        <w:rPr>
          <w:rFonts w:ascii="宋体" w:hAnsi="宋体" w:cs="Cambria Math"/>
          <w:spacing w:val="-2"/>
          <w:kern w:val="24"/>
          <w:sz w:val="24"/>
          <w:szCs w:val="24"/>
        </w:rPr>
        <w:t>②</w:t>
      </w:r>
      <w:r>
        <w:rPr>
          <w:rFonts w:ascii="Times New Roman" w:hAnsi="Times New Roman"/>
          <w:spacing w:val="-2"/>
          <w:kern w:val="24"/>
          <w:sz w:val="24"/>
          <w:szCs w:val="24"/>
        </w:rPr>
        <w:t>严格控制工业炉窑生产工艺过程及相关物料储存、输送等无组织排放，在保障生产安全的前提下，采取密闭、封闭等有效措施，有效提高废气收集率，产尘点及车间不得有可见烟粉尘</w:t>
      </w:r>
      <w:r>
        <w:rPr>
          <w:rFonts w:hint="eastAsia" w:ascii="Times New Roman" w:hAnsi="Times New Roman"/>
          <w:spacing w:val="-2"/>
          <w:kern w:val="24"/>
          <w:sz w:val="24"/>
          <w:szCs w:val="24"/>
          <w:lang w:eastAsia="zh-CN"/>
        </w:rPr>
        <w:t>外溢</w:t>
      </w:r>
      <w:r>
        <w:rPr>
          <w:rFonts w:ascii="Times New Roman" w:hAnsi="Times New Roman"/>
          <w:spacing w:val="-2"/>
          <w:kern w:val="24"/>
          <w:sz w:val="24"/>
          <w:szCs w:val="24"/>
        </w:rPr>
        <w:t>。生产工艺产尘点（装置）应采取密闭、封闭或设置集气罩等措施。</w:t>
      </w:r>
    </w:p>
    <w:p w14:paraId="2C9407D5">
      <w:pPr>
        <w:spacing w:line="360" w:lineRule="auto"/>
        <w:ind w:firstLine="472" w:firstLineChars="200"/>
        <w:rPr>
          <w:rFonts w:ascii="Times New Roman" w:hAnsi="Times New Roman"/>
          <w:spacing w:val="-2"/>
          <w:kern w:val="24"/>
          <w:sz w:val="24"/>
          <w:szCs w:val="24"/>
        </w:rPr>
      </w:pPr>
      <w:r>
        <w:rPr>
          <w:rFonts w:ascii="Times New Roman" w:hAnsi="Times New Roman"/>
          <w:spacing w:val="-2"/>
          <w:kern w:val="24"/>
          <w:sz w:val="24"/>
          <w:szCs w:val="24"/>
        </w:rPr>
        <w:t>项目为新建项目，位于广西钦州保税港区内，项目烘干炉采用间接加热方式烘干物料，燃料使用</w:t>
      </w:r>
      <w:r>
        <w:rPr>
          <w:rFonts w:hint="eastAsia" w:ascii="Times New Roman" w:hAnsi="Times New Roman"/>
          <w:spacing w:val="-2"/>
          <w:kern w:val="24"/>
          <w:sz w:val="24"/>
          <w:szCs w:val="24"/>
        </w:rPr>
        <w:t>成型</w:t>
      </w:r>
      <w:r>
        <w:rPr>
          <w:rFonts w:ascii="Times New Roman" w:hAnsi="Times New Roman"/>
          <w:spacing w:val="-2"/>
          <w:kern w:val="24"/>
          <w:sz w:val="24"/>
          <w:szCs w:val="24"/>
        </w:rPr>
        <w:t>生物质颗粒，属于清洁燃料，不使用煤、石油焦、渣油、重油等为燃料，烘干炉烟气采用袋式除尘器进行治理，处理后的烟气通过1</w:t>
      </w:r>
      <w:r>
        <w:rPr>
          <w:rFonts w:hint="eastAsia" w:ascii="Times New Roman" w:hAnsi="Times New Roman"/>
          <w:spacing w:val="-2"/>
          <w:kern w:val="24"/>
          <w:sz w:val="24"/>
          <w:szCs w:val="24"/>
        </w:rPr>
        <w:t>9m</w:t>
      </w:r>
      <w:r>
        <w:rPr>
          <w:rFonts w:ascii="Times New Roman" w:hAnsi="Times New Roman"/>
          <w:spacing w:val="-2"/>
          <w:kern w:val="24"/>
          <w:sz w:val="24"/>
          <w:szCs w:val="24"/>
        </w:rPr>
        <w:t>排气筒排放，根据工程分析，烘干炉排放烟气达到</w:t>
      </w:r>
      <w:r>
        <w:rPr>
          <w:rFonts w:ascii="Times New Roman" w:hAnsi="Times New Roman"/>
          <w:spacing w:val="-2"/>
          <w:kern w:val="0"/>
          <w:sz w:val="24"/>
          <w:szCs w:val="24"/>
        </w:rPr>
        <w:t>《工业炉窑大气污染物排放标准》（GB9078-1996）。</w:t>
      </w:r>
      <w:r>
        <w:rPr>
          <w:rFonts w:ascii="Times New Roman" w:hAnsi="Times New Roman"/>
          <w:spacing w:val="-2"/>
          <w:kern w:val="24"/>
          <w:sz w:val="24"/>
          <w:szCs w:val="24"/>
        </w:rPr>
        <w:t>项目</w:t>
      </w:r>
      <w:r>
        <w:rPr>
          <w:rFonts w:hint="eastAsia" w:ascii="Times New Roman" w:hAnsi="Times New Roman"/>
          <w:spacing w:val="-2"/>
          <w:kern w:val="24"/>
          <w:sz w:val="24"/>
          <w:szCs w:val="24"/>
        </w:rPr>
        <w:t>烘干炉烟气</w:t>
      </w:r>
      <w:r>
        <w:rPr>
          <w:rFonts w:ascii="Times New Roman" w:hAnsi="Times New Roman"/>
          <w:spacing w:val="-2"/>
          <w:kern w:val="24"/>
          <w:sz w:val="24"/>
          <w:szCs w:val="24"/>
        </w:rPr>
        <w:t>的环保措施能有效减少粉尘排放，符合《钦州市工业炉窑大气污染综合治理实施方案》要求。</w:t>
      </w:r>
    </w:p>
    <w:p w14:paraId="45FD2EA6">
      <w:pPr>
        <w:spacing w:line="360" w:lineRule="auto"/>
        <w:ind w:firstLine="474" w:firstLineChars="200"/>
        <w:rPr>
          <w:rFonts w:ascii="Times New Roman" w:hAnsi="Times New Roman"/>
          <w:b/>
          <w:bCs/>
          <w:spacing w:val="-2"/>
          <w:kern w:val="24"/>
          <w:sz w:val="24"/>
          <w:szCs w:val="24"/>
        </w:rPr>
      </w:pPr>
      <w:r>
        <w:rPr>
          <w:rFonts w:ascii="Times New Roman" w:hAnsi="Times New Roman"/>
          <w:b/>
          <w:bCs/>
          <w:spacing w:val="-2"/>
          <w:kern w:val="24"/>
          <w:sz w:val="24"/>
          <w:szCs w:val="24"/>
        </w:rPr>
        <w:t>（</w:t>
      </w:r>
      <w:r>
        <w:rPr>
          <w:rFonts w:hint="eastAsia" w:ascii="Times New Roman" w:hAnsi="Times New Roman"/>
          <w:b/>
          <w:bCs/>
          <w:spacing w:val="-2"/>
          <w:kern w:val="24"/>
          <w:sz w:val="24"/>
          <w:szCs w:val="24"/>
        </w:rPr>
        <w:t>5</w:t>
      </w:r>
      <w:r>
        <w:rPr>
          <w:rFonts w:ascii="Times New Roman" w:hAnsi="Times New Roman"/>
          <w:b/>
          <w:bCs/>
          <w:spacing w:val="-2"/>
          <w:kern w:val="24"/>
          <w:sz w:val="24"/>
          <w:szCs w:val="24"/>
        </w:rPr>
        <w:t>）与《钦州市人民政府关于划定高污染燃料禁燃区的通告》（钦政通〔2017〕2号）相符性分析</w:t>
      </w:r>
    </w:p>
    <w:p w14:paraId="1CF37FF5">
      <w:pPr>
        <w:spacing w:line="360" w:lineRule="auto"/>
        <w:ind w:firstLine="472" w:firstLineChars="200"/>
        <w:rPr>
          <w:rFonts w:ascii="Times New Roman" w:hAnsi="Times New Roman"/>
          <w:spacing w:val="-2"/>
          <w:kern w:val="24"/>
          <w:sz w:val="24"/>
          <w:szCs w:val="24"/>
        </w:rPr>
      </w:pPr>
      <w:r>
        <w:rPr>
          <w:rFonts w:ascii="Times New Roman" w:hAnsi="Times New Roman"/>
          <w:spacing w:val="-2"/>
          <w:kern w:val="24"/>
          <w:sz w:val="24"/>
          <w:szCs w:val="24"/>
        </w:rPr>
        <w:t>根据《钦州市人民政府关于划定高污染燃料禁燃区的通告》（钦政通〔2017〕2号）的相关内容，禁燃区包括：市区……，钦州高新区、中马钦州产业园区、黎合江工业园区、进口资源加工区、皇马工业园区（一、二区）等我市城市建成区周边的工业园区。高污染燃料为以下燃料：（一）除单台出力大于等于20蒸吨/小时锅炉以外的燃用煤炭及其制品；（二）石油焦、油页岩、原油、重油、渣油、煤焦油，以及各种可燃废物和直接燃用的生物质非成型燃料（树木、秸秆、锯末、稻壳、蔗渣等）。</w:t>
      </w:r>
    </w:p>
    <w:p w14:paraId="448091D3">
      <w:pPr>
        <w:spacing w:line="360" w:lineRule="auto"/>
        <w:ind w:firstLine="472" w:firstLineChars="200"/>
        <w:rPr>
          <w:rFonts w:ascii="Times New Roman" w:hAnsi="Times New Roman"/>
          <w:spacing w:val="-2"/>
          <w:kern w:val="24"/>
          <w:sz w:val="24"/>
          <w:szCs w:val="24"/>
        </w:rPr>
      </w:pPr>
      <w:r>
        <w:rPr>
          <w:rFonts w:ascii="Times New Roman" w:hAnsi="Times New Roman"/>
          <w:spacing w:val="-2"/>
          <w:kern w:val="24"/>
          <w:sz w:val="24"/>
          <w:szCs w:val="24"/>
        </w:rPr>
        <w:t>项目位于</w:t>
      </w:r>
      <w:r>
        <w:rPr>
          <w:rFonts w:ascii="Times New Roman" w:hAnsi="Times New Roman"/>
          <w:spacing w:val="-2"/>
          <w:kern w:val="0"/>
          <w:sz w:val="24"/>
          <w:szCs w:val="24"/>
        </w:rPr>
        <w:t>广西钦州保税港区内，项目采用</w:t>
      </w:r>
      <w:r>
        <w:rPr>
          <w:rFonts w:hint="eastAsia" w:ascii="Times New Roman" w:hAnsi="Times New Roman"/>
          <w:spacing w:val="-2"/>
          <w:kern w:val="0"/>
          <w:sz w:val="24"/>
          <w:szCs w:val="24"/>
        </w:rPr>
        <w:t>成型</w:t>
      </w:r>
      <w:r>
        <w:rPr>
          <w:rFonts w:ascii="Times New Roman" w:hAnsi="Times New Roman"/>
          <w:spacing w:val="-2"/>
          <w:kern w:val="0"/>
          <w:sz w:val="24"/>
          <w:szCs w:val="24"/>
        </w:rPr>
        <w:t>生物质颗粒为</w:t>
      </w:r>
      <w:r>
        <w:rPr>
          <w:rFonts w:hint="eastAsia" w:ascii="Times New Roman" w:hAnsi="Times New Roman"/>
          <w:spacing w:val="-2"/>
          <w:kern w:val="0"/>
          <w:sz w:val="24"/>
          <w:szCs w:val="24"/>
        </w:rPr>
        <w:t>燃料</w:t>
      </w:r>
      <w:r>
        <w:rPr>
          <w:rFonts w:ascii="Times New Roman" w:hAnsi="Times New Roman"/>
          <w:spacing w:val="-2"/>
          <w:kern w:val="0"/>
          <w:sz w:val="24"/>
          <w:szCs w:val="24"/>
        </w:rPr>
        <w:t>为烘干炉供热，与</w:t>
      </w:r>
      <w:r>
        <w:rPr>
          <w:rFonts w:ascii="Times New Roman" w:hAnsi="Times New Roman"/>
          <w:spacing w:val="-2"/>
          <w:kern w:val="24"/>
          <w:sz w:val="24"/>
          <w:szCs w:val="24"/>
        </w:rPr>
        <w:t>《钦州市人民政府关于划定高污染燃料禁燃区的通告》（钦政通〔2017〕2号）相符。</w:t>
      </w:r>
    </w:p>
    <w:p w14:paraId="136731DC">
      <w:pPr>
        <w:spacing w:line="360" w:lineRule="auto"/>
        <w:ind w:firstLine="474" w:firstLineChars="200"/>
        <w:rPr>
          <w:rFonts w:ascii="Times New Roman" w:hAnsi="Times New Roman"/>
          <w:b/>
          <w:bCs/>
          <w:spacing w:val="-2"/>
          <w:kern w:val="24"/>
          <w:sz w:val="24"/>
          <w:szCs w:val="24"/>
        </w:rPr>
      </w:pPr>
      <w:r>
        <w:rPr>
          <w:rFonts w:ascii="Times New Roman" w:hAnsi="Times New Roman"/>
          <w:b/>
          <w:bCs/>
          <w:spacing w:val="-2"/>
          <w:kern w:val="24"/>
          <w:sz w:val="24"/>
          <w:szCs w:val="24"/>
        </w:rPr>
        <w:t>2、选址合理性分析</w:t>
      </w:r>
    </w:p>
    <w:p w14:paraId="78F06F1A">
      <w:pPr>
        <w:spacing w:line="360" w:lineRule="auto"/>
        <w:ind w:firstLine="472" w:firstLineChars="200"/>
        <w:rPr>
          <w:rFonts w:ascii="Times New Roman" w:hAnsi="Times New Roman"/>
          <w:spacing w:val="-2"/>
          <w:kern w:val="24"/>
          <w:sz w:val="24"/>
          <w:szCs w:val="24"/>
        </w:rPr>
      </w:pPr>
      <w:r>
        <w:rPr>
          <w:rFonts w:ascii="Times New Roman" w:hAnsi="Times New Roman"/>
          <w:spacing w:val="-2"/>
          <w:kern w:val="24"/>
          <w:sz w:val="24"/>
          <w:szCs w:val="24"/>
        </w:rPr>
        <w:t>本项目位于广西钦州保税港区九大街与三号路交汇处，租用广西钦州保税区创大冷链物流公司的3号仓库进行建设。根据中国（广西）自由贸易试验区钦州港片区贸易与物流发展局出具的《关于同意广西瑞腾贸易有限公司开展锆钛矿保税加工业务的函》</w:t>
      </w:r>
      <w:r>
        <w:rPr>
          <w:rFonts w:hint="eastAsia" w:ascii="Times New Roman" w:hAnsi="Times New Roman"/>
          <w:spacing w:val="-2"/>
          <w:kern w:val="24"/>
          <w:sz w:val="24"/>
          <w:szCs w:val="24"/>
        </w:rPr>
        <w:t>（见附件3）</w:t>
      </w:r>
      <w:r>
        <w:rPr>
          <w:rFonts w:ascii="Times New Roman" w:hAnsi="Times New Roman"/>
          <w:spacing w:val="-2"/>
          <w:kern w:val="24"/>
          <w:sz w:val="24"/>
          <w:szCs w:val="24"/>
        </w:rPr>
        <w:t>，原则同意项目选址。且本项目不属于《关于发布实施〈限制用地项目目录（2012 年本）〉和〈禁止用地项目目录（2012 年本）〉的通知》（国家发展和改革委员会，2012 年）中的限制类和禁止类。因此，本项目符合国家及地方的用地规划。项目选址不涉及国家公园、自然保护区、世界自然遗产、重要生境、自然公园、生态保护红线；不涉及天然林、公益林、湿地等生态敏感区</w:t>
      </w:r>
      <w:r>
        <w:rPr>
          <w:rFonts w:ascii="Times New Roman" w:hAnsi="Times New Roman"/>
          <w:spacing w:val="-2"/>
          <w:kern w:val="0"/>
          <w:sz w:val="24"/>
          <w:szCs w:val="24"/>
        </w:rPr>
        <w:t>；不涉及饮用水水源地。</w:t>
      </w:r>
      <w:r>
        <w:rPr>
          <w:rFonts w:ascii="Times New Roman" w:hAnsi="Times New Roman"/>
          <w:spacing w:val="-2"/>
          <w:kern w:val="24"/>
          <w:sz w:val="24"/>
          <w:szCs w:val="24"/>
        </w:rPr>
        <w:t>项目</w:t>
      </w:r>
      <w:r>
        <w:rPr>
          <w:rFonts w:hint="eastAsia" w:ascii="Times New Roman" w:hAnsi="Times New Roman"/>
          <w:spacing w:val="-2"/>
          <w:kern w:val="24"/>
          <w:sz w:val="24"/>
          <w:szCs w:val="24"/>
        </w:rPr>
        <w:t>位于广西钦州保税港区内，项目产业类型及用地性质均与《广西钦州保税港区控制性详细规划》相符，项目建设有利于进出口保税加工，</w:t>
      </w:r>
      <w:r>
        <w:rPr>
          <w:rFonts w:ascii="Times New Roman" w:hAnsi="Times New Roman"/>
          <w:spacing w:val="-2"/>
          <w:kern w:val="24"/>
          <w:sz w:val="24"/>
          <w:szCs w:val="24"/>
        </w:rPr>
        <w:t>区位交通便利，周边</w:t>
      </w:r>
      <w:r>
        <w:rPr>
          <w:rFonts w:hint="eastAsia" w:ascii="Times New Roman" w:hAnsi="Times New Roman"/>
          <w:spacing w:val="-2"/>
          <w:kern w:val="24"/>
          <w:sz w:val="24"/>
          <w:szCs w:val="24"/>
        </w:rPr>
        <w:t>生产配套设施完善</w:t>
      </w:r>
      <w:r>
        <w:rPr>
          <w:rFonts w:ascii="Times New Roman" w:hAnsi="Times New Roman"/>
          <w:spacing w:val="-2"/>
          <w:kern w:val="24"/>
          <w:sz w:val="24"/>
          <w:szCs w:val="24"/>
        </w:rPr>
        <w:t>，可以满足项目的生产需求。本项目的建设将有利于带动区域经济发展。综上，本项目建设选址符合环保要求，选址合理可行。</w:t>
      </w:r>
    </w:p>
    <w:p w14:paraId="3AE342C3">
      <w:pPr>
        <w:spacing w:line="360" w:lineRule="auto"/>
        <w:ind w:firstLine="474" w:firstLineChars="200"/>
        <w:rPr>
          <w:rFonts w:ascii="Times New Roman" w:hAnsi="Times New Roman"/>
          <w:b/>
          <w:bCs/>
          <w:spacing w:val="-2"/>
          <w:kern w:val="24"/>
          <w:sz w:val="24"/>
          <w:szCs w:val="24"/>
        </w:rPr>
      </w:pPr>
      <w:r>
        <w:rPr>
          <w:rFonts w:ascii="Times New Roman" w:hAnsi="Times New Roman"/>
          <w:b/>
          <w:bCs/>
          <w:spacing w:val="-2"/>
          <w:kern w:val="24"/>
          <w:sz w:val="24"/>
          <w:szCs w:val="24"/>
        </w:rPr>
        <w:t>3、与相关规划相符性分析</w:t>
      </w:r>
    </w:p>
    <w:p w14:paraId="3B8518AB">
      <w:pPr>
        <w:spacing w:line="360" w:lineRule="auto"/>
        <w:ind w:firstLine="474" w:firstLineChars="200"/>
        <w:rPr>
          <w:rFonts w:ascii="Times New Roman" w:hAnsi="Times New Roman"/>
          <w:b/>
          <w:bCs/>
          <w:spacing w:val="-2"/>
          <w:kern w:val="24"/>
          <w:sz w:val="24"/>
          <w:szCs w:val="24"/>
        </w:rPr>
      </w:pPr>
      <w:r>
        <w:rPr>
          <w:rFonts w:ascii="Times New Roman" w:hAnsi="Times New Roman"/>
          <w:b/>
          <w:bCs/>
          <w:spacing w:val="-2"/>
          <w:kern w:val="24"/>
          <w:sz w:val="24"/>
          <w:szCs w:val="24"/>
        </w:rPr>
        <w:t>（1）与《广西钦州保税港区总体规划》相符性分析</w:t>
      </w:r>
    </w:p>
    <w:p w14:paraId="137C2600">
      <w:pPr>
        <w:spacing w:line="360" w:lineRule="auto"/>
        <w:ind w:firstLine="472" w:firstLineChars="200"/>
        <w:rPr>
          <w:rFonts w:ascii="Times New Roman" w:hAnsi="Times New Roman"/>
          <w:spacing w:val="-2"/>
          <w:kern w:val="24"/>
          <w:sz w:val="24"/>
          <w:szCs w:val="24"/>
        </w:rPr>
      </w:pPr>
      <w:r>
        <w:rPr>
          <w:rFonts w:ascii="Times New Roman" w:hAnsi="Times New Roman"/>
          <w:spacing w:val="-2"/>
          <w:kern w:val="24"/>
          <w:sz w:val="24"/>
          <w:szCs w:val="24"/>
        </w:rPr>
        <w:t>《广西钦州保税港区总体规划》2008年由广西壮族自治区人民政府审批通过，审批文号：桂政函〔2008〕170号。广西钦州保税港区是中国的特色港，是开放层次最高、功能最齐全、政策最优惠的海关特殊监管区域之一，享有保税、退税、免税三大政策。在功能上，</w:t>
      </w:r>
      <w:bookmarkStart w:id="25" w:name="OLE_LINK14"/>
      <w:r>
        <w:rPr>
          <w:rFonts w:ascii="Times New Roman" w:hAnsi="Times New Roman"/>
          <w:spacing w:val="-2"/>
          <w:kern w:val="24"/>
          <w:sz w:val="24"/>
          <w:szCs w:val="24"/>
        </w:rPr>
        <w:t>广西钦州保税港区以物流、加工、港口作业为主要功能。</w:t>
      </w:r>
      <w:bookmarkEnd w:id="25"/>
      <w:r>
        <w:rPr>
          <w:rFonts w:ascii="Times New Roman" w:hAnsi="Times New Roman"/>
          <w:spacing w:val="-2"/>
          <w:kern w:val="24"/>
          <w:sz w:val="24"/>
          <w:szCs w:val="24"/>
        </w:rPr>
        <w:t>本项目属于锆钛矿保税分选加工项目，位于广西钦州保税港区，采用国外进口采购的原料进行加工，符合《广西钦州保税港区总体规划》及《广西钦州保税港区控制性详细规划》</w:t>
      </w:r>
      <w:r>
        <w:rPr>
          <w:rFonts w:hint="eastAsia" w:ascii="Times New Roman" w:hAnsi="Times New Roman"/>
          <w:spacing w:val="-2"/>
          <w:kern w:val="24"/>
          <w:sz w:val="24"/>
          <w:szCs w:val="24"/>
        </w:rPr>
        <w:t>行业</w:t>
      </w:r>
      <w:r>
        <w:rPr>
          <w:rFonts w:ascii="Times New Roman" w:hAnsi="Times New Roman"/>
          <w:spacing w:val="-2"/>
          <w:kern w:val="24"/>
          <w:sz w:val="24"/>
          <w:szCs w:val="24"/>
        </w:rPr>
        <w:t>要求。</w:t>
      </w:r>
      <w:r>
        <w:rPr>
          <w:rFonts w:hint="eastAsia" w:ascii="Times New Roman" w:hAnsi="Times New Roman"/>
          <w:spacing w:val="-2"/>
          <w:kern w:val="24"/>
          <w:sz w:val="24"/>
          <w:szCs w:val="24"/>
          <w:u w:val="single"/>
        </w:rPr>
        <w:t>项目位于</w:t>
      </w:r>
      <w:r>
        <w:rPr>
          <w:rFonts w:ascii="Times New Roman" w:hAnsi="Times New Roman"/>
          <w:spacing w:val="-2"/>
          <w:kern w:val="24"/>
          <w:sz w:val="24"/>
          <w:szCs w:val="24"/>
          <w:u w:val="single"/>
        </w:rPr>
        <w:t>广西钦州保税港区</w:t>
      </w:r>
      <w:r>
        <w:rPr>
          <w:rFonts w:hint="eastAsia" w:ascii="Times New Roman" w:hAnsi="Times New Roman"/>
          <w:spacing w:val="-2"/>
          <w:kern w:val="24"/>
          <w:sz w:val="24"/>
          <w:szCs w:val="24"/>
          <w:u w:val="single"/>
        </w:rPr>
        <w:t>的出口加工区，并且项目已</w:t>
      </w:r>
      <w:r>
        <w:rPr>
          <w:rFonts w:ascii="Times New Roman" w:hAnsi="Times New Roman"/>
          <w:spacing w:val="-2"/>
          <w:kern w:val="24"/>
          <w:sz w:val="24"/>
          <w:szCs w:val="24"/>
          <w:u w:val="single"/>
        </w:rPr>
        <w:t>获得了中国（广西）自由贸易试验区钦州港片区贸易与物流发展局的同意函，同意本项目开展锆钛矿保税分选加工，项目符合规划要求。</w:t>
      </w:r>
    </w:p>
    <w:p w14:paraId="1CCA8B85">
      <w:pPr>
        <w:spacing w:line="360" w:lineRule="auto"/>
        <w:ind w:firstLine="474" w:firstLineChars="200"/>
        <w:rPr>
          <w:rFonts w:ascii="Times New Roman" w:hAnsi="Times New Roman"/>
          <w:b/>
          <w:bCs/>
          <w:spacing w:val="-2"/>
          <w:kern w:val="24"/>
          <w:sz w:val="24"/>
          <w:szCs w:val="24"/>
        </w:rPr>
      </w:pPr>
      <w:r>
        <w:rPr>
          <w:rFonts w:ascii="Times New Roman" w:hAnsi="Times New Roman"/>
          <w:b/>
          <w:bCs/>
          <w:spacing w:val="-2"/>
          <w:kern w:val="24"/>
          <w:sz w:val="24"/>
          <w:szCs w:val="24"/>
        </w:rPr>
        <w:t>（2）与《广西钦州保税港区总体规划环境影响报告书》及审查意见的相符性分析</w:t>
      </w:r>
    </w:p>
    <w:p w14:paraId="215725AA">
      <w:pPr>
        <w:spacing w:line="360" w:lineRule="auto"/>
        <w:ind w:firstLine="472" w:firstLineChars="200"/>
        <w:rPr>
          <w:rFonts w:ascii="Times New Roman" w:hAnsi="Times New Roman"/>
          <w:spacing w:val="-2"/>
          <w:kern w:val="24"/>
          <w:sz w:val="24"/>
          <w:szCs w:val="24"/>
        </w:rPr>
      </w:pPr>
      <w:r>
        <w:rPr>
          <w:rFonts w:ascii="Times New Roman" w:hAnsi="Times New Roman"/>
          <w:spacing w:val="-2"/>
          <w:kern w:val="24"/>
          <w:sz w:val="24"/>
          <w:szCs w:val="24"/>
        </w:rPr>
        <w:t>《广西钦州保税港区总体规划环境影响报告书》于2014年2月由原广西壮族自治区环境保护厅组织在南宁召开评审会，并于2014年取得审查意见：《广西壮族自治区环境保护厅关于印发广西钦州保税港区总体规划环境影响报告书审查意见的函》（桂环函〔2014〕503号）。《广西钦州保税港区控制性详细规划》（修编）未进行规划环评，规划环境影响评价及审查意见的相符性仍按照《广西钦州保税港区总体规划环境影响报告书》及（桂环函〔2014〕503号）的审查意见实施。</w:t>
      </w:r>
    </w:p>
    <w:p w14:paraId="274CB503">
      <w:pPr>
        <w:spacing w:line="360" w:lineRule="auto"/>
        <w:ind w:firstLine="472" w:firstLineChars="200"/>
        <w:rPr>
          <w:rFonts w:ascii="Times New Roman" w:hAnsi="Times New Roman"/>
          <w:spacing w:val="-2"/>
          <w:kern w:val="24"/>
          <w:sz w:val="24"/>
          <w:szCs w:val="24"/>
        </w:rPr>
      </w:pPr>
      <w:r>
        <w:rPr>
          <w:rFonts w:ascii="Times New Roman" w:hAnsi="Times New Roman"/>
          <w:spacing w:val="-2"/>
          <w:kern w:val="24"/>
          <w:sz w:val="24"/>
          <w:szCs w:val="24"/>
        </w:rPr>
        <w:t>根据《广西壮族自治区环境保护厅关于印发广西钦州保税港区总体规划环境影响报告书审查意见的函》：</w:t>
      </w:r>
      <w:r>
        <w:rPr>
          <w:rFonts w:ascii="宋体" w:hAnsi="宋体"/>
          <w:spacing w:val="-2"/>
          <w:kern w:val="24"/>
          <w:sz w:val="24"/>
          <w:szCs w:val="24"/>
        </w:rPr>
        <w:t>“</w:t>
      </w:r>
      <w:r>
        <w:rPr>
          <w:rFonts w:ascii="Times New Roman" w:hAnsi="Times New Roman"/>
          <w:spacing w:val="-2"/>
          <w:kern w:val="24"/>
          <w:sz w:val="24"/>
          <w:szCs w:val="24"/>
        </w:rPr>
        <w:t>引进项目要严格环境准入，要符合国家产业政策清洁生产水平均须达到国内同行业先进水平。不得引进与园区产业定位不符的产业，不得引进区域环境无容量的项目</w:t>
      </w:r>
      <w:r>
        <w:rPr>
          <w:rFonts w:ascii="宋体" w:hAnsi="宋体"/>
          <w:spacing w:val="-2"/>
          <w:kern w:val="24"/>
          <w:sz w:val="24"/>
          <w:szCs w:val="24"/>
        </w:rPr>
        <w:t>”</w:t>
      </w:r>
      <w:r>
        <w:rPr>
          <w:rFonts w:ascii="Times New Roman" w:hAnsi="Times New Roman"/>
          <w:spacing w:val="-2"/>
          <w:kern w:val="24"/>
          <w:sz w:val="24"/>
          <w:szCs w:val="24"/>
        </w:rPr>
        <w:t>。</w:t>
      </w:r>
    </w:p>
    <w:p w14:paraId="44C90E27">
      <w:pPr>
        <w:spacing w:line="360" w:lineRule="auto"/>
        <w:ind w:firstLine="472" w:firstLineChars="200"/>
        <w:rPr>
          <w:rFonts w:ascii="Times New Roman" w:hAnsi="Times New Roman"/>
          <w:spacing w:val="-2"/>
          <w:kern w:val="24"/>
          <w:sz w:val="24"/>
          <w:szCs w:val="24"/>
        </w:rPr>
      </w:pPr>
      <w:r>
        <w:rPr>
          <w:rFonts w:ascii="Times New Roman" w:hAnsi="Times New Roman"/>
          <w:spacing w:val="-2"/>
          <w:kern w:val="24"/>
          <w:sz w:val="24"/>
          <w:szCs w:val="24"/>
        </w:rPr>
        <w:t>根据《广西钦州保税港区总体规划》、《广西钦州保税港区控制性详细规划》（修编）及《广西钦州保税港区总体规划环境影响报告书》，钦州保税港区产业定位如下：</w:t>
      </w:r>
    </w:p>
    <w:p w14:paraId="7030D4BE">
      <w:pPr>
        <w:spacing w:line="360" w:lineRule="auto"/>
        <w:ind w:firstLine="472" w:firstLineChars="200"/>
        <w:rPr>
          <w:rFonts w:ascii="Times New Roman" w:hAnsi="Times New Roman"/>
          <w:spacing w:val="-2"/>
          <w:kern w:val="24"/>
          <w:sz w:val="24"/>
          <w:szCs w:val="24"/>
        </w:rPr>
      </w:pPr>
      <w:r>
        <w:rPr>
          <w:rFonts w:hint="eastAsia" w:ascii="Times New Roman" w:hAnsi="Times New Roman"/>
          <w:spacing w:val="-2"/>
          <w:kern w:val="24"/>
          <w:sz w:val="24"/>
          <w:szCs w:val="24"/>
        </w:rPr>
        <w:t xml:space="preserve">① </w:t>
      </w:r>
      <w:r>
        <w:rPr>
          <w:rFonts w:ascii="Times New Roman" w:hAnsi="Times New Roman"/>
          <w:spacing w:val="-2"/>
          <w:kern w:val="24"/>
          <w:sz w:val="24"/>
          <w:szCs w:val="24"/>
        </w:rPr>
        <w:t>限制入区项目</w:t>
      </w:r>
    </w:p>
    <w:p w14:paraId="1C5E706A">
      <w:pPr>
        <w:spacing w:line="360" w:lineRule="auto"/>
        <w:ind w:firstLine="472" w:firstLineChars="200"/>
        <w:rPr>
          <w:rFonts w:ascii="Times New Roman" w:hAnsi="Times New Roman"/>
          <w:spacing w:val="-2"/>
          <w:kern w:val="24"/>
          <w:sz w:val="24"/>
          <w:szCs w:val="24"/>
        </w:rPr>
      </w:pPr>
      <w:r>
        <w:rPr>
          <w:rFonts w:ascii="Times New Roman" w:hAnsi="Times New Roman"/>
          <w:spacing w:val="-2"/>
          <w:kern w:val="24"/>
          <w:sz w:val="24"/>
          <w:szCs w:val="24"/>
        </w:rPr>
        <w:t>不属于保税港区规划产业类型，且废气、废水和其他废物排放高负荷的高污染项目。严格控制</w:t>
      </w:r>
      <w:r>
        <w:rPr>
          <w:rFonts w:ascii="宋体" w:hAnsi="宋体"/>
          <w:spacing w:val="-2"/>
          <w:kern w:val="24"/>
          <w:sz w:val="24"/>
          <w:szCs w:val="24"/>
        </w:rPr>
        <w:t>“两头在国内”或“以内销为主要市场”项目</w:t>
      </w:r>
      <w:r>
        <w:rPr>
          <w:rFonts w:ascii="Times New Roman" w:hAnsi="Times New Roman"/>
          <w:spacing w:val="-2"/>
          <w:kern w:val="24"/>
          <w:sz w:val="24"/>
          <w:szCs w:val="24"/>
        </w:rPr>
        <w:t>入内。</w:t>
      </w:r>
    </w:p>
    <w:p w14:paraId="6E0B61DB">
      <w:pPr>
        <w:spacing w:line="360" w:lineRule="auto"/>
        <w:ind w:firstLine="472" w:firstLineChars="200"/>
        <w:rPr>
          <w:rFonts w:ascii="Times New Roman" w:hAnsi="Times New Roman"/>
          <w:spacing w:val="-2"/>
          <w:kern w:val="24"/>
          <w:sz w:val="24"/>
          <w:szCs w:val="24"/>
        </w:rPr>
      </w:pPr>
      <w:r>
        <w:rPr>
          <w:rFonts w:hint="eastAsia" w:ascii="Times New Roman" w:hAnsi="Times New Roman"/>
          <w:spacing w:val="-2"/>
          <w:kern w:val="24"/>
          <w:sz w:val="24"/>
          <w:szCs w:val="24"/>
        </w:rPr>
        <w:t xml:space="preserve">② </w:t>
      </w:r>
      <w:r>
        <w:rPr>
          <w:rFonts w:ascii="Times New Roman" w:hAnsi="Times New Roman"/>
          <w:spacing w:val="-2"/>
          <w:kern w:val="24"/>
          <w:sz w:val="24"/>
          <w:szCs w:val="24"/>
        </w:rPr>
        <w:t>禁止入园项目</w:t>
      </w:r>
    </w:p>
    <w:p w14:paraId="45B5F61C">
      <w:pPr>
        <w:spacing w:line="360" w:lineRule="auto"/>
        <w:ind w:firstLine="472" w:firstLineChars="200"/>
        <w:rPr>
          <w:rFonts w:ascii="Times New Roman" w:hAnsi="Times New Roman"/>
          <w:spacing w:val="-2"/>
          <w:kern w:val="24"/>
          <w:sz w:val="24"/>
          <w:szCs w:val="24"/>
        </w:rPr>
      </w:pPr>
      <w:r>
        <w:rPr>
          <w:rFonts w:ascii="Times New Roman" w:hAnsi="Times New Roman"/>
          <w:spacing w:val="-2"/>
          <w:kern w:val="24"/>
          <w:sz w:val="24"/>
          <w:szCs w:val="24"/>
        </w:rPr>
        <w:t>根据《海关特殊监管区域适合入区项目指引》，不适合入区企业类型有：</w:t>
      </w:r>
    </w:p>
    <w:p w14:paraId="70AF6B35">
      <w:pPr>
        <w:spacing w:line="360" w:lineRule="auto"/>
        <w:ind w:firstLine="472" w:firstLineChars="200"/>
        <w:rPr>
          <w:rFonts w:hint="eastAsia" w:ascii="宋体" w:hAnsi="宋体"/>
          <w:spacing w:val="-2"/>
          <w:kern w:val="24"/>
          <w:sz w:val="24"/>
          <w:szCs w:val="24"/>
        </w:rPr>
      </w:pPr>
      <w:r>
        <w:rPr>
          <w:rFonts w:hint="eastAsia" w:ascii="宋体" w:hAnsi="宋体"/>
          <w:spacing w:val="-2"/>
          <w:kern w:val="24"/>
          <w:sz w:val="24"/>
          <w:szCs w:val="24"/>
        </w:rPr>
        <w:t>A、</w:t>
      </w:r>
      <w:r>
        <w:rPr>
          <w:rFonts w:ascii="宋体" w:hAnsi="宋体"/>
          <w:spacing w:val="-2"/>
          <w:kern w:val="24"/>
          <w:sz w:val="24"/>
          <w:szCs w:val="24"/>
        </w:rPr>
        <w:t>内销成品高税率型企业以面向国内市场内销征税进口为主，且成品进口关税税率高于原料进口关税税率的生产加工型企业。</w:t>
      </w:r>
    </w:p>
    <w:p w14:paraId="14B0C4B2">
      <w:pPr>
        <w:spacing w:line="360" w:lineRule="auto"/>
        <w:ind w:firstLine="472" w:firstLineChars="200"/>
        <w:rPr>
          <w:rFonts w:hint="eastAsia" w:ascii="宋体" w:hAnsi="宋体"/>
          <w:spacing w:val="-2"/>
          <w:kern w:val="24"/>
          <w:sz w:val="24"/>
          <w:szCs w:val="24"/>
        </w:rPr>
      </w:pPr>
      <w:r>
        <w:rPr>
          <w:rFonts w:hint="eastAsia" w:ascii="宋体" w:hAnsi="宋体" w:cs="Cambria Math"/>
          <w:spacing w:val="-2"/>
          <w:kern w:val="24"/>
          <w:sz w:val="24"/>
          <w:szCs w:val="24"/>
        </w:rPr>
        <w:t>B、</w:t>
      </w:r>
      <w:r>
        <w:rPr>
          <w:rFonts w:ascii="宋体" w:hAnsi="宋体"/>
          <w:spacing w:val="-2"/>
          <w:kern w:val="24"/>
          <w:sz w:val="24"/>
          <w:szCs w:val="24"/>
        </w:rPr>
        <w:t>非保税企业</w:t>
      </w:r>
    </w:p>
    <w:p w14:paraId="5C769EA1">
      <w:pPr>
        <w:spacing w:line="360" w:lineRule="auto"/>
        <w:ind w:firstLine="472" w:firstLineChars="200"/>
        <w:rPr>
          <w:rFonts w:hint="eastAsia" w:ascii="宋体" w:hAnsi="宋体"/>
          <w:spacing w:val="-2"/>
          <w:kern w:val="24"/>
          <w:sz w:val="24"/>
          <w:szCs w:val="24"/>
        </w:rPr>
      </w:pPr>
      <w:r>
        <w:rPr>
          <w:rFonts w:ascii="宋体" w:hAnsi="宋体"/>
          <w:spacing w:val="-2"/>
          <w:kern w:val="24"/>
          <w:sz w:val="24"/>
          <w:szCs w:val="24"/>
        </w:rPr>
        <w:t>主要经营以非保税业务为主的企业。</w:t>
      </w:r>
    </w:p>
    <w:p w14:paraId="4DB068A5">
      <w:pPr>
        <w:spacing w:line="360" w:lineRule="auto"/>
        <w:ind w:firstLine="472" w:firstLineChars="200"/>
        <w:rPr>
          <w:rFonts w:hint="eastAsia" w:ascii="宋体" w:hAnsi="宋体"/>
          <w:spacing w:val="-2"/>
          <w:kern w:val="24"/>
          <w:sz w:val="24"/>
          <w:szCs w:val="24"/>
        </w:rPr>
      </w:pPr>
      <w:r>
        <w:rPr>
          <w:rFonts w:hint="eastAsia" w:ascii="宋体" w:hAnsi="宋体" w:cs="Cambria Math"/>
          <w:spacing w:val="-2"/>
          <w:kern w:val="24"/>
          <w:sz w:val="24"/>
          <w:szCs w:val="24"/>
        </w:rPr>
        <w:t>C、</w:t>
      </w:r>
      <w:r>
        <w:rPr>
          <w:rFonts w:ascii="宋体" w:hAnsi="宋体"/>
          <w:spacing w:val="-2"/>
          <w:kern w:val="24"/>
          <w:sz w:val="24"/>
          <w:szCs w:val="24"/>
        </w:rPr>
        <w:t>主要原料是国内原料并征收高额出口关税（或实施出口贸易管制）的生产型企业。</w:t>
      </w:r>
    </w:p>
    <w:p w14:paraId="03AB59D6">
      <w:pPr>
        <w:spacing w:line="360" w:lineRule="auto"/>
        <w:ind w:firstLine="472" w:firstLineChars="200"/>
        <w:rPr>
          <w:rFonts w:ascii="Times New Roman" w:hAnsi="Times New Roman"/>
          <w:spacing w:val="-2"/>
          <w:kern w:val="24"/>
          <w:sz w:val="24"/>
          <w:szCs w:val="24"/>
        </w:rPr>
      </w:pPr>
      <w:r>
        <w:rPr>
          <w:rFonts w:hint="eastAsia" w:ascii="宋体" w:hAnsi="宋体" w:cs="Cambria Math"/>
          <w:spacing w:val="-2"/>
          <w:kern w:val="24"/>
          <w:sz w:val="24"/>
          <w:szCs w:val="24"/>
        </w:rPr>
        <w:t>D、</w:t>
      </w:r>
      <w:r>
        <w:rPr>
          <w:rFonts w:ascii="宋体" w:hAnsi="宋体"/>
          <w:spacing w:val="-2"/>
          <w:kern w:val="24"/>
          <w:sz w:val="24"/>
          <w:szCs w:val="24"/>
        </w:rPr>
        <w:t>生产加工高耗能、高污染和</w:t>
      </w:r>
      <w:r>
        <w:rPr>
          <w:rFonts w:ascii="Times New Roman" w:hAnsi="Times New Roman"/>
          <w:spacing w:val="-2"/>
          <w:kern w:val="24"/>
          <w:sz w:val="24"/>
          <w:szCs w:val="24"/>
        </w:rPr>
        <w:t>资源性产品等不符合国家产业政策发展要求的产品，以及其他列入加工贸易禁止类目录的商品的生产加工型企业。</w:t>
      </w:r>
    </w:p>
    <w:p w14:paraId="5FA21CB0">
      <w:pPr>
        <w:spacing w:line="360" w:lineRule="auto"/>
        <w:ind w:firstLine="472" w:firstLineChars="200"/>
        <w:rPr>
          <w:rFonts w:ascii="Times New Roman" w:hAnsi="Times New Roman"/>
          <w:spacing w:val="-2"/>
          <w:kern w:val="24"/>
          <w:sz w:val="24"/>
          <w:szCs w:val="24"/>
        </w:rPr>
      </w:pPr>
      <w:r>
        <w:rPr>
          <w:rFonts w:ascii="Times New Roman" w:hAnsi="Times New Roman"/>
          <w:spacing w:val="-2"/>
          <w:kern w:val="24"/>
          <w:sz w:val="24"/>
          <w:szCs w:val="24"/>
        </w:rPr>
        <w:t>本项目属于锆钛矿保税分选加工项目，位于广西钦州保税港区，采用国外进口采购的原料进行生产，不属于《广西钦州保税港区总体规划环境影响报告书》中列明的限制入区和禁止入园项目，不在园区入园项目负面清单，属于允许类。本项目已取得备案证，符合国家产业政策、地区工业产业政策；项目建设与《广西钦州保税港区总体规划环境影响报告书》相符。</w:t>
      </w:r>
    </w:p>
    <w:p w14:paraId="693383BF">
      <w:pPr>
        <w:spacing w:line="360" w:lineRule="auto"/>
        <w:ind w:firstLine="472" w:firstLineChars="200"/>
        <w:rPr>
          <w:rFonts w:ascii="Times New Roman" w:hAnsi="Times New Roman"/>
          <w:spacing w:val="-2"/>
          <w:kern w:val="24"/>
          <w:sz w:val="24"/>
          <w:szCs w:val="24"/>
        </w:rPr>
      </w:pPr>
      <w:r>
        <w:rPr>
          <w:rFonts w:ascii="Times New Roman" w:hAnsi="Times New Roman"/>
          <w:spacing w:val="-2"/>
          <w:kern w:val="24"/>
          <w:sz w:val="24"/>
          <w:szCs w:val="24"/>
        </w:rPr>
        <w:t>且本项目获得了中国（广西）自由贸易试验区钦州港片区贸易与物流发展局的同意函，同意本项目开展锆钛矿保税分选加工，项目符合规划要求。</w:t>
      </w:r>
    </w:p>
    <w:p w14:paraId="7852213B">
      <w:pPr>
        <w:spacing w:line="360" w:lineRule="auto"/>
        <w:ind w:firstLine="472" w:firstLineChars="200"/>
        <w:rPr>
          <w:rFonts w:ascii="Times New Roman" w:hAnsi="Times New Roman"/>
          <w:spacing w:val="-2"/>
          <w:kern w:val="24"/>
          <w:sz w:val="24"/>
          <w:szCs w:val="24"/>
        </w:rPr>
      </w:pPr>
      <w:r>
        <w:rPr>
          <w:rFonts w:ascii="Times New Roman" w:hAnsi="Times New Roman"/>
          <w:spacing w:val="-2"/>
          <w:kern w:val="24"/>
          <w:sz w:val="24"/>
          <w:szCs w:val="24"/>
        </w:rPr>
        <w:t>综上，本项目符合规划及规划环境影响评价。</w:t>
      </w:r>
    </w:p>
    <w:p w14:paraId="01D1D564">
      <w:pPr>
        <w:spacing w:line="360" w:lineRule="auto"/>
        <w:ind w:firstLine="474" w:firstLineChars="200"/>
        <w:rPr>
          <w:rFonts w:ascii="Times New Roman" w:hAnsi="Times New Roman"/>
          <w:b/>
          <w:bCs/>
          <w:spacing w:val="-2"/>
          <w:kern w:val="24"/>
          <w:sz w:val="24"/>
          <w:szCs w:val="24"/>
        </w:rPr>
      </w:pPr>
      <w:r>
        <w:rPr>
          <w:rFonts w:ascii="Times New Roman" w:hAnsi="Times New Roman"/>
          <w:b/>
          <w:bCs/>
          <w:spacing w:val="-2"/>
          <w:kern w:val="24"/>
          <w:sz w:val="24"/>
          <w:szCs w:val="24"/>
        </w:rPr>
        <w:t>4、 “三线一单”相符性分析</w:t>
      </w:r>
    </w:p>
    <w:p w14:paraId="69F401AB">
      <w:pPr>
        <w:spacing w:line="360" w:lineRule="auto"/>
        <w:ind w:firstLine="474" w:firstLineChars="200"/>
        <w:rPr>
          <w:rFonts w:ascii="Times New Roman" w:hAnsi="Times New Roman"/>
          <w:b/>
          <w:bCs/>
          <w:spacing w:val="-2"/>
          <w:kern w:val="24"/>
          <w:sz w:val="24"/>
          <w:szCs w:val="24"/>
        </w:rPr>
      </w:pPr>
      <w:r>
        <w:rPr>
          <w:rFonts w:ascii="Times New Roman" w:hAnsi="Times New Roman"/>
          <w:b/>
          <w:bCs/>
          <w:spacing w:val="-2"/>
          <w:kern w:val="24"/>
          <w:sz w:val="24"/>
          <w:szCs w:val="24"/>
        </w:rPr>
        <w:t>（1）生态保护红线</w:t>
      </w:r>
    </w:p>
    <w:p w14:paraId="50F0DAA2">
      <w:pPr>
        <w:spacing w:line="360" w:lineRule="auto"/>
        <w:ind w:firstLine="472" w:firstLineChars="200"/>
        <w:rPr>
          <w:rFonts w:ascii="Times New Roman" w:hAnsi="Times New Roman"/>
          <w:spacing w:val="-2"/>
          <w:kern w:val="24"/>
          <w:sz w:val="24"/>
          <w:szCs w:val="24"/>
        </w:rPr>
      </w:pPr>
      <w:r>
        <w:rPr>
          <w:rFonts w:ascii="Times New Roman" w:hAnsi="Times New Roman"/>
          <w:spacing w:val="-2"/>
          <w:kern w:val="24"/>
          <w:sz w:val="24"/>
          <w:szCs w:val="24"/>
        </w:rPr>
        <w:t>项目位于广西钦州保税港区内，占地不涉及国家公园、自然保护区、世界自然遗产、重要生境、自然公园、生态保护红线等敏感区范围，符合钦州市生态功能区相关要求；项目生活污水</w:t>
      </w:r>
      <w:r>
        <w:rPr>
          <w:rFonts w:hint="eastAsia" w:ascii="Times New Roman" w:hAnsi="Times New Roman"/>
          <w:spacing w:val="-2"/>
          <w:kern w:val="24"/>
          <w:sz w:val="24"/>
          <w:szCs w:val="24"/>
        </w:rPr>
        <w:t>经化粪池处理后排入园区污水管网送</w:t>
      </w:r>
      <w:r>
        <w:rPr>
          <w:rFonts w:ascii="Times New Roman" w:hAnsi="Times New Roman"/>
          <w:spacing w:val="-2"/>
          <w:kern w:val="24"/>
          <w:sz w:val="24"/>
          <w:szCs w:val="24"/>
        </w:rPr>
        <w:t>钦州港大榄坪污水处理厂处理后，深海（108°39′12.00″E，21°39′15″N）排放，排放口海域属四类海水环境功能区，不属于《广西海洋生态红线划定方案》（桂政函〔2017〕233号）划定的禁止类红线区和限制类红线区。项目所在区域不属于生态保护红线管控区域，项目的建设符合生态保护红线管理办法的规定。</w:t>
      </w:r>
    </w:p>
    <w:p w14:paraId="43005DB5">
      <w:pPr>
        <w:spacing w:line="360" w:lineRule="auto"/>
        <w:ind w:firstLine="474" w:firstLineChars="200"/>
        <w:rPr>
          <w:rFonts w:ascii="Times New Roman" w:hAnsi="Times New Roman"/>
          <w:b/>
          <w:bCs/>
          <w:spacing w:val="-2"/>
          <w:kern w:val="24"/>
          <w:sz w:val="24"/>
          <w:szCs w:val="24"/>
        </w:rPr>
      </w:pPr>
      <w:r>
        <w:rPr>
          <w:rFonts w:ascii="Times New Roman" w:hAnsi="Times New Roman"/>
          <w:b/>
          <w:bCs/>
          <w:spacing w:val="-2"/>
          <w:kern w:val="24"/>
          <w:sz w:val="24"/>
          <w:szCs w:val="24"/>
        </w:rPr>
        <w:t>（2）环境质量底线</w:t>
      </w:r>
    </w:p>
    <w:p w14:paraId="0017AEF7">
      <w:pPr>
        <w:spacing w:line="360" w:lineRule="auto"/>
        <w:ind w:firstLine="472" w:firstLineChars="200"/>
        <w:rPr>
          <w:rFonts w:ascii="Times New Roman" w:hAnsi="Times New Roman"/>
          <w:spacing w:val="-2"/>
          <w:kern w:val="24"/>
          <w:sz w:val="24"/>
          <w:szCs w:val="24"/>
        </w:rPr>
      </w:pPr>
      <w:r>
        <w:rPr>
          <w:rFonts w:ascii="Times New Roman" w:hAnsi="Times New Roman"/>
          <w:spacing w:val="-2"/>
          <w:kern w:val="24"/>
          <w:sz w:val="24"/>
          <w:szCs w:val="24"/>
        </w:rPr>
        <w:t>区域环境质量达标，主要从污染物排放总量进行控制，区域污染物排放总量低于区域环境容量时，才能保证区域环境质量达标。工程所在区域环境空气质量、声环境质量、地下水环境质量现状达到环境功能区相关标准要求。本项目不产生生产废水，生活</w:t>
      </w:r>
      <w:r>
        <w:rPr>
          <w:rFonts w:hint="eastAsia" w:ascii="Times New Roman" w:hAnsi="Times New Roman"/>
          <w:spacing w:val="-2"/>
          <w:kern w:val="24"/>
          <w:sz w:val="24"/>
          <w:szCs w:val="24"/>
        </w:rPr>
        <w:t>污</w:t>
      </w:r>
      <w:r>
        <w:rPr>
          <w:rFonts w:ascii="Times New Roman" w:hAnsi="Times New Roman"/>
          <w:spacing w:val="-2"/>
          <w:kern w:val="24"/>
          <w:sz w:val="24"/>
          <w:szCs w:val="24"/>
        </w:rPr>
        <w:t>水排至大榄坪污水处理厂处理；项目对周边的大气、地下水、声、生态环境影响</w:t>
      </w:r>
      <w:r>
        <w:rPr>
          <w:rFonts w:hint="eastAsia" w:ascii="Times New Roman" w:hAnsi="Times New Roman"/>
          <w:spacing w:val="-2"/>
          <w:kern w:val="24"/>
          <w:sz w:val="24"/>
          <w:szCs w:val="24"/>
        </w:rPr>
        <w:t>不大</w:t>
      </w:r>
      <w:r>
        <w:rPr>
          <w:rFonts w:ascii="Times New Roman" w:hAnsi="Times New Roman"/>
          <w:spacing w:val="-2"/>
          <w:kern w:val="24"/>
          <w:sz w:val="24"/>
          <w:szCs w:val="24"/>
        </w:rPr>
        <w:t>；项目产生的</w:t>
      </w:r>
      <w:r>
        <w:rPr>
          <w:rFonts w:hint="eastAsia" w:ascii="Times New Roman" w:hAnsi="Times New Roman"/>
          <w:spacing w:val="-2"/>
          <w:kern w:val="24"/>
          <w:sz w:val="24"/>
          <w:szCs w:val="24"/>
        </w:rPr>
        <w:t>固体</w:t>
      </w:r>
      <w:r>
        <w:rPr>
          <w:rFonts w:ascii="Times New Roman" w:hAnsi="Times New Roman"/>
          <w:spacing w:val="-2"/>
          <w:kern w:val="24"/>
          <w:sz w:val="24"/>
          <w:szCs w:val="24"/>
        </w:rPr>
        <w:t>废物均能妥善处置，</w:t>
      </w:r>
      <w:r>
        <w:rPr>
          <w:rFonts w:hint="eastAsia" w:ascii="Times New Roman" w:hAnsi="Times New Roman"/>
          <w:spacing w:val="-2"/>
          <w:kern w:val="24"/>
          <w:sz w:val="24"/>
          <w:szCs w:val="24"/>
        </w:rPr>
        <w:t>因此，项目在采取相应环保措施后，未使区域环境质量下降，项目建设对区域环境质量影响不大，不会突破当地环境质量底线，符合环境质量底线的要求</w:t>
      </w:r>
      <w:r>
        <w:rPr>
          <w:rFonts w:ascii="Times New Roman" w:hAnsi="Times New Roman"/>
          <w:spacing w:val="-2"/>
          <w:kern w:val="24"/>
          <w:sz w:val="24"/>
          <w:szCs w:val="24"/>
        </w:rPr>
        <w:t>。</w:t>
      </w:r>
    </w:p>
    <w:p w14:paraId="279FF4C7">
      <w:pPr>
        <w:spacing w:line="360" w:lineRule="auto"/>
        <w:ind w:firstLine="474" w:firstLineChars="200"/>
        <w:rPr>
          <w:rFonts w:ascii="Times New Roman" w:hAnsi="Times New Roman"/>
          <w:b/>
          <w:bCs/>
          <w:spacing w:val="-2"/>
          <w:kern w:val="24"/>
          <w:sz w:val="24"/>
          <w:szCs w:val="24"/>
        </w:rPr>
      </w:pPr>
      <w:r>
        <w:rPr>
          <w:rFonts w:ascii="Times New Roman" w:hAnsi="Times New Roman"/>
          <w:b/>
          <w:bCs/>
          <w:spacing w:val="-2"/>
          <w:kern w:val="24"/>
          <w:sz w:val="24"/>
          <w:szCs w:val="24"/>
        </w:rPr>
        <w:t>（3）资源利用上限</w:t>
      </w:r>
    </w:p>
    <w:p w14:paraId="3E7E2EDE">
      <w:pPr>
        <w:spacing w:line="360" w:lineRule="auto"/>
        <w:ind w:firstLine="472" w:firstLineChars="200"/>
        <w:rPr>
          <w:rFonts w:ascii="Times New Roman" w:hAnsi="Times New Roman"/>
          <w:spacing w:val="-2"/>
          <w:kern w:val="24"/>
          <w:sz w:val="24"/>
          <w:szCs w:val="24"/>
        </w:rPr>
      </w:pPr>
      <w:r>
        <w:rPr>
          <w:rFonts w:ascii="Times New Roman" w:hAnsi="Times New Roman"/>
          <w:spacing w:val="-2"/>
          <w:kern w:val="24"/>
          <w:sz w:val="24"/>
          <w:szCs w:val="24"/>
        </w:rPr>
        <w:t>资源利用</w:t>
      </w:r>
      <w:r>
        <w:rPr>
          <w:rFonts w:hint="eastAsia" w:ascii="Times New Roman" w:hAnsi="Times New Roman"/>
          <w:spacing w:val="-2"/>
          <w:kern w:val="24"/>
          <w:sz w:val="24"/>
          <w:szCs w:val="24"/>
          <w:lang w:eastAsia="zh-CN"/>
        </w:rPr>
        <w:t>上限</w:t>
      </w:r>
      <w:r>
        <w:rPr>
          <w:rFonts w:ascii="Times New Roman" w:hAnsi="Times New Roman"/>
          <w:spacing w:val="-2"/>
          <w:kern w:val="24"/>
          <w:sz w:val="24"/>
          <w:szCs w:val="24"/>
        </w:rPr>
        <w:t>是促进资源能源节约，保障能源、水、土地等资源高效利用，不应突破的最高限值。项目位于工业园，用水、用电等可满足项目要求，本项目用地位于</w:t>
      </w:r>
      <w:r>
        <w:rPr>
          <w:rFonts w:ascii="Times New Roman" w:hAnsi="Times New Roman"/>
          <w:spacing w:val="-2"/>
          <w:kern w:val="0"/>
          <w:sz w:val="24"/>
          <w:szCs w:val="24"/>
        </w:rPr>
        <w:t>广西钦州保税港区</w:t>
      </w:r>
      <w:r>
        <w:rPr>
          <w:rFonts w:ascii="Times New Roman" w:hAnsi="Times New Roman"/>
          <w:spacing w:val="-2"/>
          <w:kern w:val="24"/>
          <w:sz w:val="24"/>
          <w:szCs w:val="24"/>
        </w:rPr>
        <w:t>内，不侵占基本农田或生态林地等，工程运营期应尽可能做到合理利用和节约能耗，最大限度地减少物耗、能耗，项目资源消耗量相对于区域资源利用总量较少，符合资源利用上限要求。</w:t>
      </w:r>
    </w:p>
    <w:p w14:paraId="09D8C116">
      <w:pPr>
        <w:spacing w:line="360" w:lineRule="auto"/>
        <w:ind w:firstLine="482" w:firstLineChars="200"/>
        <w:rPr>
          <w:rFonts w:ascii="Times New Roman" w:hAnsi="Times New Roman"/>
          <w:b/>
          <w:bCs/>
          <w:sz w:val="24"/>
          <w:szCs w:val="24"/>
        </w:rPr>
      </w:pPr>
      <w:r>
        <w:rPr>
          <w:rFonts w:ascii="Times New Roman" w:hAnsi="Times New Roman"/>
          <w:b/>
          <w:bCs/>
          <w:sz w:val="24"/>
          <w:szCs w:val="24"/>
        </w:rPr>
        <w:t>（4）环境准入负面清单</w:t>
      </w:r>
    </w:p>
    <w:p w14:paraId="5B741293">
      <w:pPr>
        <w:spacing w:line="360" w:lineRule="auto"/>
        <w:ind w:firstLine="472" w:firstLineChars="200"/>
        <w:rPr>
          <w:rFonts w:ascii="Times New Roman" w:hAnsi="Times New Roman"/>
          <w:spacing w:val="-2"/>
          <w:kern w:val="24"/>
          <w:sz w:val="24"/>
          <w:szCs w:val="24"/>
        </w:rPr>
      </w:pPr>
      <w:r>
        <w:rPr>
          <w:rFonts w:ascii="Times New Roman" w:hAnsi="Times New Roman"/>
          <w:spacing w:val="-2"/>
          <w:kern w:val="0"/>
          <w:sz w:val="24"/>
          <w:szCs w:val="24"/>
        </w:rPr>
        <w:t>根据《广西16个国家重点生态功能区县产业准入负面清单（试行）》（桂发改规划〔2016〕944号）、</w:t>
      </w:r>
      <w:r>
        <w:rPr>
          <w:rFonts w:ascii="Times New Roman" w:hAnsi="Times New Roman"/>
          <w:spacing w:val="-2"/>
          <w:kern w:val="24"/>
          <w:sz w:val="24"/>
          <w:szCs w:val="24"/>
        </w:rPr>
        <w:t>《广西第二批重点生态功能区产业准入负面清单（试行）》（桂发改规划〔2017〕1652号）</w:t>
      </w:r>
      <w:r>
        <w:rPr>
          <w:rFonts w:hint="eastAsia" w:ascii="Times New Roman" w:hAnsi="Times New Roman"/>
          <w:spacing w:val="-2"/>
          <w:kern w:val="24"/>
          <w:sz w:val="24"/>
          <w:szCs w:val="24"/>
        </w:rPr>
        <w:t>、《广西壮族自治区重点生态功能区县产业准入负面清单调整方案》、《广西壮族自治区生态环境厅等部门关于印发〈广西生态保护正面清单（2022）〉和〈广西生态保护禁止事项清单（2022）的通知〉》</w:t>
      </w:r>
      <w:r>
        <w:rPr>
          <w:rFonts w:ascii="Times New Roman" w:hAnsi="Times New Roman"/>
          <w:spacing w:val="-2"/>
          <w:kern w:val="24"/>
          <w:sz w:val="24"/>
          <w:szCs w:val="24"/>
        </w:rPr>
        <w:t>，项目为年产24万吨钛精矿项目，钦州市不在广西重点生态功能区县准入负面清单内。</w:t>
      </w:r>
    </w:p>
    <w:p w14:paraId="0EF98A57">
      <w:pPr>
        <w:spacing w:line="360" w:lineRule="auto"/>
        <w:ind w:firstLine="482" w:firstLineChars="200"/>
        <w:rPr>
          <w:rFonts w:ascii="Times New Roman" w:hAnsi="Times New Roman"/>
          <w:b/>
          <w:bCs/>
          <w:sz w:val="24"/>
          <w:szCs w:val="24"/>
        </w:rPr>
      </w:pPr>
      <w:r>
        <w:rPr>
          <w:rFonts w:ascii="Times New Roman" w:hAnsi="Times New Roman"/>
          <w:b/>
          <w:bCs/>
          <w:sz w:val="24"/>
          <w:szCs w:val="24"/>
        </w:rPr>
        <w:t>（5）与《钦州市</w:t>
      </w:r>
      <w:r>
        <w:rPr>
          <w:rFonts w:ascii="宋体" w:hAnsi="宋体"/>
          <w:b/>
          <w:bCs/>
          <w:sz w:val="24"/>
          <w:szCs w:val="24"/>
        </w:rPr>
        <w:t>“三线一单”</w:t>
      </w:r>
      <w:r>
        <w:rPr>
          <w:rFonts w:ascii="Times New Roman" w:hAnsi="Times New Roman"/>
          <w:b/>
          <w:bCs/>
          <w:sz w:val="24"/>
          <w:szCs w:val="24"/>
        </w:rPr>
        <w:t>生态环境分区管控》符合性分析</w:t>
      </w:r>
    </w:p>
    <w:p w14:paraId="163CE587">
      <w:pPr>
        <w:spacing w:line="360" w:lineRule="auto"/>
        <w:ind w:firstLine="480" w:firstLineChars="200"/>
        <w:rPr>
          <w:rFonts w:ascii="Times New Roman" w:hAnsi="Times New Roman"/>
          <w:sz w:val="24"/>
          <w:szCs w:val="24"/>
        </w:rPr>
      </w:pPr>
      <w:r>
        <w:rPr>
          <w:rFonts w:ascii="Times New Roman" w:hAnsi="Times New Roman"/>
          <w:sz w:val="24"/>
          <w:szCs w:val="24"/>
        </w:rPr>
        <w:t>根据《钦州市人民政府关于印发钦州市</w:t>
      </w:r>
      <w:r>
        <w:rPr>
          <w:rFonts w:ascii="宋体" w:hAnsi="宋体"/>
          <w:sz w:val="24"/>
          <w:szCs w:val="24"/>
        </w:rPr>
        <w:t>“三线一单”</w:t>
      </w:r>
      <w:r>
        <w:rPr>
          <w:rFonts w:ascii="Times New Roman" w:hAnsi="Times New Roman"/>
          <w:sz w:val="24"/>
          <w:szCs w:val="24"/>
        </w:rPr>
        <w:t>生态环境分区管控实施意见的通知》（钦政发〔2021〕13号），本项目位于重点管控单元内，本项目与钦州市生态环境准入及管控要求清单的相符性（节选与本项目相关内容）分析见表1。根据钦州市生态环境局关于印发</w:t>
      </w:r>
      <w:r>
        <w:rPr>
          <w:rFonts w:hint="eastAsia" w:ascii="Times New Roman" w:hAnsi="Times New Roman"/>
          <w:sz w:val="24"/>
          <w:szCs w:val="24"/>
        </w:rPr>
        <w:t>《钦州市生态环境分区管控动态更新成果（2023版）》</w:t>
      </w:r>
      <w:r>
        <w:rPr>
          <w:rFonts w:ascii="Times New Roman" w:hAnsi="Times New Roman"/>
          <w:sz w:val="24"/>
          <w:szCs w:val="24"/>
        </w:rPr>
        <w:t>，项目位于钦州综合保税区重点管控单元（ZH45070220001），项目与该管控单元生态环境准入及管控要求相符性分析见表2。</w:t>
      </w:r>
    </w:p>
    <w:p w14:paraId="393E2F2E">
      <w:pPr>
        <w:spacing w:line="360" w:lineRule="auto"/>
        <w:ind w:firstLine="474" w:firstLineChars="200"/>
        <w:jc w:val="center"/>
        <w:rPr>
          <w:rFonts w:ascii="Times New Roman" w:hAnsi="Times New Roman"/>
          <w:b/>
          <w:spacing w:val="-2"/>
          <w:kern w:val="24"/>
          <w:sz w:val="24"/>
          <w:szCs w:val="24"/>
        </w:rPr>
      </w:pPr>
      <w:r>
        <w:rPr>
          <w:rFonts w:ascii="Times New Roman" w:hAnsi="Times New Roman"/>
          <w:b/>
          <w:spacing w:val="-2"/>
          <w:kern w:val="24"/>
          <w:sz w:val="24"/>
          <w:szCs w:val="24"/>
        </w:rPr>
        <w:t>表1 项目与钦州市生态环境准入及管控要求清单相符性分析</w:t>
      </w:r>
    </w:p>
    <w:tbl>
      <w:tblPr>
        <w:tblStyle w:val="88"/>
        <w:tblW w:w="908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480"/>
        <w:gridCol w:w="6182"/>
        <w:gridCol w:w="2420"/>
      </w:tblGrid>
      <w:tr w14:paraId="6F2A61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blHeader/>
          <w:jc w:val="center"/>
        </w:trPr>
        <w:tc>
          <w:tcPr>
            <w:tcW w:w="480" w:type="dxa"/>
            <w:tcMar>
              <w:left w:w="28" w:type="dxa"/>
              <w:right w:w="28" w:type="dxa"/>
            </w:tcMar>
            <w:vAlign w:val="center"/>
          </w:tcPr>
          <w:p w14:paraId="21A4C7F6">
            <w:pPr>
              <w:jc w:val="center"/>
              <w:rPr>
                <w:rFonts w:ascii="Times New Roman" w:hAnsi="Times New Roman"/>
                <w:b/>
                <w:bCs/>
                <w:spacing w:val="-2"/>
                <w:kern w:val="0"/>
                <w:szCs w:val="21"/>
              </w:rPr>
            </w:pPr>
            <w:r>
              <w:rPr>
                <w:rFonts w:ascii="Times New Roman" w:hAnsi="Times New Roman"/>
                <w:b/>
                <w:bCs/>
                <w:spacing w:val="-2"/>
                <w:kern w:val="0"/>
                <w:szCs w:val="21"/>
              </w:rPr>
              <w:t>管控类别</w:t>
            </w:r>
          </w:p>
        </w:tc>
        <w:tc>
          <w:tcPr>
            <w:tcW w:w="6182" w:type="dxa"/>
            <w:tcMar>
              <w:left w:w="28" w:type="dxa"/>
              <w:right w:w="28" w:type="dxa"/>
            </w:tcMar>
            <w:vAlign w:val="center"/>
          </w:tcPr>
          <w:p w14:paraId="4997F073">
            <w:pPr>
              <w:jc w:val="center"/>
              <w:rPr>
                <w:rFonts w:ascii="Times New Roman" w:hAnsi="Times New Roman"/>
                <w:b/>
                <w:bCs/>
                <w:spacing w:val="-2"/>
                <w:kern w:val="0"/>
                <w:szCs w:val="21"/>
              </w:rPr>
            </w:pPr>
            <w:r>
              <w:rPr>
                <w:rFonts w:ascii="Times New Roman" w:hAnsi="Times New Roman"/>
                <w:b/>
                <w:bCs/>
                <w:spacing w:val="-2"/>
                <w:kern w:val="0"/>
                <w:szCs w:val="21"/>
              </w:rPr>
              <w:t>生态环境准入及管控要求</w:t>
            </w:r>
          </w:p>
        </w:tc>
        <w:tc>
          <w:tcPr>
            <w:tcW w:w="2420" w:type="dxa"/>
            <w:tcMar>
              <w:left w:w="28" w:type="dxa"/>
              <w:right w:w="28" w:type="dxa"/>
            </w:tcMar>
            <w:vAlign w:val="center"/>
          </w:tcPr>
          <w:p w14:paraId="64F03B93">
            <w:pPr>
              <w:jc w:val="center"/>
              <w:rPr>
                <w:rFonts w:ascii="Times New Roman" w:hAnsi="Times New Roman"/>
                <w:b/>
                <w:bCs/>
                <w:spacing w:val="-2"/>
                <w:kern w:val="0"/>
                <w:szCs w:val="21"/>
              </w:rPr>
            </w:pPr>
            <w:r>
              <w:rPr>
                <w:rFonts w:ascii="Times New Roman" w:hAnsi="Times New Roman"/>
                <w:b/>
                <w:bCs/>
                <w:spacing w:val="-2"/>
                <w:kern w:val="0"/>
                <w:szCs w:val="21"/>
              </w:rPr>
              <w:t>相符性分析</w:t>
            </w:r>
          </w:p>
        </w:tc>
      </w:tr>
      <w:tr w14:paraId="695FF0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480" w:type="dxa"/>
            <w:vMerge w:val="restart"/>
            <w:tcMar>
              <w:left w:w="28" w:type="dxa"/>
              <w:right w:w="28" w:type="dxa"/>
            </w:tcMar>
            <w:vAlign w:val="center"/>
          </w:tcPr>
          <w:p w14:paraId="47E76E94">
            <w:pPr>
              <w:jc w:val="center"/>
              <w:rPr>
                <w:rFonts w:ascii="Times New Roman" w:hAnsi="Times New Roman"/>
                <w:spacing w:val="-2"/>
                <w:kern w:val="0"/>
                <w:szCs w:val="21"/>
              </w:rPr>
            </w:pPr>
            <w:r>
              <w:rPr>
                <w:rFonts w:ascii="Times New Roman" w:hAnsi="Times New Roman"/>
                <w:spacing w:val="-2"/>
                <w:kern w:val="0"/>
                <w:szCs w:val="21"/>
              </w:rPr>
              <w:t>空间布局约束</w:t>
            </w:r>
          </w:p>
        </w:tc>
        <w:tc>
          <w:tcPr>
            <w:tcW w:w="6182" w:type="dxa"/>
            <w:tcMar>
              <w:left w:w="28" w:type="dxa"/>
              <w:right w:w="28" w:type="dxa"/>
            </w:tcMar>
            <w:vAlign w:val="center"/>
          </w:tcPr>
          <w:p w14:paraId="148A0C98">
            <w:pPr>
              <w:jc w:val="left"/>
              <w:rPr>
                <w:rFonts w:ascii="Times New Roman" w:hAnsi="Times New Roman"/>
                <w:spacing w:val="-2"/>
                <w:kern w:val="0"/>
                <w:szCs w:val="21"/>
              </w:rPr>
            </w:pPr>
            <w:r>
              <w:rPr>
                <w:rFonts w:ascii="Times New Roman" w:hAnsi="Times New Roman"/>
                <w:spacing w:val="-2"/>
                <w:kern w:val="0"/>
                <w:szCs w:val="21"/>
              </w:rPr>
              <w:t>1. 自然保护地、森林公园、湿地公园、水源保护区、风景名胜区、公益林、天然林等具有法律地位，有管理条例、规定、办法管控的各类保护地，其管控要求原则上按照各类保护地的现行规定进行管理，重叠区域以最严格的要求进行管理。纳入生态保护红线管理的各类自然保护地，还应执行《关于在国土空间规划中统筹划定落实三条控制线的指导意见》相关要求以及国家、自治区有关生态保护红线内各类开发活动的准入及管控规定和要求。</w:t>
            </w:r>
          </w:p>
        </w:tc>
        <w:tc>
          <w:tcPr>
            <w:tcW w:w="2420" w:type="dxa"/>
            <w:tcMar>
              <w:left w:w="28" w:type="dxa"/>
              <w:right w:w="28" w:type="dxa"/>
            </w:tcMar>
            <w:vAlign w:val="center"/>
          </w:tcPr>
          <w:p w14:paraId="0F11DB1E">
            <w:pPr>
              <w:jc w:val="left"/>
              <w:rPr>
                <w:rFonts w:ascii="Times New Roman" w:hAnsi="Times New Roman"/>
                <w:spacing w:val="-2"/>
                <w:kern w:val="0"/>
                <w:szCs w:val="21"/>
              </w:rPr>
            </w:pPr>
            <w:r>
              <w:rPr>
                <w:rFonts w:ascii="Times New Roman" w:hAnsi="Times New Roman"/>
                <w:spacing w:val="-2"/>
                <w:kern w:val="0"/>
                <w:szCs w:val="21"/>
              </w:rPr>
              <w:t>项目不涉及所列各类保护地，位于划定的重点管控单元内。</w:t>
            </w:r>
          </w:p>
          <w:p w14:paraId="3B0FD4B5">
            <w:pPr>
              <w:jc w:val="left"/>
              <w:rPr>
                <w:rFonts w:ascii="Times New Roman" w:hAnsi="Times New Roman"/>
                <w:b/>
                <w:bCs/>
                <w:spacing w:val="-2"/>
                <w:kern w:val="0"/>
                <w:szCs w:val="21"/>
              </w:rPr>
            </w:pPr>
            <w:r>
              <w:rPr>
                <w:rFonts w:ascii="Times New Roman" w:hAnsi="Times New Roman"/>
                <w:b/>
                <w:bCs/>
                <w:spacing w:val="-2"/>
                <w:kern w:val="0"/>
                <w:szCs w:val="21"/>
              </w:rPr>
              <w:t>符合。</w:t>
            </w:r>
          </w:p>
        </w:tc>
      </w:tr>
      <w:tr w14:paraId="3F449D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480" w:type="dxa"/>
            <w:vMerge w:val="continue"/>
            <w:tcMar>
              <w:left w:w="28" w:type="dxa"/>
              <w:right w:w="28" w:type="dxa"/>
            </w:tcMar>
            <w:vAlign w:val="center"/>
          </w:tcPr>
          <w:p w14:paraId="208DF90B">
            <w:pPr>
              <w:jc w:val="center"/>
              <w:rPr>
                <w:rFonts w:ascii="Times New Roman" w:hAnsi="Times New Roman"/>
                <w:spacing w:val="-2"/>
                <w:kern w:val="0"/>
                <w:szCs w:val="21"/>
              </w:rPr>
            </w:pPr>
          </w:p>
        </w:tc>
        <w:tc>
          <w:tcPr>
            <w:tcW w:w="6182" w:type="dxa"/>
            <w:tcMar>
              <w:left w:w="28" w:type="dxa"/>
              <w:right w:w="28" w:type="dxa"/>
            </w:tcMar>
            <w:vAlign w:val="center"/>
          </w:tcPr>
          <w:p w14:paraId="0197D6CB">
            <w:pPr>
              <w:jc w:val="left"/>
              <w:rPr>
                <w:rFonts w:ascii="Times New Roman" w:hAnsi="Times New Roman"/>
                <w:spacing w:val="-2"/>
                <w:kern w:val="0"/>
                <w:szCs w:val="21"/>
              </w:rPr>
            </w:pPr>
            <w:r>
              <w:rPr>
                <w:rFonts w:ascii="Times New Roman" w:hAnsi="Times New Roman"/>
                <w:spacing w:val="-2"/>
                <w:kern w:val="0"/>
                <w:szCs w:val="21"/>
              </w:rPr>
              <w:t>2. 红树林依据《广西壮族自治区红树林资源保护条例》进行管理。开展红树林修复要依法依规进行，并符合红树林资源保护规划等相关要求。</w:t>
            </w:r>
          </w:p>
        </w:tc>
        <w:tc>
          <w:tcPr>
            <w:tcW w:w="2420" w:type="dxa"/>
            <w:tcMar>
              <w:left w:w="28" w:type="dxa"/>
              <w:right w:w="28" w:type="dxa"/>
            </w:tcMar>
            <w:vAlign w:val="center"/>
          </w:tcPr>
          <w:p w14:paraId="3917DB46">
            <w:pPr>
              <w:jc w:val="left"/>
              <w:rPr>
                <w:rFonts w:ascii="Times New Roman" w:hAnsi="Times New Roman"/>
                <w:spacing w:val="-2"/>
                <w:kern w:val="0"/>
                <w:szCs w:val="21"/>
              </w:rPr>
            </w:pPr>
            <w:r>
              <w:rPr>
                <w:rFonts w:ascii="Times New Roman" w:hAnsi="Times New Roman"/>
                <w:spacing w:val="-2"/>
                <w:kern w:val="0"/>
                <w:szCs w:val="21"/>
              </w:rPr>
              <w:t>项目位于广西钦州保税港区内，不涉及占用红树林资源。</w:t>
            </w:r>
          </w:p>
          <w:p w14:paraId="6343E8BE">
            <w:pPr>
              <w:jc w:val="left"/>
              <w:rPr>
                <w:rFonts w:ascii="Times New Roman" w:hAnsi="Times New Roman"/>
                <w:b/>
                <w:bCs/>
                <w:spacing w:val="-2"/>
                <w:kern w:val="0"/>
                <w:szCs w:val="21"/>
              </w:rPr>
            </w:pPr>
            <w:r>
              <w:rPr>
                <w:rFonts w:ascii="Times New Roman" w:hAnsi="Times New Roman"/>
                <w:b/>
                <w:bCs/>
                <w:spacing w:val="-2"/>
                <w:kern w:val="0"/>
                <w:szCs w:val="21"/>
              </w:rPr>
              <w:t>符合。</w:t>
            </w:r>
          </w:p>
        </w:tc>
      </w:tr>
      <w:tr w14:paraId="493056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194" w:hRule="atLeast"/>
          <w:jc w:val="center"/>
        </w:trPr>
        <w:tc>
          <w:tcPr>
            <w:tcW w:w="480" w:type="dxa"/>
            <w:vMerge w:val="continue"/>
            <w:tcMar>
              <w:left w:w="28" w:type="dxa"/>
              <w:right w:w="28" w:type="dxa"/>
            </w:tcMar>
            <w:vAlign w:val="center"/>
          </w:tcPr>
          <w:p w14:paraId="466BBCA8">
            <w:pPr>
              <w:jc w:val="center"/>
              <w:rPr>
                <w:rFonts w:ascii="Times New Roman" w:hAnsi="Times New Roman"/>
                <w:spacing w:val="-2"/>
                <w:kern w:val="0"/>
                <w:szCs w:val="21"/>
              </w:rPr>
            </w:pPr>
          </w:p>
        </w:tc>
        <w:tc>
          <w:tcPr>
            <w:tcW w:w="6182" w:type="dxa"/>
            <w:tcMar>
              <w:left w:w="28" w:type="dxa"/>
              <w:right w:w="28" w:type="dxa"/>
            </w:tcMar>
            <w:vAlign w:val="center"/>
          </w:tcPr>
          <w:p w14:paraId="2E3142E9">
            <w:pPr>
              <w:jc w:val="left"/>
              <w:rPr>
                <w:rFonts w:ascii="Times New Roman" w:hAnsi="Times New Roman"/>
                <w:spacing w:val="-2"/>
                <w:kern w:val="0"/>
                <w:szCs w:val="21"/>
              </w:rPr>
            </w:pPr>
            <w:r>
              <w:rPr>
                <w:rFonts w:ascii="Times New Roman" w:hAnsi="Times New Roman"/>
                <w:spacing w:val="-2"/>
                <w:kern w:val="0"/>
                <w:szCs w:val="21"/>
              </w:rPr>
              <w:t>4. 禁止城镇和工业发展占用自然保护区、湿地保护区及生态环境极为敏感地区，对已有的工业企业逐步搬迁，减缓城镇空间和生态空间叠加布局对生态空间的破坏和侵占程度。禁止在水源保护区、湿地、永久基本农田、陡坡区、地质灾害高易发</w:t>
            </w:r>
            <w:r>
              <w:rPr>
                <w:rFonts w:ascii="宋体" w:hAnsi="宋体"/>
                <w:spacing w:val="-2"/>
                <w:kern w:val="0"/>
                <w:szCs w:val="21"/>
              </w:rPr>
              <w:t>区等地区建设和开发，严格限制自然保护区和湿地保护核心区人类活动；严格限制“两高一资”产业在十万大山、五皇山、六万大山、茅尾海等生物多样性保护区及水源涵养区等重点生态功能区布局，鼓励发展生态保护型旅游业、生态农业，统筹推进特色农业和旅游业融合发展。</w:t>
            </w:r>
          </w:p>
        </w:tc>
        <w:tc>
          <w:tcPr>
            <w:tcW w:w="2420" w:type="dxa"/>
            <w:tcMar>
              <w:left w:w="28" w:type="dxa"/>
              <w:right w:w="28" w:type="dxa"/>
            </w:tcMar>
            <w:vAlign w:val="center"/>
          </w:tcPr>
          <w:p w14:paraId="32E0C23B">
            <w:pPr>
              <w:jc w:val="left"/>
              <w:rPr>
                <w:rFonts w:ascii="Times New Roman" w:hAnsi="Times New Roman"/>
                <w:spacing w:val="-2"/>
                <w:kern w:val="0"/>
                <w:szCs w:val="21"/>
              </w:rPr>
            </w:pPr>
            <w:r>
              <w:rPr>
                <w:rFonts w:ascii="Times New Roman" w:hAnsi="Times New Roman"/>
                <w:spacing w:val="-2"/>
                <w:kern w:val="0"/>
                <w:szCs w:val="21"/>
              </w:rPr>
              <w:t>项目位于广西钦州保税港区内，不涉及占用自然保护区、湿</w:t>
            </w:r>
            <w:r>
              <w:rPr>
                <w:rFonts w:ascii="宋体" w:hAnsi="宋体"/>
                <w:spacing w:val="-2"/>
                <w:kern w:val="0"/>
                <w:szCs w:val="21"/>
              </w:rPr>
              <w:t>地保护区及生态环境极为敏感地区；不涉及水源保护区、湿地、永久基本农田、陡坡区、地质灾害高易发区。项目不属于“两高一资”项目。</w:t>
            </w:r>
          </w:p>
          <w:p w14:paraId="73882640">
            <w:pPr>
              <w:jc w:val="left"/>
              <w:rPr>
                <w:rFonts w:ascii="Times New Roman" w:hAnsi="Times New Roman"/>
                <w:spacing w:val="-2"/>
                <w:kern w:val="0"/>
                <w:szCs w:val="21"/>
              </w:rPr>
            </w:pPr>
            <w:r>
              <w:rPr>
                <w:rFonts w:ascii="Times New Roman" w:hAnsi="Times New Roman"/>
                <w:b/>
                <w:bCs/>
                <w:spacing w:val="-2"/>
                <w:kern w:val="0"/>
                <w:szCs w:val="21"/>
              </w:rPr>
              <w:t>符合。</w:t>
            </w:r>
          </w:p>
        </w:tc>
      </w:tr>
      <w:tr w14:paraId="2AD8AF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741" w:hRule="atLeast"/>
          <w:jc w:val="center"/>
        </w:trPr>
        <w:tc>
          <w:tcPr>
            <w:tcW w:w="480" w:type="dxa"/>
            <w:vMerge w:val="continue"/>
            <w:tcMar>
              <w:left w:w="28" w:type="dxa"/>
              <w:right w:w="28" w:type="dxa"/>
            </w:tcMar>
            <w:vAlign w:val="center"/>
          </w:tcPr>
          <w:p w14:paraId="5E7D7E3C">
            <w:pPr>
              <w:jc w:val="center"/>
              <w:rPr>
                <w:rFonts w:ascii="Times New Roman" w:hAnsi="Times New Roman"/>
                <w:spacing w:val="-2"/>
                <w:kern w:val="0"/>
                <w:szCs w:val="21"/>
              </w:rPr>
            </w:pPr>
          </w:p>
        </w:tc>
        <w:tc>
          <w:tcPr>
            <w:tcW w:w="6182" w:type="dxa"/>
            <w:tcMar>
              <w:left w:w="28" w:type="dxa"/>
              <w:right w:w="28" w:type="dxa"/>
            </w:tcMar>
            <w:vAlign w:val="center"/>
          </w:tcPr>
          <w:p w14:paraId="0F60A642">
            <w:pPr>
              <w:jc w:val="left"/>
              <w:rPr>
                <w:rFonts w:ascii="Times New Roman" w:hAnsi="Times New Roman"/>
                <w:spacing w:val="-2"/>
                <w:kern w:val="0"/>
                <w:szCs w:val="21"/>
              </w:rPr>
            </w:pPr>
            <w:r>
              <w:rPr>
                <w:rFonts w:ascii="Times New Roman" w:hAnsi="Times New Roman"/>
                <w:spacing w:val="-2"/>
                <w:kern w:val="0"/>
                <w:szCs w:val="21"/>
              </w:rPr>
              <w:t>9. 推进海域资源市场化配置，严控新增围填海造地，完善围填海总量管控，除国家重大战略项目外，全面停止新增围填海项目审批，全面清理非法占用海洋生态保护红线区域的围填海项目。</w:t>
            </w:r>
          </w:p>
        </w:tc>
        <w:tc>
          <w:tcPr>
            <w:tcW w:w="2420" w:type="dxa"/>
            <w:tcMar>
              <w:left w:w="28" w:type="dxa"/>
              <w:right w:w="28" w:type="dxa"/>
            </w:tcMar>
            <w:vAlign w:val="center"/>
          </w:tcPr>
          <w:p w14:paraId="09D6D905">
            <w:pPr>
              <w:jc w:val="left"/>
              <w:rPr>
                <w:rFonts w:ascii="Times New Roman" w:hAnsi="Times New Roman"/>
                <w:spacing w:val="-2"/>
                <w:kern w:val="0"/>
                <w:szCs w:val="21"/>
              </w:rPr>
            </w:pPr>
            <w:r>
              <w:rPr>
                <w:rFonts w:ascii="Times New Roman" w:hAnsi="Times New Roman"/>
                <w:spacing w:val="-2"/>
                <w:kern w:val="0"/>
                <w:szCs w:val="21"/>
              </w:rPr>
              <w:t>项目建设所在的陆域已形成，项目建设不涉及新增围填海。</w:t>
            </w:r>
          </w:p>
          <w:p w14:paraId="12503A49">
            <w:pPr>
              <w:jc w:val="left"/>
              <w:rPr>
                <w:rFonts w:ascii="Times New Roman" w:hAnsi="Times New Roman"/>
                <w:b/>
                <w:bCs/>
                <w:spacing w:val="-2"/>
                <w:kern w:val="0"/>
                <w:szCs w:val="21"/>
              </w:rPr>
            </w:pPr>
            <w:r>
              <w:rPr>
                <w:rFonts w:ascii="Times New Roman" w:hAnsi="Times New Roman"/>
                <w:b/>
                <w:bCs/>
                <w:spacing w:val="-2"/>
                <w:kern w:val="0"/>
                <w:szCs w:val="21"/>
              </w:rPr>
              <w:t>符合。</w:t>
            </w:r>
          </w:p>
        </w:tc>
      </w:tr>
      <w:tr w14:paraId="1B35AA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480" w:type="dxa"/>
            <w:vMerge w:val="continue"/>
            <w:tcMar>
              <w:left w:w="28" w:type="dxa"/>
              <w:right w:w="28" w:type="dxa"/>
            </w:tcMar>
            <w:vAlign w:val="center"/>
          </w:tcPr>
          <w:p w14:paraId="55C25535">
            <w:pPr>
              <w:jc w:val="center"/>
              <w:rPr>
                <w:rFonts w:ascii="Times New Roman" w:hAnsi="Times New Roman"/>
                <w:spacing w:val="-2"/>
                <w:kern w:val="0"/>
                <w:szCs w:val="21"/>
              </w:rPr>
            </w:pPr>
          </w:p>
        </w:tc>
        <w:tc>
          <w:tcPr>
            <w:tcW w:w="6182" w:type="dxa"/>
            <w:tcMar>
              <w:left w:w="28" w:type="dxa"/>
              <w:right w:w="28" w:type="dxa"/>
            </w:tcMar>
            <w:vAlign w:val="center"/>
          </w:tcPr>
          <w:p w14:paraId="1B4BA726">
            <w:pPr>
              <w:jc w:val="left"/>
              <w:rPr>
                <w:rFonts w:ascii="Times New Roman" w:hAnsi="Times New Roman"/>
                <w:spacing w:val="-2"/>
                <w:kern w:val="0"/>
                <w:szCs w:val="21"/>
              </w:rPr>
            </w:pPr>
            <w:r>
              <w:rPr>
                <w:rFonts w:ascii="Times New Roman" w:hAnsi="Times New Roman"/>
                <w:spacing w:val="-2"/>
                <w:kern w:val="0"/>
                <w:szCs w:val="21"/>
              </w:rPr>
              <w:t>11. 严格按照相关法律法规及海洋国土空间规划等要求，规范设置和监管入海排污口。禁止采挖海砂、设置直排排污口及其他破坏河口生态功能的开发活动。</w:t>
            </w:r>
          </w:p>
        </w:tc>
        <w:tc>
          <w:tcPr>
            <w:tcW w:w="2420" w:type="dxa"/>
            <w:tcMar>
              <w:left w:w="28" w:type="dxa"/>
              <w:right w:w="28" w:type="dxa"/>
            </w:tcMar>
            <w:vAlign w:val="center"/>
          </w:tcPr>
          <w:p w14:paraId="40582EED">
            <w:pPr>
              <w:jc w:val="left"/>
              <w:rPr>
                <w:rFonts w:ascii="Times New Roman" w:hAnsi="Times New Roman"/>
                <w:spacing w:val="-2"/>
                <w:kern w:val="0"/>
                <w:szCs w:val="21"/>
              </w:rPr>
            </w:pPr>
            <w:r>
              <w:rPr>
                <w:rFonts w:ascii="Times New Roman" w:hAnsi="Times New Roman"/>
                <w:spacing w:val="-2"/>
                <w:kern w:val="0"/>
                <w:szCs w:val="21"/>
              </w:rPr>
              <w:t>本项目不产生生产废水，生活污水排入市政管网送至大榄坪污水处理厂进一步处理，不设置入海排污口。</w:t>
            </w:r>
          </w:p>
          <w:p w14:paraId="120D16F0">
            <w:pPr>
              <w:jc w:val="left"/>
              <w:rPr>
                <w:rFonts w:ascii="Times New Roman" w:hAnsi="Times New Roman"/>
                <w:b/>
                <w:bCs/>
                <w:spacing w:val="-2"/>
                <w:kern w:val="0"/>
                <w:szCs w:val="21"/>
              </w:rPr>
            </w:pPr>
            <w:r>
              <w:rPr>
                <w:rFonts w:ascii="Times New Roman" w:hAnsi="Times New Roman"/>
                <w:b/>
                <w:bCs/>
                <w:spacing w:val="-2"/>
                <w:kern w:val="0"/>
                <w:szCs w:val="21"/>
              </w:rPr>
              <w:t>符合。</w:t>
            </w:r>
          </w:p>
        </w:tc>
      </w:tr>
      <w:tr w14:paraId="663B00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480" w:type="dxa"/>
            <w:vMerge w:val="continue"/>
            <w:tcMar>
              <w:left w:w="28" w:type="dxa"/>
              <w:right w:w="28" w:type="dxa"/>
            </w:tcMar>
            <w:vAlign w:val="center"/>
          </w:tcPr>
          <w:p w14:paraId="74E1EFEF">
            <w:pPr>
              <w:jc w:val="center"/>
              <w:rPr>
                <w:rFonts w:ascii="Times New Roman" w:hAnsi="Times New Roman"/>
                <w:spacing w:val="-2"/>
                <w:kern w:val="0"/>
                <w:szCs w:val="21"/>
              </w:rPr>
            </w:pPr>
          </w:p>
        </w:tc>
        <w:tc>
          <w:tcPr>
            <w:tcW w:w="6182" w:type="dxa"/>
            <w:tcMar>
              <w:left w:w="28" w:type="dxa"/>
              <w:right w:w="28" w:type="dxa"/>
            </w:tcMar>
            <w:vAlign w:val="center"/>
          </w:tcPr>
          <w:p w14:paraId="1ABEA767">
            <w:pPr>
              <w:jc w:val="left"/>
              <w:rPr>
                <w:rFonts w:ascii="Times New Roman" w:hAnsi="Times New Roman"/>
                <w:spacing w:val="-2"/>
                <w:kern w:val="0"/>
                <w:szCs w:val="21"/>
              </w:rPr>
            </w:pPr>
            <w:r>
              <w:rPr>
                <w:rFonts w:ascii="Times New Roman" w:hAnsi="Times New Roman"/>
                <w:spacing w:val="-2"/>
                <w:kern w:val="0"/>
                <w:szCs w:val="21"/>
              </w:rPr>
              <w:t>12. 严禁圈占沙滩和红树林，禁止红树林海岸带内陆采石等破坏性活动。对红树林、海草床、滨海湿地等重要海洋生态系统实行最严格的保护措施，加强珍稀濒危物种及重要海洋生态系统的生境保护，加大滨海湿地的保护和修复力度。禁止红树林海岸带内陆采石等破坏性活动。</w:t>
            </w:r>
          </w:p>
        </w:tc>
        <w:tc>
          <w:tcPr>
            <w:tcW w:w="2420" w:type="dxa"/>
            <w:tcMar>
              <w:left w:w="28" w:type="dxa"/>
              <w:right w:w="28" w:type="dxa"/>
            </w:tcMar>
            <w:vAlign w:val="center"/>
          </w:tcPr>
          <w:p w14:paraId="1F28CC66">
            <w:pPr>
              <w:jc w:val="left"/>
              <w:rPr>
                <w:rFonts w:ascii="Times New Roman" w:hAnsi="Times New Roman"/>
                <w:spacing w:val="-2"/>
                <w:kern w:val="0"/>
                <w:szCs w:val="21"/>
              </w:rPr>
            </w:pPr>
            <w:r>
              <w:rPr>
                <w:rFonts w:ascii="Times New Roman" w:hAnsi="Times New Roman"/>
                <w:spacing w:val="-2"/>
                <w:kern w:val="0"/>
                <w:szCs w:val="21"/>
              </w:rPr>
              <w:t>本项目不涉及占用红树林、海草床、滨海湿地等区域。</w:t>
            </w:r>
          </w:p>
          <w:p w14:paraId="7B361E72">
            <w:pPr>
              <w:jc w:val="left"/>
              <w:rPr>
                <w:rFonts w:ascii="Times New Roman" w:hAnsi="Times New Roman"/>
                <w:b/>
                <w:bCs/>
                <w:spacing w:val="-2"/>
                <w:kern w:val="0"/>
                <w:szCs w:val="21"/>
              </w:rPr>
            </w:pPr>
            <w:r>
              <w:rPr>
                <w:rFonts w:ascii="Times New Roman" w:hAnsi="Times New Roman"/>
                <w:b/>
                <w:bCs/>
                <w:spacing w:val="-2"/>
                <w:kern w:val="0"/>
                <w:szCs w:val="21"/>
              </w:rPr>
              <w:t>符合。</w:t>
            </w:r>
          </w:p>
        </w:tc>
      </w:tr>
      <w:tr w14:paraId="4A734D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480" w:type="dxa"/>
            <w:vMerge w:val="continue"/>
            <w:tcMar>
              <w:left w:w="28" w:type="dxa"/>
              <w:right w:w="28" w:type="dxa"/>
            </w:tcMar>
            <w:vAlign w:val="center"/>
          </w:tcPr>
          <w:p w14:paraId="009CE519">
            <w:pPr>
              <w:jc w:val="center"/>
              <w:rPr>
                <w:rFonts w:ascii="Times New Roman" w:hAnsi="Times New Roman"/>
                <w:spacing w:val="-2"/>
                <w:kern w:val="0"/>
                <w:szCs w:val="21"/>
              </w:rPr>
            </w:pPr>
          </w:p>
        </w:tc>
        <w:tc>
          <w:tcPr>
            <w:tcW w:w="6182" w:type="dxa"/>
            <w:tcMar>
              <w:left w:w="28" w:type="dxa"/>
              <w:right w:w="28" w:type="dxa"/>
            </w:tcMar>
            <w:vAlign w:val="center"/>
          </w:tcPr>
          <w:p w14:paraId="1E0D9626">
            <w:pPr>
              <w:jc w:val="left"/>
              <w:rPr>
                <w:rFonts w:ascii="Times New Roman" w:hAnsi="Times New Roman"/>
                <w:spacing w:val="-2"/>
                <w:kern w:val="0"/>
                <w:szCs w:val="21"/>
              </w:rPr>
            </w:pPr>
            <w:r>
              <w:rPr>
                <w:rFonts w:ascii="Times New Roman" w:hAnsi="Times New Roman"/>
                <w:spacing w:val="-2"/>
                <w:kern w:val="0"/>
                <w:szCs w:val="21"/>
              </w:rPr>
              <w:t>13. 严格用途管制，坚持陆海统筹，严禁国家产业政策淘汰类、限制类项目在滨海湿地布局，实现山水林田湖草整体保护、系统修复、综合治理</w:t>
            </w:r>
          </w:p>
        </w:tc>
        <w:tc>
          <w:tcPr>
            <w:tcW w:w="2420" w:type="dxa"/>
            <w:tcMar>
              <w:left w:w="28" w:type="dxa"/>
              <w:right w:w="28" w:type="dxa"/>
            </w:tcMar>
            <w:vAlign w:val="center"/>
          </w:tcPr>
          <w:p w14:paraId="0A45EDC6">
            <w:pPr>
              <w:jc w:val="left"/>
              <w:rPr>
                <w:rFonts w:ascii="Times New Roman" w:hAnsi="Times New Roman"/>
                <w:spacing w:val="-2"/>
                <w:kern w:val="0"/>
                <w:szCs w:val="21"/>
              </w:rPr>
            </w:pPr>
            <w:r>
              <w:rPr>
                <w:rFonts w:ascii="Times New Roman" w:hAnsi="Times New Roman"/>
                <w:spacing w:val="-2"/>
                <w:kern w:val="0"/>
                <w:szCs w:val="21"/>
              </w:rPr>
              <w:t>项目属于产业结构调整目录中鼓励类项目。</w:t>
            </w:r>
          </w:p>
          <w:p w14:paraId="37BF8C3A">
            <w:pPr>
              <w:jc w:val="left"/>
              <w:rPr>
                <w:rFonts w:ascii="Times New Roman" w:hAnsi="Times New Roman"/>
                <w:b/>
                <w:bCs/>
                <w:spacing w:val="-2"/>
                <w:kern w:val="0"/>
                <w:szCs w:val="21"/>
              </w:rPr>
            </w:pPr>
            <w:r>
              <w:rPr>
                <w:rFonts w:ascii="Times New Roman" w:hAnsi="Times New Roman"/>
                <w:b/>
                <w:bCs/>
                <w:spacing w:val="-2"/>
                <w:kern w:val="0"/>
                <w:szCs w:val="21"/>
              </w:rPr>
              <w:t>符合。</w:t>
            </w:r>
          </w:p>
        </w:tc>
      </w:tr>
      <w:tr w14:paraId="4BA33E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690" w:hRule="atLeast"/>
          <w:jc w:val="center"/>
        </w:trPr>
        <w:tc>
          <w:tcPr>
            <w:tcW w:w="480" w:type="dxa"/>
            <w:vMerge w:val="restart"/>
            <w:tcMar>
              <w:left w:w="28" w:type="dxa"/>
              <w:right w:w="28" w:type="dxa"/>
            </w:tcMar>
            <w:vAlign w:val="center"/>
          </w:tcPr>
          <w:p w14:paraId="446746A6">
            <w:pPr>
              <w:jc w:val="center"/>
              <w:rPr>
                <w:rFonts w:ascii="Times New Roman" w:hAnsi="Times New Roman"/>
                <w:spacing w:val="-2"/>
                <w:kern w:val="0"/>
                <w:szCs w:val="21"/>
              </w:rPr>
            </w:pPr>
            <w:r>
              <w:rPr>
                <w:rFonts w:ascii="Times New Roman" w:hAnsi="Times New Roman"/>
                <w:spacing w:val="-2"/>
                <w:kern w:val="0"/>
                <w:szCs w:val="21"/>
              </w:rPr>
              <w:t>污染物排放管控</w:t>
            </w:r>
          </w:p>
        </w:tc>
        <w:tc>
          <w:tcPr>
            <w:tcW w:w="6182" w:type="dxa"/>
            <w:tcMar>
              <w:left w:w="28" w:type="dxa"/>
              <w:right w:w="28" w:type="dxa"/>
            </w:tcMar>
            <w:vAlign w:val="center"/>
          </w:tcPr>
          <w:p w14:paraId="490E2333">
            <w:pPr>
              <w:jc w:val="left"/>
              <w:rPr>
                <w:rFonts w:ascii="Times New Roman" w:hAnsi="Times New Roman"/>
                <w:spacing w:val="-2"/>
                <w:kern w:val="0"/>
                <w:szCs w:val="21"/>
              </w:rPr>
            </w:pPr>
            <w:r>
              <w:rPr>
                <w:rFonts w:ascii="Times New Roman" w:hAnsi="Times New Roman"/>
                <w:spacing w:val="-2"/>
                <w:kern w:val="0"/>
                <w:szCs w:val="21"/>
              </w:rPr>
              <w:t>1. 落实《钦州工业污染源全面达标排放计划实施方案》，以钢铁、火电、水泥、煤炭、造纸、印染、污水处理、垃圾焚烧、制糖、酒精、有色金属、化工、铁合金、氮肥、农副食品加工、原料药制造、制革、农药、电镀、印刷、垃圾填埋等行业为重点，全面推进行业达标排放改造。新建、改建、扩建的制浆造纸、印染、纺织、煤化工、石化、煤电等建设项目新增主要污染物排放应控制在区域总量内的要求，确保环境质量达标。</w:t>
            </w:r>
          </w:p>
        </w:tc>
        <w:tc>
          <w:tcPr>
            <w:tcW w:w="2420" w:type="dxa"/>
            <w:tcMar>
              <w:left w:w="28" w:type="dxa"/>
              <w:right w:w="28" w:type="dxa"/>
            </w:tcMar>
            <w:vAlign w:val="center"/>
          </w:tcPr>
          <w:p w14:paraId="3E692DA6">
            <w:pPr>
              <w:jc w:val="left"/>
              <w:rPr>
                <w:rFonts w:ascii="Times New Roman" w:hAnsi="Times New Roman"/>
                <w:spacing w:val="-2"/>
                <w:kern w:val="0"/>
                <w:szCs w:val="21"/>
              </w:rPr>
            </w:pPr>
            <w:r>
              <w:rPr>
                <w:rFonts w:ascii="Times New Roman" w:hAnsi="Times New Roman"/>
                <w:spacing w:val="-2"/>
                <w:kern w:val="0"/>
                <w:szCs w:val="21"/>
              </w:rPr>
              <w:t>本项目为新建有色金属选矿项目，生产工艺简单，污染排放达标，排放量较小，满足环境质量要求。</w:t>
            </w:r>
          </w:p>
          <w:p w14:paraId="64091624">
            <w:pPr>
              <w:jc w:val="left"/>
              <w:rPr>
                <w:rFonts w:ascii="Times New Roman" w:hAnsi="Times New Roman"/>
                <w:b/>
                <w:bCs/>
                <w:spacing w:val="-2"/>
                <w:kern w:val="0"/>
                <w:szCs w:val="21"/>
              </w:rPr>
            </w:pPr>
            <w:r>
              <w:rPr>
                <w:rFonts w:ascii="Times New Roman" w:hAnsi="Times New Roman"/>
                <w:b/>
                <w:bCs/>
                <w:spacing w:val="-2"/>
                <w:kern w:val="0"/>
                <w:szCs w:val="21"/>
              </w:rPr>
              <w:t>符合。</w:t>
            </w:r>
          </w:p>
        </w:tc>
      </w:tr>
      <w:tr w14:paraId="79BAFD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126" w:hRule="atLeast"/>
          <w:jc w:val="center"/>
        </w:trPr>
        <w:tc>
          <w:tcPr>
            <w:tcW w:w="480" w:type="dxa"/>
            <w:vMerge w:val="continue"/>
            <w:tcMar>
              <w:left w:w="28" w:type="dxa"/>
              <w:right w:w="28" w:type="dxa"/>
            </w:tcMar>
            <w:vAlign w:val="center"/>
          </w:tcPr>
          <w:p w14:paraId="50B2718D">
            <w:pPr>
              <w:jc w:val="center"/>
              <w:rPr>
                <w:rFonts w:ascii="Times New Roman" w:hAnsi="Times New Roman"/>
                <w:spacing w:val="-2"/>
                <w:kern w:val="0"/>
                <w:szCs w:val="21"/>
              </w:rPr>
            </w:pPr>
          </w:p>
        </w:tc>
        <w:tc>
          <w:tcPr>
            <w:tcW w:w="6182" w:type="dxa"/>
            <w:tcMar>
              <w:left w:w="28" w:type="dxa"/>
              <w:right w:w="28" w:type="dxa"/>
            </w:tcMar>
            <w:vAlign w:val="center"/>
          </w:tcPr>
          <w:p w14:paraId="68BB0B6E">
            <w:pPr>
              <w:jc w:val="left"/>
              <w:rPr>
                <w:rFonts w:ascii="Times New Roman" w:hAnsi="Times New Roman"/>
                <w:spacing w:val="-2"/>
                <w:kern w:val="0"/>
                <w:szCs w:val="21"/>
              </w:rPr>
            </w:pPr>
            <w:r>
              <w:rPr>
                <w:rFonts w:ascii="Times New Roman" w:hAnsi="Times New Roman"/>
                <w:spacing w:val="-2"/>
                <w:kern w:val="0"/>
                <w:szCs w:val="21"/>
              </w:rPr>
              <w:t>2. 推进全市自治区级及以上工业园区污水管网全覆盖，提高工业企业水循环利用率，</w:t>
            </w:r>
            <w:r>
              <w:rPr>
                <w:rFonts w:ascii="宋体" w:hAnsi="宋体"/>
                <w:spacing w:val="-2"/>
                <w:kern w:val="0"/>
                <w:szCs w:val="21"/>
              </w:rPr>
              <w:t>按照“清污分流、雨污分流”原则，实施废水分类收集、分质处理，入园企业在达到国家或地方</w:t>
            </w:r>
            <w:r>
              <w:rPr>
                <w:rFonts w:ascii="Times New Roman" w:hAnsi="Times New Roman"/>
                <w:spacing w:val="-2"/>
                <w:kern w:val="0"/>
                <w:szCs w:val="21"/>
              </w:rPr>
              <w:t>规定的排放标准后接入园区集中式污水处理设施稳定达标排放；加快推进深海排放基础设施建设。</w:t>
            </w:r>
          </w:p>
        </w:tc>
        <w:tc>
          <w:tcPr>
            <w:tcW w:w="2420" w:type="dxa"/>
            <w:tcMar>
              <w:left w:w="28" w:type="dxa"/>
              <w:right w:w="28" w:type="dxa"/>
            </w:tcMar>
            <w:vAlign w:val="center"/>
          </w:tcPr>
          <w:p w14:paraId="6AB279AA">
            <w:pPr>
              <w:jc w:val="left"/>
              <w:rPr>
                <w:rFonts w:ascii="Times New Roman" w:hAnsi="Times New Roman"/>
                <w:spacing w:val="-2"/>
                <w:kern w:val="0"/>
                <w:szCs w:val="21"/>
              </w:rPr>
            </w:pPr>
            <w:r>
              <w:rPr>
                <w:rFonts w:ascii="Times New Roman" w:hAnsi="Times New Roman"/>
                <w:spacing w:val="-2"/>
                <w:kern w:val="0"/>
                <w:szCs w:val="21"/>
              </w:rPr>
              <w:t>本项目不产生生产废水，生活污水排入市政管网送至大榄坪污水处理厂进一步处理。</w:t>
            </w:r>
          </w:p>
          <w:p w14:paraId="5BF24E84">
            <w:pPr>
              <w:jc w:val="left"/>
              <w:rPr>
                <w:rFonts w:ascii="Times New Roman" w:hAnsi="Times New Roman"/>
                <w:b/>
                <w:bCs/>
                <w:spacing w:val="-2"/>
                <w:kern w:val="0"/>
                <w:szCs w:val="21"/>
              </w:rPr>
            </w:pPr>
            <w:r>
              <w:rPr>
                <w:rFonts w:ascii="Times New Roman" w:hAnsi="Times New Roman"/>
                <w:b/>
                <w:bCs/>
                <w:spacing w:val="-2"/>
                <w:kern w:val="0"/>
                <w:szCs w:val="21"/>
              </w:rPr>
              <w:t>符合。</w:t>
            </w:r>
          </w:p>
        </w:tc>
      </w:tr>
      <w:tr w14:paraId="20627B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52" w:hRule="atLeast"/>
          <w:jc w:val="center"/>
        </w:trPr>
        <w:tc>
          <w:tcPr>
            <w:tcW w:w="480" w:type="dxa"/>
            <w:vMerge w:val="continue"/>
            <w:tcMar>
              <w:left w:w="28" w:type="dxa"/>
              <w:right w:w="28" w:type="dxa"/>
            </w:tcMar>
            <w:vAlign w:val="center"/>
          </w:tcPr>
          <w:p w14:paraId="158A2F5E">
            <w:pPr>
              <w:jc w:val="center"/>
              <w:rPr>
                <w:rFonts w:ascii="Times New Roman" w:hAnsi="Times New Roman"/>
                <w:spacing w:val="-2"/>
                <w:kern w:val="0"/>
                <w:szCs w:val="21"/>
              </w:rPr>
            </w:pPr>
          </w:p>
        </w:tc>
        <w:tc>
          <w:tcPr>
            <w:tcW w:w="6182" w:type="dxa"/>
            <w:tcMar>
              <w:left w:w="28" w:type="dxa"/>
              <w:right w:w="28" w:type="dxa"/>
            </w:tcMar>
            <w:vAlign w:val="center"/>
          </w:tcPr>
          <w:p w14:paraId="7147EE9B">
            <w:pPr>
              <w:jc w:val="left"/>
              <w:rPr>
                <w:rFonts w:ascii="Times New Roman" w:hAnsi="Times New Roman"/>
                <w:spacing w:val="-2"/>
                <w:kern w:val="0"/>
                <w:szCs w:val="21"/>
              </w:rPr>
            </w:pPr>
            <w:r>
              <w:rPr>
                <w:rFonts w:ascii="Times New Roman" w:hAnsi="Times New Roman"/>
                <w:spacing w:val="-2"/>
                <w:kern w:val="0"/>
                <w:szCs w:val="21"/>
              </w:rPr>
              <w:t>5. 加强工业企业无组织废气排放控制，加强挥发性有机物（VOCs）排放企业综合防治，加快高效 VOCs 收集治理设施建设，大力提升VOCs 排放收集率、去除率和治理设施运行率。推进工业涂装、石化、包装印刷、木材加工、汽修等行业和油品储运销的 VOCs 综合治理。</w:t>
            </w:r>
          </w:p>
        </w:tc>
        <w:tc>
          <w:tcPr>
            <w:tcW w:w="2420" w:type="dxa"/>
            <w:tcMar>
              <w:left w:w="28" w:type="dxa"/>
              <w:right w:w="28" w:type="dxa"/>
            </w:tcMar>
            <w:vAlign w:val="center"/>
          </w:tcPr>
          <w:p w14:paraId="6F9998C2">
            <w:pPr>
              <w:jc w:val="left"/>
              <w:rPr>
                <w:rFonts w:ascii="Times New Roman" w:hAnsi="Times New Roman"/>
                <w:spacing w:val="-2"/>
                <w:kern w:val="0"/>
                <w:szCs w:val="21"/>
              </w:rPr>
            </w:pPr>
            <w:r>
              <w:rPr>
                <w:rFonts w:ascii="Times New Roman" w:hAnsi="Times New Roman"/>
                <w:spacing w:val="-2"/>
                <w:kern w:val="0"/>
                <w:szCs w:val="21"/>
              </w:rPr>
              <w:t>本项目生产过程中不产生VOCs。</w:t>
            </w:r>
          </w:p>
          <w:p w14:paraId="72862C68">
            <w:pPr>
              <w:jc w:val="left"/>
              <w:rPr>
                <w:rFonts w:ascii="Times New Roman" w:hAnsi="Times New Roman"/>
                <w:b/>
                <w:bCs/>
                <w:spacing w:val="-2"/>
                <w:kern w:val="0"/>
                <w:szCs w:val="21"/>
              </w:rPr>
            </w:pPr>
            <w:r>
              <w:rPr>
                <w:rFonts w:ascii="Times New Roman" w:hAnsi="Times New Roman"/>
                <w:b/>
                <w:bCs/>
                <w:spacing w:val="-2"/>
                <w:kern w:val="0"/>
                <w:szCs w:val="21"/>
              </w:rPr>
              <w:t>符合。</w:t>
            </w:r>
          </w:p>
        </w:tc>
      </w:tr>
      <w:tr w14:paraId="5ADB42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75" w:hRule="atLeast"/>
          <w:jc w:val="center"/>
        </w:trPr>
        <w:tc>
          <w:tcPr>
            <w:tcW w:w="480" w:type="dxa"/>
            <w:vMerge w:val="continue"/>
            <w:tcMar>
              <w:left w:w="28" w:type="dxa"/>
              <w:right w:w="28" w:type="dxa"/>
            </w:tcMar>
            <w:vAlign w:val="center"/>
          </w:tcPr>
          <w:p w14:paraId="7D1D699B">
            <w:pPr>
              <w:jc w:val="center"/>
              <w:rPr>
                <w:rFonts w:ascii="Times New Roman" w:hAnsi="Times New Roman"/>
                <w:spacing w:val="-2"/>
                <w:kern w:val="0"/>
                <w:szCs w:val="21"/>
              </w:rPr>
            </w:pPr>
          </w:p>
        </w:tc>
        <w:tc>
          <w:tcPr>
            <w:tcW w:w="6182" w:type="dxa"/>
            <w:tcMar>
              <w:left w:w="28" w:type="dxa"/>
              <w:right w:w="28" w:type="dxa"/>
            </w:tcMar>
            <w:vAlign w:val="center"/>
          </w:tcPr>
          <w:p w14:paraId="6C6958D7">
            <w:pPr>
              <w:jc w:val="left"/>
              <w:rPr>
                <w:rFonts w:ascii="Times New Roman" w:hAnsi="Times New Roman"/>
                <w:spacing w:val="-2"/>
                <w:kern w:val="0"/>
                <w:szCs w:val="21"/>
              </w:rPr>
            </w:pPr>
            <w:r>
              <w:rPr>
                <w:rFonts w:ascii="Times New Roman" w:hAnsi="Times New Roman"/>
                <w:spacing w:val="-2"/>
                <w:kern w:val="0"/>
                <w:szCs w:val="21"/>
              </w:rPr>
              <w:t>8. 新建、改建、扩建涉及重点重金属排放建设项目依照相关规定实行总量控制。</w:t>
            </w:r>
          </w:p>
        </w:tc>
        <w:tc>
          <w:tcPr>
            <w:tcW w:w="2420" w:type="dxa"/>
            <w:tcMar>
              <w:left w:w="28" w:type="dxa"/>
              <w:right w:w="28" w:type="dxa"/>
            </w:tcMar>
            <w:vAlign w:val="center"/>
          </w:tcPr>
          <w:p w14:paraId="208221EC">
            <w:pPr>
              <w:jc w:val="left"/>
              <w:rPr>
                <w:rFonts w:ascii="Times New Roman" w:hAnsi="Times New Roman"/>
                <w:spacing w:val="-2"/>
                <w:kern w:val="0"/>
                <w:szCs w:val="21"/>
              </w:rPr>
            </w:pPr>
            <w:r>
              <w:rPr>
                <w:rFonts w:ascii="Times New Roman" w:hAnsi="Times New Roman"/>
                <w:spacing w:val="-2"/>
                <w:kern w:val="0"/>
                <w:szCs w:val="21"/>
              </w:rPr>
              <w:t>本项目生产过程中不产生含重金属污染物排放。</w:t>
            </w:r>
          </w:p>
          <w:p w14:paraId="3B5C3147">
            <w:pPr>
              <w:jc w:val="left"/>
              <w:rPr>
                <w:rFonts w:ascii="Times New Roman" w:hAnsi="Times New Roman"/>
                <w:b/>
                <w:bCs/>
                <w:spacing w:val="-2"/>
                <w:kern w:val="0"/>
                <w:szCs w:val="21"/>
              </w:rPr>
            </w:pPr>
            <w:r>
              <w:rPr>
                <w:rFonts w:ascii="Times New Roman" w:hAnsi="Times New Roman"/>
                <w:b/>
                <w:bCs/>
                <w:spacing w:val="-2"/>
                <w:kern w:val="0"/>
                <w:szCs w:val="21"/>
              </w:rPr>
              <w:t>符合。</w:t>
            </w:r>
          </w:p>
        </w:tc>
      </w:tr>
      <w:tr w14:paraId="2F5993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480" w:type="dxa"/>
            <w:vMerge w:val="restart"/>
            <w:tcMar>
              <w:left w:w="28" w:type="dxa"/>
              <w:right w:w="28" w:type="dxa"/>
            </w:tcMar>
            <w:vAlign w:val="center"/>
          </w:tcPr>
          <w:p w14:paraId="289D281B">
            <w:pPr>
              <w:jc w:val="center"/>
              <w:rPr>
                <w:rFonts w:ascii="Times New Roman" w:hAnsi="Times New Roman"/>
                <w:spacing w:val="-2"/>
                <w:kern w:val="0"/>
                <w:szCs w:val="21"/>
              </w:rPr>
            </w:pPr>
            <w:r>
              <w:rPr>
                <w:rFonts w:ascii="Times New Roman" w:hAnsi="Times New Roman"/>
                <w:spacing w:val="-2"/>
                <w:kern w:val="0"/>
              </w:rPr>
              <w:t>环境风险防控</w:t>
            </w:r>
          </w:p>
        </w:tc>
        <w:tc>
          <w:tcPr>
            <w:tcW w:w="6182" w:type="dxa"/>
            <w:tcMar>
              <w:left w:w="28" w:type="dxa"/>
              <w:right w:w="28" w:type="dxa"/>
            </w:tcMar>
            <w:vAlign w:val="center"/>
          </w:tcPr>
          <w:p w14:paraId="3018518D">
            <w:pPr>
              <w:jc w:val="left"/>
              <w:rPr>
                <w:rFonts w:ascii="Times New Roman" w:hAnsi="Times New Roman"/>
                <w:spacing w:val="-2"/>
                <w:kern w:val="0"/>
              </w:rPr>
            </w:pPr>
            <w:r>
              <w:rPr>
                <w:rFonts w:ascii="Times New Roman" w:hAnsi="Times New Roman"/>
                <w:spacing w:val="-2"/>
                <w:kern w:val="0"/>
              </w:rPr>
              <w:t>1. 强化环境风险源精准化管理，健全企业突发环境事件风险评估制度，动态更新重点环境风险源管理目录清单，建立信息齐全、数据准确的风险源及敏感保护目标的数据库，准确掌握重点环境风险源分布情况，重点加强较大及以上风险等级风险源的环境风险防范和应急预警管理。</w:t>
            </w:r>
          </w:p>
        </w:tc>
        <w:tc>
          <w:tcPr>
            <w:tcW w:w="2420" w:type="dxa"/>
            <w:tcMar>
              <w:left w:w="28" w:type="dxa"/>
              <w:right w:w="28" w:type="dxa"/>
            </w:tcMar>
            <w:vAlign w:val="center"/>
          </w:tcPr>
          <w:p w14:paraId="2FFD5B7A">
            <w:pPr>
              <w:pStyle w:val="4064"/>
              <w:spacing w:line="240" w:lineRule="auto"/>
              <w:ind w:firstLine="0" w:firstLineChars="0"/>
              <w:rPr>
                <w:spacing w:val="-2"/>
              </w:rPr>
            </w:pPr>
            <w:r>
              <w:rPr>
                <w:spacing w:val="-2"/>
              </w:rPr>
              <w:t>项目运营后按要求开展风险评估，制订突发环境应急预案，健全企业应急制度管理。</w:t>
            </w:r>
          </w:p>
          <w:p w14:paraId="25AB1537">
            <w:pPr>
              <w:pStyle w:val="4064"/>
              <w:spacing w:line="240" w:lineRule="auto"/>
              <w:ind w:firstLine="0" w:firstLineChars="0"/>
              <w:rPr>
                <w:b/>
                <w:bCs/>
                <w:spacing w:val="-2"/>
              </w:rPr>
            </w:pPr>
            <w:r>
              <w:rPr>
                <w:b/>
                <w:bCs/>
                <w:spacing w:val="-2"/>
              </w:rPr>
              <w:t>符合。</w:t>
            </w:r>
          </w:p>
        </w:tc>
      </w:tr>
      <w:tr w14:paraId="5292EB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480" w:type="dxa"/>
            <w:vMerge w:val="continue"/>
            <w:tcMar>
              <w:left w:w="28" w:type="dxa"/>
              <w:right w:w="28" w:type="dxa"/>
            </w:tcMar>
            <w:vAlign w:val="center"/>
          </w:tcPr>
          <w:p w14:paraId="1A8821DA">
            <w:pPr>
              <w:jc w:val="center"/>
              <w:rPr>
                <w:rFonts w:ascii="Times New Roman" w:hAnsi="Times New Roman"/>
                <w:spacing w:val="-2"/>
                <w:kern w:val="0"/>
              </w:rPr>
            </w:pPr>
          </w:p>
        </w:tc>
        <w:tc>
          <w:tcPr>
            <w:tcW w:w="6182" w:type="dxa"/>
            <w:tcMar>
              <w:left w:w="28" w:type="dxa"/>
              <w:right w:w="28" w:type="dxa"/>
            </w:tcMar>
            <w:vAlign w:val="center"/>
          </w:tcPr>
          <w:p w14:paraId="73875DC4">
            <w:pPr>
              <w:jc w:val="left"/>
              <w:rPr>
                <w:rFonts w:ascii="Times New Roman" w:hAnsi="Times New Roman"/>
                <w:spacing w:val="-2"/>
                <w:kern w:val="0"/>
              </w:rPr>
            </w:pPr>
            <w:r>
              <w:rPr>
                <w:rFonts w:ascii="Times New Roman" w:hAnsi="Times New Roman"/>
                <w:spacing w:val="-2"/>
                <w:kern w:val="0"/>
              </w:rPr>
              <w:t>2. 选择涉重涉危企业、化工园区、集中式饮用水水源地等重要区域开展突发环境事件风险、环境健康风险评估，实施分类分级风险管控。</w:t>
            </w:r>
          </w:p>
        </w:tc>
        <w:tc>
          <w:tcPr>
            <w:tcW w:w="2420" w:type="dxa"/>
            <w:tcMar>
              <w:left w:w="28" w:type="dxa"/>
              <w:right w:w="28" w:type="dxa"/>
            </w:tcMar>
            <w:vAlign w:val="center"/>
          </w:tcPr>
          <w:p w14:paraId="2B252389">
            <w:pPr>
              <w:pStyle w:val="4064"/>
              <w:spacing w:line="240" w:lineRule="auto"/>
              <w:ind w:firstLine="0" w:firstLineChars="0"/>
              <w:rPr>
                <w:spacing w:val="-2"/>
              </w:rPr>
            </w:pPr>
            <w:r>
              <w:rPr>
                <w:spacing w:val="-2"/>
              </w:rPr>
              <w:t>本项目生产过程中不产生含重金属污染物排放</w:t>
            </w:r>
            <w:r>
              <w:rPr>
                <w:rFonts w:hint="eastAsia"/>
                <w:spacing w:val="-2"/>
              </w:rPr>
              <w:t>；项目不涉及化工园区、集中式饮用水水源地。</w:t>
            </w:r>
          </w:p>
          <w:p w14:paraId="4AD11802">
            <w:pPr>
              <w:pStyle w:val="4064"/>
              <w:spacing w:line="240" w:lineRule="auto"/>
              <w:ind w:firstLine="0" w:firstLineChars="0"/>
              <w:rPr>
                <w:spacing w:val="-2"/>
              </w:rPr>
            </w:pPr>
            <w:r>
              <w:rPr>
                <w:b/>
                <w:bCs/>
                <w:spacing w:val="-2"/>
              </w:rPr>
              <w:t>符合。</w:t>
            </w:r>
          </w:p>
        </w:tc>
      </w:tr>
      <w:tr w14:paraId="1EA32E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480" w:type="dxa"/>
            <w:vMerge w:val="continue"/>
            <w:tcMar>
              <w:left w:w="28" w:type="dxa"/>
              <w:right w:w="28" w:type="dxa"/>
            </w:tcMar>
            <w:vAlign w:val="center"/>
          </w:tcPr>
          <w:p w14:paraId="695CBC3B">
            <w:pPr>
              <w:jc w:val="center"/>
              <w:rPr>
                <w:rFonts w:ascii="Times New Roman" w:hAnsi="Times New Roman"/>
                <w:spacing w:val="-2"/>
                <w:kern w:val="0"/>
              </w:rPr>
            </w:pPr>
          </w:p>
        </w:tc>
        <w:tc>
          <w:tcPr>
            <w:tcW w:w="6182" w:type="dxa"/>
            <w:tcMar>
              <w:left w:w="28" w:type="dxa"/>
              <w:right w:w="28" w:type="dxa"/>
            </w:tcMar>
            <w:vAlign w:val="center"/>
          </w:tcPr>
          <w:p w14:paraId="25AE1507">
            <w:pPr>
              <w:jc w:val="left"/>
              <w:rPr>
                <w:rFonts w:ascii="Times New Roman" w:hAnsi="Times New Roman"/>
                <w:spacing w:val="-2"/>
                <w:kern w:val="0"/>
              </w:rPr>
            </w:pPr>
            <w:r>
              <w:rPr>
                <w:rFonts w:ascii="Times New Roman" w:hAnsi="Times New Roman"/>
                <w:spacing w:val="-2"/>
                <w:kern w:val="0"/>
              </w:rPr>
              <w:t>4. 严格建设项目环境准入，永久基本农田集中区域禁止规划新建可能造成土壤污染的建设项目；新（改、扩）建涉有毒有害物质可能造成土壤污染的建设项目，提出并落实污染防治要求。</w:t>
            </w:r>
          </w:p>
        </w:tc>
        <w:tc>
          <w:tcPr>
            <w:tcW w:w="2420" w:type="dxa"/>
            <w:tcMar>
              <w:left w:w="28" w:type="dxa"/>
              <w:right w:w="28" w:type="dxa"/>
            </w:tcMar>
            <w:vAlign w:val="center"/>
          </w:tcPr>
          <w:p w14:paraId="22696F1B">
            <w:pPr>
              <w:pStyle w:val="4064"/>
              <w:spacing w:line="240" w:lineRule="auto"/>
              <w:ind w:firstLine="0" w:firstLineChars="0"/>
              <w:rPr>
                <w:spacing w:val="-2"/>
              </w:rPr>
            </w:pPr>
            <w:r>
              <w:rPr>
                <w:spacing w:val="-2"/>
              </w:rPr>
              <w:t>项目位于广西钦州保税港区内，不涉及占用基本农田。</w:t>
            </w:r>
          </w:p>
          <w:p w14:paraId="41D8362D">
            <w:pPr>
              <w:pStyle w:val="4064"/>
              <w:spacing w:line="240" w:lineRule="auto"/>
              <w:ind w:firstLine="0" w:firstLineChars="0"/>
              <w:rPr>
                <w:b/>
                <w:bCs/>
                <w:spacing w:val="-2"/>
              </w:rPr>
            </w:pPr>
            <w:r>
              <w:rPr>
                <w:b/>
                <w:bCs/>
                <w:spacing w:val="-2"/>
              </w:rPr>
              <w:t>符合。</w:t>
            </w:r>
          </w:p>
        </w:tc>
      </w:tr>
      <w:tr w14:paraId="3974D2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480" w:type="dxa"/>
            <w:vMerge w:val="continue"/>
            <w:tcMar>
              <w:left w:w="28" w:type="dxa"/>
              <w:right w:w="28" w:type="dxa"/>
            </w:tcMar>
            <w:vAlign w:val="center"/>
          </w:tcPr>
          <w:p w14:paraId="7531EED1">
            <w:pPr>
              <w:jc w:val="center"/>
              <w:rPr>
                <w:rFonts w:ascii="Times New Roman" w:hAnsi="Times New Roman"/>
                <w:spacing w:val="-2"/>
                <w:kern w:val="0"/>
                <w:szCs w:val="21"/>
              </w:rPr>
            </w:pPr>
          </w:p>
        </w:tc>
        <w:tc>
          <w:tcPr>
            <w:tcW w:w="6182" w:type="dxa"/>
            <w:tcMar>
              <w:left w:w="28" w:type="dxa"/>
              <w:right w:w="28" w:type="dxa"/>
            </w:tcMar>
            <w:vAlign w:val="center"/>
          </w:tcPr>
          <w:p w14:paraId="17A3B027">
            <w:pPr>
              <w:jc w:val="left"/>
              <w:rPr>
                <w:rFonts w:ascii="Times New Roman" w:hAnsi="Times New Roman"/>
                <w:spacing w:val="-2"/>
                <w:kern w:val="0"/>
              </w:rPr>
            </w:pPr>
            <w:r>
              <w:rPr>
                <w:rFonts w:ascii="Times New Roman" w:hAnsi="Times New Roman"/>
                <w:spacing w:val="-2"/>
                <w:kern w:val="0"/>
              </w:rPr>
              <w:t>5. 强化全域矿产资源开发监管，建立矿石生态环境动态监测网络，</w:t>
            </w:r>
          </w:p>
          <w:p w14:paraId="7DA9951E">
            <w:pPr>
              <w:jc w:val="left"/>
              <w:rPr>
                <w:rFonts w:ascii="Times New Roman" w:hAnsi="Times New Roman"/>
                <w:spacing w:val="-2"/>
                <w:kern w:val="0"/>
              </w:rPr>
            </w:pPr>
            <w:r>
              <w:rPr>
                <w:rFonts w:ascii="Times New Roman" w:hAnsi="Times New Roman"/>
                <w:spacing w:val="-2"/>
                <w:kern w:val="0"/>
              </w:rPr>
              <w:t>禁止矿山废水、废气、废渣的无序排放。</w:t>
            </w:r>
          </w:p>
        </w:tc>
        <w:tc>
          <w:tcPr>
            <w:tcW w:w="2420" w:type="dxa"/>
            <w:tcMar>
              <w:left w:w="28" w:type="dxa"/>
              <w:right w:w="28" w:type="dxa"/>
            </w:tcMar>
            <w:vAlign w:val="center"/>
          </w:tcPr>
          <w:p w14:paraId="6DCA8EA4">
            <w:pPr>
              <w:jc w:val="left"/>
              <w:rPr>
                <w:rFonts w:ascii="Times New Roman" w:hAnsi="Times New Roman"/>
                <w:spacing w:val="-2"/>
                <w:kern w:val="0"/>
                <w:szCs w:val="21"/>
              </w:rPr>
            </w:pPr>
            <w:r>
              <w:rPr>
                <w:rFonts w:ascii="Times New Roman" w:hAnsi="Times New Roman"/>
                <w:spacing w:val="-2"/>
                <w:kern w:val="0"/>
                <w:szCs w:val="21"/>
              </w:rPr>
              <w:t>本项目为锆钛矿分选加工项目，不涉及矿产开采内容。</w:t>
            </w:r>
          </w:p>
          <w:p w14:paraId="0ECF1567">
            <w:pPr>
              <w:jc w:val="left"/>
              <w:rPr>
                <w:rFonts w:ascii="Times New Roman" w:hAnsi="Times New Roman"/>
                <w:b/>
                <w:bCs/>
                <w:spacing w:val="-2"/>
                <w:kern w:val="0"/>
                <w:szCs w:val="21"/>
              </w:rPr>
            </w:pPr>
            <w:r>
              <w:rPr>
                <w:rFonts w:ascii="Times New Roman" w:hAnsi="Times New Roman"/>
                <w:b/>
                <w:bCs/>
                <w:spacing w:val="-2"/>
                <w:kern w:val="0"/>
                <w:szCs w:val="21"/>
              </w:rPr>
              <w:t>符合。</w:t>
            </w:r>
          </w:p>
        </w:tc>
      </w:tr>
      <w:tr w14:paraId="0742B5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480" w:type="dxa"/>
            <w:vMerge w:val="restart"/>
            <w:tcMar>
              <w:left w:w="28" w:type="dxa"/>
              <w:right w:w="28" w:type="dxa"/>
            </w:tcMar>
            <w:vAlign w:val="center"/>
          </w:tcPr>
          <w:p w14:paraId="51BF6084">
            <w:pPr>
              <w:jc w:val="center"/>
              <w:rPr>
                <w:rFonts w:ascii="Times New Roman" w:hAnsi="Times New Roman"/>
                <w:spacing w:val="-2"/>
                <w:kern w:val="0"/>
                <w:szCs w:val="21"/>
              </w:rPr>
            </w:pPr>
            <w:r>
              <w:rPr>
                <w:rFonts w:ascii="Times New Roman" w:hAnsi="Times New Roman"/>
                <w:spacing w:val="-2"/>
                <w:kern w:val="0"/>
                <w:szCs w:val="21"/>
              </w:rPr>
              <w:t>资源开发利用效率要求</w:t>
            </w:r>
          </w:p>
        </w:tc>
        <w:tc>
          <w:tcPr>
            <w:tcW w:w="6182" w:type="dxa"/>
            <w:tcMar>
              <w:left w:w="28" w:type="dxa"/>
              <w:right w:w="28" w:type="dxa"/>
            </w:tcMar>
            <w:vAlign w:val="center"/>
          </w:tcPr>
          <w:p w14:paraId="35E67F3F">
            <w:pPr>
              <w:jc w:val="left"/>
              <w:rPr>
                <w:rFonts w:ascii="Times New Roman" w:hAnsi="Times New Roman"/>
                <w:spacing w:val="-2"/>
                <w:kern w:val="0"/>
              </w:rPr>
            </w:pPr>
            <w:r>
              <w:rPr>
                <w:rFonts w:ascii="Times New Roman" w:hAnsi="Times New Roman"/>
                <w:spacing w:val="-2"/>
                <w:kern w:val="0"/>
              </w:rPr>
              <w:t>1. 能</w:t>
            </w:r>
            <w:r>
              <w:rPr>
                <w:rFonts w:ascii="宋体" w:hAnsi="宋体"/>
                <w:spacing w:val="-2"/>
                <w:kern w:val="0"/>
              </w:rPr>
              <w:t>源：推进能源消费总量和强度“双控”。推进绿色清洁能源生产，推进重点行业和重要领域绿色化改造，打造绿色园区和绿色企业，促进工业园区、产业集聚区低碳循环化发展。推动能源多元清洁发展，培育发展清洁能源和可再生能源产业，锂电池制造及风电、光伏发电、生物质发电等清洁能源产业发展要符合相应能源规划和国土空间规划的要求；推动能源清洁低碳安全高效利用，合理控制煤炭消费。落实国家碳排放达峰行动方案，降低碳排放强度。海洋石油勘探开发严格执</w:t>
            </w:r>
            <w:r>
              <w:rPr>
                <w:rFonts w:ascii="Times New Roman" w:hAnsi="Times New Roman"/>
                <w:spacing w:val="-2"/>
                <w:kern w:val="0"/>
              </w:rPr>
              <w:t>行《中华人民共和国海洋石油勘探开发环境保护管理条例》要求。</w:t>
            </w:r>
          </w:p>
        </w:tc>
        <w:tc>
          <w:tcPr>
            <w:tcW w:w="2420" w:type="dxa"/>
            <w:tcMar>
              <w:left w:w="28" w:type="dxa"/>
              <w:right w:w="28" w:type="dxa"/>
            </w:tcMar>
            <w:vAlign w:val="center"/>
          </w:tcPr>
          <w:p w14:paraId="66AC5ED0">
            <w:pPr>
              <w:jc w:val="left"/>
              <w:rPr>
                <w:rFonts w:ascii="Times New Roman" w:hAnsi="Times New Roman"/>
                <w:spacing w:val="-2"/>
                <w:kern w:val="0"/>
                <w:szCs w:val="21"/>
              </w:rPr>
            </w:pPr>
            <w:r>
              <w:rPr>
                <w:rFonts w:ascii="Times New Roman" w:hAnsi="Times New Roman"/>
                <w:spacing w:val="-2"/>
                <w:kern w:val="0"/>
                <w:szCs w:val="21"/>
              </w:rPr>
              <w:t>项目</w:t>
            </w:r>
            <w:r>
              <w:rPr>
                <w:rFonts w:hint="eastAsia" w:ascii="Times New Roman" w:hAnsi="Times New Roman"/>
                <w:spacing w:val="-2"/>
                <w:kern w:val="0"/>
                <w:szCs w:val="21"/>
              </w:rPr>
              <w:t>使用成型生物质燃料，不使用煤炭，有利于降低区域煤炭消费量，</w:t>
            </w:r>
            <w:r>
              <w:rPr>
                <w:rFonts w:ascii="Times New Roman" w:hAnsi="Times New Roman"/>
                <w:spacing w:val="-2"/>
                <w:kern w:val="0"/>
                <w:szCs w:val="21"/>
              </w:rPr>
              <w:t>降低碳排放强度。</w:t>
            </w:r>
          </w:p>
          <w:p w14:paraId="7DBE43F9">
            <w:pPr>
              <w:jc w:val="left"/>
              <w:rPr>
                <w:rFonts w:ascii="Times New Roman" w:hAnsi="Times New Roman"/>
                <w:b/>
                <w:bCs/>
                <w:spacing w:val="-2"/>
                <w:kern w:val="0"/>
                <w:szCs w:val="21"/>
              </w:rPr>
            </w:pPr>
            <w:r>
              <w:rPr>
                <w:rFonts w:ascii="Times New Roman" w:hAnsi="Times New Roman"/>
                <w:b/>
                <w:bCs/>
                <w:spacing w:val="-2"/>
                <w:kern w:val="0"/>
                <w:szCs w:val="21"/>
              </w:rPr>
              <w:t>符合。</w:t>
            </w:r>
          </w:p>
        </w:tc>
      </w:tr>
      <w:tr w14:paraId="5703D6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480" w:type="dxa"/>
            <w:vMerge w:val="continue"/>
            <w:tcMar>
              <w:left w:w="28" w:type="dxa"/>
              <w:right w:w="28" w:type="dxa"/>
            </w:tcMar>
            <w:vAlign w:val="center"/>
          </w:tcPr>
          <w:p w14:paraId="25405809">
            <w:pPr>
              <w:jc w:val="center"/>
              <w:rPr>
                <w:rFonts w:ascii="Times New Roman" w:hAnsi="Times New Roman"/>
                <w:spacing w:val="-2"/>
                <w:kern w:val="0"/>
                <w:szCs w:val="21"/>
              </w:rPr>
            </w:pPr>
          </w:p>
        </w:tc>
        <w:tc>
          <w:tcPr>
            <w:tcW w:w="6182" w:type="dxa"/>
            <w:tcMar>
              <w:left w:w="28" w:type="dxa"/>
              <w:right w:w="28" w:type="dxa"/>
            </w:tcMar>
            <w:vAlign w:val="center"/>
          </w:tcPr>
          <w:p w14:paraId="307E0EDD">
            <w:pPr>
              <w:jc w:val="left"/>
              <w:rPr>
                <w:rFonts w:ascii="Times New Roman" w:hAnsi="Times New Roman"/>
                <w:spacing w:val="-2"/>
                <w:kern w:val="0"/>
              </w:rPr>
            </w:pPr>
            <w:r>
              <w:rPr>
                <w:rFonts w:ascii="Times New Roman" w:hAnsi="Times New Roman"/>
                <w:spacing w:val="-2"/>
                <w:kern w:val="0"/>
              </w:rPr>
              <w:t>2. 土地资源：严格执行自治区下达的土地资源利用总量及效率管控指标要求。突出节约集约用海原则，合理控制规模，优化空间布局，提高海域空间资源的整体使用效能。</w:t>
            </w:r>
          </w:p>
        </w:tc>
        <w:tc>
          <w:tcPr>
            <w:tcW w:w="2420" w:type="dxa"/>
            <w:tcMar>
              <w:left w:w="28" w:type="dxa"/>
              <w:right w:w="28" w:type="dxa"/>
            </w:tcMar>
            <w:vAlign w:val="center"/>
          </w:tcPr>
          <w:p w14:paraId="6F0CF399">
            <w:pPr>
              <w:jc w:val="left"/>
              <w:rPr>
                <w:rFonts w:ascii="Times New Roman" w:hAnsi="Times New Roman"/>
                <w:spacing w:val="-2"/>
                <w:kern w:val="0"/>
                <w:szCs w:val="21"/>
              </w:rPr>
            </w:pPr>
            <w:r>
              <w:rPr>
                <w:rFonts w:ascii="Times New Roman" w:hAnsi="Times New Roman"/>
                <w:spacing w:val="-2"/>
                <w:kern w:val="0"/>
                <w:szCs w:val="21"/>
              </w:rPr>
              <w:t>本项目</w:t>
            </w:r>
            <w:r>
              <w:rPr>
                <w:rFonts w:ascii="Times New Roman" w:hAnsi="Times New Roman"/>
                <w:spacing w:val="-2"/>
              </w:rPr>
              <w:t>位于</w:t>
            </w:r>
            <w:r>
              <w:rPr>
                <w:rFonts w:ascii="Times New Roman" w:hAnsi="Times New Roman"/>
                <w:spacing w:val="-2"/>
                <w:kern w:val="0"/>
                <w:szCs w:val="21"/>
              </w:rPr>
              <w:t>广西钦州保税港区内，租用创大冷链物流公司的3号仓库进行建设，不涉及新增占地和用海。</w:t>
            </w:r>
          </w:p>
          <w:p w14:paraId="5EEA2114">
            <w:pPr>
              <w:jc w:val="left"/>
              <w:rPr>
                <w:rFonts w:ascii="Times New Roman" w:hAnsi="Times New Roman"/>
                <w:b/>
                <w:bCs/>
                <w:spacing w:val="-2"/>
                <w:kern w:val="0"/>
                <w:szCs w:val="21"/>
              </w:rPr>
            </w:pPr>
            <w:r>
              <w:rPr>
                <w:rFonts w:ascii="Times New Roman" w:hAnsi="Times New Roman"/>
                <w:b/>
                <w:bCs/>
                <w:spacing w:val="-2"/>
                <w:kern w:val="0"/>
                <w:szCs w:val="21"/>
              </w:rPr>
              <w:t>符合。</w:t>
            </w:r>
          </w:p>
        </w:tc>
      </w:tr>
      <w:tr w14:paraId="61B117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480" w:type="dxa"/>
            <w:vMerge w:val="continue"/>
            <w:tcMar>
              <w:left w:w="28" w:type="dxa"/>
              <w:right w:w="28" w:type="dxa"/>
            </w:tcMar>
            <w:vAlign w:val="center"/>
          </w:tcPr>
          <w:p w14:paraId="49509A72">
            <w:pPr>
              <w:jc w:val="center"/>
              <w:rPr>
                <w:rFonts w:ascii="Times New Roman" w:hAnsi="Times New Roman"/>
                <w:spacing w:val="-2"/>
                <w:kern w:val="0"/>
                <w:szCs w:val="21"/>
              </w:rPr>
            </w:pPr>
          </w:p>
        </w:tc>
        <w:tc>
          <w:tcPr>
            <w:tcW w:w="6182" w:type="dxa"/>
            <w:tcMar>
              <w:left w:w="28" w:type="dxa"/>
              <w:right w:w="28" w:type="dxa"/>
            </w:tcMar>
            <w:vAlign w:val="center"/>
          </w:tcPr>
          <w:p w14:paraId="3441E633">
            <w:pPr>
              <w:jc w:val="left"/>
              <w:rPr>
                <w:rFonts w:ascii="Times New Roman" w:hAnsi="Times New Roman"/>
                <w:spacing w:val="-2"/>
                <w:kern w:val="0"/>
              </w:rPr>
            </w:pPr>
            <w:r>
              <w:rPr>
                <w:rFonts w:ascii="Times New Roman" w:hAnsi="Times New Roman"/>
                <w:spacing w:val="-2"/>
                <w:kern w:val="0"/>
              </w:rPr>
              <w:t>3. 水资源：实行</w:t>
            </w:r>
            <w:r>
              <w:rPr>
                <w:rFonts w:ascii="宋体" w:hAnsi="宋体"/>
                <w:spacing w:val="-2"/>
                <w:kern w:val="0"/>
              </w:rPr>
              <w:t>水资源消耗总量和强度“双控”。严格用水总量指标管理，健全市、县区行政区域的用水总量控制指标体系，统筹生活、生产、生态用水，大力推进农业、工业、城镇等领域节水。严格按照地下水开发利用控制目标控制地下水资源开采</w:t>
            </w:r>
            <w:r>
              <w:rPr>
                <w:rFonts w:ascii="Times New Roman" w:hAnsi="Times New Roman"/>
                <w:spacing w:val="-2"/>
                <w:kern w:val="0"/>
              </w:rPr>
              <w:t>。</w:t>
            </w:r>
          </w:p>
        </w:tc>
        <w:tc>
          <w:tcPr>
            <w:tcW w:w="2420" w:type="dxa"/>
            <w:tcMar>
              <w:left w:w="28" w:type="dxa"/>
              <w:right w:w="28" w:type="dxa"/>
            </w:tcMar>
            <w:vAlign w:val="center"/>
          </w:tcPr>
          <w:p w14:paraId="5F2903BF">
            <w:pPr>
              <w:jc w:val="left"/>
              <w:rPr>
                <w:rFonts w:ascii="Times New Roman" w:hAnsi="Times New Roman"/>
                <w:spacing w:val="-2"/>
                <w:kern w:val="0"/>
                <w:szCs w:val="21"/>
              </w:rPr>
            </w:pPr>
            <w:r>
              <w:rPr>
                <w:rFonts w:ascii="Times New Roman" w:hAnsi="Times New Roman"/>
                <w:spacing w:val="-2"/>
                <w:kern w:val="0"/>
                <w:szCs w:val="21"/>
              </w:rPr>
              <w:t>项目分选工艺采用干式磁选工艺，生产过程中无需用水。</w:t>
            </w:r>
          </w:p>
          <w:p w14:paraId="4381B2B1">
            <w:pPr>
              <w:jc w:val="left"/>
              <w:rPr>
                <w:rFonts w:ascii="Times New Roman" w:hAnsi="Times New Roman"/>
                <w:b/>
                <w:bCs/>
                <w:spacing w:val="-2"/>
                <w:kern w:val="0"/>
                <w:szCs w:val="21"/>
              </w:rPr>
            </w:pPr>
            <w:r>
              <w:rPr>
                <w:rFonts w:ascii="Times New Roman" w:hAnsi="Times New Roman"/>
                <w:b/>
                <w:bCs/>
                <w:spacing w:val="-2"/>
                <w:kern w:val="0"/>
                <w:szCs w:val="21"/>
              </w:rPr>
              <w:t>符合。</w:t>
            </w:r>
          </w:p>
        </w:tc>
      </w:tr>
      <w:tr w14:paraId="581484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480" w:type="dxa"/>
            <w:vMerge w:val="continue"/>
            <w:tcMar>
              <w:left w:w="28" w:type="dxa"/>
              <w:right w:w="28" w:type="dxa"/>
            </w:tcMar>
            <w:vAlign w:val="center"/>
          </w:tcPr>
          <w:p w14:paraId="61D5E21E">
            <w:pPr>
              <w:jc w:val="center"/>
              <w:rPr>
                <w:rFonts w:ascii="Times New Roman" w:hAnsi="Times New Roman"/>
                <w:spacing w:val="-2"/>
                <w:kern w:val="0"/>
                <w:szCs w:val="21"/>
              </w:rPr>
            </w:pPr>
          </w:p>
        </w:tc>
        <w:tc>
          <w:tcPr>
            <w:tcW w:w="6182" w:type="dxa"/>
            <w:tcMar>
              <w:left w:w="28" w:type="dxa"/>
              <w:right w:w="28" w:type="dxa"/>
            </w:tcMar>
            <w:vAlign w:val="center"/>
          </w:tcPr>
          <w:p w14:paraId="65507A01">
            <w:pPr>
              <w:jc w:val="left"/>
              <w:rPr>
                <w:rFonts w:ascii="Times New Roman" w:hAnsi="Times New Roman"/>
                <w:spacing w:val="-2"/>
                <w:kern w:val="0"/>
              </w:rPr>
            </w:pPr>
            <w:r>
              <w:rPr>
                <w:rFonts w:ascii="Times New Roman" w:hAnsi="Times New Roman"/>
                <w:spacing w:val="-2"/>
                <w:kern w:val="0"/>
              </w:rPr>
              <w:t>4. 矿产资源：严格执行市、县区矿产资源开发利用规划中关于矿产资源开发总量和效率的目标要求。着力提高资源开发利用效率和水平，加快发展绿色矿业；严格控制海岸线的开发建设、海砂开采活动，规范海砂资源开发秩序，加强海岸沙滩保护和矿产开发监管。</w:t>
            </w:r>
          </w:p>
        </w:tc>
        <w:tc>
          <w:tcPr>
            <w:tcW w:w="2420" w:type="dxa"/>
            <w:tcMar>
              <w:left w:w="28" w:type="dxa"/>
              <w:right w:w="28" w:type="dxa"/>
            </w:tcMar>
            <w:vAlign w:val="center"/>
          </w:tcPr>
          <w:p w14:paraId="5B6561C9">
            <w:pPr>
              <w:jc w:val="left"/>
              <w:rPr>
                <w:rFonts w:ascii="Times New Roman" w:hAnsi="Times New Roman"/>
                <w:spacing w:val="-2"/>
                <w:kern w:val="0"/>
                <w:szCs w:val="21"/>
              </w:rPr>
            </w:pPr>
            <w:r>
              <w:rPr>
                <w:rFonts w:ascii="Times New Roman" w:hAnsi="Times New Roman"/>
                <w:spacing w:val="-2"/>
                <w:kern w:val="0"/>
                <w:szCs w:val="21"/>
              </w:rPr>
              <w:t>项目采购国外的毛矿进行分选加工，不涉及矿产的资源开发和开采。</w:t>
            </w:r>
          </w:p>
          <w:p w14:paraId="5B654BA9">
            <w:pPr>
              <w:jc w:val="left"/>
              <w:rPr>
                <w:rFonts w:ascii="Times New Roman" w:hAnsi="Times New Roman"/>
                <w:b/>
                <w:bCs/>
                <w:spacing w:val="-2"/>
                <w:kern w:val="0"/>
                <w:szCs w:val="21"/>
              </w:rPr>
            </w:pPr>
            <w:r>
              <w:rPr>
                <w:rFonts w:ascii="Times New Roman" w:hAnsi="Times New Roman"/>
                <w:b/>
                <w:bCs/>
                <w:spacing w:val="-2"/>
                <w:kern w:val="0"/>
                <w:szCs w:val="21"/>
              </w:rPr>
              <w:t>符合。</w:t>
            </w:r>
          </w:p>
        </w:tc>
      </w:tr>
      <w:tr w14:paraId="085A77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480" w:type="dxa"/>
            <w:vMerge w:val="continue"/>
            <w:tcMar>
              <w:left w:w="28" w:type="dxa"/>
              <w:right w:w="28" w:type="dxa"/>
            </w:tcMar>
            <w:vAlign w:val="center"/>
          </w:tcPr>
          <w:p w14:paraId="263DA0CB">
            <w:pPr>
              <w:jc w:val="center"/>
              <w:rPr>
                <w:rFonts w:ascii="Times New Roman" w:hAnsi="Times New Roman"/>
                <w:spacing w:val="-2"/>
                <w:kern w:val="0"/>
                <w:szCs w:val="21"/>
              </w:rPr>
            </w:pPr>
          </w:p>
        </w:tc>
        <w:tc>
          <w:tcPr>
            <w:tcW w:w="6182" w:type="dxa"/>
            <w:tcMar>
              <w:left w:w="28" w:type="dxa"/>
              <w:right w:w="28" w:type="dxa"/>
            </w:tcMar>
            <w:vAlign w:val="center"/>
          </w:tcPr>
          <w:p w14:paraId="254E53E7">
            <w:pPr>
              <w:jc w:val="left"/>
              <w:rPr>
                <w:rFonts w:ascii="Times New Roman" w:hAnsi="Times New Roman"/>
                <w:spacing w:val="-2"/>
                <w:kern w:val="0"/>
              </w:rPr>
            </w:pPr>
            <w:r>
              <w:rPr>
                <w:rFonts w:ascii="Times New Roman" w:hAnsi="Times New Roman"/>
                <w:spacing w:val="-2"/>
                <w:kern w:val="0"/>
              </w:rPr>
              <w:t>6. 高污染燃料禁燃区：禁止新建、扩建燃用高污染燃料的项目和设施，已经建成的应逐步或依法限期改用天然气、电或其他清洁能源。</w:t>
            </w:r>
          </w:p>
        </w:tc>
        <w:tc>
          <w:tcPr>
            <w:tcW w:w="2420" w:type="dxa"/>
            <w:tcMar>
              <w:left w:w="28" w:type="dxa"/>
              <w:right w:w="28" w:type="dxa"/>
            </w:tcMar>
            <w:vAlign w:val="center"/>
          </w:tcPr>
          <w:p w14:paraId="48F59BAF">
            <w:pPr>
              <w:jc w:val="left"/>
              <w:rPr>
                <w:rFonts w:ascii="Times New Roman" w:hAnsi="Times New Roman"/>
                <w:spacing w:val="-2"/>
                <w:kern w:val="0"/>
                <w:szCs w:val="21"/>
              </w:rPr>
            </w:pPr>
            <w:r>
              <w:rPr>
                <w:rFonts w:ascii="Times New Roman" w:hAnsi="Times New Roman"/>
                <w:spacing w:val="-2"/>
                <w:kern w:val="0"/>
                <w:szCs w:val="21"/>
              </w:rPr>
              <w:t>项目生产过程使用的燃料为</w:t>
            </w:r>
            <w:r>
              <w:rPr>
                <w:rFonts w:hint="eastAsia" w:ascii="Times New Roman" w:hAnsi="Times New Roman"/>
                <w:spacing w:val="-2"/>
                <w:kern w:val="0"/>
                <w:szCs w:val="21"/>
              </w:rPr>
              <w:t>成型</w:t>
            </w:r>
            <w:r>
              <w:rPr>
                <w:rFonts w:ascii="Times New Roman" w:hAnsi="Times New Roman"/>
                <w:spacing w:val="-2"/>
                <w:kern w:val="0"/>
                <w:szCs w:val="21"/>
              </w:rPr>
              <w:t>生物质燃料，不采用高污染燃料。</w:t>
            </w:r>
          </w:p>
          <w:p w14:paraId="11626F74">
            <w:pPr>
              <w:jc w:val="left"/>
              <w:rPr>
                <w:rFonts w:ascii="Times New Roman" w:hAnsi="Times New Roman"/>
                <w:b/>
                <w:bCs/>
                <w:spacing w:val="-2"/>
                <w:kern w:val="0"/>
                <w:szCs w:val="21"/>
              </w:rPr>
            </w:pPr>
            <w:r>
              <w:rPr>
                <w:rFonts w:ascii="Times New Roman" w:hAnsi="Times New Roman"/>
                <w:b/>
                <w:bCs/>
                <w:spacing w:val="-2"/>
                <w:kern w:val="0"/>
                <w:szCs w:val="21"/>
              </w:rPr>
              <w:t>符合。</w:t>
            </w:r>
          </w:p>
        </w:tc>
      </w:tr>
    </w:tbl>
    <w:p w14:paraId="11AE0D14">
      <w:pPr>
        <w:spacing w:line="360" w:lineRule="auto"/>
        <w:ind w:firstLine="472" w:firstLineChars="200"/>
        <w:rPr>
          <w:rFonts w:ascii="Times New Roman" w:hAnsi="Times New Roman"/>
          <w:spacing w:val="-2"/>
          <w:kern w:val="0"/>
          <w:sz w:val="24"/>
          <w:szCs w:val="24"/>
        </w:rPr>
      </w:pPr>
    </w:p>
    <w:p w14:paraId="5D387AF3">
      <w:pPr>
        <w:spacing w:line="360" w:lineRule="auto"/>
        <w:ind w:firstLine="472" w:firstLineChars="200"/>
        <w:rPr>
          <w:rFonts w:ascii="Times New Roman" w:hAnsi="Times New Roman"/>
          <w:spacing w:val="-2"/>
          <w:kern w:val="0"/>
          <w:sz w:val="24"/>
          <w:szCs w:val="24"/>
        </w:rPr>
      </w:pPr>
    </w:p>
    <w:p w14:paraId="5AD1AF71">
      <w:pPr>
        <w:spacing w:line="360" w:lineRule="auto"/>
        <w:ind w:firstLine="472" w:firstLineChars="200"/>
        <w:rPr>
          <w:rFonts w:ascii="Times New Roman" w:hAnsi="Times New Roman"/>
          <w:spacing w:val="-2"/>
          <w:kern w:val="0"/>
          <w:sz w:val="24"/>
          <w:szCs w:val="24"/>
        </w:rPr>
      </w:pPr>
    </w:p>
    <w:p w14:paraId="57087EB8">
      <w:pPr>
        <w:spacing w:line="360" w:lineRule="auto"/>
        <w:ind w:firstLine="474" w:firstLineChars="200"/>
        <w:jc w:val="center"/>
        <w:rPr>
          <w:rFonts w:ascii="Times New Roman" w:hAnsi="Times New Roman"/>
          <w:b/>
          <w:spacing w:val="-2"/>
          <w:kern w:val="24"/>
          <w:sz w:val="24"/>
          <w:szCs w:val="24"/>
        </w:rPr>
      </w:pPr>
      <w:r>
        <w:rPr>
          <w:rFonts w:ascii="Times New Roman" w:hAnsi="Times New Roman"/>
          <w:b/>
          <w:spacing w:val="-2"/>
          <w:kern w:val="24"/>
          <w:sz w:val="24"/>
          <w:szCs w:val="24"/>
        </w:rPr>
        <w:t>表2 项目与钦州综合保税区重点管控单元相符性</w:t>
      </w:r>
      <w:r>
        <w:rPr>
          <w:rFonts w:hint="eastAsia" w:ascii="Times New Roman" w:hAnsi="Times New Roman"/>
          <w:b/>
          <w:spacing w:val="-2"/>
          <w:kern w:val="24"/>
          <w:sz w:val="24"/>
          <w:szCs w:val="24"/>
        </w:rPr>
        <w:t>分析</w:t>
      </w:r>
    </w:p>
    <w:tbl>
      <w:tblPr>
        <w:tblStyle w:val="88"/>
        <w:tblW w:w="908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00"/>
        <w:gridCol w:w="5139"/>
        <w:gridCol w:w="3143"/>
      </w:tblGrid>
      <w:tr w14:paraId="72270F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800" w:type="dxa"/>
            <w:tcMar>
              <w:left w:w="28" w:type="dxa"/>
              <w:right w:w="28" w:type="dxa"/>
            </w:tcMar>
            <w:vAlign w:val="center"/>
          </w:tcPr>
          <w:p w14:paraId="7BF249E8">
            <w:pPr>
              <w:jc w:val="center"/>
              <w:rPr>
                <w:rFonts w:ascii="Times New Roman" w:hAnsi="Times New Roman"/>
                <w:b/>
                <w:bCs/>
                <w:spacing w:val="-2"/>
                <w:kern w:val="0"/>
                <w:szCs w:val="21"/>
              </w:rPr>
            </w:pPr>
            <w:r>
              <w:rPr>
                <w:rFonts w:ascii="Times New Roman" w:hAnsi="Times New Roman"/>
                <w:b/>
                <w:bCs/>
                <w:spacing w:val="-2"/>
                <w:kern w:val="0"/>
                <w:szCs w:val="21"/>
              </w:rPr>
              <w:t>管控类别</w:t>
            </w:r>
          </w:p>
        </w:tc>
        <w:tc>
          <w:tcPr>
            <w:tcW w:w="5139" w:type="dxa"/>
            <w:tcMar>
              <w:left w:w="28" w:type="dxa"/>
              <w:right w:w="28" w:type="dxa"/>
            </w:tcMar>
            <w:vAlign w:val="center"/>
          </w:tcPr>
          <w:p w14:paraId="190A4D28">
            <w:pPr>
              <w:jc w:val="center"/>
              <w:rPr>
                <w:rFonts w:ascii="Times New Roman" w:hAnsi="Times New Roman"/>
                <w:b/>
                <w:bCs/>
                <w:spacing w:val="-2"/>
                <w:kern w:val="0"/>
                <w:szCs w:val="21"/>
              </w:rPr>
            </w:pPr>
            <w:r>
              <w:rPr>
                <w:rFonts w:ascii="Times New Roman" w:hAnsi="Times New Roman"/>
                <w:b/>
                <w:bCs/>
                <w:spacing w:val="-2"/>
                <w:kern w:val="0"/>
                <w:szCs w:val="21"/>
              </w:rPr>
              <w:t>生态环境准入及管控要求</w:t>
            </w:r>
          </w:p>
        </w:tc>
        <w:tc>
          <w:tcPr>
            <w:tcW w:w="3143" w:type="dxa"/>
            <w:tcMar>
              <w:left w:w="28" w:type="dxa"/>
              <w:right w:w="28" w:type="dxa"/>
            </w:tcMar>
            <w:vAlign w:val="center"/>
          </w:tcPr>
          <w:p w14:paraId="3B3EC562">
            <w:pPr>
              <w:jc w:val="center"/>
              <w:rPr>
                <w:rFonts w:ascii="Times New Roman" w:hAnsi="Times New Roman"/>
                <w:b/>
                <w:bCs/>
                <w:spacing w:val="-2"/>
                <w:kern w:val="0"/>
                <w:szCs w:val="21"/>
              </w:rPr>
            </w:pPr>
            <w:r>
              <w:rPr>
                <w:rFonts w:ascii="Times New Roman" w:hAnsi="Times New Roman"/>
                <w:b/>
                <w:bCs/>
                <w:spacing w:val="-2"/>
                <w:kern w:val="0"/>
                <w:szCs w:val="21"/>
              </w:rPr>
              <w:t>相符性分析</w:t>
            </w:r>
          </w:p>
        </w:tc>
      </w:tr>
      <w:tr w14:paraId="743426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800" w:type="dxa"/>
            <w:vMerge w:val="restart"/>
            <w:tcMar>
              <w:left w:w="28" w:type="dxa"/>
              <w:right w:w="28" w:type="dxa"/>
            </w:tcMar>
            <w:vAlign w:val="center"/>
          </w:tcPr>
          <w:p w14:paraId="5F98E4F5">
            <w:pPr>
              <w:jc w:val="center"/>
              <w:rPr>
                <w:rFonts w:ascii="Times New Roman" w:hAnsi="Times New Roman"/>
                <w:spacing w:val="-2"/>
                <w:kern w:val="0"/>
                <w:szCs w:val="21"/>
              </w:rPr>
            </w:pPr>
            <w:r>
              <w:rPr>
                <w:rFonts w:ascii="Times New Roman" w:hAnsi="Times New Roman"/>
                <w:spacing w:val="-2"/>
                <w:kern w:val="0"/>
                <w:szCs w:val="21"/>
              </w:rPr>
              <w:t>空间布局约束</w:t>
            </w:r>
          </w:p>
        </w:tc>
        <w:tc>
          <w:tcPr>
            <w:tcW w:w="5139" w:type="dxa"/>
            <w:tcMar>
              <w:left w:w="28" w:type="dxa"/>
              <w:right w:w="28" w:type="dxa"/>
            </w:tcMar>
            <w:vAlign w:val="center"/>
          </w:tcPr>
          <w:p w14:paraId="07946A17">
            <w:pPr>
              <w:jc w:val="left"/>
              <w:rPr>
                <w:rFonts w:ascii="Times New Roman" w:hAnsi="Times New Roman"/>
                <w:spacing w:val="-2"/>
                <w:kern w:val="0"/>
              </w:rPr>
            </w:pPr>
            <w:r>
              <w:rPr>
                <w:rFonts w:hint="eastAsia" w:ascii="Times New Roman" w:hAnsi="Times New Roman"/>
                <w:spacing w:val="-2"/>
                <w:kern w:val="0"/>
              </w:rPr>
              <w:t>1．园区管理机构应负责统筹区域内生态环境基础设施建设，不得引进与园区产业定位不符的产业，引进项目清洁生产水平须达到国内同行业先进水平，严格控制污染物排放大的项目进驻。</w:t>
            </w:r>
          </w:p>
        </w:tc>
        <w:tc>
          <w:tcPr>
            <w:tcW w:w="3143" w:type="dxa"/>
            <w:tcMar>
              <w:left w:w="28" w:type="dxa"/>
              <w:right w:w="28" w:type="dxa"/>
            </w:tcMar>
            <w:vAlign w:val="center"/>
          </w:tcPr>
          <w:p w14:paraId="63B6BB16">
            <w:pPr>
              <w:jc w:val="left"/>
              <w:rPr>
                <w:rFonts w:ascii="Times New Roman" w:hAnsi="Times New Roman"/>
                <w:b/>
                <w:bCs/>
                <w:spacing w:val="-2"/>
                <w:kern w:val="0"/>
                <w:szCs w:val="21"/>
              </w:rPr>
            </w:pPr>
            <w:r>
              <w:rPr>
                <w:rFonts w:hint="eastAsia" w:ascii="Times New Roman" w:hAnsi="Times New Roman"/>
                <w:spacing w:val="-2"/>
                <w:kern w:val="0"/>
                <w:szCs w:val="21"/>
              </w:rPr>
              <w:t>项目</w:t>
            </w:r>
            <w:r>
              <w:rPr>
                <w:rFonts w:ascii="Times New Roman" w:hAnsi="Times New Roman"/>
                <w:spacing w:val="-2"/>
                <w:kern w:val="0"/>
                <w:szCs w:val="21"/>
              </w:rPr>
              <w:t>符合广西钦州保税港区</w:t>
            </w:r>
            <w:r>
              <w:rPr>
                <w:rFonts w:hint="eastAsia" w:ascii="Times New Roman" w:hAnsi="Times New Roman"/>
                <w:spacing w:val="-2"/>
                <w:kern w:val="0"/>
                <w:szCs w:val="21"/>
              </w:rPr>
              <w:t>产业定位；项目污染排放较小，清洁生产水平达到国内同行先进水平。</w:t>
            </w:r>
            <w:r>
              <w:rPr>
                <w:rFonts w:ascii="Times New Roman" w:hAnsi="Times New Roman"/>
                <w:b/>
                <w:bCs/>
                <w:spacing w:val="-2"/>
                <w:kern w:val="0"/>
                <w:szCs w:val="21"/>
              </w:rPr>
              <w:t>符合。</w:t>
            </w:r>
          </w:p>
        </w:tc>
      </w:tr>
      <w:tr w14:paraId="551D04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800" w:type="dxa"/>
            <w:vMerge w:val="continue"/>
            <w:tcMar>
              <w:left w:w="28" w:type="dxa"/>
              <w:right w:w="28" w:type="dxa"/>
            </w:tcMar>
            <w:vAlign w:val="center"/>
          </w:tcPr>
          <w:p w14:paraId="0FC1E204">
            <w:pPr>
              <w:jc w:val="center"/>
              <w:rPr>
                <w:rFonts w:ascii="Times New Roman" w:hAnsi="Times New Roman"/>
                <w:spacing w:val="-2"/>
                <w:kern w:val="0"/>
                <w:szCs w:val="21"/>
              </w:rPr>
            </w:pPr>
          </w:p>
        </w:tc>
        <w:tc>
          <w:tcPr>
            <w:tcW w:w="5139" w:type="dxa"/>
            <w:tcMar>
              <w:left w:w="28" w:type="dxa"/>
              <w:right w:w="28" w:type="dxa"/>
            </w:tcMar>
            <w:vAlign w:val="center"/>
          </w:tcPr>
          <w:p w14:paraId="1C086F06">
            <w:pPr>
              <w:jc w:val="left"/>
              <w:rPr>
                <w:rFonts w:ascii="Times New Roman" w:hAnsi="Times New Roman"/>
                <w:spacing w:val="-2"/>
                <w:kern w:val="0"/>
              </w:rPr>
            </w:pPr>
            <w:r>
              <w:rPr>
                <w:rFonts w:hint="eastAsia" w:ascii="Times New Roman" w:hAnsi="Times New Roman"/>
                <w:spacing w:val="-2"/>
                <w:kern w:val="0"/>
              </w:rPr>
              <w:t>2．园区产业准入执行《广西壮族自治区人民政府办公厅关于印发北钦防一体化产业协同发展限制布局清单（工业类2021年版）的通知》（桂政办函〔2021〕4号）要求，限制新建不符合综合保税区产业政策的产品加工制造和产业服务项目。</w:t>
            </w:r>
          </w:p>
        </w:tc>
        <w:tc>
          <w:tcPr>
            <w:tcW w:w="3143" w:type="dxa"/>
            <w:tcMar>
              <w:left w:w="28" w:type="dxa"/>
              <w:right w:w="28" w:type="dxa"/>
            </w:tcMar>
            <w:vAlign w:val="center"/>
          </w:tcPr>
          <w:p w14:paraId="0A97FC2B">
            <w:pPr>
              <w:jc w:val="left"/>
              <w:rPr>
                <w:rFonts w:ascii="Times New Roman" w:hAnsi="Times New Roman"/>
                <w:spacing w:val="-2"/>
                <w:kern w:val="0"/>
                <w:szCs w:val="21"/>
              </w:rPr>
            </w:pPr>
            <w:r>
              <w:rPr>
                <w:rFonts w:hint="eastAsia" w:ascii="Times New Roman" w:hAnsi="Times New Roman"/>
                <w:spacing w:val="-2"/>
                <w:kern w:val="0"/>
                <w:szCs w:val="21"/>
              </w:rPr>
              <w:t>项目</w:t>
            </w:r>
            <w:r>
              <w:rPr>
                <w:rFonts w:ascii="Times New Roman" w:hAnsi="Times New Roman"/>
                <w:spacing w:val="-2"/>
                <w:kern w:val="0"/>
                <w:szCs w:val="21"/>
              </w:rPr>
              <w:t>符合广西钦州保税港区</w:t>
            </w:r>
            <w:r>
              <w:rPr>
                <w:rFonts w:hint="eastAsia" w:ascii="Times New Roman" w:hAnsi="Times New Roman"/>
                <w:spacing w:val="-2"/>
                <w:kern w:val="0"/>
                <w:szCs w:val="21"/>
              </w:rPr>
              <w:t>产业定位；不属于保税区限制的产品加工制造和产业服务项目</w:t>
            </w:r>
            <w:r>
              <w:rPr>
                <w:rFonts w:ascii="Times New Roman" w:hAnsi="Times New Roman"/>
                <w:spacing w:val="-2"/>
                <w:kern w:val="0"/>
                <w:szCs w:val="21"/>
              </w:rPr>
              <w:t>。</w:t>
            </w:r>
          </w:p>
          <w:p w14:paraId="03B1BFF0">
            <w:pPr>
              <w:jc w:val="left"/>
              <w:rPr>
                <w:rFonts w:ascii="Times New Roman" w:hAnsi="Times New Roman"/>
                <w:spacing w:val="-2"/>
                <w:kern w:val="0"/>
                <w:szCs w:val="21"/>
              </w:rPr>
            </w:pPr>
            <w:r>
              <w:rPr>
                <w:rFonts w:ascii="Times New Roman" w:hAnsi="Times New Roman"/>
                <w:b/>
                <w:bCs/>
                <w:spacing w:val="-2"/>
                <w:kern w:val="0"/>
                <w:szCs w:val="21"/>
              </w:rPr>
              <w:t>符合。</w:t>
            </w:r>
          </w:p>
        </w:tc>
      </w:tr>
      <w:tr w14:paraId="081E22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800" w:type="dxa"/>
            <w:vMerge w:val="continue"/>
            <w:tcMar>
              <w:left w:w="28" w:type="dxa"/>
              <w:right w:w="28" w:type="dxa"/>
            </w:tcMar>
            <w:vAlign w:val="center"/>
          </w:tcPr>
          <w:p w14:paraId="5534F4DA">
            <w:pPr>
              <w:jc w:val="center"/>
              <w:rPr>
                <w:rFonts w:ascii="Times New Roman" w:hAnsi="Times New Roman"/>
                <w:spacing w:val="-2"/>
                <w:kern w:val="0"/>
                <w:szCs w:val="21"/>
              </w:rPr>
            </w:pPr>
          </w:p>
        </w:tc>
        <w:tc>
          <w:tcPr>
            <w:tcW w:w="5139" w:type="dxa"/>
            <w:tcMar>
              <w:left w:w="28" w:type="dxa"/>
              <w:right w:w="28" w:type="dxa"/>
            </w:tcMar>
            <w:vAlign w:val="center"/>
          </w:tcPr>
          <w:p w14:paraId="6BA2413C">
            <w:pPr>
              <w:jc w:val="left"/>
              <w:rPr>
                <w:rFonts w:ascii="Times New Roman" w:hAnsi="Times New Roman"/>
                <w:spacing w:val="-2"/>
                <w:kern w:val="0"/>
              </w:rPr>
            </w:pPr>
            <w:r>
              <w:rPr>
                <w:rFonts w:hint="eastAsia" w:ascii="Times New Roman" w:hAnsi="Times New Roman"/>
                <w:spacing w:val="-2"/>
                <w:kern w:val="0"/>
              </w:rPr>
              <w:t>3．新建、改建、扩建项目应按照国家、自治区行业建设项目环境影响评价文件审批原则入园；不得引入废水排放量大、水污染严重的相关企业</w:t>
            </w:r>
            <w:r>
              <w:rPr>
                <w:rFonts w:ascii="Times New Roman" w:hAnsi="Times New Roman"/>
                <w:spacing w:val="-2"/>
                <w:kern w:val="0"/>
              </w:rPr>
              <w:t>。</w:t>
            </w:r>
          </w:p>
        </w:tc>
        <w:tc>
          <w:tcPr>
            <w:tcW w:w="3143" w:type="dxa"/>
            <w:tcMar>
              <w:left w:w="28" w:type="dxa"/>
              <w:right w:w="28" w:type="dxa"/>
            </w:tcMar>
            <w:vAlign w:val="center"/>
          </w:tcPr>
          <w:p w14:paraId="4AAD862B">
            <w:pPr>
              <w:jc w:val="left"/>
              <w:rPr>
                <w:rFonts w:ascii="Times New Roman" w:hAnsi="Times New Roman"/>
                <w:spacing w:val="-2"/>
                <w:kern w:val="0"/>
                <w:szCs w:val="21"/>
              </w:rPr>
            </w:pPr>
            <w:r>
              <w:rPr>
                <w:rFonts w:hint="eastAsia" w:ascii="Times New Roman" w:hAnsi="Times New Roman"/>
                <w:spacing w:val="-2"/>
                <w:kern w:val="0"/>
                <w:szCs w:val="21"/>
              </w:rPr>
              <w:t>项目</w:t>
            </w:r>
            <w:r>
              <w:rPr>
                <w:rFonts w:ascii="Times New Roman" w:hAnsi="Times New Roman"/>
                <w:spacing w:val="-2"/>
                <w:kern w:val="0"/>
                <w:szCs w:val="21"/>
              </w:rPr>
              <w:t>符合广西钦州保税港区</w:t>
            </w:r>
            <w:r>
              <w:rPr>
                <w:rFonts w:hint="eastAsia" w:ascii="Times New Roman" w:hAnsi="Times New Roman"/>
                <w:spacing w:val="-2"/>
                <w:kern w:val="0"/>
                <w:szCs w:val="21"/>
              </w:rPr>
              <w:t>入园条件，项目无生产废水产生</w:t>
            </w:r>
            <w:r>
              <w:rPr>
                <w:rFonts w:ascii="Times New Roman" w:hAnsi="Times New Roman"/>
                <w:spacing w:val="-2"/>
                <w:kern w:val="0"/>
                <w:szCs w:val="21"/>
              </w:rPr>
              <w:t>。</w:t>
            </w:r>
          </w:p>
          <w:p w14:paraId="7E0104B2">
            <w:pPr>
              <w:jc w:val="left"/>
              <w:rPr>
                <w:rFonts w:ascii="Times New Roman" w:hAnsi="Times New Roman"/>
                <w:spacing w:val="-2"/>
                <w:kern w:val="0"/>
                <w:szCs w:val="21"/>
              </w:rPr>
            </w:pPr>
            <w:r>
              <w:rPr>
                <w:rFonts w:ascii="Times New Roman" w:hAnsi="Times New Roman"/>
                <w:b/>
                <w:bCs/>
                <w:spacing w:val="-2"/>
                <w:kern w:val="0"/>
                <w:szCs w:val="21"/>
              </w:rPr>
              <w:t>符合。</w:t>
            </w:r>
          </w:p>
        </w:tc>
      </w:tr>
      <w:tr w14:paraId="0511DB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800" w:type="dxa"/>
            <w:vMerge w:val="restart"/>
            <w:tcMar>
              <w:left w:w="28" w:type="dxa"/>
              <w:right w:w="28" w:type="dxa"/>
            </w:tcMar>
            <w:vAlign w:val="center"/>
          </w:tcPr>
          <w:p w14:paraId="07109420">
            <w:pPr>
              <w:jc w:val="center"/>
              <w:rPr>
                <w:rFonts w:ascii="Times New Roman" w:hAnsi="Times New Roman"/>
                <w:spacing w:val="-2"/>
                <w:kern w:val="0"/>
                <w:szCs w:val="21"/>
              </w:rPr>
            </w:pPr>
            <w:r>
              <w:rPr>
                <w:rFonts w:ascii="Times New Roman" w:hAnsi="Times New Roman"/>
                <w:spacing w:val="-2"/>
                <w:kern w:val="0"/>
                <w:szCs w:val="21"/>
              </w:rPr>
              <w:t>污染物排放管控</w:t>
            </w:r>
          </w:p>
        </w:tc>
        <w:tc>
          <w:tcPr>
            <w:tcW w:w="5139" w:type="dxa"/>
            <w:tcMar>
              <w:left w:w="28" w:type="dxa"/>
              <w:right w:w="28" w:type="dxa"/>
            </w:tcMar>
            <w:vAlign w:val="center"/>
          </w:tcPr>
          <w:p w14:paraId="220F4952">
            <w:pPr>
              <w:jc w:val="left"/>
              <w:rPr>
                <w:rFonts w:ascii="Times New Roman" w:hAnsi="Times New Roman"/>
                <w:spacing w:val="-2"/>
                <w:kern w:val="0"/>
              </w:rPr>
            </w:pPr>
            <w:r>
              <w:rPr>
                <w:rFonts w:hint="eastAsia" w:ascii="Times New Roman" w:hAnsi="Times New Roman"/>
                <w:spacing w:val="-2"/>
                <w:kern w:val="0"/>
              </w:rPr>
              <w:t>1．继续加强工业集聚区集中式污水处理设施建设，实行“清污分流、雨污分流”，实现废水分类收集、分质处理，入园企业应在达到国家或地方规定的排放标准后接入集中式污水处理设施处理，园区集中式污水处理设施总排口应安装自动监控系统、视频监控系统，并与生态环境主管部门联网</w:t>
            </w:r>
            <w:r>
              <w:rPr>
                <w:rFonts w:ascii="Times New Roman" w:hAnsi="Times New Roman"/>
                <w:spacing w:val="-2"/>
                <w:kern w:val="0"/>
              </w:rPr>
              <w:t>。</w:t>
            </w:r>
          </w:p>
        </w:tc>
        <w:tc>
          <w:tcPr>
            <w:tcW w:w="3143" w:type="dxa"/>
            <w:tcMar>
              <w:left w:w="28" w:type="dxa"/>
              <w:right w:w="28" w:type="dxa"/>
            </w:tcMar>
            <w:vAlign w:val="center"/>
          </w:tcPr>
          <w:p w14:paraId="3F7CA362">
            <w:pPr>
              <w:jc w:val="left"/>
              <w:rPr>
                <w:rFonts w:ascii="Times New Roman" w:hAnsi="Times New Roman"/>
                <w:spacing w:val="-2"/>
                <w:kern w:val="0"/>
                <w:szCs w:val="21"/>
              </w:rPr>
            </w:pPr>
            <w:r>
              <w:rPr>
                <w:rFonts w:ascii="Times New Roman" w:hAnsi="Times New Roman"/>
                <w:spacing w:val="-2"/>
                <w:kern w:val="0"/>
                <w:szCs w:val="21"/>
              </w:rPr>
              <w:t>项目生产过程中不产生生产废水，生活污水</w:t>
            </w:r>
            <w:r>
              <w:rPr>
                <w:rFonts w:hint="eastAsia" w:ascii="Times New Roman" w:hAnsi="Times New Roman"/>
                <w:spacing w:val="-2"/>
                <w:kern w:val="0"/>
                <w:szCs w:val="21"/>
              </w:rPr>
              <w:t>经化粪池处理后达到</w:t>
            </w:r>
            <w:r>
              <w:rPr>
                <w:rFonts w:ascii="Times New Roman" w:hAnsi="Times New Roman"/>
                <w:spacing w:val="-2"/>
                <w:kern w:val="0"/>
                <w:szCs w:val="21"/>
              </w:rPr>
              <w:t>钦州大榄坪污水处理厂</w:t>
            </w:r>
            <w:r>
              <w:rPr>
                <w:rFonts w:hint="eastAsia" w:ascii="Times New Roman" w:hAnsi="Times New Roman"/>
                <w:spacing w:val="-2"/>
                <w:kern w:val="0"/>
                <w:szCs w:val="21"/>
              </w:rPr>
              <w:t>进水要求。</w:t>
            </w:r>
          </w:p>
          <w:p w14:paraId="2B94C337">
            <w:pPr>
              <w:jc w:val="left"/>
              <w:rPr>
                <w:rFonts w:ascii="Times New Roman" w:hAnsi="Times New Roman"/>
                <w:b/>
                <w:bCs/>
                <w:spacing w:val="-2"/>
                <w:kern w:val="0"/>
                <w:szCs w:val="21"/>
              </w:rPr>
            </w:pPr>
            <w:r>
              <w:rPr>
                <w:rFonts w:ascii="Times New Roman" w:hAnsi="Times New Roman"/>
                <w:b/>
                <w:bCs/>
                <w:spacing w:val="-2"/>
                <w:kern w:val="0"/>
                <w:szCs w:val="21"/>
              </w:rPr>
              <w:t>符合。</w:t>
            </w:r>
          </w:p>
        </w:tc>
      </w:tr>
      <w:tr w14:paraId="1A6A69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800" w:type="dxa"/>
            <w:vMerge w:val="continue"/>
            <w:tcMar>
              <w:left w:w="28" w:type="dxa"/>
              <w:right w:w="28" w:type="dxa"/>
            </w:tcMar>
            <w:vAlign w:val="center"/>
          </w:tcPr>
          <w:p w14:paraId="192F608E">
            <w:pPr>
              <w:jc w:val="center"/>
              <w:rPr>
                <w:rFonts w:ascii="Times New Roman" w:hAnsi="Times New Roman"/>
                <w:spacing w:val="-2"/>
                <w:kern w:val="0"/>
                <w:szCs w:val="21"/>
              </w:rPr>
            </w:pPr>
          </w:p>
        </w:tc>
        <w:tc>
          <w:tcPr>
            <w:tcW w:w="5139" w:type="dxa"/>
            <w:tcMar>
              <w:left w:w="28" w:type="dxa"/>
              <w:right w:w="28" w:type="dxa"/>
            </w:tcMar>
            <w:vAlign w:val="center"/>
          </w:tcPr>
          <w:p w14:paraId="4997DD4F">
            <w:pPr>
              <w:jc w:val="left"/>
              <w:rPr>
                <w:rFonts w:ascii="Times New Roman" w:hAnsi="Times New Roman"/>
                <w:spacing w:val="-2"/>
                <w:kern w:val="0"/>
              </w:rPr>
            </w:pPr>
            <w:r>
              <w:rPr>
                <w:rFonts w:hint="eastAsia" w:ascii="Times New Roman" w:hAnsi="Times New Roman"/>
                <w:spacing w:val="-2"/>
                <w:kern w:val="0"/>
              </w:rPr>
              <w:t>2．强化工业企业无组织排放管理，推进大气污染源全面稳定达标排放</w:t>
            </w:r>
            <w:r>
              <w:rPr>
                <w:rFonts w:ascii="Times New Roman" w:hAnsi="Times New Roman"/>
                <w:spacing w:val="-2"/>
                <w:kern w:val="0"/>
              </w:rPr>
              <w:t>。</w:t>
            </w:r>
          </w:p>
        </w:tc>
        <w:tc>
          <w:tcPr>
            <w:tcW w:w="3143" w:type="dxa"/>
            <w:tcMar>
              <w:left w:w="28" w:type="dxa"/>
              <w:right w:w="28" w:type="dxa"/>
            </w:tcMar>
            <w:vAlign w:val="center"/>
          </w:tcPr>
          <w:p w14:paraId="6212029A">
            <w:pPr>
              <w:jc w:val="left"/>
              <w:rPr>
                <w:rFonts w:ascii="Times New Roman" w:hAnsi="Times New Roman"/>
                <w:spacing w:val="-2"/>
                <w:kern w:val="0"/>
                <w:szCs w:val="21"/>
              </w:rPr>
            </w:pPr>
            <w:r>
              <w:rPr>
                <w:rFonts w:hint="eastAsia" w:ascii="Times New Roman" w:hAnsi="Times New Roman"/>
                <w:spacing w:val="-2"/>
                <w:kern w:val="0"/>
                <w:szCs w:val="21"/>
              </w:rPr>
              <w:t>项目采用封闭式车间，车间内产尘工序设置集尘设备，最大限度减少无组织排放。</w:t>
            </w:r>
          </w:p>
          <w:p w14:paraId="67FAC527">
            <w:pPr>
              <w:jc w:val="left"/>
              <w:rPr>
                <w:rFonts w:ascii="Times New Roman" w:hAnsi="Times New Roman"/>
                <w:spacing w:val="-2"/>
                <w:kern w:val="0"/>
                <w:szCs w:val="21"/>
              </w:rPr>
            </w:pPr>
            <w:r>
              <w:rPr>
                <w:rFonts w:ascii="Times New Roman" w:hAnsi="Times New Roman"/>
                <w:b/>
                <w:bCs/>
                <w:spacing w:val="-2"/>
                <w:kern w:val="0"/>
                <w:szCs w:val="21"/>
              </w:rPr>
              <w:t>符合。</w:t>
            </w:r>
          </w:p>
        </w:tc>
      </w:tr>
      <w:tr w14:paraId="4AD6D7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800" w:type="dxa"/>
            <w:vMerge w:val="continue"/>
            <w:tcMar>
              <w:left w:w="28" w:type="dxa"/>
              <w:right w:w="28" w:type="dxa"/>
            </w:tcMar>
            <w:vAlign w:val="center"/>
          </w:tcPr>
          <w:p w14:paraId="7F4AD3D4">
            <w:pPr>
              <w:jc w:val="center"/>
              <w:rPr>
                <w:rFonts w:ascii="Times New Roman" w:hAnsi="Times New Roman"/>
                <w:spacing w:val="-2"/>
                <w:kern w:val="0"/>
                <w:szCs w:val="21"/>
              </w:rPr>
            </w:pPr>
          </w:p>
        </w:tc>
        <w:tc>
          <w:tcPr>
            <w:tcW w:w="5139" w:type="dxa"/>
            <w:tcMar>
              <w:left w:w="28" w:type="dxa"/>
              <w:right w:w="28" w:type="dxa"/>
            </w:tcMar>
            <w:vAlign w:val="center"/>
          </w:tcPr>
          <w:p w14:paraId="74AD5A02">
            <w:pPr>
              <w:jc w:val="left"/>
              <w:rPr>
                <w:rFonts w:ascii="Times New Roman" w:hAnsi="Times New Roman"/>
                <w:spacing w:val="-2"/>
                <w:kern w:val="0"/>
              </w:rPr>
            </w:pPr>
            <w:r>
              <w:rPr>
                <w:rFonts w:hint="eastAsia" w:ascii="Times New Roman" w:hAnsi="Times New Roman"/>
                <w:spacing w:val="-2"/>
                <w:kern w:val="0"/>
              </w:rPr>
              <w:t>3．加快实施低VOCs含量原辅材料替代，有条件的工业聚集区建设集中喷涂工程中心，配备高效治污设施，替代企业独立喷涂工序。推动重点行业挥发性有机物（VOCs）污染防治，强化企业精细化管控、无组织废气排放控制以及高效治污设施建设，严格控制挥发性有机污染物排放。</w:t>
            </w:r>
          </w:p>
        </w:tc>
        <w:tc>
          <w:tcPr>
            <w:tcW w:w="3143" w:type="dxa"/>
            <w:tcMar>
              <w:left w:w="28" w:type="dxa"/>
              <w:right w:w="28" w:type="dxa"/>
            </w:tcMar>
            <w:vAlign w:val="center"/>
          </w:tcPr>
          <w:p w14:paraId="3962F171">
            <w:pPr>
              <w:jc w:val="left"/>
              <w:rPr>
                <w:rFonts w:ascii="Times New Roman" w:hAnsi="Times New Roman"/>
                <w:spacing w:val="-2"/>
                <w:kern w:val="0"/>
                <w:szCs w:val="21"/>
              </w:rPr>
            </w:pPr>
            <w:r>
              <w:rPr>
                <w:rFonts w:ascii="Times New Roman" w:hAnsi="Times New Roman"/>
                <w:spacing w:val="-2"/>
                <w:kern w:val="0"/>
                <w:szCs w:val="21"/>
              </w:rPr>
              <w:t>项目生产过程中不产生VOCs</w:t>
            </w:r>
          </w:p>
          <w:p w14:paraId="23D5597D">
            <w:pPr>
              <w:jc w:val="left"/>
              <w:rPr>
                <w:rFonts w:ascii="Times New Roman" w:hAnsi="Times New Roman"/>
                <w:spacing w:val="-2"/>
                <w:kern w:val="0"/>
                <w:szCs w:val="21"/>
              </w:rPr>
            </w:pPr>
            <w:r>
              <w:rPr>
                <w:rFonts w:ascii="Times New Roman" w:hAnsi="Times New Roman"/>
                <w:b/>
                <w:bCs/>
                <w:spacing w:val="-2"/>
                <w:kern w:val="0"/>
                <w:szCs w:val="21"/>
              </w:rPr>
              <w:t>符合。</w:t>
            </w:r>
          </w:p>
        </w:tc>
      </w:tr>
      <w:tr w14:paraId="64C9B2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800" w:type="dxa"/>
            <w:vMerge w:val="continue"/>
            <w:tcMar>
              <w:left w:w="28" w:type="dxa"/>
              <w:right w:w="28" w:type="dxa"/>
            </w:tcMar>
            <w:vAlign w:val="center"/>
          </w:tcPr>
          <w:p w14:paraId="2F0E2BA5">
            <w:pPr>
              <w:jc w:val="center"/>
              <w:rPr>
                <w:rFonts w:ascii="Times New Roman" w:hAnsi="Times New Roman"/>
                <w:spacing w:val="-2"/>
                <w:kern w:val="0"/>
                <w:szCs w:val="21"/>
              </w:rPr>
            </w:pPr>
          </w:p>
        </w:tc>
        <w:tc>
          <w:tcPr>
            <w:tcW w:w="5139" w:type="dxa"/>
            <w:tcMar>
              <w:left w:w="28" w:type="dxa"/>
              <w:right w:w="28" w:type="dxa"/>
            </w:tcMar>
            <w:vAlign w:val="center"/>
          </w:tcPr>
          <w:p w14:paraId="4DAD12C9">
            <w:pPr>
              <w:jc w:val="left"/>
              <w:rPr>
                <w:rFonts w:ascii="Times New Roman" w:hAnsi="Times New Roman"/>
                <w:spacing w:val="-2"/>
                <w:kern w:val="0"/>
              </w:rPr>
            </w:pPr>
            <w:r>
              <w:rPr>
                <w:rFonts w:hint="eastAsia" w:ascii="Times New Roman" w:hAnsi="Times New Roman"/>
                <w:spacing w:val="-2"/>
                <w:kern w:val="0"/>
              </w:rPr>
              <w:t>4．工业固废以循环经济的理念进行处置，逐步实行垃圾分类收集，危险工业垃圾独立安全处置</w:t>
            </w:r>
            <w:r>
              <w:rPr>
                <w:rFonts w:ascii="Times New Roman" w:hAnsi="Times New Roman"/>
                <w:spacing w:val="-2"/>
                <w:kern w:val="0"/>
              </w:rPr>
              <w:t>。</w:t>
            </w:r>
          </w:p>
        </w:tc>
        <w:tc>
          <w:tcPr>
            <w:tcW w:w="3143" w:type="dxa"/>
            <w:tcMar>
              <w:left w:w="28" w:type="dxa"/>
              <w:right w:w="28" w:type="dxa"/>
            </w:tcMar>
            <w:vAlign w:val="center"/>
          </w:tcPr>
          <w:p w14:paraId="03B68B8E">
            <w:pPr>
              <w:jc w:val="left"/>
              <w:rPr>
                <w:rFonts w:ascii="Times New Roman" w:hAnsi="Times New Roman"/>
                <w:spacing w:val="-2"/>
                <w:kern w:val="0"/>
                <w:szCs w:val="21"/>
              </w:rPr>
            </w:pPr>
            <w:r>
              <w:rPr>
                <w:rFonts w:ascii="Times New Roman" w:hAnsi="Times New Roman"/>
                <w:spacing w:val="-2"/>
                <w:kern w:val="0"/>
                <w:szCs w:val="21"/>
              </w:rPr>
              <w:t>项目固体废物分类收集，妥善处置，危险废物设置危废暂存库暂存，委托有资质单位接收处置。</w:t>
            </w:r>
          </w:p>
          <w:p w14:paraId="0D147498">
            <w:pPr>
              <w:jc w:val="left"/>
              <w:rPr>
                <w:rFonts w:ascii="Times New Roman" w:hAnsi="Times New Roman"/>
                <w:spacing w:val="-2"/>
                <w:kern w:val="0"/>
                <w:szCs w:val="21"/>
              </w:rPr>
            </w:pPr>
            <w:r>
              <w:rPr>
                <w:rFonts w:ascii="Times New Roman" w:hAnsi="Times New Roman"/>
                <w:b/>
                <w:bCs/>
                <w:spacing w:val="-2"/>
                <w:kern w:val="0"/>
                <w:szCs w:val="21"/>
              </w:rPr>
              <w:t>符合。</w:t>
            </w:r>
          </w:p>
        </w:tc>
      </w:tr>
      <w:tr w14:paraId="276534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800" w:type="dxa"/>
            <w:vMerge w:val="restart"/>
            <w:tcMar>
              <w:left w:w="28" w:type="dxa"/>
              <w:right w:w="28" w:type="dxa"/>
            </w:tcMar>
            <w:vAlign w:val="center"/>
          </w:tcPr>
          <w:p w14:paraId="28E2016B">
            <w:pPr>
              <w:jc w:val="center"/>
              <w:rPr>
                <w:rFonts w:ascii="Times New Roman" w:hAnsi="Times New Roman"/>
                <w:spacing w:val="-2"/>
                <w:kern w:val="0"/>
                <w:szCs w:val="21"/>
              </w:rPr>
            </w:pPr>
            <w:r>
              <w:rPr>
                <w:rFonts w:ascii="Times New Roman" w:hAnsi="Times New Roman"/>
                <w:spacing w:val="-2"/>
                <w:kern w:val="0"/>
              </w:rPr>
              <w:t>环境风险防控</w:t>
            </w:r>
          </w:p>
        </w:tc>
        <w:tc>
          <w:tcPr>
            <w:tcW w:w="5139" w:type="dxa"/>
            <w:tcMar>
              <w:left w:w="28" w:type="dxa"/>
              <w:right w:w="28" w:type="dxa"/>
            </w:tcMar>
            <w:vAlign w:val="center"/>
          </w:tcPr>
          <w:p w14:paraId="015D3F1D">
            <w:pPr>
              <w:jc w:val="left"/>
              <w:rPr>
                <w:rFonts w:ascii="Times New Roman" w:hAnsi="Times New Roman"/>
                <w:spacing w:val="-2"/>
                <w:kern w:val="0"/>
              </w:rPr>
            </w:pPr>
            <w:r>
              <w:rPr>
                <w:rFonts w:hint="eastAsia" w:ascii="Times New Roman" w:hAnsi="Times New Roman"/>
                <w:spacing w:val="-2"/>
                <w:kern w:val="0"/>
              </w:rPr>
              <w:t>1．入区项目应严格落实环境保护措施和环境风险防范措施，确保园区周边麻兰岛旅游度假区、鹿耳环江红树林生态安全</w:t>
            </w:r>
            <w:r>
              <w:rPr>
                <w:rFonts w:ascii="Times New Roman" w:hAnsi="Times New Roman"/>
                <w:spacing w:val="-2"/>
                <w:kern w:val="0"/>
              </w:rPr>
              <w:t>。</w:t>
            </w:r>
          </w:p>
        </w:tc>
        <w:tc>
          <w:tcPr>
            <w:tcW w:w="3143" w:type="dxa"/>
            <w:tcMar>
              <w:left w:w="28" w:type="dxa"/>
              <w:right w:w="28" w:type="dxa"/>
            </w:tcMar>
            <w:vAlign w:val="center"/>
          </w:tcPr>
          <w:p w14:paraId="714AFBD2">
            <w:pPr>
              <w:pStyle w:val="4064"/>
              <w:spacing w:line="240" w:lineRule="auto"/>
              <w:ind w:firstLine="0" w:firstLineChars="0"/>
              <w:rPr>
                <w:spacing w:val="-2"/>
              </w:rPr>
            </w:pPr>
            <w:r>
              <w:rPr>
                <w:rFonts w:hint="eastAsia"/>
                <w:spacing w:val="-2"/>
              </w:rPr>
              <w:t>项目严格落实环保措施及风险防范措施，项目无生产废水排放，环境风险较小。</w:t>
            </w:r>
          </w:p>
          <w:p w14:paraId="64ABA1A5">
            <w:pPr>
              <w:pStyle w:val="4064"/>
              <w:spacing w:line="240" w:lineRule="auto"/>
              <w:ind w:firstLine="0" w:firstLineChars="0"/>
              <w:rPr>
                <w:b/>
                <w:bCs/>
                <w:spacing w:val="-2"/>
              </w:rPr>
            </w:pPr>
            <w:r>
              <w:rPr>
                <w:b/>
                <w:bCs/>
                <w:spacing w:val="-2"/>
              </w:rPr>
              <w:t>符合。</w:t>
            </w:r>
          </w:p>
        </w:tc>
      </w:tr>
      <w:tr w14:paraId="290123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800" w:type="dxa"/>
            <w:vMerge w:val="continue"/>
            <w:tcMar>
              <w:left w:w="28" w:type="dxa"/>
              <w:right w:w="28" w:type="dxa"/>
            </w:tcMar>
            <w:vAlign w:val="center"/>
          </w:tcPr>
          <w:p w14:paraId="708E5D49">
            <w:pPr>
              <w:jc w:val="center"/>
              <w:rPr>
                <w:rFonts w:ascii="Times New Roman" w:hAnsi="Times New Roman"/>
                <w:spacing w:val="-2"/>
                <w:kern w:val="0"/>
              </w:rPr>
            </w:pPr>
          </w:p>
        </w:tc>
        <w:tc>
          <w:tcPr>
            <w:tcW w:w="5139" w:type="dxa"/>
            <w:tcMar>
              <w:left w:w="28" w:type="dxa"/>
              <w:right w:w="28" w:type="dxa"/>
            </w:tcMar>
            <w:vAlign w:val="center"/>
          </w:tcPr>
          <w:p w14:paraId="209D9E4D">
            <w:pPr>
              <w:jc w:val="left"/>
              <w:rPr>
                <w:rFonts w:ascii="Times New Roman" w:hAnsi="Times New Roman"/>
                <w:spacing w:val="-2"/>
                <w:kern w:val="0"/>
              </w:rPr>
            </w:pPr>
            <w:r>
              <w:rPr>
                <w:rFonts w:hint="eastAsia" w:ascii="Times New Roman" w:hAnsi="Times New Roman"/>
                <w:spacing w:val="-2"/>
                <w:kern w:val="0"/>
              </w:rPr>
              <w:t>2．开展环境风险评估，制定突发环境事件应急预案并备案，配备应急能力和物资，建设环境应急队伍，并定期演练。企业、园区与地方人民政府环境应急预案应当有机衔接</w:t>
            </w:r>
            <w:r>
              <w:rPr>
                <w:rFonts w:ascii="Times New Roman" w:hAnsi="Times New Roman"/>
                <w:spacing w:val="-2"/>
                <w:kern w:val="0"/>
              </w:rPr>
              <w:t>。</w:t>
            </w:r>
          </w:p>
        </w:tc>
        <w:tc>
          <w:tcPr>
            <w:tcW w:w="3143" w:type="dxa"/>
            <w:tcMar>
              <w:left w:w="28" w:type="dxa"/>
              <w:right w:w="28" w:type="dxa"/>
            </w:tcMar>
            <w:vAlign w:val="center"/>
          </w:tcPr>
          <w:p w14:paraId="59CEAF49">
            <w:pPr>
              <w:pStyle w:val="4064"/>
              <w:spacing w:line="240" w:lineRule="auto"/>
              <w:ind w:firstLine="0" w:firstLineChars="0"/>
              <w:rPr>
                <w:spacing w:val="-2"/>
              </w:rPr>
            </w:pPr>
            <w:r>
              <w:rPr>
                <w:spacing w:val="-2"/>
              </w:rPr>
              <w:t>本次评价要求项目编制突发环境事件应急预案，并在钦州港生态环境局备案，并与园区环境事件应急预案进行联动。</w:t>
            </w:r>
          </w:p>
          <w:p w14:paraId="69277003">
            <w:pPr>
              <w:pStyle w:val="4064"/>
              <w:spacing w:line="240" w:lineRule="auto"/>
              <w:ind w:firstLine="0" w:firstLineChars="0"/>
              <w:rPr>
                <w:spacing w:val="-2"/>
              </w:rPr>
            </w:pPr>
            <w:r>
              <w:rPr>
                <w:b/>
                <w:bCs/>
                <w:spacing w:val="-2"/>
              </w:rPr>
              <w:t>符合。</w:t>
            </w:r>
          </w:p>
        </w:tc>
      </w:tr>
      <w:tr w14:paraId="7480CC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800" w:type="dxa"/>
            <w:vMerge w:val="restart"/>
            <w:tcMar>
              <w:left w:w="28" w:type="dxa"/>
              <w:right w:w="28" w:type="dxa"/>
            </w:tcMar>
            <w:vAlign w:val="center"/>
          </w:tcPr>
          <w:p w14:paraId="2BCAC4E3">
            <w:pPr>
              <w:jc w:val="center"/>
              <w:rPr>
                <w:rFonts w:ascii="Times New Roman" w:hAnsi="Times New Roman"/>
                <w:spacing w:val="-2"/>
                <w:kern w:val="0"/>
                <w:szCs w:val="21"/>
              </w:rPr>
            </w:pPr>
            <w:r>
              <w:rPr>
                <w:rFonts w:ascii="Times New Roman" w:hAnsi="Times New Roman"/>
                <w:spacing w:val="-2"/>
                <w:kern w:val="0"/>
                <w:szCs w:val="21"/>
              </w:rPr>
              <w:t>资源开发利用效率要求</w:t>
            </w:r>
          </w:p>
        </w:tc>
        <w:tc>
          <w:tcPr>
            <w:tcW w:w="5139" w:type="dxa"/>
            <w:tcMar>
              <w:left w:w="28" w:type="dxa"/>
              <w:right w:w="28" w:type="dxa"/>
            </w:tcMar>
            <w:vAlign w:val="center"/>
          </w:tcPr>
          <w:p w14:paraId="1CEFF0E3">
            <w:pPr>
              <w:jc w:val="left"/>
              <w:rPr>
                <w:rFonts w:ascii="Times New Roman" w:hAnsi="Times New Roman"/>
                <w:spacing w:val="-2"/>
                <w:kern w:val="0"/>
              </w:rPr>
            </w:pPr>
            <w:r>
              <w:rPr>
                <w:rFonts w:ascii="Times New Roman" w:hAnsi="Times New Roman"/>
                <w:spacing w:val="-2"/>
                <w:kern w:val="0"/>
              </w:rPr>
              <w:t>1. 提高工业用水循环利用率，减少工业新鲜水用量，提高企业中水回用率。</w:t>
            </w:r>
          </w:p>
        </w:tc>
        <w:tc>
          <w:tcPr>
            <w:tcW w:w="3143" w:type="dxa"/>
            <w:tcMar>
              <w:left w:w="28" w:type="dxa"/>
              <w:right w:w="28" w:type="dxa"/>
            </w:tcMar>
            <w:vAlign w:val="center"/>
          </w:tcPr>
          <w:p w14:paraId="3BF905B0">
            <w:pPr>
              <w:jc w:val="left"/>
              <w:rPr>
                <w:rFonts w:ascii="Times New Roman" w:hAnsi="Times New Roman"/>
                <w:spacing w:val="-2"/>
                <w:kern w:val="0"/>
                <w:szCs w:val="21"/>
              </w:rPr>
            </w:pPr>
            <w:r>
              <w:rPr>
                <w:rFonts w:ascii="Times New Roman" w:hAnsi="Times New Roman"/>
                <w:spacing w:val="-2"/>
                <w:kern w:val="0"/>
                <w:szCs w:val="21"/>
              </w:rPr>
              <w:t>项目生产过程中无需用水，无生产废水产生。</w:t>
            </w:r>
          </w:p>
          <w:p w14:paraId="5B5C06E1">
            <w:pPr>
              <w:jc w:val="left"/>
              <w:rPr>
                <w:rFonts w:ascii="Times New Roman" w:hAnsi="Times New Roman"/>
                <w:b/>
                <w:bCs/>
                <w:spacing w:val="-2"/>
                <w:kern w:val="0"/>
                <w:szCs w:val="21"/>
              </w:rPr>
            </w:pPr>
            <w:r>
              <w:rPr>
                <w:rFonts w:ascii="Times New Roman" w:hAnsi="Times New Roman"/>
                <w:b/>
                <w:bCs/>
                <w:spacing w:val="-2"/>
                <w:kern w:val="0"/>
                <w:szCs w:val="21"/>
              </w:rPr>
              <w:t>符合。</w:t>
            </w:r>
          </w:p>
        </w:tc>
      </w:tr>
      <w:tr w14:paraId="110A0D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800" w:type="dxa"/>
            <w:vMerge w:val="continue"/>
            <w:tcMar>
              <w:left w:w="28" w:type="dxa"/>
              <w:right w:w="28" w:type="dxa"/>
            </w:tcMar>
            <w:vAlign w:val="center"/>
          </w:tcPr>
          <w:p w14:paraId="0C396BCF">
            <w:pPr>
              <w:jc w:val="center"/>
              <w:rPr>
                <w:rFonts w:ascii="Times New Roman" w:hAnsi="Times New Roman"/>
                <w:spacing w:val="-2"/>
                <w:kern w:val="0"/>
                <w:szCs w:val="21"/>
              </w:rPr>
            </w:pPr>
          </w:p>
        </w:tc>
        <w:tc>
          <w:tcPr>
            <w:tcW w:w="5139" w:type="dxa"/>
            <w:tcMar>
              <w:left w:w="28" w:type="dxa"/>
              <w:right w:w="28" w:type="dxa"/>
            </w:tcMar>
            <w:vAlign w:val="center"/>
          </w:tcPr>
          <w:p w14:paraId="11E99F05">
            <w:pPr>
              <w:jc w:val="left"/>
              <w:rPr>
                <w:rFonts w:ascii="Times New Roman" w:hAnsi="Times New Roman"/>
                <w:spacing w:val="-2"/>
                <w:kern w:val="0"/>
              </w:rPr>
            </w:pPr>
            <w:r>
              <w:rPr>
                <w:rFonts w:ascii="Times New Roman" w:hAnsi="Times New Roman"/>
                <w:spacing w:val="-2"/>
                <w:kern w:val="0"/>
              </w:rPr>
              <w:t>2. 推进区域土地节约集约利用，优先保障区域主导产业发展用地。</w:t>
            </w:r>
          </w:p>
        </w:tc>
        <w:tc>
          <w:tcPr>
            <w:tcW w:w="3143" w:type="dxa"/>
            <w:tcMar>
              <w:left w:w="28" w:type="dxa"/>
              <w:right w:w="28" w:type="dxa"/>
            </w:tcMar>
            <w:vAlign w:val="center"/>
          </w:tcPr>
          <w:p w14:paraId="4A864CD8">
            <w:pPr>
              <w:jc w:val="left"/>
              <w:rPr>
                <w:rFonts w:ascii="Times New Roman" w:hAnsi="Times New Roman"/>
                <w:spacing w:val="-2"/>
                <w:kern w:val="0"/>
                <w:szCs w:val="21"/>
              </w:rPr>
            </w:pPr>
            <w:r>
              <w:rPr>
                <w:rFonts w:ascii="Times New Roman" w:hAnsi="Times New Roman"/>
                <w:spacing w:val="-2"/>
                <w:kern w:val="0"/>
                <w:szCs w:val="21"/>
              </w:rPr>
              <w:t>本次项目不新增用地。</w:t>
            </w:r>
          </w:p>
          <w:p w14:paraId="1D3EE5FE">
            <w:pPr>
              <w:jc w:val="left"/>
              <w:rPr>
                <w:rFonts w:ascii="Times New Roman" w:hAnsi="Times New Roman"/>
                <w:spacing w:val="-2"/>
                <w:kern w:val="0"/>
                <w:szCs w:val="21"/>
              </w:rPr>
            </w:pPr>
            <w:r>
              <w:rPr>
                <w:rFonts w:ascii="Times New Roman" w:hAnsi="Times New Roman"/>
                <w:b/>
                <w:bCs/>
                <w:spacing w:val="-2"/>
                <w:kern w:val="0"/>
                <w:szCs w:val="21"/>
              </w:rPr>
              <w:t>符合。</w:t>
            </w:r>
          </w:p>
        </w:tc>
      </w:tr>
    </w:tbl>
    <w:p w14:paraId="49C23019">
      <w:pPr>
        <w:spacing w:line="360" w:lineRule="auto"/>
        <w:ind w:firstLine="480" w:firstLineChars="200"/>
        <w:rPr>
          <w:rFonts w:ascii="Times New Roman" w:hAnsi="Times New Roman"/>
          <w:sz w:val="24"/>
          <w:szCs w:val="24"/>
        </w:rPr>
      </w:pPr>
      <w:r>
        <w:rPr>
          <w:rFonts w:ascii="Times New Roman" w:hAnsi="Times New Roman"/>
          <w:sz w:val="24"/>
          <w:szCs w:val="24"/>
        </w:rPr>
        <w:t>经对照生态准入及管控要求，本项目与钦</w:t>
      </w:r>
      <w:r>
        <w:rPr>
          <w:rFonts w:ascii="宋体" w:hAnsi="宋体"/>
          <w:sz w:val="24"/>
          <w:szCs w:val="24"/>
        </w:rPr>
        <w:t>州市“三线一单”生态环境</w:t>
      </w:r>
      <w:r>
        <w:rPr>
          <w:rFonts w:ascii="Times New Roman" w:hAnsi="Times New Roman"/>
          <w:sz w:val="24"/>
          <w:szCs w:val="24"/>
        </w:rPr>
        <w:t>分区管控实施意见是相符的。</w:t>
      </w:r>
    </w:p>
    <w:p w14:paraId="39BC08FF">
      <w:pPr>
        <w:spacing w:line="360" w:lineRule="auto"/>
        <w:ind w:firstLine="482" w:firstLineChars="200"/>
      </w:pPr>
      <w:r>
        <w:rPr>
          <w:rFonts w:hint="eastAsia" w:ascii="Times New Roman" w:hAnsi="Times New Roman"/>
          <w:b/>
          <w:bCs/>
          <w:sz w:val="24"/>
          <w:szCs w:val="24"/>
        </w:rPr>
        <w:t>（6）</w:t>
      </w:r>
      <w:r>
        <w:rPr>
          <w:rFonts w:hint="eastAsia" w:ascii="Times New Roman" w:hAnsi="Times New Roman"/>
          <w:b/>
          <w:bCs/>
          <w:sz w:val="24"/>
          <w:szCs w:val="24"/>
          <w:lang w:eastAsia="zh-CN"/>
        </w:rPr>
        <w:t>“三区三线”</w:t>
      </w:r>
      <w:r>
        <w:rPr>
          <w:rFonts w:hint="eastAsia" w:ascii="Times New Roman" w:hAnsi="Times New Roman"/>
          <w:b/>
          <w:bCs/>
          <w:sz w:val="24"/>
          <w:szCs w:val="24"/>
        </w:rPr>
        <w:t>相符性分析</w:t>
      </w:r>
    </w:p>
    <w:p w14:paraId="7DB1F746">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lang w:eastAsia="zh-CN"/>
        </w:rPr>
        <w:t>“三区三线”</w:t>
      </w:r>
      <w:r>
        <w:rPr>
          <w:rFonts w:hint="eastAsia" w:ascii="Times New Roman" w:hAnsi="Times New Roman"/>
          <w:spacing w:val="-2"/>
          <w:kern w:val="0"/>
          <w:sz w:val="24"/>
          <w:szCs w:val="24"/>
        </w:rPr>
        <w:t>是根据城镇空间、农业空间、生态空间三种类型的空间。分别对应划定的城镇开发边界、永久基本农田保护红线、生态保护红线三条控制线。本项目位于广西钦州保税港区，根据《广西钦州保税港区控制性详细规划》：规划区北与金光工业园启动区相连，西至钦州港10万吨级进港航道，东至大环作业区后方陆域，南与大榄坪南作业区相连 。广西钦州保税港区高起点建设，重点发展保税物流、出口贸易等第三产业，有选择地发展产出效益高、污染小乃至无污染的高新技术产业，发展循环经济，发展为全国生态型保税港区示范基地。规划区不涉及生态保护红线，园区内用地均为吹</w:t>
      </w:r>
      <w:r>
        <w:rPr>
          <w:rFonts w:hint="eastAsia" w:ascii="Times New Roman" w:hAnsi="Times New Roman"/>
          <w:spacing w:val="-2"/>
          <w:kern w:val="0"/>
          <w:sz w:val="24"/>
          <w:szCs w:val="24"/>
          <w:lang w:eastAsia="zh-CN"/>
        </w:rPr>
        <w:t>填成陆</w:t>
      </w:r>
      <w:r>
        <w:rPr>
          <w:rFonts w:hint="eastAsia" w:ascii="Times New Roman" w:hAnsi="Times New Roman"/>
          <w:spacing w:val="-2"/>
          <w:kern w:val="0"/>
          <w:sz w:val="24"/>
          <w:szCs w:val="24"/>
        </w:rPr>
        <w:t>的建设用地，以物流用地、工业用地为主，用地不涉及基本农田。本项目位于广西钦州保税港区范围内，与《广西钦州保税港区控制性详细规划》相符。</w:t>
      </w:r>
    </w:p>
    <w:p w14:paraId="2F683410">
      <w:pPr>
        <w:spacing w:line="360" w:lineRule="auto"/>
        <w:ind w:firstLine="474" w:firstLineChars="200"/>
        <w:rPr>
          <w:rFonts w:ascii="Times New Roman" w:hAnsi="Times New Roman"/>
          <w:b/>
          <w:spacing w:val="-2"/>
          <w:kern w:val="0"/>
          <w:sz w:val="24"/>
          <w:szCs w:val="24"/>
        </w:rPr>
      </w:pPr>
      <w:r>
        <w:rPr>
          <w:rFonts w:ascii="Times New Roman" w:hAnsi="Times New Roman"/>
          <w:b/>
          <w:spacing w:val="-2"/>
          <w:kern w:val="0"/>
          <w:sz w:val="24"/>
          <w:szCs w:val="24"/>
        </w:rPr>
        <w:t>五、关注的主要环境问题及环境影响</w:t>
      </w:r>
    </w:p>
    <w:p w14:paraId="4BA21890">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本项目关注的主要环境问题为项目废气排放对环境空气的影响以及选矿废水的处理问题。</w:t>
      </w:r>
    </w:p>
    <w:p w14:paraId="2495227B">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项目</w:t>
      </w:r>
      <w:r>
        <w:rPr>
          <w:rFonts w:ascii="Times New Roman" w:hAnsi="Times New Roman"/>
          <w:spacing w:val="-2"/>
          <w:kern w:val="0"/>
          <w:sz w:val="24"/>
          <w:szCs w:val="20"/>
        </w:rPr>
        <w:t>烘干炉烟气采用袋式除尘器处理，经</w:t>
      </w:r>
      <w:r>
        <w:rPr>
          <w:rFonts w:hint="eastAsia" w:ascii="Times New Roman" w:hAnsi="Times New Roman"/>
          <w:spacing w:val="-2"/>
          <w:kern w:val="0"/>
          <w:sz w:val="24"/>
          <w:szCs w:val="20"/>
        </w:rPr>
        <w:t>19m</w:t>
      </w:r>
      <w:r>
        <w:rPr>
          <w:rFonts w:ascii="Times New Roman" w:hAnsi="Times New Roman"/>
          <w:spacing w:val="-2"/>
          <w:kern w:val="0"/>
          <w:sz w:val="24"/>
          <w:szCs w:val="20"/>
        </w:rPr>
        <w:t>排气筒排放；烘干机、磁选机进出料口设置集气罩收集后通过袋式除尘器处理，经</w:t>
      </w:r>
      <w:r>
        <w:rPr>
          <w:rFonts w:hint="eastAsia" w:ascii="Times New Roman" w:hAnsi="Times New Roman"/>
          <w:spacing w:val="-2"/>
          <w:kern w:val="0"/>
          <w:sz w:val="24"/>
          <w:szCs w:val="20"/>
        </w:rPr>
        <w:t>19m</w:t>
      </w:r>
      <w:r>
        <w:rPr>
          <w:rFonts w:ascii="Times New Roman" w:hAnsi="Times New Roman"/>
          <w:spacing w:val="-2"/>
          <w:kern w:val="0"/>
          <w:sz w:val="24"/>
          <w:szCs w:val="20"/>
        </w:rPr>
        <w:t>排气筒排放；设备及物料堆放均设在封闭厂房内；物料进出厂运输车辆篷布覆盖，行驶道路定期洒水降尘。</w:t>
      </w:r>
      <w:r>
        <w:rPr>
          <w:rFonts w:ascii="Times New Roman" w:hAnsi="Times New Roman"/>
          <w:spacing w:val="-2"/>
          <w:kern w:val="0"/>
          <w:sz w:val="24"/>
          <w:szCs w:val="24"/>
        </w:rPr>
        <w:t>经预测，项目排放的污染物对周边环境贡献值占标率较小，项目大气环境影响评价等级为二级。项目采用干式磁选工艺，生产过程中无需用水，不产生生产废水，不会对地表水体产生影响。项目原材料及产品伴生放射性物质，产生的放射性及其辐射影响在可接受范围内，项目辐射影响较小。</w:t>
      </w:r>
    </w:p>
    <w:p w14:paraId="08589E2E">
      <w:pPr>
        <w:spacing w:line="360" w:lineRule="auto"/>
        <w:ind w:firstLine="474" w:firstLineChars="200"/>
        <w:rPr>
          <w:rFonts w:ascii="Times New Roman" w:hAnsi="Times New Roman"/>
          <w:b/>
          <w:spacing w:val="-2"/>
          <w:kern w:val="0"/>
          <w:sz w:val="24"/>
          <w:szCs w:val="24"/>
        </w:rPr>
      </w:pPr>
      <w:r>
        <w:rPr>
          <w:rFonts w:ascii="Times New Roman" w:hAnsi="Times New Roman"/>
          <w:b/>
          <w:spacing w:val="-2"/>
          <w:kern w:val="0"/>
          <w:sz w:val="24"/>
          <w:szCs w:val="24"/>
        </w:rPr>
        <w:t>六、主要环境影响评价结论</w:t>
      </w:r>
    </w:p>
    <w:p w14:paraId="4AB907DA">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广西瑞腾贸易有限公司拟建的锆钛矿石分选加工项目符合国家及广西产业政策，符合广西钦州保税港区规划及规划环评、审查意见要求，符合园区、广西以及钦州市“三线一单”及钦州市生态环境分区管控动态更新成果（2023版）要求，不属于环境准入负面清单项目。项目拟采取的污染防治措施和环境风险防范措施技术成熟、可靠，可实现各污染物达标排放，对环境影响在可接受范围。在严格遵守项目“三同时”以及切实落实本环评报告提出的各项污染防治措施、环境风险防范措施以及环境管理制度下，项目的大气、地表水、地下水、环境风险是可防可控的。从生态环境保护角度分析，项目建设可行。</w:t>
      </w:r>
    </w:p>
    <w:p w14:paraId="376F186D">
      <w:pPr>
        <w:rPr>
          <w:rFonts w:ascii="Times New Roman" w:hAnsi="Times New Roman"/>
          <w:spacing w:val="-2"/>
          <w:kern w:val="0"/>
          <w:sz w:val="28"/>
          <w:szCs w:val="20"/>
        </w:rPr>
        <w:sectPr>
          <w:pgSz w:w="11906" w:h="16838"/>
          <w:pgMar w:top="1418" w:right="1418" w:bottom="1418" w:left="1418" w:header="851" w:footer="992" w:gutter="0"/>
          <w:pgNumType w:fmt="upperRoman" w:start="1"/>
          <w:cols w:space="720" w:num="1"/>
          <w:docGrid w:linePitch="312" w:charSpace="0"/>
        </w:sectPr>
      </w:pPr>
    </w:p>
    <w:p w14:paraId="3C08EC75">
      <w:pPr>
        <w:keepNext/>
        <w:keepLines/>
        <w:tabs>
          <w:tab w:val="right" w:leader="dot" w:pos="8820"/>
        </w:tabs>
        <w:spacing w:line="360" w:lineRule="auto"/>
        <w:jc w:val="center"/>
        <w:outlineLvl w:val="0"/>
        <w:rPr>
          <w:rFonts w:ascii="Times New Roman" w:hAnsi="Times New Roman"/>
          <w:caps/>
          <w:spacing w:val="-2"/>
          <w:kern w:val="0"/>
          <w:sz w:val="24"/>
          <w:szCs w:val="24"/>
        </w:rPr>
      </w:pPr>
      <w:bookmarkStart w:id="26" w:name="_Toc23501514"/>
      <w:bookmarkStart w:id="27" w:name="_Toc485713219"/>
      <w:bookmarkStart w:id="28" w:name="_Toc34402495"/>
      <w:bookmarkStart w:id="29" w:name="_Toc18911133"/>
      <w:bookmarkStart w:id="30" w:name="_Toc531287925"/>
      <w:bookmarkStart w:id="31" w:name="_Toc18911069"/>
      <w:bookmarkStart w:id="32" w:name="_Toc488156118"/>
      <w:bookmarkStart w:id="33" w:name="_Toc508527104"/>
      <w:bookmarkStart w:id="34" w:name="_Toc25728"/>
      <w:bookmarkStart w:id="35" w:name="_Toc33600953"/>
      <w:bookmarkStart w:id="36" w:name="_Toc482797428"/>
      <w:bookmarkStart w:id="37" w:name="_Toc501921154"/>
      <w:bookmarkStart w:id="38" w:name="_Toc13419335"/>
      <w:bookmarkStart w:id="39" w:name="_Toc2608083"/>
      <w:r>
        <w:rPr>
          <w:rFonts w:ascii="黑体" w:hAnsi="黑体" w:eastAsia="黑体"/>
          <w:bCs/>
          <w:spacing w:val="-2"/>
          <w:kern w:val="44"/>
          <w:sz w:val="36"/>
          <w:szCs w:val="36"/>
        </w:rPr>
        <w:t>目  录</w:t>
      </w:r>
      <w:bookmarkEnd w:id="26"/>
      <w:bookmarkEnd w:id="27"/>
      <w:bookmarkEnd w:id="28"/>
      <w:bookmarkEnd w:id="29"/>
      <w:bookmarkEnd w:id="30"/>
      <w:bookmarkEnd w:id="31"/>
      <w:bookmarkEnd w:id="32"/>
      <w:bookmarkEnd w:id="33"/>
      <w:bookmarkEnd w:id="34"/>
      <w:bookmarkEnd w:id="35"/>
      <w:bookmarkEnd w:id="36"/>
      <w:bookmarkEnd w:id="37"/>
      <w:bookmarkEnd w:id="38"/>
      <w:bookmarkEnd w:id="39"/>
      <w:r>
        <w:rPr>
          <w:rFonts w:ascii="黑体" w:hAnsi="黑体" w:eastAsia="黑体"/>
          <w:bCs/>
          <w:spacing w:val="-2"/>
          <w:kern w:val="44"/>
          <w:sz w:val="36"/>
          <w:szCs w:val="36"/>
        </w:rPr>
        <w:fldChar w:fldCharType="begin"/>
      </w:r>
      <w:r>
        <w:rPr>
          <w:rFonts w:ascii="黑体" w:hAnsi="黑体" w:eastAsia="黑体"/>
          <w:bCs/>
          <w:spacing w:val="-2"/>
          <w:kern w:val="44"/>
          <w:sz w:val="36"/>
          <w:szCs w:val="36"/>
        </w:rPr>
        <w:instrText xml:space="preserve"> TOC \o "1-2" \h \z \u </w:instrText>
      </w:r>
      <w:r>
        <w:rPr>
          <w:rFonts w:ascii="黑体" w:hAnsi="黑体" w:eastAsia="黑体"/>
          <w:bCs/>
          <w:spacing w:val="-2"/>
          <w:kern w:val="44"/>
          <w:sz w:val="36"/>
          <w:szCs w:val="36"/>
        </w:rPr>
        <w:fldChar w:fldCharType="separate"/>
      </w:r>
    </w:p>
    <w:p w14:paraId="3D641CB2">
      <w:pPr>
        <w:pStyle w:val="59"/>
        <w:tabs>
          <w:tab w:val="right" w:leader="dot" w:pos="9026"/>
          <w:tab w:val="clear" w:pos="420"/>
          <w:tab w:val="clear" w:pos="9060"/>
        </w:tabs>
        <w:spacing w:before="0" w:after="0"/>
        <w:jc w:val="both"/>
        <w:rPr>
          <w:sz w:val="24"/>
          <w:szCs w:val="24"/>
        </w:rPr>
      </w:pPr>
      <w:r>
        <w:fldChar w:fldCharType="begin"/>
      </w:r>
      <w:r>
        <w:instrText xml:space="preserve"> HYPERLINK \l "_Toc9823" </w:instrText>
      </w:r>
      <w:r>
        <w:fldChar w:fldCharType="separate"/>
      </w:r>
      <w:r>
        <w:rPr>
          <w:spacing w:val="-2"/>
          <w:kern w:val="44"/>
          <w:sz w:val="24"/>
          <w:szCs w:val="24"/>
        </w:rPr>
        <w:t>概  述</w:t>
      </w:r>
      <w:r>
        <w:rPr>
          <w:sz w:val="24"/>
          <w:szCs w:val="24"/>
        </w:rPr>
        <w:tab/>
      </w:r>
      <w:r>
        <w:rPr>
          <w:sz w:val="24"/>
          <w:szCs w:val="24"/>
        </w:rPr>
        <w:fldChar w:fldCharType="begin"/>
      </w:r>
      <w:r>
        <w:rPr>
          <w:sz w:val="24"/>
          <w:szCs w:val="24"/>
        </w:rPr>
        <w:instrText xml:space="preserve"> PAGEREF _Toc9823 \h </w:instrText>
      </w:r>
      <w:r>
        <w:rPr>
          <w:sz w:val="24"/>
          <w:szCs w:val="24"/>
        </w:rPr>
        <w:fldChar w:fldCharType="separate"/>
      </w:r>
      <w:r>
        <w:rPr>
          <w:sz w:val="24"/>
          <w:szCs w:val="24"/>
        </w:rPr>
        <w:t>I</w:t>
      </w:r>
      <w:r>
        <w:rPr>
          <w:sz w:val="24"/>
          <w:szCs w:val="24"/>
        </w:rPr>
        <w:fldChar w:fldCharType="end"/>
      </w:r>
      <w:r>
        <w:rPr>
          <w:sz w:val="24"/>
          <w:szCs w:val="24"/>
        </w:rPr>
        <w:fldChar w:fldCharType="end"/>
      </w:r>
    </w:p>
    <w:p w14:paraId="44ADAA7C">
      <w:pPr>
        <w:pStyle w:val="59"/>
        <w:tabs>
          <w:tab w:val="right" w:leader="dot" w:pos="9026"/>
          <w:tab w:val="clear" w:pos="420"/>
          <w:tab w:val="clear" w:pos="9060"/>
        </w:tabs>
        <w:spacing w:before="0" w:after="0"/>
        <w:jc w:val="both"/>
        <w:rPr>
          <w:sz w:val="24"/>
          <w:szCs w:val="24"/>
        </w:rPr>
      </w:pPr>
      <w:r>
        <w:fldChar w:fldCharType="begin"/>
      </w:r>
      <w:r>
        <w:instrText xml:space="preserve"> HYPERLINK \l "_Toc25728" </w:instrText>
      </w:r>
      <w:r>
        <w:fldChar w:fldCharType="separate"/>
      </w:r>
      <w:r>
        <w:rPr>
          <w:rFonts w:ascii="黑体" w:hAnsi="黑体" w:eastAsia="黑体"/>
          <w:spacing w:val="-2"/>
          <w:kern w:val="44"/>
          <w:sz w:val="24"/>
          <w:szCs w:val="24"/>
        </w:rPr>
        <w:t>目  录</w:t>
      </w:r>
      <w:r>
        <w:rPr>
          <w:sz w:val="24"/>
          <w:szCs w:val="24"/>
        </w:rPr>
        <w:tab/>
      </w:r>
      <w:r>
        <w:rPr>
          <w:sz w:val="24"/>
          <w:szCs w:val="24"/>
        </w:rPr>
        <w:fldChar w:fldCharType="begin"/>
      </w:r>
      <w:r>
        <w:rPr>
          <w:sz w:val="24"/>
          <w:szCs w:val="24"/>
        </w:rPr>
        <w:instrText xml:space="preserve"> PAGEREF _Toc25728 \h </w:instrText>
      </w:r>
      <w:r>
        <w:rPr>
          <w:sz w:val="24"/>
          <w:szCs w:val="24"/>
        </w:rPr>
        <w:fldChar w:fldCharType="separate"/>
      </w:r>
      <w:r>
        <w:rPr>
          <w:sz w:val="24"/>
          <w:szCs w:val="24"/>
        </w:rPr>
        <w:t>1</w:t>
      </w:r>
      <w:r>
        <w:rPr>
          <w:sz w:val="24"/>
          <w:szCs w:val="24"/>
        </w:rPr>
        <w:fldChar w:fldCharType="end"/>
      </w:r>
      <w:r>
        <w:rPr>
          <w:sz w:val="24"/>
          <w:szCs w:val="24"/>
        </w:rPr>
        <w:fldChar w:fldCharType="end"/>
      </w:r>
    </w:p>
    <w:p w14:paraId="55723E5F">
      <w:pPr>
        <w:pStyle w:val="59"/>
        <w:tabs>
          <w:tab w:val="right" w:leader="dot" w:pos="9026"/>
          <w:tab w:val="clear" w:pos="420"/>
          <w:tab w:val="clear" w:pos="9060"/>
        </w:tabs>
        <w:spacing w:before="0" w:after="0"/>
        <w:jc w:val="both"/>
        <w:rPr>
          <w:sz w:val="24"/>
          <w:szCs w:val="24"/>
        </w:rPr>
      </w:pPr>
      <w:r>
        <w:fldChar w:fldCharType="begin"/>
      </w:r>
      <w:r>
        <w:instrText xml:space="preserve"> HYPERLINK \l "_Toc19122" </w:instrText>
      </w:r>
      <w:r>
        <w:fldChar w:fldCharType="separate"/>
      </w:r>
      <w:r>
        <w:rPr>
          <w:rFonts w:hint="eastAsia"/>
          <w:sz w:val="24"/>
          <w:szCs w:val="24"/>
        </w:rPr>
        <w:t xml:space="preserve">1 </w:t>
      </w:r>
      <w:r>
        <w:rPr>
          <w:sz w:val="24"/>
          <w:szCs w:val="24"/>
        </w:rPr>
        <w:t>总则</w:t>
      </w:r>
      <w:r>
        <w:rPr>
          <w:sz w:val="24"/>
          <w:szCs w:val="24"/>
        </w:rPr>
        <w:tab/>
      </w:r>
      <w:r>
        <w:rPr>
          <w:sz w:val="24"/>
          <w:szCs w:val="24"/>
        </w:rPr>
        <w:fldChar w:fldCharType="begin"/>
      </w:r>
      <w:r>
        <w:rPr>
          <w:sz w:val="24"/>
          <w:szCs w:val="24"/>
        </w:rPr>
        <w:instrText xml:space="preserve"> PAGEREF _Toc19122 \h </w:instrText>
      </w:r>
      <w:r>
        <w:rPr>
          <w:sz w:val="24"/>
          <w:szCs w:val="24"/>
        </w:rPr>
        <w:fldChar w:fldCharType="separate"/>
      </w:r>
      <w:r>
        <w:rPr>
          <w:sz w:val="24"/>
          <w:szCs w:val="24"/>
        </w:rPr>
        <w:t>1</w:t>
      </w:r>
      <w:r>
        <w:rPr>
          <w:sz w:val="24"/>
          <w:szCs w:val="24"/>
        </w:rPr>
        <w:fldChar w:fldCharType="end"/>
      </w:r>
      <w:r>
        <w:rPr>
          <w:sz w:val="24"/>
          <w:szCs w:val="24"/>
        </w:rPr>
        <w:fldChar w:fldCharType="end"/>
      </w:r>
    </w:p>
    <w:p w14:paraId="1ACFAEDC">
      <w:pPr>
        <w:pStyle w:val="74"/>
        <w:tabs>
          <w:tab w:val="right" w:leader="dot" w:pos="9026"/>
        </w:tabs>
        <w:spacing w:line="360" w:lineRule="auto"/>
        <w:ind w:left="0" w:firstLine="480" w:firstLineChars="200"/>
        <w:rPr>
          <w:szCs w:val="24"/>
        </w:rPr>
      </w:pPr>
      <w:r>
        <w:fldChar w:fldCharType="begin"/>
      </w:r>
      <w:r>
        <w:instrText xml:space="preserve"> HYPERLINK \l "_Toc8332" </w:instrText>
      </w:r>
      <w:r>
        <w:fldChar w:fldCharType="separate"/>
      </w:r>
      <w:r>
        <w:rPr>
          <w:rFonts w:hint="eastAsia"/>
          <w:szCs w:val="24"/>
        </w:rPr>
        <w:t xml:space="preserve">1.1 </w:t>
      </w:r>
      <w:r>
        <w:rPr>
          <w:szCs w:val="24"/>
        </w:rPr>
        <w:t>编制依据</w:t>
      </w:r>
      <w:r>
        <w:rPr>
          <w:szCs w:val="24"/>
        </w:rPr>
        <w:tab/>
      </w:r>
      <w:r>
        <w:rPr>
          <w:szCs w:val="24"/>
        </w:rPr>
        <w:fldChar w:fldCharType="begin"/>
      </w:r>
      <w:r>
        <w:rPr>
          <w:szCs w:val="24"/>
        </w:rPr>
        <w:instrText xml:space="preserve"> PAGEREF _Toc8332 \h </w:instrText>
      </w:r>
      <w:r>
        <w:rPr>
          <w:szCs w:val="24"/>
        </w:rPr>
        <w:fldChar w:fldCharType="separate"/>
      </w:r>
      <w:r>
        <w:rPr>
          <w:szCs w:val="24"/>
        </w:rPr>
        <w:t>1</w:t>
      </w:r>
      <w:r>
        <w:rPr>
          <w:szCs w:val="24"/>
        </w:rPr>
        <w:fldChar w:fldCharType="end"/>
      </w:r>
      <w:r>
        <w:rPr>
          <w:szCs w:val="24"/>
        </w:rPr>
        <w:fldChar w:fldCharType="end"/>
      </w:r>
    </w:p>
    <w:p w14:paraId="2C73FA6D">
      <w:pPr>
        <w:pStyle w:val="74"/>
        <w:tabs>
          <w:tab w:val="right" w:leader="dot" w:pos="9026"/>
        </w:tabs>
        <w:spacing w:line="360" w:lineRule="auto"/>
        <w:ind w:left="0" w:firstLine="480" w:firstLineChars="200"/>
        <w:rPr>
          <w:szCs w:val="24"/>
        </w:rPr>
      </w:pPr>
      <w:r>
        <w:fldChar w:fldCharType="begin"/>
      </w:r>
      <w:r>
        <w:instrText xml:space="preserve"> HYPERLINK \l "_Toc1819" </w:instrText>
      </w:r>
      <w:r>
        <w:fldChar w:fldCharType="separate"/>
      </w:r>
      <w:r>
        <w:rPr>
          <w:rFonts w:hint="eastAsia"/>
          <w:szCs w:val="24"/>
        </w:rPr>
        <w:t xml:space="preserve">1.2 </w:t>
      </w:r>
      <w:r>
        <w:rPr>
          <w:szCs w:val="24"/>
        </w:rPr>
        <w:t>环境功能区划</w:t>
      </w:r>
      <w:r>
        <w:rPr>
          <w:szCs w:val="24"/>
        </w:rPr>
        <w:tab/>
      </w:r>
      <w:r>
        <w:rPr>
          <w:szCs w:val="24"/>
        </w:rPr>
        <w:fldChar w:fldCharType="begin"/>
      </w:r>
      <w:r>
        <w:rPr>
          <w:szCs w:val="24"/>
        </w:rPr>
        <w:instrText xml:space="preserve"> PAGEREF _Toc1819 \h </w:instrText>
      </w:r>
      <w:r>
        <w:rPr>
          <w:szCs w:val="24"/>
        </w:rPr>
        <w:fldChar w:fldCharType="separate"/>
      </w:r>
      <w:r>
        <w:rPr>
          <w:szCs w:val="24"/>
        </w:rPr>
        <w:t>5</w:t>
      </w:r>
      <w:r>
        <w:rPr>
          <w:szCs w:val="24"/>
        </w:rPr>
        <w:fldChar w:fldCharType="end"/>
      </w:r>
      <w:r>
        <w:rPr>
          <w:szCs w:val="24"/>
        </w:rPr>
        <w:fldChar w:fldCharType="end"/>
      </w:r>
    </w:p>
    <w:p w14:paraId="785AEC87">
      <w:pPr>
        <w:pStyle w:val="74"/>
        <w:tabs>
          <w:tab w:val="right" w:leader="dot" w:pos="9026"/>
        </w:tabs>
        <w:spacing w:line="360" w:lineRule="auto"/>
        <w:ind w:left="0" w:firstLine="480" w:firstLineChars="200"/>
        <w:rPr>
          <w:szCs w:val="24"/>
        </w:rPr>
      </w:pPr>
      <w:r>
        <w:fldChar w:fldCharType="begin"/>
      </w:r>
      <w:r>
        <w:instrText xml:space="preserve"> HYPERLINK \l "_Toc22218" </w:instrText>
      </w:r>
      <w:r>
        <w:fldChar w:fldCharType="separate"/>
      </w:r>
      <w:r>
        <w:rPr>
          <w:rFonts w:hint="eastAsia"/>
          <w:szCs w:val="24"/>
        </w:rPr>
        <w:t xml:space="preserve">1.3 </w:t>
      </w:r>
      <w:r>
        <w:rPr>
          <w:szCs w:val="24"/>
        </w:rPr>
        <w:t>环境影响识别及评价因子筛选</w:t>
      </w:r>
      <w:r>
        <w:rPr>
          <w:szCs w:val="24"/>
        </w:rPr>
        <w:tab/>
      </w:r>
      <w:r>
        <w:rPr>
          <w:szCs w:val="24"/>
        </w:rPr>
        <w:fldChar w:fldCharType="begin"/>
      </w:r>
      <w:r>
        <w:rPr>
          <w:szCs w:val="24"/>
        </w:rPr>
        <w:instrText xml:space="preserve"> PAGEREF _Toc22218 \h </w:instrText>
      </w:r>
      <w:r>
        <w:rPr>
          <w:szCs w:val="24"/>
        </w:rPr>
        <w:fldChar w:fldCharType="separate"/>
      </w:r>
      <w:r>
        <w:rPr>
          <w:szCs w:val="24"/>
        </w:rPr>
        <w:t>7</w:t>
      </w:r>
      <w:r>
        <w:rPr>
          <w:szCs w:val="24"/>
        </w:rPr>
        <w:fldChar w:fldCharType="end"/>
      </w:r>
      <w:r>
        <w:rPr>
          <w:szCs w:val="24"/>
        </w:rPr>
        <w:fldChar w:fldCharType="end"/>
      </w:r>
    </w:p>
    <w:p w14:paraId="5330FB71">
      <w:pPr>
        <w:pStyle w:val="74"/>
        <w:tabs>
          <w:tab w:val="right" w:leader="dot" w:pos="9026"/>
        </w:tabs>
        <w:spacing w:line="360" w:lineRule="auto"/>
        <w:ind w:left="0" w:firstLine="480" w:firstLineChars="200"/>
        <w:rPr>
          <w:szCs w:val="24"/>
        </w:rPr>
      </w:pPr>
      <w:r>
        <w:fldChar w:fldCharType="begin"/>
      </w:r>
      <w:r>
        <w:instrText xml:space="preserve"> HYPERLINK \l "_Toc27283" </w:instrText>
      </w:r>
      <w:r>
        <w:fldChar w:fldCharType="separate"/>
      </w:r>
      <w:r>
        <w:rPr>
          <w:rFonts w:hint="eastAsia"/>
          <w:szCs w:val="24"/>
        </w:rPr>
        <w:t xml:space="preserve">1.4 </w:t>
      </w:r>
      <w:r>
        <w:rPr>
          <w:szCs w:val="24"/>
        </w:rPr>
        <w:t>评价标准</w:t>
      </w:r>
      <w:r>
        <w:rPr>
          <w:szCs w:val="24"/>
        </w:rPr>
        <w:tab/>
      </w:r>
      <w:r>
        <w:rPr>
          <w:szCs w:val="24"/>
        </w:rPr>
        <w:fldChar w:fldCharType="begin"/>
      </w:r>
      <w:r>
        <w:rPr>
          <w:szCs w:val="24"/>
        </w:rPr>
        <w:instrText xml:space="preserve"> PAGEREF _Toc27283 \h </w:instrText>
      </w:r>
      <w:r>
        <w:rPr>
          <w:szCs w:val="24"/>
        </w:rPr>
        <w:fldChar w:fldCharType="separate"/>
      </w:r>
      <w:r>
        <w:rPr>
          <w:szCs w:val="24"/>
        </w:rPr>
        <w:t>8</w:t>
      </w:r>
      <w:r>
        <w:rPr>
          <w:szCs w:val="24"/>
        </w:rPr>
        <w:fldChar w:fldCharType="end"/>
      </w:r>
      <w:r>
        <w:rPr>
          <w:szCs w:val="24"/>
        </w:rPr>
        <w:fldChar w:fldCharType="end"/>
      </w:r>
    </w:p>
    <w:p w14:paraId="192AF665">
      <w:pPr>
        <w:pStyle w:val="74"/>
        <w:tabs>
          <w:tab w:val="right" w:leader="dot" w:pos="9026"/>
        </w:tabs>
        <w:spacing w:line="360" w:lineRule="auto"/>
        <w:ind w:left="0" w:firstLine="480" w:firstLineChars="200"/>
        <w:rPr>
          <w:szCs w:val="24"/>
        </w:rPr>
      </w:pPr>
      <w:r>
        <w:fldChar w:fldCharType="begin"/>
      </w:r>
      <w:r>
        <w:instrText xml:space="preserve"> HYPERLINK \l "_Toc16364" </w:instrText>
      </w:r>
      <w:r>
        <w:fldChar w:fldCharType="separate"/>
      </w:r>
      <w:r>
        <w:rPr>
          <w:rFonts w:hint="eastAsia"/>
          <w:szCs w:val="24"/>
        </w:rPr>
        <w:t xml:space="preserve">1.5 </w:t>
      </w:r>
      <w:r>
        <w:rPr>
          <w:szCs w:val="24"/>
        </w:rPr>
        <w:t>评价等级及评价范围</w:t>
      </w:r>
      <w:r>
        <w:rPr>
          <w:szCs w:val="24"/>
        </w:rPr>
        <w:tab/>
      </w:r>
      <w:r>
        <w:rPr>
          <w:szCs w:val="24"/>
        </w:rPr>
        <w:fldChar w:fldCharType="begin"/>
      </w:r>
      <w:r>
        <w:rPr>
          <w:szCs w:val="24"/>
        </w:rPr>
        <w:instrText xml:space="preserve"> PAGEREF _Toc16364 \h </w:instrText>
      </w:r>
      <w:r>
        <w:rPr>
          <w:szCs w:val="24"/>
        </w:rPr>
        <w:fldChar w:fldCharType="separate"/>
      </w:r>
      <w:r>
        <w:rPr>
          <w:szCs w:val="24"/>
        </w:rPr>
        <w:t>13</w:t>
      </w:r>
      <w:r>
        <w:rPr>
          <w:szCs w:val="24"/>
        </w:rPr>
        <w:fldChar w:fldCharType="end"/>
      </w:r>
      <w:r>
        <w:rPr>
          <w:szCs w:val="24"/>
        </w:rPr>
        <w:fldChar w:fldCharType="end"/>
      </w:r>
    </w:p>
    <w:p w14:paraId="203B3A17">
      <w:pPr>
        <w:pStyle w:val="74"/>
        <w:tabs>
          <w:tab w:val="right" w:leader="dot" w:pos="9026"/>
        </w:tabs>
        <w:spacing w:line="360" w:lineRule="auto"/>
        <w:ind w:left="0" w:firstLine="480" w:firstLineChars="200"/>
        <w:rPr>
          <w:szCs w:val="24"/>
        </w:rPr>
      </w:pPr>
      <w:r>
        <w:fldChar w:fldCharType="begin"/>
      </w:r>
      <w:r>
        <w:instrText xml:space="preserve"> HYPERLINK \l "_Toc569" </w:instrText>
      </w:r>
      <w:r>
        <w:fldChar w:fldCharType="separate"/>
      </w:r>
      <w:r>
        <w:rPr>
          <w:rFonts w:hint="eastAsia"/>
          <w:szCs w:val="24"/>
        </w:rPr>
        <w:t xml:space="preserve">1.6 </w:t>
      </w:r>
      <w:r>
        <w:rPr>
          <w:szCs w:val="24"/>
        </w:rPr>
        <w:t>主要环境保护目标</w:t>
      </w:r>
      <w:r>
        <w:rPr>
          <w:szCs w:val="24"/>
        </w:rPr>
        <w:tab/>
      </w:r>
      <w:r>
        <w:rPr>
          <w:szCs w:val="24"/>
        </w:rPr>
        <w:fldChar w:fldCharType="begin"/>
      </w:r>
      <w:r>
        <w:rPr>
          <w:szCs w:val="24"/>
        </w:rPr>
        <w:instrText xml:space="preserve"> PAGEREF _Toc569 \h </w:instrText>
      </w:r>
      <w:r>
        <w:rPr>
          <w:szCs w:val="24"/>
        </w:rPr>
        <w:fldChar w:fldCharType="separate"/>
      </w:r>
      <w:r>
        <w:rPr>
          <w:szCs w:val="24"/>
        </w:rPr>
        <w:t>20</w:t>
      </w:r>
      <w:r>
        <w:rPr>
          <w:szCs w:val="24"/>
        </w:rPr>
        <w:fldChar w:fldCharType="end"/>
      </w:r>
      <w:r>
        <w:rPr>
          <w:szCs w:val="24"/>
        </w:rPr>
        <w:fldChar w:fldCharType="end"/>
      </w:r>
    </w:p>
    <w:p w14:paraId="1B303D14">
      <w:pPr>
        <w:pStyle w:val="59"/>
        <w:tabs>
          <w:tab w:val="right" w:leader="dot" w:pos="9026"/>
          <w:tab w:val="clear" w:pos="420"/>
          <w:tab w:val="clear" w:pos="9060"/>
        </w:tabs>
        <w:spacing w:before="0" w:after="0"/>
        <w:jc w:val="both"/>
        <w:rPr>
          <w:sz w:val="24"/>
          <w:szCs w:val="24"/>
        </w:rPr>
      </w:pPr>
      <w:r>
        <w:fldChar w:fldCharType="begin"/>
      </w:r>
      <w:r>
        <w:instrText xml:space="preserve"> HYPERLINK \l "_Toc22261" </w:instrText>
      </w:r>
      <w:r>
        <w:fldChar w:fldCharType="separate"/>
      </w:r>
      <w:r>
        <w:rPr>
          <w:rFonts w:hint="eastAsia"/>
          <w:sz w:val="24"/>
          <w:szCs w:val="24"/>
        </w:rPr>
        <w:t xml:space="preserve">2 </w:t>
      </w:r>
      <w:r>
        <w:rPr>
          <w:sz w:val="24"/>
          <w:szCs w:val="24"/>
        </w:rPr>
        <w:t>建设项目工程分析</w:t>
      </w:r>
      <w:r>
        <w:rPr>
          <w:sz w:val="24"/>
          <w:szCs w:val="24"/>
        </w:rPr>
        <w:tab/>
      </w:r>
      <w:r>
        <w:rPr>
          <w:sz w:val="24"/>
          <w:szCs w:val="24"/>
        </w:rPr>
        <w:fldChar w:fldCharType="begin"/>
      </w:r>
      <w:r>
        <w:rPr>
          <w:sz w:val="24"/>
          <w:szCs w:val="24"/>
        </w:rPr>
        <w:instrText xml:space="preserve"> PAGEREF _Toc22261 \h </w:instrText>
      </w:r>
      <w:r>
        <w:rPr>
          <w:sz w:val="24"/>
          <w:szCs w:val="24"/>
        </w:rPr>
        <w:fldChar w:fldCharType="separate"/>
      </w:r>
      <w:r>
        <w:rPr>
          <w:sz w:val="24"/>
          <w:szCs w:val="24"/>
        </w:rPr>
        <w:t>22</w:t>
      </w:r>
      <w:r>
        <w:rPr>
          <w:sz w:val="24"/>
          <w:szCs w:val="24"/>
        </w:rPr>
        <w:fldChar w:fldCharType="end"/>
      </w:r>
      <w:r>
        <w:rPr>
          <w:sz w:val="24"/>
          <w:szCs w:val="24"/>
        </w:rPr>
        <w:fldChar w:fldCharType="end"/>
      </w:r>
    </w:p>
    <w:p w14:paraId="24A3EF00">
      <w:pPr>
        <w:pStyle w:val="74"/>
        <w:tabs>
          <w:tab w:val="right" w:leader="dot" w:pos="9026"/>
        </w:tabs>
        <w:spacing w:line="360" w:lineRule="auto"/>
        <w:ind w:left="0" w:firstLine="480" w:firstLineChars="200"/>
        <w:rPr>
          <w:szCs w:val="24"/>
        </w:rPr>
      </w:pPr>
      <w:r>
        <w:fldChar w:fldCharType="begin"/>
      </w:r>
      <w:r>
        <w:instrText xml:space="preserve"> HYPERLINK \l "_Toc7618" </w:instrText>
      </w:r>
      <w:r>
        <w:fldChar w:fldCharType="separate"/>
      </w:r>
      <w:r>
        <w:rPr>
          <w:rFonts w:hint="eastAsia"/>
          <w:szCs w:val="24"/>
        </w:rPr>
        <w:t xml:space="preserve">2.1 </w:t>
      </w:r>
      <w:r>
        <w:rPr>
          <w:szCs w:val="24"/>
        </w:rPr>
        <w:t>拟建项目工程概况</w:t>
      </w:r>
      <w:r>
        <w:rPr>
          <w:szCs w:val="24"/>
        </w:rPr>
        <w:tab/>
      </w:r>
      <w:r>
        <w:rPr>
          <w:szCs w:val="24"/>
        </w:rPr>
        <w:fldChar w:fldCharType="begin"/>
      </w:r>
      <w:r>
        <w:rPr>
          <w:szCs w:val="24"/>
        </w:rPr>
        <w:instrText xml:space="preserve"> PAGEREF _Toc7618 \h </w:instrText>
      </w:r>
      <w:r>
        <w:rPr>
          <w:szCs w:val="24"/>
        </w:rPr>
        <w:fldChar w:fldCharType="separate"/>
      </w:r>
      <w:r>
        <w:rPr>
          <w:szCs w:val="24"/>
        </w:rPr>
        <w:t>22</w:t>
      </w:r>
      <w:r>
        <w:rPr>
          <w:szCs w:val="24"/>
        </w:rPr>
        <w:fldChar w:fldCharType="end"/>
      </w:r>
      <w:r>
        <w:rPr>
          <w:szCs w:val="24"/>
        </w:rPr>
        <w:fldChar w:fldCharType="end"/>
      </w:r>
    </w:p>
    <w:p w14:paraId="40149875">
      <w:pPr>
        <w:pStyle w:val="74"/>
        <w:tabs>
          <w:tab w:val="right" w:leader="dot" w:pos="9026"/>
        </w:tabs>
        <w:spacing w:line="360" w:lineRule="auto"/>
        <w:ind w:left="0" w:firstLine="480" w:firstLineChars="200"/>
        <w:rPr>
          <w:szCs w:val="24"/>
        </w:rPr>
      </w:pPr>
      <w:r>
        <w:fldChar w:fldCharType="begin"/>
      </w:r>
      <w:r>
        <w:instrText xml:space="preserve"> HYPERLINK \l "_Toc29323" </w:instrText>
      </w:r>
      <w:r>
        <w:fldChar w:fldCharType="separate"/>
      </w:r>
      <w:r>
        <w:rPr>
          <w:rFonts w:hint="eastAsia"/>
          <w:szCs w:val="24"/>
        </w:rPr>
        <w:t xml:space="preserve">2.2 </w:t>
      </w:r>
      <w:r>
        <w:rPr>
          <w:szCs w:val="24"/>
        </w:rPr>
        <w:t>工程分析</w:t>
      </w:r>
      <w:r>
        <w:rPr>
          <w:szCs w:val="24"/>
        </w:rPr>
        <w:tab/>
      </w:r>
      <w:r>
        <w:rPr>
          <w:szCs w:val="24"/>
        </w:rPr>
        <w:fldChar w:fldCharType="begin"/>
      </w:r>
      <w:r>
        <w:rPr>
          <w:szCs w:val="24"/>
        </w:rPr>
        <w:instrText xml:space="preserve"> PAGEREF _Toc29323 \h </w:instrText>
      </w:r>
      <w:r>
        <w:rPr>
          <w:szCs w:val="24"/>
        </w:rPr>
        <w:fldChar w:fldCharType="separate"/>
      </w:r>
      <w:r>
        <w:rPr>
          <w:szCs w:val="24"/>
        </w:rPr>
        <w:t>29</w:t>
      </w:r>
      <w:r>
        <w:rPr>
          <w:szCs w:val="24"/>
        </w:rPr>
        <w:fldChar w:fldCharType="end"/>
      </w:r>
      <w:r>
        <w:rPr>
          <w:szCs w:val="24"/>
        </w:rPr>
        <w:fldChar w:fldCharType="end"/>
      </w:r>
    </w:p>
    <w:p w14:paraId="7129A8F4">
      <w:pPr>
        <w:pStyle w:val="74"/>
        <w:tabs>
          <w:tab w:val="right" w:leader="dot" w:pos="9026"/>
        </w:tabs>
        <w:spacing w:line="360" w:lineRule="auto"/>
        <w:ind w:left="0" w:firstLine="480" w:firstLineChars="200"/>
        <w:rPr>
          <w:szCs w:val="24"/>
        </w:rPr>
      </w:pPr>
      <w:r>
        <w:fldChar w:fldCharType="begin"/>
      </w:r>
      <w:r>
        <w:instrText xml:space="preserve"> HYPERLINK \l "_Toc20500" </w:instrText>
      </w:r>
      <w:r>
        <w:fldChar w:fldCharType="separate"/>
      </w:r>
      <w:r>
        <w:rPr>
          <w:rFonts w:hint="eastAsia"/>
          <w:szCs w:val="24"/>
        </w:rPr>
        <w:t xml:space="preserve">2.3 </w:t>
      </w:r>
      <w:r>
        <w:rPr>
          <w:szCs w:val="24"/>
        </w:rPr>
        <w:t>项目污染源源强核算</w:t>
      </w:r>
      <w:r>
        <w:rPr>
          <w:szCs w:val="24"/>
        </w:rPr>
        <w:tab/>
      </w:r>
      <w:r>
        <w:rPr>
          <w:szCs w:val="24"/>
        </w:rPr>
        <w:fldChar w:fldCharType="begin"/>
      </w:r>
      <w:r>
        <w:rPr>
          <w:szCs w:val="24"/>
        </w:rPr>
        <w:instrText xml:space="preserve"> PAGEREF _Toc20500 \h </w:instrText>
      </w:r>
      <w:r>
        <w:rPr>
          <w:szCs w:val="24"/>
        </w:rPr>
        <w:fldChar w:fldCharType="separate"/>
      </w:r>
      <w:r>
        <w:rPr>
          <w:szCs w:val="24"/>
        </w:rPr>
        <w:t>38</w:t>
      </w:r>
      <w:r>
        <w:rPr>
          <w:szCs w:val="24"/>
        </w:rPr>
        <w:fldChar w:fldCharType="end"/>
      </w:r>
      <w:r>
        <w:rPr>
          <w:szCs w:val="24"/>
        </w:rPr>
        <w:fldChar w:fldCharType="end"/>
      </w:r>
    </w:p>
    <w:p w14:paraId="66437A6C">
      <w:pPr>
        <w:pStyle w:val="59"/>
        <w:tabs>
          <w:tab w:val="right" w:leader="dot" w:pos="9026"/>
          <w:tab w:val="clear" w:pos="420"/>
          <w:tab w:val="clear" w:pos="9060"/>
        </w:tabs>
        <w:spacing w:before="0" w:after="0"/>
        <w:jc w:val="both"/>
        <w:rPr>
          <w:sz w:val="24"/>
          <w:szCs w:val="24"/>
        </w:rPr>
      </w:pPr>
      <w:r>
        <w:fldChar w:fldCharType="begin"/>
      </w:r>
      <w:r>
        <w:instrText xml:space="preserve"> HYPERLINK \l "_Toc23935" </w:instrText>
      </w:r>
      <w:r>
        <w:fldChar w:fldCharType="separate"/>
      </w:r>
      <w:r>
        <w:rPr>
          <w:rFonts w:hint="eastAsia"/>
          <w:sz w:val="24"/>
          <w:szCs w:val="24"/>
        </w:rPr>
        <w:t xml:space="preserve">3 </w:t>
      </w:r>
      <w:r>
        <w:rPr>
          <w:sz w:val="24"/>
          <w:szCs w:val="24"/>
        </w:rPr>
        <w:t>环境现状调查与评价</w:t>
      </w:r>
      <w:r>
        <w:rPr>
          <w:sz w:val="24"/>
          <w:szCs w:val="24"/>
        </w:rPr>
        <w:tab/>
      </w:r>
      <w:r>
        <w:rPr>
          <w:sz w:val="24"/>
          <w:szCs w:val="24"/>
        </w:rPr>
        <w:fldChar w:fldCharType="begin"/>
      </w:r>
      <w:r>
        <w:rPr>
          <w:sz w:val="24"/>
          <w:szCs w:val="24"/>
        </w:rPr>
        <w:instrText xml:space="preserve"> PAGEREF _Toc23935 \h </w:instrText>
      </w:r>
      <w:r>
        <w:rPr>
          <w:sz w:val="24"/>
          <w:szCs w:val="24"/>
        </w:rPr>
        <w:fldChar w:fldCharType="separate"/>
      </w:r>
      <w:r>
        <w:rPr>
          <w:sz w:val="24"/>
          <w:szCs w:val="24"/>
        </w:rPr>
        <w:t>62</w:t>
      </w:r>
      <w:r>
        <w:rPr>
          <w:sz w:val="24"/>
          <w:szCs w:val="24"/>
        </w:rPr>
        <w:fldChar w:fldCharType="end"/>
      </w:r>
      <w:r>
        <w:rPr>
          <w:sz w:val="24"/>
          <w:szCs w:val="24"/>
        </w:rPr>
        <w:fldChar w:fldCharType="end"/>
      </w:r>
    </w:p>
    <w:p w14:paraId="45BC5CB9">
      <w:pPr>
        <w:pStyle w:val="74"/>
        <w:tabs>
          <w:tab w:val="right" w:leader="dot" w:pos="9026"/>
        </w:tabs>
        <w:spacing w:line="360" w:lineRule="auto"/>
        <w:ind w:left="0" w:firstLine="480" w:firstLineChars="200"/>
        <w:rPr>
          <w:szCs w:val="24"/>
        </w:rPr>
      </w:pPr>
      <w:r>
        <w:fldChar w:fldCharType="begin"/>
      </w:r>
      <w:r>
        <w:instrText xml:space="preserve"> HYPERLINK \l "_Toc22037" </w:instrText>
      </w:r>
      <w:r>
        <w:fldChar w:fldCharType="separate"/>
      </w:r>
      <w:r>
        <w:rPr>
          <w:rFonts w:hint="eastAsia"/>
          <w:szCs w:val="24"/>
        </w:rPr>
        <w:t xml:space="preserve">3.1 </w:t>
      </w:r>
      <w:r>
        <w:rPr>
          <w:szCs w:val="24"/>
        </w:rPr>
        <w:t>区域环境概况</w:t>
      </w:r>
      <w:r>
        <w:rPr>
          <w:szCs w:val="24"/>
        </w:rPr>
        <w:tab/>
      </w:r>
      <w:r>
        <w:rPr>
          <w:szCs w:val="24"/>
        </w:rPr>
        <w:fldChar w:fldCharType="begin"/>
      </w:r>
      <w:r>
        <w:rPr>
          <w:szCs w:val="24"/>
        </w:rPr>
        <w:instrText xml:space="preserve"> PAGEREF _Toc22037 \h </w:instrText>
      </w:r>
      <w:r>
        <w:rPr>
          <w:szCs w:val="24"/>
        </w:rPr>
        <w:fldChar w:fldCharType="separate"/>
      </w:r>
      <w:r>
        <w:rPr>
          <w:szCs w:val="24"/>
        </w:rPr>
        <w:t>62</w:t>
      </w:r>
      <w:r>
        <w:rPr>
          <w:szCs w:val="24"/>
        </w:rPr>
        <w:fldChar w:fldCharType="end"/>
      </w:r>
      <w:r>
        <w:rPr>
          <w:szCs w:val="24"/>
        </w:rPr>
        <w:fldChar w:fldCharType="end"/>
      </w:r>
    </w:p>
    <w:p w14:paraId="663DF6BA">
      <w:pPr>
        <w:pStyle w:val="74"/>
        <w:tabs>
          <w:tab w:val="right" w:leader="dot" w:pos="9026"/>
        </w:tabs>
        <w:spacing w:line="360" w:lineRule="auto"/>
        <w:ind w:left="0" w:firstLine="480" w:firstLineChars="200"/>
        <w:rPr>
          <w:szCs w:val="24"/>
        </w:rPr>
      </w:pPr>
      <w:r>
        <w:fldChar w:fldCharType="begin"/>
      </w:r>
      <w:r>
        <w:instrText xml:space="preserve"> HYPERLINK \l "_Toc4347" </w:instrText>
      </w:r>
      <w:r>
        <w:fldChar w:fldCharType="separate"/>
      </w:r>
      <w:r>
        <w:rPr>
          <w:rFonts w:hint="eastAsia"/>
          <w:szCs w:val="24"/>
        </w:rPr>
        <w:t xml:space="preserve">3.2 </w:t>
      </w:r>
      <w:r>
        <w:rPr>
          <w:szCs w:val="24"/>
        </w:rPr>
        <w:t>广西钦州保税港区简介</w:t>
      </w:r>
      <w:r>
        <w:rPr>
          <w:szCs w:val="24"/>
        </w:rPr>
        <w:tab/>
      </w:r>
      <w:r>
        <w:rPr>
          <w:szCs w:val="24"/>
        </w:rPr>
        <w:fldChar w:fldCharType="begin"/>
      </w:r>
      <w:r>
        <w:rPr>
          <w:szCs w:val="24"/>
        </w:rPr>
        <w:instrText xml:space="preserve"> PAGEREF _Toc4347 \h </w:instrText>
      </w:r>
      <w:r>
        <w:rPr>
          <w:szCs w:val="24"/>
        </w:rPr>
        <w:fldChar w:fldCharType="separate"/>
      </w:r>
      <w:r>
        <w:rPr>
          <w:szCs w:val="24"/>
        </w:rPr>
        <w:t>73</w:t>
      </w:r>
      <w:r>
        <w:rPr>
          <w:szCs w:val="24"/>
        </w:rPr>
        <w:fldChar w:fldCharType="end"/>
      </w:r>
      <w:r>
        <w:rPr>
          <w:szCs w:val="24"/>
        </w:rPr>
        <w:fldChar w:fldCharType="end"/>
      </w:r>
    </w:p>
    <w:p w14:paraId="722F2F62">
      <w:pPr>
        <w:pStyle w:val="74"/>
        <w:tabs>
          <w:tab w:val="right" w:leader="dot" w:pos="9026"/>
        </w:tabs>
        <w:spacing w:line="360" w:lineRule="auto"/>
        <w:ind w:left="0" w:firstLine="480" w:firstLineChars="200"/>
        <w:rPr>
          <w:szCs w:val="24"/>
        </w:rPr>
      </w:pPr>
      <w:r>
        <w:fldChar w:fldCharType="begin"/>
      </w:r>
      <w:r>
        <w:instrText xml:space="preserve"> HYPERLINK \l "_Toc7362" </w:instrText>
      </w:r>
      <w:r>
        <w:fldChar w:fldCharType="separate"/>
      </w:r>
      <w:r>
        <w:rPr>
          <w:rFonts w:hint="eastAsia"/>
          <w:szCs w:val="24"/>
        </w:rPr>
        <w:t xml:space="preserve">3.3 </w:t>
      </w:r>
      <w:r>
        <w:rPr>
          <w:szCs w:val="24"/>
        </w:rPr>
        <w:t>环境空气质量现状调查与评价</w:t>
      </w:r>
      <w:r>
        <w:rPr>
          <w:szCs w:val="24"/>
        </w:rPr>
        <w:tab/>
      </w:r>
      <w:r>
        <w:rPr>
          <w:szCs w:val="24"/>
        </w:rPr>
        <w:fldChar w:fldCharType="begin"/>
      </w:r>
      <w:r>
        <w:rPr>
          <w:szCs w:val="24"/>
        </w:rPr>
        <w:instrText xml:space="preserve"> PAGEREF _Toc7362 \h </w:instrText>
      </w:r>
      <w:r>
        <w:rPr>
          <w:szCs w:val="24"/>
        </w:rPr>
        <w:fldChar w:fldCharType="separate"/>
      </w:r>
      <w:r>
        <w:rPr>
          <w:szCs w:val="24"/>
        </w:rPr>
        <w:t>78</w:t>
      </w:r>
      <w:r>
        <w:rPr>
          <w:szCs w:val="24"/>
        </w:rPr>
        <w:fldChar w:fldCharType="end"/>
      </w:r>
      <w:r>
        <w:rPr>
          <w:szCs w:val="24"/>
        </w:rPr>
        <w:fldChar w:fldCharType="end"/>
      </w:r>
    </w:p>
    <w:p w14:paraId="1739BF6F">
      <w:pPr>
        <w:pStyle w:val="74"/>
        <w:tabs>
          <w:tab w:val="right" w:leader="dot" w:pos="9026"/>
        </w:tabs>
        <w:spacing w:line="360" w:lineRule="auto"/>
        <w:ind w:left="0" w:firstLine="480" w:firstLineChars="200"/>
        <w:rPr>
          <w:szCs w:val="24"/>
        </w:rPr>
      </w:pPr>
      <w:r>
        <w:fldChar w:fldCharType="begin"/>
      </w:r>
      <w:r>
        <w:instrText xml:space="preserve"> HYPERLINK \l "_Toc1206" </w:instrText>
      </w:r>
      <w:r>
        <w:fldChar w:fldCharType="separate"/>
      </w:r>
      <w:r>
        <w:rPr>
          <w:rFonts w:hint="eastAsia"/>
          <w:szCs w:val="24"/>
        </w:rPr>
        <w:t>3.4 海洋</w:t>
      </w:r>
      <w:r>
        <w:rPr>
          <w:szCs w:val="24"/>
        </w:rPr>
        <w:t>环境质量现状调查与评价</w:t>
      </w:r>
      <w:r>
        <w:rPr>
          <w:szCs w:val="24"/>
        </w:rPr>
        <w:tab/>
      </w:r>
      <w:r>
        <w:rPr>
          <w:szCs w:val="24"/>
        </w:rPr>
        <w:fldChar w:fldCharType="begin"/>
      </w:r>
      <w:r>
        <w:rPr>
          <w:szCs w:val="24"/>
        </w:rPr>
        <w:instrText xml:space="preserve"> PAGEREF _Toc1206 \h </w:instrText>
      </w:r>
      <w:r>
        <w:rPr>
          <w:szCs w:val="24"/>
        </w:rPr>
        <w:fldChar w:fldCharType="separate"/>
      </w:r>
      <w:r>
        <w:rPr>
          <w:szCs w:val="24"/>
        </w:rPr>
        <w:t>82</w:t>
      </w:r>
      <w:r>
        <w:rPr>
          <w:szCs w:val="24"/>
        </w:rPr>
        <w:fldChar w:fldCharType="end"/>
      </w:r>
      <w:r>
        <w:rPr>
          <w:szCs w:val="24"/>
        </w:rPr>
        <w:fldChar w:fldCharType="end"/>
      </w:r>
    </w:p>
    <w:p w14:paraId="1D71D07B">
      <w:pPr>
        <w:pStyle w:val="74"/>
        <w:tabs>
          <w:tab w:val="right" w:leader="dot" w:pos="9026"/>
        </w:tabs>
        <w:spacing w:line="360" w:lineRule="auto"/>
        <w:ind w:left="0" w:firstLine="480" w:firstLineChars="200"/>
        <w:rPr>
          <w:szCs w:val="24"/>
        </w:rPr>
      </w:pPr>
      <w:r>
        <w:fldChar w:fldCharType="begin"/>
      </w:r>
      <w:r>
        <w:instrText xml:space="preserve"> HYPERLINK \l "_Toc10486" </w:instrText>
      </w:r>
      <w:r>
        <w:fldChar w:fldCharType="separate"/>
      </w:r>
      <w:r>
        <w:rPr>
          <w:rFonts w:hint="eastAsia"/>
          <w:szCs w:val="24"/>
        </w:rPr>
        <w:t xml:space="preserve">3.5 </w:t>
      </w:r>
      <w:r>
        <w:rPr>
          <w:szCs w:val="24"/>
        </w:rPr>
        <w:t>地下水环境质量现状调查与评价</w:t>
      </w:r>
      <w:r>
        <w:rPr>
          <w:szCs w:val="24"/>
        </w:rPr>
        <w:tab/>
      </w:r>
      <w:r>
        <w:rPr>
          <w:szCs w:val="24"/>
        </w:rPr>
        <w:fldChar w:fldCharType="begin"/>
      </w:r>
      <w:r>
        <w:rPr>
          <w:szCs w:val="24"/>
        </w:rPr>
        <w:instrText xml:space="preserve"> PAGEREF _Toc10486 \h </w:instrText>
      </w:r>
      <w:r>
        <w:rPr>
          <w:szCs w:val="24"/>
        </w:rPr>
        <w:fldChar w:fldCharType="separate"/>
      </w:r>
      <w:r>
        <w:rPr>
          <w:szCs w:val="24"/>
        </w:rPr>
        <w:t>82</w:t>
      </w:r>
      <w:r>
        <w:rPr>
          <w:szCs w:val="24"/>
        </w:rPr>
        <w:fldChar w:fldCharType="end"/>
      </w:r>
      <w:r>
        <w:rPr>
          <w:szCs w:val="24"/>
        </w:rPr>
        <w:fldChar w:fldCharType="end"/>
      </w:r>
    </w:p>
    <w:p w14:paraId="3257B947">
      <w:pPr>
        <w:pStyle w:val="74"/>
        <w:tabs>
          <w:tab w:val="right" w:leader="dot" w:pos="9026"/>
        </w:tabs>
        <w:spacing w:line="360" w:lineRule="auto"/>
        <w:ind w:left="0" w:firstLine="480" w:firstLineChars="200"/>
        <w:rPr>
          <w:szCs w:val="24"/>
        </w:rPr>
      </w:pPr>
      <w:r>
        <w:fldChar w:fldCharType="begin"/>
      </w:r>
      <w:r>
        <w:instrText xml:space="preserve"> HYPERLINK \l "_Toc28178" </w:instrText>
      </w:r>
      <w:r>
        <w:fldChar w:fldCharType="separate"/>
      </w:r>
      <w:r>
        <w:rPr>
          <w:rFonts w:hint="eastAsia"/>
          <w:szCs w:val="24"/>
        </w:rPr>
        <w:t xml:space="preserve">3.6 </w:t>
      </w:r>
      <w:r>
        <w:rPr>
          <w:szCs w:val="24"/>
        </w:rPr>
        <w:t>声环境质量现状及评价</w:t>
      </w:r>
      <w:r>
        <w:rPr>
          <w:szCs w:val="24"/>
        </w:rPr>
        <w:tab/>
      </w:r>
      <w:r>
        <w:rPr>
          <w:szCs w:val="24"/>
        </w:rPr>
        <w:fldChar w:fldCharType="begin"/>
      </w:r>
      <w:r>
        <w:rPr>
          <w:szCs w:val="24"/>
        </w:rPr>
        <w:instrText xml:space="preserve"> PAGEREF _Toc28178 \h </w:instrText>
      </w:r>
      <w:r>
        <w:rPr>
          <w:szCs w:val="24"/>
        </w:rPr>
        <w:fldChar w:fldCharType="separate"/>
      </w:r>
      <w:r>
        <w:rPr>
          <w:szCs w:val="24"/>
        </w:rPr>
        <w:t>87</w:t>
      </w:r>
      <w:r>
        <w:rPr>
          <w:szCs w:val="24"/>
        </w:rPr>
        <w:fldChar w:fldCharType="end"/>
      </w:r>
      <w:r>
        <w:rPr>
          <w:szCs w:val="24"/>
        </w:rPr>
        <w:fldChar w:fldCharType="end"/>
      </w:r>
    </w:p>
    <w:p w14:paraId="6A6BB447">
      <w:pPr>
        <w:pStyle w:val="74"/>
        <w:tabs>
          <w:tab w:val="right" w:leader="dot" w:pos="9026"/>
        </w:tabs>
        <w:spacing w:line="360" w:lineRule="auto"/>
        <w:ind w:left="0" w:firstLine="480" w:firstLineChars="200"/>
        <w:rPr>
          <w:szCs w:val="24"/>
        </w:rPr>
      </w:pPr>
      <w:r>
        <w:fldChar w:fldCharType="begin"/>
      </w:r>
      <w:r>
        <w:instrText xml:space="preserve"> HYPERLINK \l "_Toc30360" </w:instrText>
      </w:r>
      <w:r>
        <w:fldChar w:fldCharType="separate"/>
      </w:r>
      <w:r>
        <w:rPr>
          <w:rFonts w:hint="eastAsia"/>
          <w:szCs w:val="24"/>
        </w:rPr>
        <w:t xml:space="preserve">3.7 </w:t>
      </w:r>
      <w:r>
        <w:rPr>
          <w:szCs w:val="24"/>
        </w:rPr>
        <w:t>生态环境质量现状调查</w:t>
      </w:r>
      <w:r>
        <w:rPr>
          <w:szCs w:val="24"/>
        </w:rPr>
        <w:tab/>
      </w:r>
      <w:r>
        <w:rPr>
          <w:szCs w:val="24"/>
        </w:rPr>
        <w:fldChar w:fldCharType="begin"/>
      </w:r>
      <w:r>
        <w:rPr>
          <w:szCs w:val="24"/>
        </w:rPr>
        <w:instrText xml:space="preserve"> PAGEREF _Toc30360 \h </w:instrText>
      </w:r>
      <w:r>
        <w:rPr>
          <w:szCs w:val="24"/>
        </w:rPr>
        <w:fldChar w:fldCharType="separate"/>
      </w:r>
      <w:r>
        <w:rPr>
          <w:szCs w:val="24"/>
        </w:rPr>
        <w:t>88</w:t>
      </w:r>
      <w:r>
        <w:rPr>
          <w:szCs w:val="24"/>
        </w:rPr>
        <w:fldChar w:fldCharType="end"/>
      </w:r>
      <w:r>
        <w:rPr>
          <w:szCs w:val="24"/>
        </w:rPr>
        <w:fldChar w:fldCharType="end"/>
      </w:r>
    </w:p>
    <w:p w14:paraId="40EFFFAE">
      <w:pPr>
        <w:pStyle w:val="74"/>
        <w:tabs>
          <w:tab w:val="right" w:leader="dot" w:pos="9026"/>
        </w:tabs>
        <w:spacing w:line="360" w:lineRule="auto"/>
        <w:ind w:left="0" w:firstLine="480" w:firstLineChars="200"/>
        <w:rPr>
          <w:szCs w:val="24"/>
        </w:rPr>
      </w:pPr>
      <w:r>
        <w:fldChar w:fldCharType="begin"/>
      </w:r>
      <w:r>
        <w:instrText xml:space="preserve"> HYPERLINK \l "_Toc19751" </w:instrText>
      </w:r>
      <w:r>
        <w:fldChar w:fldCharType="separate"/>
      </w:r>
      <w:r>
        <w:rPr>
          <w:rFonts w:hint="eastAsia"/>
          <w:szCs w:val="24"/>
        </w:rPr>
        <w:t xml:space="preserve">3.8 </w:t>
      </w:r>
      <w:r>
        <w:rPr>
          <w:szCs w:val="24"/>
        </w:rPr>
        <w:t>辐射环境现状</w:t>
      </w:r>
      <w:r>
        <w:rPr>
          <w:szCs w:val="24"/>
        </w:rPr>
        <w:tab/>
      </w:r>
      <w:r>
        <w:rPr>
          <w:szCs w:val="24"/>
        </w:rPr>
        <w:fldChar w:fldCharType="begin"/>
      </w:r>
      <w:r>
        <w:rPr>
          <w:szCs w:val="24"/>
        </w:rPr>
        <w:instrText xml:space="preserve"> PAGEREF _Toc19751 \h </w:instrText>
      </w:r>
      <w:r>
        <w:rPr>
          <w:szCs w:val="24"/>
        </w:rPr>
        <w:fldChar w:fldCharType="separate"/>
      </w:r>
      <w:r>
        <w:rPr>
          <w:szCs w:val="24"/>
        </w:rPr>
        <w:t>89</w:t>
      </w:r>
      <w:r>
        <w:rPr>
          <w:szCs w:val="24"/>
        </w:rPr>
        <w:fldChar w:fldCharType="end"/>
      </w:r>
      <w:r>
        <w:rPr>
          <w:szCs w:val="24"/>
        </w:rPr>
        <w:fldChar w:fldCharType="end"/>
      </w:r>
    </w:p>
    <w:p w14:paraId="523081AA">
      <w:pPr>
        <w:pStyle w:val="74"/>
        <w:tabs>
          <w:tab w:val="right" w:leader="dot" w:pos="9026"/>
        </w:tabs>
        <w:spacing w:line="360" w:lineRule="auto"/>
        <w:ind w:left="0" w:firstLine="480" w:firstLineChars="200"/>
        <w:rPr>
          <w:szCs w:val="24"/>
        </w:rPr>
      </w:pPr>
      <w:r>
        <w:fldChar w:fldCharType="begin"/>
      </w:r>
      <w:r>
        <w:instrText xml:space="preserve"> HYPERLINK \l "_Toc20998" </w:instrText>
      </w:r>
      <w:r>
        <w:fldChar w:fldCharType="separate"/>
      </w:r>
      <w:r>
        <w:rPr>
          <w:rFonts w:hint="eastAsia"/>
          <w:szCs w:val="24"/>
        </w:rPr>
        <w:t>3.9 区域污染源调查</w:t>
      </w:r>
      <w:r>
        <w:rPr>
          <w:szCs w:val="24"/>
        </w:rPr>
        <w:tab/>
      </w:r>
      <w:r>
        <w:rPr>
          <w:szCs w:val="24"/>
        </w:rPr>
        <w:fldChar w:fldCharType="begin"/>
      </w:r>
      <w:r>
        <w:rPr>
          <w:szCs w:val="24"/>
        </w:rPr>
        <w:instrText xml:space="preserve"> PAGEREF _Toc20998 \h </w:instrText>
      </w:r>
      <w:r>
        <w:rPr>
          <w:szCs w:val="24"/>
        </w:rPr>
        <w:fldChar w:fldCharType="separate"/>
      </w:r>
      <w:r>
        <w:rPr>
          <w:szCs w:val="24"/>
        </w:rPr>
        <w:t>89</w:t>
      </w:r>
      <w:r>
        <w:rPr>
          <w:szCs w:val="24"/>
        </w:rPr>
        <w:fldChar w:fldCharType="end"/>
      </w:r>
      <w:r>
        <w:rPr>
          <w:szCs w:val="24"/>
        </w:rPr>
        <w:fldChar w:fldCharType="end"/>
      </w:r>
    </w:p>
    <w:p w14:paraId="29EB2D3A">
      <w:pPr>
        <w:pStyle w:val="59"/>
        <w:tabs>
          <w:tab w:val="right" w:leader="dot" w:pos="9026"/>
          <w:tab w:val="clear" w:pos="420"/>
          <w:tab w:val="clear" w:pos="9060"/>
        </w:tabs>
        <w:spacing w:before="0" w:after="0"/>
        <w:jc w:val="both"/>
        <w:rPr>
          <w:sz w:val="24"/>
          <w:szCs w:val="24"/>
        </w:rPr>
      </w:pPr>
      <w:r>
        <w:fldChar w:fldCharType="begin"/>
      </w:r>
      <w:r>
        <w:instrText xml:space="preserve"> HYPERLINK \l "_Toc24309" </w:instrText>
      </w:r>
      <w:r>
        <w:fldChar w:fldCharType="separate"/>
      </w:r>
      <w:r>
        <w:rPr>
          <w:rFonts w:hint="eastAsia"/>
          <w:sz w:val="24"/>
          <w:szCs w:val="24"/>
        </w:rPr>
        <w:t xml:space="preserve">4 </w:t>
      </w:r>
      <w:r>
        <w:rPr>
          <w:sz w:val="24"/>
          <w:szCs w:val="24"/>
        </w:rPr>
        <w:t>环境影响预测与评价</w:t>
      </w:r>
      <w:r>
        <w:rPr>
          <w:sz w:val="24"/>
          <w:szCs w:val="24"/>
        </w:rPr>
        <w:tab/>
      </w:r>
      <w:r>
        <w:rPr>
          <w:sz w:val="24"/>
          <w:szCs w:val="24"/>
        </w:rPr>
        <w:fldChar w:fldCharType="begin"/>
      </w:r>
      <w:r>
        <w:rPr>
          <w:sz w:val="24"/>
          <w:szCs w:val="24"/>
        </w:rPr>
        <w:instrText xml:space="preserve"> PAGEREF _Toc24309 \h </w:instrText>
      </w:r>
      <w:r>
        <w:rPr>
          <w:sz w:val="24"/>
          <w:szCs w:val="24"/>
        </w:rPr>
        <w:fldChar w:fldCharType="separate"/>
      </w:r>
      <w:r>
        <w:rPr>
          <w:sz w:val="24"/>
          <w:szCs w:val="24"/>
        </w:rPr>
        <w:t>90</w:t>
      </w:r>
      <w:r>
        <w:rPr>
          <w:sz w:val="24"/>
          <w:szCs w:val="24"/>
        </w:rPr>
        <w:fldChar w:fldCharType="end"/>
      </w:r>
      <w:r>
        <w:rPr>
          <w:sz w:val="24"/>
          <w:szCs w:val="24"/>
        </w:rPr>
        <w:fldChar w:fldCharType="end"/>
      </w:r>
    </w:p>
    <w:p w14:paraId="3E32D513">
      <w:pPr>
        <w:pStyle w:val="74"/>
        <w:tabs>
          <w:tab w:val="right" w:leader="dot" w:pos="9026"/>
        </w:tabs>
        <w:spacing w:line="360" w:lineRule="auto"/>
        <w:ind w:left="0" w:firstLine="480" w:firstLineChars="200"/>
        <w:rPr>
          <w:szCs w:val="24"/>
        </w:rPr>
      </w:pPr>
      <w:r>
        <w:fldChar w:fldCharType="begin"/>
      </w:r>
      <w:r>
        <w:instrText xml:space="preserve"> HYPERLINK \l "_Toc1520" </w:instrText>
      </w:r>
      <w:r>
        <w:fldChar w:fldCharType="separate"/>
      </w:r>
      <w:r>
        <w:rPr>
          <w:rFonts w:hint="eastAsia"/>
          <w:szCs w:val="24"/>
        </w:rPr>
        <w:t xml:space="preserve">4.1 </w:t>
      </w:r>
      <w:r>
        <w:rPr>
          <w:szCs w:val="24"/>
        </w:rPr>
        <w:t>施工期环境影响分析</w:t>
      </w:r>
      <w:r>
        <w:rPr>
          <w:szCs w:val="24"/>
        </w:rPr>
        <w:tab/>
      </w:r>
      <w:r>
        <w:rPr>
          <w:szCs w:val="24"/>
        </w:rPr>
        <w:fldChar w:fldCharType="begin"/>
      </w:r>
      <w:r>
        <w:rPr>
          <w:szCs w:val="24"/>
        </w:rPr>
        <w:instrText xml:space="preserve"> PAGEREF _Toc1520 \h </w:instrText>
      </w:r>
      <w:r>
        <w:rPr>
          <w:szCs w:val="24"/>
        </w:rPr>
        <w:fldChar w:fldCharType="separate"/>
      </w:r>
      <w:r>
        <w:rPr>
          <w:szCs w:val="24"/>
        </w:rPr>
        <w:t>90</w:t>
      </w:r>
      <w:r>
        <w:rPr>
          <w:szCs w:val="24"/>
        </w:rPr>
        <w:fldChar w:fldCharType="end"/>
      </w:r>
      <w:r>
        <w:rPr>
          <w:szCs w:val="24"/>
        </w:rPr>
        <w:fldChar w:fldCharType="end"/>
      </w:r>
    </w:p>
    <w:p w14:paraId="3F250CEC">
      <w:pPr>
        <w:pStyle w:val="74"/>
        <w:tabs>
          <w:tab w:val="right" w:leader="dot" w:pos="9026"/>
        </w:tabs>
        <w:spacing w:line="360" w:lineRule="auto"/>
        <w:ind w:left="0" w:firstLine="480" w:firstLineChars="200"/>
        <w:rPr>
          <w:szCs w:val="24"/>
        </w:rPr>
      </w:pPr>
      <w:r>
        <w:fldChar w:fldCharType="begin"/>
      </w:r>
      <w:r>
        <w:instrText xml:space="preserve"> HYPERLINK \l "_Toc1624" </w:instrText>
      </w:r>
      <w:r>
        <w:fldChar w:fldCharType="separate"/>
      </w:r>
      <w:r>
        <w:rPr>
          <w:rFonts w:hint="eastAsia"/>
          <w:szCs w:val="24"/>
        </w:rPr>
        <w:t xml:space="preserve">4.2 </w:t>
      </w:r>
      <w:r>
        <w:rPr>
          <w:szCs w:val="24"/>
        </w:rPr>
        <w:t>运营期大气环境影响预测与评价</w:t>
      </w:r>
      <w:r>
        <w:rPr>
          <w:szCs w:val="24"/>
        </w:rPr>
        <w:tab/>
      </w:r>
      <w:r>
        <w:rPr>
          <w:szCs w:val="24"/>
        </w:rPr>
        <w:fldChar w:fldCharType="begin"/>
      </w:r>
      <w:r>
        <w:rPr>
          <w:szCs w:val="24"/>
        </w:rPr>
        <w:instrText xml:space="preserve"> PAGEREF _Toc1624 \h </w:instrText>
      </w:r>
      <w:r>
        <w:rPr>
          <w:szCs w:val="24"/>
        </w:rPr>
        <w:fldChar w:fldCharType="separate"/>
      </w:r>
      <w:r>
        <w:rPr>
          <w:szCs w:val="24"/>
        </w:rPr>
        <w:t>91</w:t>
      </w:r>
      <w:r>
        <w:rPr>
          <w:szCs w:val="24"/>
        </w:rPr>
        <w:fldChar w:fldCharType="end"/>
      </w:r>
      <w:r>
        <w:rPr>
          <w:szCs w:val="24"/>
        </w:rPr>
        <w:fldChar w:fldCharType="end"/>
      </w:r>
    </w:p>
    <w:p w14:paraId="0B6D9D78">
      <w:pPr>
        <w:pStyle w:val="74"/>
        <w:tabs>
          <w:tab w:val="right" w:leader="dot" w:pos="9026"/>
        </w:tabs>
        <w:spacing w:line="360" w:lineRule="auto"/>
        <w:ind w:left="0" w:firstLine="480" w:firstLineChars="200"/>
        <w:rPr>
          <w:szCs w:val="24"/>
        </w:rPr>
      </w:pPr>
      <w:r>
        <w:fldChar w:fldCharType="begin"/>
      </w:r>
      <w:r>
        <w:instrText xml:space="preserve"> HYPERLINK \l "_Toc18695" </w:instrText>
      </w:r>
      <w:r>
        <w:fldChar w:fldCharType="separate"/>
      </w:r>
      <w:r>
        <w:rPr>
          <w:rFonts w:hint="eastAsia"/>
          <w:szCs w:val="24"/>
        </w:rPr>
        <w:t xml:space="preserve">4.3 </w:t>
      </w:r>
      <w:r>
        <w:rPr>
          <w:szCs w:val="24"/>
        </w:rPr>
        <w:t>地表水环境影响分析</w:t>
      </w:r>
      <w:r>
        <w:rPr>
          <w:szCs w:val="24"/>
        </w:rPr>
        <w:tab/>
      </w:r>
      <w:r>
        <w:rPr>
          <w:szCs w:val="24"/>
        </w:rPr>
        <w:fldChar w:fldCharType="begin"/>
      </w:r>
      <w:r>
        <w:rPr>
          <w:szCs w:val="24"/>
        </w:rPr>
        <w:instrText xml:space="preserve"> PAGEREF _Toc18695 \h </w:instrText>
      </w:r>
      <w:r>
        <w:rPr>
          <w:szCs w:val="24"/>
        </w:rPr>
        <w:fldChar w:fldCharType="separate"/>
      </w:r>
      <w:r>
        <w:rPr>
          <w:szCs w:val="24"/>
        </w:rPr>
        <w:t>102</w:t>
      </w:r>
      <w:r>
        <w:rPr>
          <w:szCs w:val="24"/>
        </w:rPr>
        <w:fldChar w:fldCharType="end"/>
      </w:r>
      <w:r>
        <w:rPr>
          <w:szCs w:val="24"/>
        </w:rPr>
        <w:fldChar w:fldCharType="end"/>
      </w:r>
    </w:p>
    <w:p w14:paraId="073EAF02">
      <w:pPr>
        <w:pStyle w:val="74"/>
        <w:tabs>
          <w:tab w:val="right" w:leader="dot" w:pos="9026"/>
        </w:tabs>
        <w:spacing w:line="360" w:lineRule="auto"/>
        <w:ind w:left="0" w:firstLine="480" w:firstLineChars="200"/>
        <w:rPr>
          <w:szCs w:val="24"/>
        </w:rPr>
      </w:pPr>
      <w:r>
        <w:fldChar w:fldCharType="begin"/>
      </w:r>
      <w:r>
        <w:instrText xml:space="preserve"> HYPERLINK \l "_Toc2422" </w:instrText>
      </w:r>
      <w:r>
        <w:fldChar w:fldCharType="separate"/>
      </w:r>
      <w:r>
        <w:rPr>
          <w:rFonts w:hint="eastAsia"/>
          <w:szCs w:val="24"/>
        </w:rPr>
        <w:t xml:space="preserve">4.4 </w:t>
      </w:r>
      <w:r>
        <w:rPr>
          <w:szCs w:val="24"/>
        </w:rPr>
        <w:t>地下水环境影响分析</w:t>
      </w:r>
      <w:r>
        <w:rPr>
          <w:szCs w:val="24"/>
        </w:rPr>
        <w:tab/>
      </w:r>
      <w:r>
        <w:rPr>
          <w:szCs w:val="24"/>
        </w:rPr>
        <w:fldChar w:fldCharType="begin"/>
      </w:r>
      <w:r>
        <w:rPr>
          <w:szCs w:val="24"/>
        </w:rPr>
        <w:instrText xml:space="preserve"> PAGEREF _Toc2422 \h </w:instrText>
      </w:r>
      <w:r>
        <w:rPr>
          <w:szCs w:val="24"/>
        </w:rPr>
        <w:fldChar w:fldCharType="separate"/>
      </w:r>
      <w:r>
        <w:rPr>
          <w:szCs w:val="24"/>
        </w:rPr>
        <w:t>103</w:t>
      </w:r>
      <w:r>
        <w:rPr>
          <w:szCs w:val="24"/>
        </w:rPr>
        <w:fldChar w:fldCharType="end"/>
      </w:r>
      <w:r>
        <w:rPr>
          <w:szCs w:val="24"/>
        </w:rPr>
        <w:fldChar w:fldCharType="end"/>
      </w:r>
    </w:p>
    <w:p w14:paraId="0ACC8BDD">
      <w:pPr>
        <w:pStyle w:val="74"/>
        <w:tabs>
          <w:tab w:val="right" w:leader="dot" w:pos="9026"/>
        </w:tabs>
        <w:spacing w:line="360" w:lineRule="auto"/>
        <w:ind w:left="0" w:firstLine="480" w:firstLineChars="200"/>
        <w:rPr>
          <w:szCs w:val="24"/>
        </w:rPr>
      </w:pPr>
      <w:r>
        <w:fldChar w:fldCharType="begin"/>
      </w:r>
      <w:r>
        <w:instrText xml:space="preserve"> HYPERLINK \l "_Toc29225" </w:instrText>
      </w:r>
      <w:r>
        <w:fldChar w:fldCharType="separate"/>
      </w:r>
      <w:r>
        <w:rPr>
          <w:rFonts w:hint="eastAsia"/>
          <w:szCs w:val="24"/>
        </w:rPr>
        <w:t xml:space="preserve">4.5 </w:t>
      </w:r>
      <w:r>
        <w:rPr>
          <w:szCs w:val="24"/>
        </w:rPr>
        <w:t>声环境影响分析</w:t>
      </w:r>
      <w:r>
        <w:rPr>
          <w:szCs w:val="24"/>
        </w:rPr>
        <w:tab/>
      </w:r>
      <w:r>
        <w:rPr>
          <w:szCs w:val="24"/>
        </w:rPr>
        <w:fldChar w:fldCharType="begin"/>
      </w:r>
      <w:r>
        <w:rPr>
          <w:szCs w:val="24"/>
        </w:rPr>
        <w:instrText xml:space="preserve"> PAGEREF _Toc29225 \h </w:instrText>
      </w:r>
      <w:r>
        <w:rPr>
          <w:szCs w:val="24"/>
        </w:rPr>
        <w:fldChar w:fldCharType="separate"/>
      </w:r>
      <w:r>
        <w:rPr>
          <w:szCs w:val="24"/>
        </w:rPr>
        <w:t>106</w:t>
      </w:r>
      <w:r>
        <w:rPr>
          <w:szCs w:val="24"/>
        </w:rPr>
        <w:fldChar w:fldCharType="end"/>
      </w:r>
      <w:r>
        <w:rPr>
          <w:szCs w:val="24"/>
        </w:rPr>
        <w:fldChar w:fldCharType="end"/>
      </w:r>
    </w:p>
    <w:p w14:paraId="641E503C">
      <w:pPr>
        <w:pStyle w:val="74"/>
        <w:tabs>
          <w:tab w:val="right" w:leader="dot" w:pos="9026"/>
        </w:tabs>
        <w:spacing w:line="360" w:lineRule="auto"/>
        <w:ind w:left="0" w:firstLine="480" w:firstLineChars="200"/>
        <w:rPr>
          <w:szCs w:val="24"/>
        </w:rPr>
      </w:pPr>
      <w:r>
        <w:fldChar w:fldCharType="begin"/>
      </w:r>
      <w:r>
        <w:instrText xml:space="preserve"> HYPERLINK \l "_Toc12218" </w:instrText>
      </w:r>
      <w:r>
        <w:fldChar w:fldCharType="separate"/>
      </w:r>
      <w:r>
        <w:rPr>
          <w:rFonts w:hint="eastAsia"/>
          <w:szCs w:val="24"/>
        </w:rPr>
        <w:t xml:space="preserve">4.6 </w:t>
      </w:r>
      <w:r>
        <w:rPr>
          <w:szCs w:val="24"/>
        </w:rPr>
        <w:t>固体废物环境影响分析</w:t>
      </w:r>
      <w:r>
        <w:rPr>
          <w:szCs w:val="24"/>
        </w:rPr>
        <w:tab/>
      </w:r>
      <w:r>
        <w:rPr>
          <w:szCs w:val="24"/>
        </w:rPr>
        <w:fldChar w:fldCharType="begin"/>
      </w:r>
      <w:r>
        <w:rPr>
          <w:szCs w:val="24"/>
        </w:rPr>
        <w:instrText xml:space="preserve"> PAGEREF _Toc12218 \h </w:instrText>
      </w:r>
      <w:r>
        <w:rPr>
          <w:szCs w:val="24"/>
        </w:rPr>
        <w:fldChar w:fldCharType="separate"/>
      </w:r>
      <w:r>
        <w:rPr>
          <w:szCs w:val="24"/>
        </w:rPr>
        <w:t>111</w:t>
      </w:r>
      <w:r>
        <w:rPr>
          <w:szCs w:val="24"/>
        </w:rPr>
        <w:fldChar w:fldCharType="end"/>
      </w:r>
      <w:r>
        <w:rPr>
          <w:szCs w:val="24"/>
        </w:rPr>
        <w:fldChar w:fldCharType="end"/>
      </w:r>
    </w:p>
    <w:p w14:paraId="79F8FB6A">
      <w:pPr>
        <w:pStyle w:val="74"/>
        <w:tabs>
          <w:tab w:val="right" w:leader="dot" w:pos="9026"/>
        </w:tabs>
        <w:spacing w:line="360" w:lineRule="auto"/>
        <w:ind w:left="0" w:firstLine="480" w:firstLineChars="200"/>
        <w:rPr>
          <w:szCs w:val="24"/>
        </w:rPr>
      </w:pPr>
      <w:r>
        <w:fldChar w:fldCharType="begin"/>
      </w:r>
      <w:r>
        <w:instrText xml:space="preserve"> HYPERLINK \l "_Toc28408" </w:instrText>
      </w:r>
      <w:r>
        <w:fldChar w:fldCharType="separate"/>
      </w:r>
      <w:r>
        <w:rPr>
          <w:rFonts w:hint="eastAsia"/>
          <w:szCs w:val="24"/>
        </w:rPr>
        <w:t xml:space="preserve">4.7 </w:t>
      </w:r>
      <w:r>
        <w:rPr>
          <w:szCs w:val="24"/>
        </w:rPr>
        <w:t>生态环境影响分析</w:t>
      </w:r>
      <w:r>
        <w:rPr>
          <w:szCs w:val="24"/>
        </w:rPr>
        <w:tab/>
      </w:r>
      <w:r>
        <w:rPr>
          <w:szCs w:val="24"/>
        </w:rPr>
        <w:fldChar w:fldCharType="begin"/>
      </w:r>
      <w:r>
        <w:rPr>
          <w:szCs w:val="24"/>
        </w:rPr>
        <w:instrText xml:space="preserve"> PAGEREF _Toc28408 \h </w:instrText>
      </w:r>
      <w:r>
        <w:rPr>
          <w:szCs w:val="24"/>
        </w:rPr>
        <w:fldChar w:fldCharType="separate"/>
      </w:r>
      <w:r>
        <w:rPr>
          <w:szCs w:val="24"/>
        </w:rPr>
        <w:t>114</w:t>
      </w:r>
      <w:r>
        <w:rPr>
          <w:szCs w:val="24"/>
        </w:rPr>
        <w:fldChar w:fldCharType="end"/>
      </w:r>
      <w:r>
        <w:rPr>
          <w:szCs w:val="24"/>
        </w:rPr>
        <w:fldChar w:fldCharType="end"/>
      </w:r>
    </w:p>
    <w:p w14:paraId="5FD207BE">
      <w:pPr>
        <w:pStyle w:val="74"/>
        <w:tabs>
          <w:tab w:val="right" w:leader="dot" w:pos="9026"/>
        </w:tabs>
        <w:spacing w:line="360" w:lineRule="auto"/>
        <w:ind w:left="0" w:firstLine="480" w:firstLineChars="200"/>
        <w:rPr>
          <w:szCs w:val="24"/>
        </w:rPr>
      </w:pPr>
      <w:r>
        <w:fldChar w:fldCharType="begin"/>
      </w:r>
      <w:r>
        <w:instrText xml:space="preserve"> HYPERLINK \l "_Toc27808" </w:instrText>
      </w:r>
      <w:r>
        <w:fldChar w:fldCharType="separate"/>
      </w:r>
      <w:r>
        <w:rPr>
          <w:rFonts w:hint="eastAsia"/>
          <w:szCs w:val="24"/>
        </w:rPr>
        <w:t xml:space="preserve">4.8 </w:t>
      </w:r>
      <w:r>
        <w:rPr>
          <w:szCs w:val="24"/>
        </w:rPr>
        <w:t>辐射环境影响分析</w:t>
      </w:r>
      <w:r>
        <w:rPr>
          <w:szCs w:val="24"/>
        </w:rPr>
        <w:tab/>
      </w:r>
      <w:r>
        <w:rPr>
          <w:szCs w:val="24"/>
        </w:rPr>
        <w:fldChar w:fldCharType="begin"/>
      </w:r>
      <w:r>
        <w:rPr>
          <w:szCs w:val="24"/>
        </w:rPr>
        <w:instrText xml:space="preserve"> PAGEREF _Toc27808 \h </w:instrText>
      </w:r>
      <w:r>
        <w:rPr>
          <w:szCs w:val="24"/>
        </w:rPr>
        <w:fldChar w:fldCharType="separate"/>
      </w:r>
      <w:r>
        <w:rPr>
          <w:szCs w:val="24"/>
        </w:rPr>
        <w:t>116</w:t>
      </w:r>
      <w:r>
        <w:rPr>
          <w:szCs w:val="24"/>
        </w:rPr>
        <w:fldChar w:fldCharType="end"/>
      </w:r>
      <w:r>
        <w:rPr>
          <w:szCs w:val="24"/>
        </w:rPr>
        <w:fldChar w:fldCharType="end"/>
      </w:r>
    </w:p>
    <w:p w14:paraId="177FF624">
      <w:pPr>
        <w:pStyle w:val="74"/>
        <w:tabs>
          <w:tab w:val="right" w:leader="dot" w:pos="9026"/>
        </w:tabs>
        <w:spacing w:line="360" w:lineRule="auto"/>
        <w:ind w:left="0" w:firstLine="480" w:firstLineChars="200"/>
        <w:rPr>
          <w:szCs w:val="24"/>
        </w:rPr>
      </w:pPr>
      <w:r>
        <w:fldChar w:fldCharType="begin"/>
      </w:r>
      <w:r>
        <w:instrText xml:space="preserve"> HYPERLINK \l "_Toc6128" </w:instrText>
      </w:r>
      <w:r>
        <w:fldChar w:fldCharType="separate"/>
      </w:r>
      <w:r>
        <w:rPr>
          <w:rFonts w:hint="eastAsia"/>
          <w:szCs w:val="24"/>
        </w:rPr>
        <w:t xml:space="preserve">4.9 </w:t>
      </w:r>
      <w:r>
        <w:rPr>
          <w:szCs w:val="24"/>
        </w:rPr>
        <w:t>环境风险分析</w:t>
      </w:r>
      <w:r>
        <w:rPr>
          <w:szCs w:val="24"/>
        </w:rPr>
        <w:tab/>
      </w:r>
      <w:r>
        <w:rPr>
          <w:szCs w:val="24"/>
        </w:rPr>
        <w:fldChar w:fldCharType="begin"/>
      </w:r>
      <w:r>
        <w:rPr>
          <w:szCs w:val="24"/>
        </w:rPr>
        <w:instrText xml:space="preserve"> PAGEREF _Toc6128 \h </w:instrText>
      </w:r>
      <w:r>
        <w:rPr>
          <w:szCs w:val="24"/>
        </w:rPr>
        <w:fldChar w:fldCharType="separate"/>
      </w:r>
      <w:r>
        <w:rPr>
          <w:szCs w:val="24"/>
        </w:rPr>
        <w:t>117</w:t>
      </w:r>
      <w:r>
        <w:rPr>
          <w:szCs w:val="24"/>
        </w:rPr>
        <w:fldChar w:fldCharType="end"/>
      </w:r>
      <w:r>
        <w:rPr>
          <w:szCs w:val="24"/>
        </w:rPr>
        <w:fldChar w:fldCharType="end"/>
      </w:r>
    </w:p>
    <w:p w14:paraId="23128F0F">
      <w:pPr>
        <w:pStyle w:val="59"/>
        <w:tabs>
          <w:tab w:val="right" w:leader="dot" w:pos="9026"/>
          <w:tab w:val="clear" w:pos="420"/>
          <w:tab w:val="clear" w:pos="9060"/>
        </w:tabs>
        <w:spacing w:before="0" w:after="0"/>
        <w:jc w:val="both"/>
        <w:rPr>
          <w:sz w:val="24"/>
          <w:szCs w:val="24"/>
        </w:rPr>
      </w:pPr>
      <w:r>
        <w:fldChar w:fldCharType="begin"/>
      </w:r>
      <w:r>
        <w:instrText xml:space="preserve"> HYPERLINK \l "_Toc26073" </w:instrText>
      </w:r>
      <w:r>
        <w:fldChar w:fldCharType="separate"/>
      </w:r>
      <w:r>
        <w:rPr>
          <w:rFonts w:hint="eastAsia"/>
          <w:sz w:val="24"/>
          <w:szCs w:val="24"/>
        </w:rPr>
        <w:t xml:space="preserve">5 </w:t>
      </w:r>
      <w:r>
        <w:rPr>
          <w:sz w:val="24"/>
          <w:szCs w:val="24"/>
        </w:rPr>
        <w:t>环境保护措施及其可行性论证</w:t>
      </w:r>
      <w:r>
        <w:rPr>
          <w:sz w:val="24"/>
          <w:szCs w:val="24"/>
        </w:rPr>
        <w:tab/>
      </w:r>
      <w:r>
        <w:rPr>
          <w:sz w:val="24"/>
          <w:szCs w:val="24"/>
        </w:rPr>
        <w:fldChar w:fldCharType="begin"/>
      </w:r>
      <w:r>
        <w:rPr>
          <w:sz w:val="24"/>
          <w:szCs w:val="24"/>
        </w:rPr>
        <w:instrText xml:space="preserve"> PAGEREF _Toc26073 \h </w:instrText>
      </w:r>
      <w:r>
        <w:rPr>
          <w:sz w:val="24"/>
          <w:szCs w:val="24"/>
        </w:rPr>
        <w:fldChar w:fldCharType="separate"/>
      </w:r>
      <w:r>
        <w:rPr>
          <w:sz w:val="24"/>
          <w:szCs w:val="24"/>
        </w:rPr>
        <w:t>127</w:t>
      </w:r>
      <w:r>
        <w:rPr>
          <w:sz w:val="24"/>
          <w:szCs w:val="24"/>
        </w:rPr>
        <w:fldChar w:fldCharType="end"/>
      </w:r>
      <w:r>
        <w:rPr>
          <w:sz w:val="24"/>
          <w:szCs w:val="24"/>
        </w:rPr>
        <w:fldChar w:fldCharType="end"/>
      </w:r>
    </w:p>
    <w:p w14:paraId="1A06ECF9">
      <w:pPr>
        <w:pStyle w:val="74"/>
        <w:tabs>
          <w:tab w:val="right" w:leader="dot" w:pos="9026"/>
        </w:tabs>
        <w:spacing w:line="360" w:lineRule="auto"/>
        <w:ind w:left="0" w:firstLine="480" w:firstLineChars="200"/>
        <w:rPr>
          <w:szCs w:val="24"/>
        </w:rPr>
      </w:pPr>
      <w:r>
        <w:fldChar w:fldCharType="begin"/>
      </w:r>
      <w:r>
        <w:instrText xml:space="preserve"> HYPERLINK \l "_Toc5761" </w:instrText>
      </w:r>
      <w:r>
        <w:fldChar w:fldCharType="separate"/>
      </w:r>
      <w:r>
        <w:rPr>
          <w:rFonts w:hint="eastAsia"/>
          <w:szCs w:val="24"/>
        </w:rPr>
        <w:t xml:space="preserve">5.1 </w:t>
      </w:r>
      <w:r>
        <w:rPr>
          <w:szCs w:val="24"/>
        </w:rPr>
        <w:t>施工期污染防治措施分析</w:t>
      </w:r>
      <w:r>
        <w:rPr>
          <w:szCs w:val="24"/>
        </w:rPr>
        <w:tab/>
      </w:r>
      <w:r>
        <w:rPr>
          <w:szCs w:val="24"/>
        </w:rPr>
        <w:fldChar w:fldCharType="begin"/>
      </w:r>
      <w:r>
        <w:rPr>
          <w:szCs w:val="24"/>
        </w:rPr>
        <w:instrText xml:space="preserve"> PAGEREF _Toc5761 \h </w:instrText>
      </w:r>
      <w:r>
        <w:rPr>
          <w:szCs w:val="24"/>
        </w:rPr>
        <w:fldChar w:fldCharType="separate"/>
      </w:r>
      <w:r>
        <w:rPr>
          <w:szCs w:val="24"/>
        </w:rPr>
        <w:t>127</w:t>
      </w:r>
      <w:r>
        <w:rPr>
          <w:szCs w:val="24"/>
        </w:rPr>
        <w:fldChar w:fldCharType="end"/>
      </w:r>
      <w:r>
        <w:rPr>
          <w:szCs w:val="24"/>
        </w:rPr>
        <w:fldChar w:fldCharType="end"/>
      </w:r>
    </w:p>
    <w:p w14:paraId="16BDBA9E">
      <w:pPr>
        <w:pStyle w:val="74"/>
        <w:tabs>
          <w:tab w:val="right" w:leader="dot" w:pos="9026"/>
        </w:tabs>
        <w:spacing w:line="360" w:lineRule="auto"/>
        <w:ind w:left="0" w:firstLine="480" w:firstLineChars="200"/>
        <w:rPr>
          <w:szCs w:val="24"/>
        </w:rPr>
      </w:pPr>
      <w:r>
        <w:fldChar w:fldCharType="begin"/>
      </w:r>
      <w:r>
        <w:instrText xml:space="preserve"> HYPERLINK \l "_Toc22415" </w:instrText>
      </w:r>
      <w:r>
        <w:fldChar w:fldCharType="separate"/>
      </w:r>
      <w:r>
        <w:rPr>
          <w:rFonts w:hint="eastAsia"/>
          <w:szCs w:val="24"/>
        </w:rPr>
        <w:t xml:space="preserve">5.2 </w:t>
      </w:r>
      <w:r>
        <w:rPr>
          <w:szCs w:val="24"/>
        </w:rPr>
        <w:t>运营期废气污染防治措施论证</w:t>
      </w:r>
      <w:r>
        <w:rPr>
          <w:szCs w:val="24"/>
        </w:rPr>
        <w:tab/>
      </w:r>
      <w:r>
        <w:rPr>
          <w:szCs w:val="24"/>
        </w:rPr>
        <w:fldChar w:fldCharType="begin"/>
      </w:r>
      <w:r>
        <w:rPr>
          <w:szCs w:val="24"/>
        </w:rPr>
        <w:instrText xml:space="preserve"> PAGEREF _Toc22415 \h </w:instrText>
      </w:r>
      <w:r>
        <w:rPr>
          <w:szCs w:val="24"/>
        </w:rPr>
        <w:fldChar w:fldCharType="separate"/>
      </w:r>
      <w:r>
        <w:rPr>
          <w:szCs w:val="24"/>
        </w:rPr>
        <w:t>127</w:t>
      </w:r>
      <w:r>
        <w:rPr>
          <w:szCs w:val="24"/>
        </w:rPr>
        <w:fldChar w:fldCharType="end"/>
      </w:r>
      <w:r>
        <w:rPr>
          <w:szCs w:val="24"/>
        </w:rPr>
        <w:fldChar w:fldCharType="end"/>
      </w:r>
    </w:p>
    <w:p w14:paraId="07ACEEAF">
      <w:pPr>
        <w:pStyle w:val="74"/>
        <w:tabs>
          <w:tab w:val="right" w:leader="dot" w:pos="9026"/>
        </w:tabs>
        <w:spacing w:line="360" w:lineRule="auto"/>
        <w:ind w:left="0" w:firstLine="480" w:firstLineChars="200"/>
        <w:rPr>
          <w:szCs w:val="24"/>
        </w:rPr>
      </w:pPr>
      <w:r>
        <w:fldChar w:fldCharType="begin"/>
      </w:r>
      <w:r>
        <w:instrText xml:space="preserve"> HYPERLINK \l "_Toc29886" </w:instrText>
      </w:r>
      <w:r>
        <w:fldChar w:fldCharType="separate"/>
      </w:r>
      <w:r>
        <w:rPr>
          <w:rFonts w:hint="eastAsia"/>
          <w:szCs w:val="24"/>
        </w:rPr>
        <w:t xml:space="preserve">5.3 </w:t>
      </w:r>
      <w:r>
        <w:rPr>
          <w:szCs w:val="24"/>
        </w:rPr>
        <w:t>运营期废水污染防治措施论证</w:t>
      </w:r>
      <w:r>
        <w:rPr>
          <w:szCs w:val="24"/>
        </w:rPr>
        <w:tab/>
      </w:r>
      <w:r>
        <w:rPr>
          <w:szCs w:val="24"/>
        </w:rPr>
        <w:fldChar w:fldCharType="begin"/>
      </w:r>
      <w:r>
        <w:rPr>
          <w:szCs w:val="24"/>
        </w:rPr>
        <w:instrText xml:space="preserve"> PAGEREF _Toc29886 \h </w:instrText>
      </w:r>
      <w:r>
        <w:rPr>
          <w:szCs w:val="24"/>
        </w:rPr>
        <w:fldChar w:fldCharType="separate"/>
      </w:r>
      <w:r>
        <w:rPr>
          <w:szCs w:val="24"/>
        </w:rPr>
        <w:t>130</w:t>
      </w:r>
      <w:r>
        <w:rPr>
          <w:szCs w:val="24"/>
        </w:rPr>
        <w:fldChar w:fldCharType="end"/>
      </w:r>
      <w:r>
        <w:rPr>
          <w:szCs w:val="24"/>
        </w:rPr>
        <w:fldChar w:fldCharType="end"/>
      </w:r>
    </w:p>
    <w:p w14:paraId="104D544B">
      <w:pPr>
        <w:pStyle w:val="74"/>
        <w:tabs>
          <w:tab w:val="right" w:leader="dot" w:pos="9026"/>
        </w:tabs>
        <w:spacing w:line="360" w:lineRule="auto"/>
        <w:ind w:left="0" w:firstLine="480" w:firstLineChars="200"/>
        <w:rPr>
          <w:szCs w:val="24"/>
        </w:rPr>
      </w:pPr>
      <w:r>
        <w:fldChar w:fldCharType="begin"/>
      </w:r>
      <w:r>
        <w:instrText xml:space="preserve"> HYPERLINK \l "_Toc12246" </w:instrText>
      </w:r>
      <w:r>
        <w:fldChar w:fldCharType="separate"/>
      </w:r>
      <w:r>
        <w:rPr>
          <w:rFonts w:hint="eastAsia"/>
          <w:szCs w:val="24"/>
        </w:rPr>
        <w:t xml:space="preserve">5.4 </w:t>
      </w:r>
      <w:r>
        <w:rPr>
          <w:szCs w:val="24"/>
        </w:rPr>
        <w:t>运营期地下水影响防治措施论证</w:t>
      </w:r>
      <w:r>
        <w:rPr>
          <w:szCs w:val="24"/>
        </w:rPr>
        <w:tab/>
      </w:r>
      <w:r>
        <w:rPr>
          <w:szCs w:val="24"/>
        </w:rPr>
        <w:fldChar w:fldCharType="begin"/>
      </w:r>
      <w:r>
        <w:rPr>
          <w:szCs w:val="24"/>
        </w:rPr>
        <w:instrText xml:space="preserve"> PAGEREF _Toc12246 \h </w:instrText>
      </w:r>
      <w:r>
        <w:rPr>
          <w:szCs w:val="24"/>
        </w:rPr>
        <w:fldChar w:fldCharType="separate"/>
      </w:r>
      <w:r>
        <w:rPr>
          <w:szCs w:val="24"/>
        </w:rPr>
        <w:t>131</w:t>
      </w:r>
      <w:r>
        <w:rPr>
          <w:szCs w:val="24"/>
        </w:rPr>
        <w:fldChar w:fldCharType="end"/>
      </w:r>
      <w:r>
        <w:rPr>
          <w:szCs w:val="24"/>
        </w:rPr>
        <w:fldChar w:fldCharType="end"/>
      </w:r>
    </w:p>
    <w:p w14:paraId="01A774E0">
      <w:pPr>
        <w:pStyle w:val="74"/>
        <w:tabs>
          <w:tab w:val="right" w:leader="dot" w:pos="9026"/>
        </w:tabs>
        <w:spacing w:line="360" w:lineRule="auto"/>
        <w:ind w:left="0" w:firstLine="480" w:firstLineChars="200"/>
        <w:rPr>
          <w:szCs w:val="24"/>
        </w:rPr>
      </w:pPr>
      <w:r>
        <w:fldChar w:fldCharType="begin"/>
      </w:r>
      <w:r>
        <w:instrText xml:space="preserve"> HYPERLINK \l "_Toc27538" </w:instrText>
      </w:r>
      <w:r>
        <w:fldChar w:fldCharType="separate"/>
      </w:r>
      <w:r>
        <w:rPr>
          <w:rFonts w:hint="eastAsia"/>
          <w:szCs w:val="24"/>
        </w:rPr>
        <w:t xml:space="preserve">5.5 </w:t>
      </w:r>
      <w:r>
        <w:rPr>
          <w:szCs w:val="24"/>
        </w:rPr>
        <w:t>运营期噪声污染防治措施论证</w:t>
      </w:r>
      <w:r>
        <w:rPr>
          <w:szCs w:val="24"/>
        </w:rPr>
        <w:tab/>
      </w:r>
      <w:r>
        <w:rPr>
          <w:szCs w:val="24"/>
        </w:rPr>
        <w:fldChar w:fldCharType="begin"/>
      </w:r>
      <w:r>
        <w:rPr>
          <w:szCs w:val="24"/>
        </w:rPr>
        <w:instrText xml:space="preserve"> PAGEREF _Toc27538 \h </w:instrText>
      </w:r>
      <w:r>
        <w:rPr>
          <w:szCs w:val="24"/>
        </w:rPr>
        <w:fldChar w:fldCharType="separate"/>
      </w:r>
      <w:r>
        <w:rPr>
          <w:szCs w:val="24"/>
        </w:rPr>
        <w:t>133</w:t>
      </w:r>
      <w:r>
        <w:rPr>
          <w:szCs w:val="24"/>
        </w:rPr>
        <w:fldChar w:fldCharType="end"/>
      </w:r>
      <w:r>
        <w:rPr>
          <w:szCs w:val="24"/>
        </w:rPr>
        <w:fldChar w:fldCharType="end"/>
      </w:r>
    </w:p>
    <w:p w14:paraId="103B6EA0">
      <w:pPr>
        <w:pStyle w:val="74"/>
        <w:tabs>
          <w:tab w:val="right" w:leader="dot" w:pos="9026"/>
        </w:tabs>
        <w:spacing w:line="360" w:lineRule="auto"/>
        <w:ind w:left="0" w:firstLine="480" w:firstLineChars="200"/>
        <w:rPr>
          <w:szCs w:val="24"/>
        </w:rPr>
      </w:pPr>
      <w:r>
        <w:fldChar w:fldCharType="begin"/>
      </w:r>
      <w:r>
        <w:instrText xml:space="preserve"> HYPERLINK \l "_Toc17030" </w:instrText>
      </w:r>
      <w:r>
        <w:fldChar w:fldCharType="separate"/>
      </w:r>
      <w:r>
        <w:rPr>
          <w:rFonts w:hint="eastAsia"/>
          <w:szCs w:val="24"/>
        </w:rPr>
        <w:t xml:space="preserve">5.6 </w:t>
      </w:r>
      <w:r>
        <w:rPr>
          <w:szCs w:val="24"/>
        </w:rPr>
        <w:t>运营期固体废物处置措施论证</w:t>
      </w:r>
      <w:r>
        <w:rPr>
          <w:szCs w:val="24"/>
        </w:rPr>
        <w:tab/>
      </w:r>
      <w:r>
        <w:rPr>
          <w:szCs w:val="24"/>
        </w:rPr>
        <w:fldChar w:fldCharType="begin"/>
      </w:r>
      <w:r>
        <w:rPr>
          <w:szCs w:val="24"/>
        </w:rPr>
        <w:instrText xml:space="preserve"> PAGEREF _Toc17030 \h </w:instrText>
      </w:r>
      <w:r>
        <w:rPr>
          <w:szCs w:val="24"/>
        </w:rPr>
        <w:fldChar w:fldCharType="separate"/>
      </w:r>
      <w:r>
        <w:rPr>
          <w:szCs w:val="24"/>
        </w:rPr>
        <w:t>134</w:t>
      </w:r>
      <w:r>
        <w:rPr>
          <w:szCs w:val="24"/>
        </w:rPr>
        <w:fldChar w:fldCharType="end"/>
      </w:r>
      <w:r>
        <w:rPr>
          <w:szCs w:val="24"/>
        </w:rPr>
        <w:fldChar w:fldCharType="end"/>
      </w:r>
    </w:p>
    <w:p w14:paraId="530F9AE9">
      <w:pPr>
        <w:pStyle w:val="74"/>
        <w:tabs>
          <w:tab w:val="right" w:leader="dot" w:pos="9026"/>
        </w:tabs>
        <w:spacing w:line="360" w:lineRule="auto"/>
        <w:ind w:left="0" w:firstLine="480" w:firstLineChars="200"/>
        <w:rPr>
          <w:szCs w:val="24"/>
        </w:rPr>
      </w:pPr>
      <w:r>
        <w:fldChar w:fldCharType="begin"/>
      </w:r>
      <w:r>
        <w:instrText xml:space="preserve"> HYPERLINK \l "_Toc27554" </w:instrText>
      </w:r>
      <w:r>
        <w:fldChar w:fldCharType="separate"/>
      </w:r>
      <w:r>
        <w:rPr>
          <w:rFonts w:hint="eastAsia"/>
          <w:szCs w:val="24"/>
        </w:rPr>
        <w:t>5.7 辐射防护措施</w:t>
      </w:r>
      <w:r>
        <w:rPr>
          <w:szCs w:val="24"/>
        </w:rPr>
        <w:tab/>
      </w:r>
      <w:r>
        <w:rPr>
          <w:szCs w:val="24"/>
        </w:rPr>
        <w:fldChar w:fldCharType="begin"/>
      </w:r>
      <w:r>
        <w:rPr>
          <w:szCs w:val="24"/>
        </w:rPr>
        <w:instrText xml:space="preserve"> PAGEREF _Toc27554 \h </w:instrText>
      </w:r>
      <w:r>
        <w:rPr>
          <w:szCs w:val="24"/>
        </w:rPr>
        <w:fldChar w:fldCharType="separate"/>
      </w:r>
      <w:r>
        <w:rPr>
          <w:szCs w:val="24"/>
        </w:rPr>
        <w:t>138</w:t>
      </w:r>
      <w:r>
        <w:rPr>
          <w:szCs w:val="24"/>
        </w:rPr>
        <w:fldChar w:fldCharType="end"/>
      </w:r>
      <w:r>
        <w:rPr>
          <w:szCs w:val="24"/>
        </w:rPr>
        <w:fldChar w:fldCharType="end"/>
      </w:r>
    </w:p>
    <w:p w14:paraId="18B6B720">
      <w:pPr>
        <w:pStyle w:val="74"/>
        <w:tabs>
          <w:tab w:val="right" w:leader="dot" w:pos="9026"/>
        </w:tabs>
        <w:spacing w:line="360" w:lineRule="auto"/>
        <w:ind w:left="0" w:firstLine="480" w:firstLineChars="200"/>
        <w:rPr>
          <w:szCs w:val="24"/>
        </w:rPr>
      </w:pPr>
      <w:r>
        <w:fldChar w:fldCharType="begin"/>
      </w:r>
      <w:r>
        <w:instrText xml:space="preserve"> HYPERLINK \l "_Toc16663" </w:instrText>
      </w:r>
      <w:r>
        <w:fldChar w:fldCharType="separate"/>
      </w:r>
      <w:r>
        <w:rPr>
          <w:rFonts w:hint="eastAsia"/>
          <w:szCs w:val="24"/>
        </w:rPr>
        <w:t xml:space="preserve">5.8 </w:t>
      </w:r>
      <w:r>
        <w:rPr>
          <w:szCs w:val="24"/>
        </w:rPr>
        <w:t>环保投资估算</w:t>
      </w:r>
      <w:r>
        <w:rPr>
          <w:szCs w:val="24"/>
        </w:rPr>
        <w:tab/>
      </w:r>
      <w:r>
        <w:rPr>
          <w:szCs w:val="24"/>
        </w:rPr>
        <w:fldChar w:fldCharType="begin"/>
      </w:r>
      <w:r>
        <w:rPr>
          <w:szCs w:val="24"/>
        </w:rPr>
        <w:instrText xml:space="preserve"> PAGEREF _Toc16663 \h </w:instrText>
      </w:r>
      <w:r>
        <w:rPr>
          <w:szCs w:val="24"/>
        </w:rPr>
        <w:fldChar w:fldCharType="separate"/>
      </w:r>
      <w:r>
        <w:rPr>
          <w:szCs w:val="24"/>
        </w:rPr>
        <w:t>141</w:t>
      </w:r>
      <w:r>
        <w:rPr>
          <w:szCs w:val="24"/>
        </w:rPr>
        <w:fldChar w:fldCharType="end"/>
      </w:r>
      <w:r>
        <w:rPr>
          <w:szCs w:val="24"/>
        </w:rPr>
        <w:fldChar w:fldCharType="end"/>
      </w:r>
    </w:p>
    <w:p w14:paraId="349BF395">
      <w:pPr>
        <w:pStyle w:val="59"/>
        <w:tabs>
          <w:tab w:val="right" w:leader="dot" w:pos="9026"/>
          <w:tab w:val="clear" w:pos="420"/>
          <w:tab w:val="clear" w:pos="9060"/>
        </w:tabs>
        <w:spacing w:before="0" w:after="0"/>
        <w:jc w:val="both"/>
        <w:rPr>
          <w:sz w:val="24"/>
          <w:szCs w:val="24"/>
        </w:rPr>
      </w:pPr>
      <w:r>
        <w:fldChar w:fldCharType="begin"/>
      </w:r>
      <w:r>
        <w:instrText xml:space="preserve"> HYPERLINK \l "_Toc32328" </w:instrText>
      </w:r>
      <w:r>
        <w:fldChar w:fldCharType="separate"/>
      </w:r>
      <w:r>
        <w:rPr>
          <w:rFonts w:hint="eastAsia"/>
          <w:sz w:val="24"/>
          <w:szCs w:val="24"/>
        </w:rPr>
        <w:t xml:space="preserve">6 </w:t>
      </w:r>
      <w:r>
        <w:rPr>
          <w:sz w:val="24"/>
          <w:szCs w:val="24"/>
        </w:rPr>
        <w:t>环境影响经济损益分析</w:t>
      </w:r>
      <w:r>
        <w:rPr>
          <w:sz w:val="24"/>
          <w:szCs w:val="24"/>
        </w:rPr>
        <w:tab/>
      </w:r>
      <w:r>
        <w:rPr>
          <w:sz w:val="24"/>
          <w:szCs w:val="24"/>
        </w:rPr>
        <w:fldChar w:fldCharType="begin"/>
      </w:r>
      <w:r>
        <w:rPr>
          <w:sz w:val="24"/>
          <w:szCs w:val="24"/>
        </w:rPr>
        <w:instrText xml:space="preserve"> PAGEREF _Toc32328 \h </w:instrText>
      </w:r>
      <w:r>
        <w:rPr>
          <w:sz w:val="24"/>
          <w:szCs w:val="24"/>
        </w:rPr>
        <w:fldChar w:fldCharType="separate"/>
      </w:r>
      <w:r>
        <w:rPr>
          <w:sz w:val="24"/>
          <w:szCs w:val="24"/>
        </w:rPr>
        <w:t>142</w:t>
      </w:r>
      <w:r>
        <w:rPr>
          <w:sz w:val="24"/>
          <w:szCs w:val="24"/>
        </w:rPr>
        <w:fldChar w:fldCharType="end"/>
      </w:r>
      <w:r>
        <w:rPr>
          <w:sz w:val="24"/>
          <w:szCs w:val="24"/>
        </w:rPr>
        <w:fldChar w:fldCharType="end"/>
      </w:r>
    </w:p>
    <w:p w14:paraId="5DDC745E">
      <w:pPr>
        <w:pStyle w:val="74"/>
        <w:tabs>
          <w:tab w:val="right" w:leader="dot" w:pos="9026"/>
        </w:tabs>
        <w:spacing w:line="360" w:lineRule="auto"/>
        <w:ind w:left="0" w:firstLine="480" w:firstLineChars="200"/>
        <w:rPr>
          <w:szCs w:val="24"/>
        </w:rPr>
      </w:pPr>
      <w:r>
        <w:fldChar w:fldCharType="begin"/>
      </w:r>
      <w:r>
        <w:instrText xml:space="preserve"> HYPERLINK \l "_Toc15931" </w:instrText>
      </w:r>
      <w:r>
        <w:fldChar w:fldCharType="separate"/>
      </w:r>
      <w:r>
        <w:rPr>
          <w:rFonts w:hint="eastAsia"/>
          <w:szCs w:val="24"/>
        </w:rPr>
        <w:t xml:space="preserve">6.1 </w:t>
      </w:r>
      <w:r>
        <w:rPr>
          <w:szCs w:val="24"/>
        </w:rPr>
        <w:t>经济效益</w:t>
      </w:r>
      <w:r>
        <w:rPr>
          <w:szCs w:val="24"/>
        </w:rPr>
        <w:tab/>
      </w:r>
      <w:r>
        <w:rPr>
          <w:szCs w:val="24"/>
        </w:rPr>
        <w:fldChar w:fldCharType="begin"/>
      </w:r>
      <w:r>
        <w:rPr>
          <w:szCs w:val="24"/>
        </w:rPr>
        <w:instrText xml:space="preserve"> PAGEREF _Toc15931 \h </w:instrText>
      </w:r>
      <w:r>
        <w:rPr>
          <w:szCs w:val="24"/>
        </w:rPr>
        <w:fldChar w:fldCharType="separate"/>
      </w:r>
      <w:r>
        <w:rPr>
          <w:szCs w:val="24"/>
        </w:rPr>
        <w:t>142</w:t>
      </w:r>
      <w:r>
        <w:rPr>
          <w:szCs w:val="24"/>
        </w:rPr>
        <w:fldChar w:fldCharType="end"/>
      </w:r>
      <w:r>
        <w:rPr>
          <w:szCs w:val="24"/>
        </w:rPr>
        <w:fldChar w:fldCharType="end"/>
      </w:r>
    </w:p>
    <w:p w14:paraId="6D6920CC">
      <w:pPr>
        <w:pStyle w:val="74"/>
        <w:tabs>
          <w:tab w:val="right" w:leader="dot" w:pos="9026"/>
        </w:tabs>
        <w:spacing w:line="360" w:lineRule="auto"/>
        <w:ind w:left="0" w:firstLine="480" w:firstLineChars="200"/>
        <w:rPr>
          <w:szCs w:val="24"/>
        </w:rPr>
      </w:pPr>
      <w:r>
        <w:fldChar w:fldCharType="begin"/>
      </w:r>
      <w:r>
        <w:instrText xml:space="preserve"> HYPERLINK \l "_Toc18241" </w:instrText>
      </w:r>
      <w:r>
        <w:fldChar w:fldCharType="separate"/>
      </w:r>
      <w:r>
        <w:rPr>
          <w:rFonts w:hint="eastAsia"/>
          <w:szCs w:val="24"/>
        </w:rPr>
        <w:t xml:space="preserve">6.2 </w:t>
      </w:r>
      <w:r>
        <w:rPr>
          <w:szCs w:val="24"/>
        </w:rPr>
        <w:t>社会效益</w:t>
      </w:r>
      <w:r>
        <w:rPr>
          <w:szCs w:val="24"/>
        </w:rPr>
        <w:tab/>
      </w:r>
      <w:r>
        <w:rPr>
          <w:szCs w:val="24"/>
        </w:rPr>
        <w:fldChar w:fldCharType="begin"/>
      </w:r>
      <w:r>
        <w:rPr>
          <w:szCs w:val="24"/>
        </w:rPr>
        <w:instrText xml:space="preserve"> PAGEREF _Toc18241 \h </w:instrText>
      </w:r>
      <w:r>
        <w:rPr>
          <w:szCs w:val="24"/>
        </w:rPr>
        <w:fldChar w:fldCharType="separate"/>
      </w:r>
      <w:r>
        <w:rPr>
          <w:szCs w:val="24"/>
        </w:rPr>
        <w:t>142</w:t>
      </w:r>
      <w:r>
        <w:rPr>
          <w:szCs w:val="24"/>
        </w:rPr>
        <w:fldChar w:fldCharType="end"/>
      </w:r>
      <w:r>
        <w:rPr>
          <w:szCs w:val="24"/>
        </w:rPr>
        <w:fldChar w:fldCharType="end"/>
      </w:r>
    </w:p>
    <w:p w14:paraId="751C2C77">
      <w:pPr>
        <w:pStyle w:val="74"/>
        <w:tabs>
          <w:tab w:val="right" w:leader="dot" w:pos="9026"/>
        </w:tabs>
        <w:spacing w:line="360" w:lineRule="auto"/>
        <w:ind w:left="0" w:firstLine="480" w:firstLineChars="200"/>
        <w:rPr>
          <w:szCs w:val="24"/>
        </w:rPr>
      </w:pPr>
      <w:r>
        <w:fldChar w:fldCharType="begin"/>
      </w:r>
      <w:r>
        <w:instrText xml:space="preserve"> HYPERLINK \l "_Toc829" </w:instrText>
      </w:r>
      <w:r>
        <w:fldChar w:fldCharType="separate"/>
      </w:r>
      <w:r>
        <w:rPr>
          <w:rFonts w:hint="eastAsia"/>
          <w:szCs w:val="24"/>
        </w:rPr>
        <w:t xml:space="preserve">6.3 </w:t>
      </w:r>
      <w:r>
        <w:rPr>
          <w:szCs w:val="24"/>
        </w:rPr>
        <w:t>环保效益分析</w:t>
      </w:r>
      <w:r>
        <w:rPr>
          <w:szCs w:val="24"/>
        </w:rPr>
        <w:tab/>
      </w:r>
      <w:r>
        <w:rPr>
          <w:szCs w:val="24"/>
        </w:rPr>
        <w:fldChar w:fldCharType="begin"/>
      </w:r>
      <w:r>
        <w:rPr>
          <w:szCs w:val="24"/>
        </w:rPr>
        <w:instrText xml:space="preserve"> PAGEREF _Toc829 \h </w:instrText>
      </w:r>
      <w:r>
        <w:rPr>
          <w:szCs w:val="24"/>
        </w:rPr>
        <w:fldChar w:fldCharType="separate"/>
      </w:r>
      <w:r>
        <w:rPr>
          <w:szCs w:val="24"/>
        </w:rPr>
        <w:t>143</w:t>
      </w:r>
      <w:r>
        <w:rPr>
          <w:szCs w:val="24"/>
        </w:rPr>
        <w:fldChar w:fldCharType="end"/>
      </w:r>
      <w:r>
        <w:rPr>
          <w:szCs w:val="24"/>
        </w:rPr>
        <w:fldChar w:fldCharType="end"/>
      </w:r>
    </w:p>
    <w:p w14:paraId="54E2C2E5">
      <w:pPr>
        <w:pStyle w:val="74"/>
        <w:tabs>
          <w:tab w:val="right" w:leader="dot" w:pos="9026"/>
        </w:tabs>
        <w:spacing w:line="360" w:lineRule="auto"/>
        <w:ind w:left="0" w:firstLine="480" w:firstLineChars="200"/>
        <w:rPr>
          <w:szCs w:val="24"/>
        </w:rPr>
      </w:pPr>
      <w:r>
        <w:fldChar w:fldCharType="begin"/>
      </w:r>
      <w:r>
        <w:instrText xml:space="preserve"> HYPERLINK \l "_Toc29968" </w:instrText>
      </w:r>
      <w:r>
        <w:fldChar w:fldCharType="separate"/>
      </w:r>
      <w:r>
        <w:rPr>
          <w:rFonts w:hint="eastAsia"/>
          <w:szCs w:val="24"/>
        </w:rPr>
        <w:t xml:space="preserve">6.4 </w:t>
      </w:r>
      <w:r>
        <w:rPr>
          <w:szCs w:val="24"/>
        </w:rPr>
        <w:t>小结</w:t>
      </w:r>
      <w:r>
        <w:rPr>
          <w:szCs w:val="24"/>
        </w:rPr>
        <w:tab/>
      </w:r>
      <w:r>
        <w:rPr>
          <w:szCs w:val="24"/>
        </w:rPr>
        <w:fldChar w:fldCharType="begin"/>
      </w:r>
      <w:r>
        <w:rPr>
          <w:szCs w:val="24"/>
        </w:rPr>
        <w:instrText xml:space="preserve"> PAGEREF _Toc29968 \h </w:instrText>
      </w:r>
      <w:r>
        <w:rPr>
          <w:szCs w:val="24"/>
        </w:rPr>
        <w:fldChar w:fldCharType="separate"/>
      </w:r>
      <w:r>
        <w:rPr>
          <w:szCs w:val="24"/>
        </w:rPr>
        <w:t>146</w:t>
      </w:r>
      <w:r>
        <w:rPr>
          <w:szCs w:val="24"/>
        </w:rPr>
        <w:fldChar w:fldCharType="end"/>
      </w:r>
      <w:r>
        <w:rPr>
          <w:szCs w:val="24"/>
        </w:rPr>
        <w:fldChar w:fldCharType="end"/>
      </w:r>
    </w:p>
    <w:p w14:paraId="1A5BBA2A">
      <w:pPr>
        <w:pStyle w:val="59"/>
        <w:tabs>
          <w:tab w:val="right" w:leader="dot" w:pos="9026"/>
          <w:tab w:val="clear" w:pos="420"/>
          <w:tab w:val="clear" w:pos="9060"/>
        </w:tabs>
        <w:spacing w:before="0" w:after="0"/>
        <w:jc w:val="both"/>
        <w:rPr>
          <w:sz w:val="24"/>
          <w:szCs w:val="24"/>
        </w:rPr>
      </w:pPr>
      <w:r>
        <w:fldChar w:fldCharType="begin"/>
      </w:r>
      <w:r>
        <w:instrText xml:space="preserve"> HYPERLINK \l "_Toc28021" </w:instrText>
      </w:r>
      <w:r>
        <w:fldChar w:fldCharType="separate"/>
      </w:r>
      <w:r>
        <w:rPr>
          <w:rFonts w:hint="eastAsia"/>
          <w:sz w:val="24"/>
          <w:szCs w:val="24"/>
        </w:rPr>
        <w:t xml:space="preserve">7 </w:t>
      </w:r>
      <w:r>
        <w:rPr>
          <w:sz w:val="24"/>
          <w:szCs w:val="24"/>
        </w:rPr>
        <w:t>环境管理与监测计划</w:t>
      </w:r>
      <w:r>
        <w:rPr>
          <w:sz w:val="24"/>
          <w:szCs w:val="24"/>
        </w:rPr>
        <w:tab/>
      </w:r>
      <w:r>
        <w:rPr>
          <w:sz w:val="24"/>
          <w:szCs w:val="24"/>
        </w:rPr>
        <w:fldChar w:fldCharType="begin"/>
      </w:r>
      <w:r>
        <w:rPr>
          <w:sz w:val="24"/>
          <w:szCs w:val="24"/>
        </w:rPr>
        <w:instrText xml:space="preserve"> PAGEREF _Toc28021 \h </w:instrText>
      </w:r>
      <w:r>
        <w:rPr>
          <w:sz w:val="24"/>
          <w:szCs w:val="24"/>
        </w:rPr>
        <w:fldChar w:fldCharType="separate"/>
      </w:r>
      <w:r>
        <w:rPr>
          <w:sz w:val="24"/>
          <w:szCs w:val="24"/>
        </w:rPr>
        <w:t>147</w:t>
      </w:r>
      <w:r>
        <w:rPr>
          <w:sz w:val="24"/>
          <w:szCs w:val="24"/>
        </w:rPr>
        <w:fldChar w:fldCharType="end"/>
      </w:r>
      <w:r>
        <w:rPr>
          <w:sz w:val="24"/>
          <w:szCs w:val="24"/>
        </w:rPr>
        <w:fldChar w:fldCharType="end"/>
      </w:r>
    </w:p>
    <w:p w14:paraId="4C01911C">
      <w:pPr>
        <w:pStyle w:val="74"/>
        <w:tabs>
          <w:tab w:val="right" w:leader="dot" w:pos="9026"/>
        </w:tabs>
        <w:spacing w:line="360" w:lineRule="auto"/>
        <w:ind w:left="0" w:firstLine="480" w:firstLineChars="200"/>
        <w:rPr>
          <w:szCs w:val="24"/>
        </w:rPr>
      </w:pPr>
      <w:r>
        <w:fldChar w:fldCharType="begin"/>
      </w:r>
      <w:r>
        <w:instrText xml:space="preserve"> HYPERLINK \l "_Toc7451" </w:instrText>
      </w:r>
      <w:r>
        <w:fldChar w:fldCharType="separate"/>
      </w:r>
      <w:r>
        <w:rPr>
          <w:rFonts w:hint="eastAsia"/>
          <w:szCs w:val="24"/>
        </w:rPr>
        <w:t xml:space="preserve">7.1 </w:t>
      </w:r>
      <w:r>
        <w:rPr>
          <w:szCs w:val="24"/>
        </w:rPr>
        <w:t>环境管理</w:t>
      </w:r>
      <w:r>
        <w:rPr>
          <w:szCs w:val="24"/>
        </w:rPr>
        <w:tab/>
      </w:r>
      <w:r>
        <w:rPr>
          <w:szCs w:val="24"/>
        </w:rPr>
        <w:fldChar w:fldCharType="begin"/>
      </w:r>
      <w:r>
        <w:rPr>
          <w:szCs w:val="24"/>
        </w:rPr>
        <w:instrText xml:space="preserve"> PAGEREF _Toc7451 \h </w:instrText>
      </w:r>
      <w:r>
        <w:rPr>
          <w:szCs w:val="24"/>
        </w:rPr>
        <w:fldChar w:fldCharType="separate"/>
      </w:r>
      <w:r>
        <w:rPr>
          <w:szCs w:val="24"/>
        </w:rPr>
        <w:t>147</w:t>
      </w:r>
      <w:r>
        <w:rPr>
          <w:szCs w:val="24"/>
        </w:rPr>
        <w:fldChar w:fldCharType="end"/>
      </w:r>
      <w:r>
        <w:rPr>
          <w:szCs w:val="24"/>
        </w:rPr>
        <w:fldChar w:fldCharType="end"/>
      </w:r>
    </w:p>
    <w:p w14:paraId="7328AD52">
      <w:pPr>
        <w:pStyle w:val="74"/>
        <w:tabs>
          <w:tab w:val="right" w:leader="dot" w:pos="9026"/>
        </w:tabs>
        <w:spacing w:line="360" w:lineRule="auto"/>
        <w:ind w:left="0" w:firstLine="480" w:firstLineChars="200"/>
        <w:rPr>
          <w:szCs w:val="24"/>
        </w:rPr>
      </w:pPr>
      <w:r>
        <w:fldChar w:fldCharType="begin"/>
      </w:r>
      <w:r>
        <w:instrText xml:space="preserve"> HYPERLINK \l "_Toc31830" </w:instrText>
      </w:r>
      <w:r>
        <w:fldChar w:fldCharType="separate"/>
      </w:r>
      <w:r>
        <w:rPr>
          <w:rFonts w:hint="eastAsia"/>
          <w:szCs w:val="24"/>
        </w:rPr>
        <w:t xml:space="preserve">7.2 </w:t>
      </w:r>
      <w:r>
        <w:rPr>
          <w:szCs w:val="24"/>
        </w:rPr>
        <w:t>排污管理要求</w:t>
      </w:r>
      <w:r>
        <w:rPr>
          <w:szCs w:val="24"/>
        </w:rPr>
        <w:tab/>
      </w:r>
      <w:r>
        <w:rPr>
          <w:szCs w:val="24"/>
        </w:rPr>
        <w:fldChar w:fldCharType="begin"/>
      </w:r>
      <w:r>
        <w:rPr>
          <w:szCs w:val="24"/>
        </w:rPr>
        <w:instrText xml:space="preserve"> PAGEREF _Toc31830 \h </w:instrText>
      </w:r>
      <w:r>
        <w:rPr>
          <w:szCs w:val="24"/>
        </w:rPr>
        <w:fldChar w:fldCharType="separate"/>
      </w:r>
      <w:r>
        <w:rPr>
          <w:szCs w:val="24"/>
        </w:rPr>
        <w:t>150</w:t>
      </w:r>
      <w:r>
        <w:rPr>
          <w:szCs w:val="24"/>
        </w:rPr>
        <w:fldChar w:fldCharType="end"/>
      </w:r>
      <w:r>
        <w:rPr>
          <w:szCs w:val="24"/>
        </w:rPr>
        <w:fldChar w:fldCharType="end"/>
      </w:r>
    </w:p>
    <w:p w14:paraId="7A8E0DEF">
      <w:pPr>
        <w:pStyle w:val="74"/>
        <w:tabs>
          <w:tab w:val="right" w:leader="dot" w:pos="9026"/>
        </w:tabs>
        <w:spacing w:line="360" w:lineRule="auto"/>
        <w:ind w:left="0" w:firstLine="480" w:firstLineChars="200"/>
        <w:rPr>
          <w:szCs w:val="24"/>
        </w:rPr>
      </w:pPr>
      <w:r>
        <w:fldChar w:fldCharType="begin"/>
      </w:r>
      <w:r>
        <w:instrText xml:space="preserve"> HYPERLINK \l "_Toc10766" </w:instrText>
      </w:r>
      <w:r>
        <w:fldChar w:fldCharType="separate"/>
      </w:r>
      <w:r>
        <w:rPr>
          <w:rFonts w:hint="eastAsia"/>
          <w:szCs w:val="24"/>
        </w:rPr>
        <w:t xml:space="preserve">7.3 </w:t>
      </w:r>
      <w:r>
        <w:rPr>
          <w:szCs w:val="24"/>
        </w:rPr>
        <w:t>环境监测计划</w:t>
      </w:r>
      <w:r>
        <w:rPr>
          <w:szCs w:val="24"/>
        </w:rPr>
        <w:tab/>
      </w:r>
      <w:r>
        <w:rPr>
          <w:szCs w:val="24"/>
        </w:rPr>
        <w:fldChar w:fldCharType="begin"/>
      </w:r>
      <w:r>
        <w:rPr>
          <w:szCs w:val="24"/>
        </w:rPr>
        <w:instrText xml:space="preserve"> PAGEREF _Toc10766 \h </w:instrText>
      </w:r>
      <w:r>
        <w:rPr>
          <w:szCs w:val="24"/>
        </w:rPr>
        <w:fldChar w:fldCharType="separate"/>
      </w:r>
      <w:r>
        <w:rPr>
          <w:szCs w:val="24"/>
        </w:rPr>
        <w:t>156</w:t>
      </w:r>
      <w:r>
        <w:rPr>
          <w:szCs w:val="24"/>
        </w:rPr>
        <w:fldChar w:fldCharType="end"/>
      </w:r>
      <w:r>
        <w:rPr>
          <w:szCs w:val="24"/>
        </w:rPr>
        <w:fldChar w:fldCharType="end"/>
      </w:r>
    </w:p>
    <w:p w14:paraId="36B98070">
      <w:pPr>
        <w:pStyle w:val="74"/>
        <w:tabs>
          <w:tab w:val="right" w:leader="dot" w:pos="9026"/>
        </w:tabs>
        <w:spacing w:line="360" w:lineRule="auto"/>
        <w:ind w:left="0" w:firstLine="480" w:firstLineChars="200"/>
        <w:rPr>
          <w:szCs w:val="24"/>
        </w:rPr>
      </w:pPr>
      <w:r>
        <w:fldChar w:fldCharType="begin"/>
      </w:r>
      <w:r>
        <w:instrText xml:space="preserve"> HYPERLINK \l "_Toc15577" </w:instrText>
      </w:r>
      <w:r>
        <w:fldChar w:fldCharType="separate"/>
      </w:r>
      <w:r>
        <w:rPr>
          <w:rFonts w:hint="eastAsia"/>
          <w:szCs w:val="24"/>
        </w:rPr>
        <w:t>7.4 环保设施“</w:t>
      </w:r>
      <w:r>
        <w:rPr>
          <w:szCs w:val="24"/>
        </w:rPr>
        <w:t>三同时</w:t>
      </w:r>
      <w:r>
        <w:rPr>
          <w:rFonts w:hint="eastAsia"/>
          <w:szCs w:val="24"/>
        </w:rPr>
        <w:t>”</w:t>
      </w:r>
      <w:r>
        <w:rPr>
          <w:szCs w:val="24"/>
        </w:rPr>
        <w:t>及竣工环保验收</w:t>
      </w:r>
      <w:r>
        <w:rPr>
          <w:szCs w:val="24"/>
        </w:rPr>
        <w:tab/>
      </w:r>
      <w:r>
        <w:rPr>
          <w:szCs w:val="24"/>
        </w:rPr>
        <w:fldChar w:fldCharType="begin"/>
      </w:r>
      <w:r>
        <w:rPr>
          <w:szCs w:val="24"/>
        </w:rPr>
        <w:instrText xml:space="preserve"> PAGEREF _Toc15577 \h </w:instrText>
      </w:r>
      <w:r>
        <w:rPr>
          <w:szCs w:val="24"/>
        </w:rPr>
        <w:fldChar w:fldCharType="separate"/>
      </w:r>
      <w:r>
        <w:rPr>
          <w:szCs w:val="24"/>
        </w:rPr>
        <w:t>158</w:t>
      </w:r>
      <w:r>
        <w:rPr>
          <w:szCs w:val="24"/>
        </w:rPr>
        <w:fldChar w:fldCharType="end"/>
      </w:r>
      <w:r>
        <w:rPr>
          <w:szCs w:val="24"/>
        </w:rPr>
        <w:fldChar w:fldCharType="end"/>
      </w:r>
    </w:p>
    <w:p w14:paraId="058110D9">
      <w:pPr>
        <w:pStyle w:val="59"/>
        <w:tabs>
          <w:tab w:val="right" w:leader="dot" w:pos="9026"/>
          <w:tab w:val="clear" w:pos="420"/>
          <w:tab w:val="clear" w:pos="9060"/>
        </w:tabs>
        <w:spacing w:before="0" w:after="0"/>
        <w:jc w:val="both"/>
        <w:rPr>
          <w:sz w:val="24"/>
          <w:szCs w:val="24"/>
        </w:rPr>
      </w:pPr>
      <w:r>
        <w:fldChar w:fldCharType="begin"/>
      </w:r>
      <w:r>
        <w:instrText xml:space="preserve"> HYPERLINK \l "_Toc30224" </w:instrText>
      </w:r>
      <w:r>
        <w:fldChar w:fldCharType="separate"/>
      </w:r>
      <w:r>
        <w:rPr>
          <w:rFonts w:hint="eastAsia"/>
          <w:sz w:val="24"/>
          <w:szCs w:val="24"/>
        </w:rPr>
        <w:t xml:space="preserve">8 </w:t>
      </w:r>
      <w:r>
        <w:rPr>
          <w:sz w:val="24"/>
          <w:szCs w:val="24"/>
        </w:rPr>
        <w:t>环境影响评价结论</w:t>
      </w:r>
      <w:r>
        <w:rPr>
          <w:sz w:val="24"/>
          <w:szCs w:val="24"/>
        </w:rPr>
        <w:tab/>
      </w:r>
      <w:r>
        <w:rPr>
          <w:sz w:val="24"/>
          <w:szCs w:val="24"/>
        </w:rPr>
        <w:fldChar w:fldCharType="begin"/>
      </w:r>
      <w:r>
        <w:rPr>
          <w:sz w:val="24"/>
          <w:szCs w:val="24"/>
        </w:rPr>
        <w:instrText xml:space="preserve"> PAGEREF _Toc30224 \h </w:instrText>
      </w:r>
      <w:r>
        <w:rPr>
          <w:sz w:val="24"/>
          <w:szCs w:val="24"/>
        </w:rPr>
        <w:fldChar w:fldCharType="separate"/>
      </w:r>
      <w:r>
        <w:rPr>
          <w:sz w:val="24"/>
          <w:szCs w:val="24"/>
        </w:rPr>
        <w:t>161</w:t>
      </w:r>
      <w:r>
        <w:rPr>
          <w:sz w:val="24"/>
          <w:szCs w:val="24"/>
        </w:rPr>
        <w:fldChar w:fldCharType="end"/>
      </w:r>
      <w:r>
        <w:rPr>
          <w:sz w:val="24"/>
          <w:szCs w:val="24"/>
        </w:rPr>
        <w:fldChar w:fldCharType="end"/>
      </w:r>
    </w:p>
    <w:p w14:paraId="4370053C">
      <w:pPr>
        <w:pStyle w:val="74"/>
        <w:tabs>
          <w:tab w:val="right" w:leader="dot" w:pos="9026"/>
        </w:tabs>
        <w:spacing w:line="360" w:lineRule="auto"/>
        <w:ind w:left="0" w:firstLine="480" w:firstLineChars="200"/>
        <w:rPr>
          <w:szCs w:val="24"/>
        </w:rPr>
      </w:pPr>
      <w:r>
        <w:fldChar w:fldCharType="begin"/>
      </w:r>
      <w:r>
        <w:instrText xml:space="preserve"> HYPERLINK \l "_Toc25940" </w:instrText>
      </w:r>
      <w:r>
        <w:fldChar w:fldCharType="separate"/>
      </w:r>
      <w:r>
        <w:rPr>
          <w:rFonts w:hint="eastAsia"/>
          <w:szCs w:val="24"/>
        </w:rPr>
        <w:t xml:space="preserve">8.1 </w:t>
      </w:r>
      <w:r>
        <w:rPr>
          <w:szCs w:val="24"/>
        </w:rPr>
        <w:t>项目概况</w:t>
      </w:r>
      <w:r>
        <w:rPr>
          <w:szCs w:val="24"/>
        </w:rPr>
        <w:tab/>
      </w:r>
      <w:r>
        <w:rPr>
          <w:szCs w:val="24"/>
        </w:rPr>
        <w:fldChar w:fldCharType="begin"/>
      </w:r>
      <w:r>
        <w:rPr>
          <w:szCs w:val="24"/>
        </w:rPr>
        <w:instrText xml:space="preserve"> PAGEREF _Toc25940 \h </w:instrText>
      </w:r>
      <w:r>
        <w:rPr>
          <w:szCs w:val="24"/>
        </w:rPr>
        <w:fldChar w:fldCharType="separate"/>
      </w:r>
      <w:r>
        <w:rPr>
          <w:szCs w:val="24"/>
        </w:rPr>
        <w:t>161</w:t>
      </w:r>
      <w:r>
        <w:rPr>
          <w:szCs w:val="24"/>
        </w:rPr>
        <w:fldChar w:fldCharType="end"/>
      </w:r>
      <w:r>
        <w:rPr>
          <w:szCs w:val="24"/>
        </w:rPr>
        <w:fldChar w:fldCharType="end"/>
      </w:r>
    </w:p>
    <w:p w14:paraId="3B85B5AD">
      <w:pPr>
        <w:pStyle w:val="74"/>
        <w:tabs>
          <w:tab w:val="right" w:leader="dot" w:pos="9026"/>
        </w:tabs>
        <w:spacing w:line="360" w:lineRule="auto"/>
        <w:ind w:left="0" w:firstLine="480" w:firstLineChars="200"/>
        <w:rPr>
          <w:szCs w:val="24"/>
        </w:rPr>
      </w:pPr>
      <w:r>
        <w:fldChar w:fldCharType="begin"/>
      </w:r>
      <w:r>
        <w:instrText xml:space="preserve"> HYPERLINK \l "_Toc14272" </w:instrText>
      </w:r>
      <w:r>
        <w:fldChar w:fldCharType="separate"/>
      </w:r>
      <w:r>
        <w:rPr>
          <w:rFonts w:hint="eastAsia"/>
          <w:szCs w:val="24"/>
        </w:rPr>
        <w:t>8.2 产业政策、项目选址分析结论</w:t>
      </w:r>
      <w:r>
        <w:rPr>
          <w:szCs w:val="24"/>
        </w:rPr>
        <w:tab/>
      </w:r>
      <w:r>
        <w:rPr>
          <w:szCs w:val="24"/>
        </w:rPr>
        <w:fldChar w:fldCharType="begin"/>
      </w:r>
      <w:r>
        <w:rPr>
          <w:szCs w:val="24"/>
        </w:rPr>
        <w:instrText xml:space="preserve"> PAGEREF _Toc14272 \h </w:instrText>
      </w:r>
      <w:r>
        <w:rPr>
          <w:szCs w:val="24"/>
        </w:rPr>
        <w:fldChar w:fldCharType="separate"/>
      </w:r>
      <w:r>
        <w:rPr>
          <w:szCs w:val="24"/>
        </w:rPr>
        <w:t>161</w:t>
      </w:r>
      <w:r>
        <w:rPr>
          <w:szCs w:val="24"/>
        </w:rPr>
        <w:fldChar w:fldCharType="end"/>
      </w:r>
      <w:r>
        <w:rPr>
          <w:szCs w:val="24"/>
        </w:rPr>
        <w:fldChar w:fldCharType="end"/>
      </w:r>
    </w:p>
    <w:p w14:paraId="13977063">
      <w:pPr>
        <w:pStyle w:val="74"/>
        <w:tabs>
          <w:tab w:val="right" w:leader="dot" w:pos="9026"/>
        </w:tabs>
        <w:spacing w:line="360" w:lineRule="auto"/>
        <w:ind w:left="0" w:firstLine="480" w:firstLineChars="200"/>
        <w:rPr>
          <w:szCs w:val="24"/>
        </w:rPr>
      </w:pPr>
      <w:r>
        <w:fldChar w:fldCharType="begin"/>
      </w:r>
      <w:r>
        <w:instrText xml:space="preserve"> HYPERLINK \l "_Toc19713" </w:instrText>
      </w:r>
      <w:r>
        <w:fldChar w:fldCharType="separate"/>
      </w:r>
      <w:r>
        <w:rPr>
          <w:rFonts w:hint="eastAsia"/>
          <w:szCs w:val="24"/>
        </w:rPr>
        <w:t>8.3 环境质量现状评价</w:t>
      </w:r>
      <w:r>
        <w:rPr>
          <w:szCs w:val="24"/>
        </w:rPr>
        <w:tab/>
      </w:r>
      <w:r>
        <w:rPr>
          <w:szCs w:val="24"/>
        </w:rPr>
        <w:fldChar w:fldCharType="begin"/>
      </w:r>
      <w:r>
        <w:rPr>
          <w:szCs w:val="24"/>
        </w:rPr>
        <w:instrText xml:space="preserve"> PAGEREF _Toc19713 \h </w:instrText>
      </w:r>
      <w:r>
        <w:rPr>
          <w:szCs w:val="24"/>
        </w:rPr>
        <w:fldChar w:fldCharType="separate"/>
      </w:r>
      <w:r>
        <w:rPr>
          <w:szCs w:val="24"/>
        </w:rPr>
        <w:t>161</w:t>
      </w:r>
      <w:r>
        <w:rPr>
          <w:szCs w:val="24"/>
        </w:rPr>
        <w:fldChar w:fldCharType="end"/>
      </w:r>
      <w:r>
        <w:rPr>
          <w:szCs w:val="24"/>
        </w:rPr>
        <w:fldChar w:fldCharType="end"/>
      </w:r>
    </w:p>
    <w:p w14:paraId="33BF44D5">
      <w:pPr>
        <w:pStyle w:val="74"/>
        <w:tabs>
          <w:tab w:val="right" w:leader="dot" w:pos="9026"/>
        </w:tabs>
        <w:spacing w:line="360" w:lineRule="auto"/>
        <w:ind w:left="0" w:firstLine="480" w:firstLineChars="200"/>
        <w:rPr>
          <w:szCs w:val="24"/>
        </w:rPr>
      </w:pPr>
      <w:r>
        <w:fldChar w:fldCharType="begin"/>
      </w:r>
      <w:r>
        <w:instrText xml:space="preserve"> HYPERLINK \l "_Toc24610" </w:instrText>
      </w:r>
      <w:r>
        <w:fldChar w:fldCharType="separate"/>
      </w:r>
      <w:r>
        <w:rPr>
          <w:rFonts w:hint="eastAsia"/>
          <w:szCs w:val="24"/>
        </w:rPr>
        <w:t>8.4 污染物排放情况</w:t>
      </w:r>
      <w:r>
        <w:rPr>
          <w:szCs w:val="24"/>
        </w:rPr>
        <w:tab/>
      </w:r>
      <w:r>
        <w:rPr>
          <w:szCs w:val="24"/>
        </w:rPr>
        <w:fldChar w:fldCharType="begin"/>
      </w:r>
      <w:r>
        <w:rPr>
          <w:szCs w:val="24"/>
        </w:rPr>
        <w:instrText xml:space="preserve"> PAGEREF _Toc24610 \h </w:instrText>
      </w:r>
      <w:r>
        <w:rPr>
          <w:szCs w:val="24"/>
        </w:rPr>
        <w:fldChar w:fldCharType="separate"/>
      </w:r>
      <w:r>
        <w:rPr>
          <w:szCs w:val="24"/>
        </w:rPr>
        <w:t>162</w:t>
      </w:r>
      <w:r>
        <w:rPr>
          <w:szCs w:val="24"/>
        </w:rPr>
        <w:fldChar w:fldCharType="end"/>
      </w:r>
      <w:r>
        <w:rPr>
          <w:szCs w:val="24"/>
        </w:rPr>
        <w:fldChar w:fldCharType="end"/>
      </w:r>
    </w:p>
    <w:p w14:paraId="4BC06211">
      <w:pPr>
        <w:pStyle w:val="74"/>
        <w:tabs>
          <w:tab w:val="right" w:leader="dot" w:pos="9026"/>
        </w:tabs>
        <w:spacing w:line="360" w:lineRule="auto"/>
        <w:ind w:left="0" w:firstLine="480" w:firstLineChars="200"/>
        <w:rPr>
          <w:szCs w:val="24"/>
        </w:rPr>
      </w:pPr>
      <w:r>
        <w:fldChar w:fldCharType="begin"/>
      </w:r>
      <w:r>
        <w:instrText xml:space="preserve"> HYPERLINK \l "_Toc1215" </w:instrText>
      </w:r>
      <w:r>
        <w:fldChar w:fldCharType="separate"/>
      </w:r>
      <w:r>
        <w:rPr>
          <w:rFonts w:hint="eastAsia"/>
          <w:szCs w:val="24"/>
        </w:rPr>
        <w:t>8.5 环境影响分析结论</w:t>
      </w:r>
      <w:r>
        <w:rPr>
          <w:szCs w:val="24"/>
        </w:rPr>
        <w:tab/>
      </w:r>
      <w:r>
        <w:rPr>
          <w:szCs w:val="24"/>
        </w:rPr>
        <w:fldChar w:fldCharType="begin"/>
      </w:r>
      <w:r>
        <w:rPr>
          <w:szCs w:val="24"/>
        </w:rPr>
        <w:instrText xml:space="preserve"> PAGEREF _Toc1215 \h </w:instrText>
      </w:r>
      <w:r>
        <w:rPr>
          <w:szCs w:val="24"/>
        </w:rPr>
        <w:fldChar w:fldCharType="separate"/>
      </w:r>
      <w:r>
        <w:rPr>
          <w:szCs w:val="24"/>
        </w:rPr>
        <w:t>164</w:t>
      </w:r>
      <w:r>
        <w:rPr>
          <w:szCs w:val="24"/>
        </w:rPr>
        <w:fldChar w:fldCharType="end"/>
      </w:r>
      <w:r>
        <w:rPr>
          <w:szCs w:val="24"/>
        </w:rPr>
        <w:fldChar w:fldCharType="end"/>
      </w:r>
    </w:p>
    <w:p w14:paraId="2E7EF2FB">
      <w:pPr>
        <w:pStyle w:val="74"/>
        <w:tabs>
          <w:tab w:val="right" w:leader="dot" w:pos="9026"/>
        </w:tabs>
        <w:spacing w:line="360" w:lineRule="auto"/>
        <w:ind w:left="0" w:firstLine="480" w:firstLineChars="200"/>
        <w:rPr>
          <w:szCs w:val="24"/>
        </w:rPr>
      </w:pPr>
      <w:r>
        <w:fldChar w:fldCharType="begin"/>
      </w:r>
      <w:r>
        <w:instrText xml:space="preserve"> HYPERLINK \l "_Toc14558" </w:instrText>
      </w:r>
      <w:r>
        <w:fldChar w:fldCharType="separate"/>
      </w:r>
      <w:r>
        <w:rPr>
          <w:rFonts w:hint="eastAsia"/>
          <w:szCs w:val="24"/>
        </w:rPr>
        <w:t>8.6 环境保护措施结论</w:t>
      </w:r>
      <w:r>
        <w:rPr>
          <w:szCs w:val="24"/>
        </w:rPr>
        <w:tab/>
      </w:r>
      <w:r>
        <w:rPr>
          <w:szCs w:val="24"/>
        </w:rPr>
        <w:fldChar w:fldCharType="begin"/>
      </w:r>
      <w:r>
        <w:rPr>
          <w:szCs w:val="24"/>
        </w:rPr>
        <w:instrText xml:space="preserve"> PAGEREF _Toc14558 \h </w:instrText>
      </w:r>
      <w:r>
        <w:rPr>
          <w:szCs w:val="24"/>
        </w:rPr>
        <w:fldChar w:fldCharType="separate"/>
      </w:r>
      <w:r>
        <w:rPr>
          <w:szCs w:val="24"/>
        </w:rPr>
        <w:t>166</w:t>
      </w:r>
      <w:r>
        <w:rPr>
          <w:szCs w:val="24"/>
        </w:rPr>
        <w:fldChar w:fldCharType="end"/>
      </w:r>
      <w:r>
        <w:rPr>
          <w:szCs w:val="24"/>
        </w:rPr>
        <w:fldChar w:fldCharType="end"/>
      </w:r>
    </w:p>
    <w:p w14:paraId="573C41A0">
      <w:pPr>
        <w:pStyle w:val="74"/>
        <w:tabs>
          <w:tab w:val="right" w:leader="dot" w:pos="9026"/>
        </w:tabs>
        <w:spacing w:line="360" w:lineRule="auto"/>
        <w:ind w:left="0" w:firstLine="480" w:firstLineChars="200"/>
        <w:rPr>
          <w:szCs w:val="24"/>
        </w:rPr>
      </w:pPr>
      <w:r>
        <w:fldChar w:fldCharType="begin"/>
      </w:r>
      <w:r>
        <w:instrText xml:space="preserve"> HYPERLINK \l "_Toc17103" </w:instrText>
      </w:r>
      <w:r>
        <w:fldChar w:fldCharType="separate"/>
      </w:r>
      <w:r>
        <w:rPr>
          <w:rFonts w:hint="eastAsia"/>
          <w:szCs w:val="24"/>
        </w:rPr>
        <w:t>8.7 环境影响经济损益分析</w:t>
      </w:r>
      <w:r>
        <w:rPr>
          <w:szCs w:val="24"/>
        </w:rPr>
        <w:tab/>
      </w:r>
      <w:r>
        <w:rPr>
          <w:szCs w:val="24"/>
        </w:rPr>
        <w:fldChar w:fldCharType="begin"/>
      </w:r>
      <w:r>
        <w:rPr>
          <w:szCs w:val="24"/>
        </w:rPr>
        <w:instrText xml:space="preserve"> PAGEREF _Toc17103 \h </w:instrText>
      </w:r>
      <w:r>
        <w:rPr>
          <w:szCs w:val="24"/>
        </w:rPr>
        <w:fldChar w:fldCharType="separate"/>
      </w:r>
      <w:r>
        <w:rPr>
          <w:szCs w:val="24"/>
        </w:rPr>
        <w:t>169</w:t>
      </w:r>
      <w:r>
        <w:rPr>
          <w:szCs w:val="24"/>
        </w:rPr>
        <w:fldChar w:fldCharType="end"/>
      </w:r>
      <w:r>
        <w:rPr>
          <w:szCs w:val="24"/>
        </w:rPr>
        <w:fldChar w:fldCharType="end"/>
      </w:r>
    </w:p>
    <w:p w14:paraId="3DAE8B0A">
      <w:pPr>
        <w:pStyle w:val="74"/>
        <w:tabs>
          <w:tab w:val="right" w:leader="dot" w:pos="9026"/>
        </w:tabs>
        <w:spacing w:line="360" w:lineRule="auto"/>
        <w:ind w:left="0" w:firstLine="480" w:firstLineChars="200"/>
        <w:rPr>
          <w:szCs w:val="24"/>
        </w:rPr>
      </w:pPr>
      <w:r>
        <w:fldChar w:fldCharType="begin"/>
      </w:r>
      <w:r>
        <w:instrText xml:space="preserve"> HYPERLINK \l "_Toc19836" </w:instrText>
      </w:r>
      <w:r>
        <w:fldChar w:fldCharType="separate"/>
      </w:r>
      <w:r>
        <w:rPr>
          <w:rFonts w:hint="eastAsia"/>
          <w:szCs w:val="24"/>
        </w:rPr>
        <w:t>8.8 环境管理与监测计划</w:t>
      </w:r>
      <w:r>
        <w:rPr>
          <w:szCs w:val="24"/>
        </w:rPr>
        <w:tab/>
      </w:r>
      <w:r>
        <w:rPr>
          <w:szCs w:val="24"/>
        </w:rPr>
        <w:fldChar w:fldCharType="begin"/>
      </w:r>
      <w:r>
        <w:rPr>
          <w:szCs w:val="24"/>
        </w:rPr>
        <w:instrText xml:space="preserve"> PAGEREF _Toc19836 \h </w:instrText>
      </w:r>
      <w:r>
        <w:rPr>
          <w:szCs w:val="24"/>
        </w:rPr>
        <w:fldChar w:fldCharType="separate"/>
      </w:r>
      <w:r>
        <w:rPr>
          <w:szCs w:val="24"/>
        </w:rPr>
        <w:t>169</w:t>
      </w:r>
      <w:r>
        <w:rPr>
          <w:szCs w:val="24"/>
        </w:rPr>
        <w:fldChar w:fldCharType="end"/>
      </w:r>
      <w:r>
        <w:rPr>
          <w:szCs w:val="24"/>
        </w:rPr>
        <w:fldChar w:fldCharType="end"/>
      </w:r>
    </w:p>
    <w:p w14:paraId="6C18D865">
      <w:pPr>
        <w:pStyle w:val="74"/>
        <w:tabs>
          <w:tab w:val="right" w:leader="dot" w:pos="9026"/>
        </w:tabs>
        <w:spacing w:line="360" w:lineRule="auto"/>
        <w:ind w:left="0" w:firstLine="480" w:firstLineChars="200"/>
        <w:rPr>
          <w:szCs w:val="24"/>
        </w:rPr>
      </w:pPr>
      <w:r>
        <w:fldChar w:fldCharType="begin"/>
      </w:r>
      <w:r>
        <w:instrText xml:space="preserve"> HYPERLINK \l "_Toc8614" </w:instrText>
      </w:r>
      <w:r>
        <w:fldChar w:fldCharType="separate"/>
      </w:r>
      <w:r>
        <w:rPr>
          <w:rFonts w:hint="eastAsia"/>
          <w:szCs w:val="24"/>
        </w:rPr>
        <w:t>8.9 公众参与结论</w:t>
      </w:r>
      <w:r>
        <w:rPr>
          <w:szCs w:val="24"/>
        </w:rPr>
        <w:tab/>
      </w:r>
      <w:r>
        <w:rPr>
          <w:szCs w:val="24"/>
        </w:rPr>
        <w:fldChar w:fldCharType="begin"/>
      </w:r>
      <w:r>
        <w:rPr>
          <w:szCs w:val="24"/>
        </w:rPr>
        <w:instrText xml:space="preserve"> PAGEREF _Toc8614 \h </w:instrText>
      </w:r>
      <w:r>
        <w:rPr>
          <w:szCs w:val="24"/>
        </w:rPr>
        <w:fldChar w:fldCharType="separate"/>
      </w:r>
      <w:r>
        <w:rPr>
          <w:szCs w:val="24"/>
        </w:rPr>
        <w:t>169</w:t>
      </w:r>
      <w:r>
        <w:rPr>
          <w:szCs w:val="24"/>
        </w:rPr>
        <w:fldChar w:fldCharType="end"/>
      </w:r>
      <w:r>
        <w:rPr>
          <w:szCs w:val="24"/>
        </w:rPr>
        <w:fldChar w:fldCharType="end"/>
      </w:r>
    </w:p>
    <w:p w14:paraId="10328BC3">
      <w:pPr>
        <w:pStyle w:val="74"/>
        <w:tabs>
          <w:tab w:val="right" w:leader="dot" w:pos="9026"/>
        </w:tabs>
        <w:spacing w:line="360" w:lineRule="auto"/>
        <w:ind w:left="0" w:firstLine="480" w:firstLineChars="200"/>
      </w:pPr>
      <w:r>
        <w:fldChar w:fldCharType="begin"/>
      </w:r>
      <w:r>
        <w:instrText xml:space="preserve"> HYPERLINK \l "_Toc16261" </w:instrText>
      </w:r>
      <w:r>
        <w:fldChar w:fldCharType="separate"/>
      </w:r>
      <w:r>
        <w:rPr>
          <w:rFonts w:hint="eastAsia"/>
          <w:szCs w:val="24"/>
        </w:rPr>
        <w:t>8.10 综合评价结论</w:t>
      </w:r>
      <w:r>
        <w:rPr>
          <w:szCs w:val="24"/>
        </w:rPr>
        <w:tab/>
      </w:r>
      <w:r>
        <w:rPr>
          <w:szCs w:val="24"/>
        </w:rPr>
        <w:fldChar w:fldCharType="begin"/>
      </w:r>
      <w:r>
        <w:rPr>
          <w:szCs w:val="24"/>
        </w:rPr>
        <w:instrText xml:space="preserve"> PAGEREF _Toc16261 \h </w:instrText>
      </w:r>
      <w:r>
        <w:rPr>
          <w:szCs w:val="24"/>
        </w:rPr>
        <w:fldChar w:fldCharType="separate"/>
      </w:r>
      <w:r>
        <w:rPr>
          <w:szCs w:val="24"/>
        </w:rPr>
        <w:t>169</w:t>
      </w:r>
      <w:r>
        <w:rPr>
          <w:szCs w:val="24"/>
        </w:rPr>
        <w:fldChar w:fldCharType="end"/>
      </w:r>
      <w:r>
        <w:rPr>
          <w:szCs w:val="24"/>
        </w:rPr>
        <w:fldChar w:fldCharType="end"/>
      </w:r>
    </w:p>
    <w:p w14:paraId="7E286F0F">
      <w:pPr>
        <w:keepNext/>
        <w:keepLines/>
        <w:tabs>
          <w:tab w:val="right" w:leader="dot" w:pos="8820"/>
        </w:tabs>
        <w:spacing w:line="360" w:lineRule="auto"/>
        <w:jc w:val="center"/>
        <w:outlineLvl w:val="0"/>
        <w:rPr>
          <w:rFonts w:ascii="Times New Roman" w:hAnsi="Times New Roman"/>
          <w:caps/>
          <w:spacing w:val="-2"/>
          <w:kern w:val="0"/>
          <w:sz w:val="24"/>
          <w:szCs w:val="24"/>
        </w:rPr>
      </w:pPr>
      <w:r>
        <w:rPr>
          <w:rFonts w:ascii="Times New Roman" w:hAnsi="Times New Roman"/>
          <w:caps/>
          <w:spacing w:val="-2"/>
          <w:kern w:val="0"/>
          <w:sz w:val="24"/>
          <w:szCs w:val="24"/>
        </w:rPr>
        <w:fldChar w:fldCharType="end"/>
      </w:r>
    </w:p>
    <w:p w14:paraId="70398DA1">
      <w:pPr>
        <w:tabs>
          <w:tab w:val="right" w:leader="dot" w:pos="8820"/>
        </w:tabs>
        <w:spacing w:line="360" w:lineRule="auto"/>
        <w:rPr>
          <w:rFonts w:ascii="Times New Roman" w:hAnsi="Times New Roman"/>
          <w:b/>
          <w:spacing w:val="-2"/>
          <w:kern w:val="0"/>
          <w:sz w:val="24"/>
          <w:szCs w:val="24"/>
        </w:rPr>
      </w:pPr>
      <w:r>
        <w:rPr>
          <w:rFonts w:ascii="Times New Roman" w:hAnsi="Times New Roman"/>
          <w:b/>
          <w:spacing w:val="-2"/>
          <w:kern w:val="0"/>
          <w:sz w:val="24"/>
          <w:szCs w:val="24"/>
        </w:rPr>
        <w:t>附图</w:t>
      </w:r>
    </w:p>
    <w:p w14:paraId="6AFB4B01">
      <w:pPr>
        <w:widowControl/>
        <w:spacing w:line="360" w:lineRule="auto"/>
        <w:ind w:firstLine="461"/>
        <w:rPr>
          <w:rFonts w:ascii="Times New Roman" w:hAnsi="Times New Roman"/>
          <w:spacing w:val="-2"/>
          <w:kern w:val="0"/>
          <w:sz w:val="24"/>
          <w:szCs w:val="24"/>
        </w:rPr>
      </w:pPr>
      <w:r>
        <w:rPr>
          <w:rFonts w:hint="eastAsia" w:ascii="Times New Roman" w:hAnsi="Times New Roman"/>
          <w:spacing w:val="-2"/>
          <w:kern w:val="0"/>
          <w:sz w:val="24"/>
          <w:szCs w:val="24"/>
        </w:rPr>
        <w:t>附图1 项目地理位置示意图</w:t>
      </w:r>
    </w:p>
    <w:p w14:paraId="45794665">
      <w:pPr>
        <w:widowControl/>
        <w:spacing w:line="360" w:lineRule="auto"/>
        <w:ind w:firstLine="461"/>
        <w:rPr>
          <w:rFonts w:ascii="Times New Roman" w:hAnsi="Times New Roman"/>
          <w:spacing w:val="-2"/>
          <w:kern w:val="0"/>
          <w:sz w:val="24"/>
          <w:szCs w:val="24"/>
        </w:rPr>
      </w:pPr>
      <w:r>
        <w:rPr>
          <w:rFonts w:hint="eastAsia" w:ascii="Times New Roman" w:hAnsi="Times New Roman"/>
          <w:spacing w:val="-2"/>
          <w:kern w:val="0"/>
          <w:sz w:val="24"/>
          <w:szCs w:val="24"/>
        </w:rPr>
        <w:t>附图2 项目与创大进口汽车仓储物流园总平面布置关系示意图</w:t>
      </w:r>
    </w:p>
    <w:p w14:paraId="588E7339">
      <w:pPr>
        <w:widowControl/>
        <w:spacing w:line="360" w:lineRule="auto"/>
        <w:ind w:firstLine="461"/>
        <w:rPr>
          <w:rFonts w:ascii="Times New Roman" w:hAnsi="Times New Roman"/>
          <w:spacing w:val="-2"/>
          <w:kern w:val="0"/>
          <w:sz w:val="24"/>
          <w:szCs w:val="24"/>
        </w:rPr>
      </w:pPr>
      <w:r>
        <w:rPr>
          <w:rFonts w:hint="eastAsia" w:ascii="Times New Roman" w:hAnsi="Times New Roman"/>
          <w:spacing w:val="-2"/>
          <w:kern w:val="0"/>
          <w:sz w:val="24"/>
          <w:szCs w:val="24"/>
        </w:rPr>
        <w:t>附图3 项目车间平面布置示意图</w:t>
      </w:r>
    </w:p>
    <w:p w14:paraId="6BE72613">
      <w:pPr>
        <w:widowControl/>
        <w:spacing w:line="360" w:lineRule="auto"/>
        <w:ind w:firstLine="461"/>
        <w:rPr>
          <w:rFonts w:ascii="Times New Roman" w:hAnsi="Times New Roman"/>
          <w:spacing w:val="-2"/>
          <w:kern w:val="0"/>
          <w:sz w:val="24"/>
          <w:szCs w:val="24"/>
        </w:rPr>
      </w:pPr>
      <w:r>
        <w:rPr>
          <w:rFonts w:hint="eastAsia" w:ascii="Times New Roman" w:hAnsi="Times New Roman"/>
          <w:spacing w:val="-2"/>
          <w:kern w:val="0"/>
          <w:sz w:val="24"/>
          <w:szCs w:val="24"/>
        </w:rPr>
        <w:t>附图4 项目周边环境保护目标分布及评价范围示意图</w:t>
      </w:r>
    </w:p>
    <w:p w14:paraId="1DAC94F9">
      <w:pPr>
        <w:widowControl/>
        <w:spacing w:line="360" w:lineRule="auto"/>
        <w:ind w:firstLine="461"/>
        <w:rPr>
          <w:rFonts w:ascii="Times New Roman" w:hAnsi="Times New Roman"/>
          <w:spacing w:val="-2"/>
          <w:kern w:val="0"/>
          <w:sz w:val="24"/>
          <w:szCs w:val="24"/>
        </w:rPr>
      </w:pPr>
      <w:r>
        <w:rPr>
          <w:rFonts w:hint="eastAsia" w:ascii="Times New Roman" w:hAnsi="Times New Roman"/>
          <w:spacing w:val="-2"/>
          <w:kern w:val="0"/>
          <w:sz w:val="24"/>
          <w:szCs w:val="24"/>
        </w:rPr>
        <w:t>附图5 环境质量现状监测布点示意图</w:t>
      </w:r>
    </w:p>
    <w:p w14:paraId="00DBE7DB">
      <w:pPr>
        <w:widowControl/>
        <w:spacing w:line="360" w:lineRule="auto"/>
        <w:ind w:firstLine="461"/>
        <w:rPr>
          <w:rFonts w:ascii="Times New Roman" w:hAnsi="Times New Roman"/>
          <w:spacing w:val="-2"/>
          <w:kern w:val="0"/>
          <w:sz w:val="24"/>
          <w:szCs w:val="24"/>
        </w:rPr>
      </w:pPr>
      <w:r>
        <w:rPr>
          <w:rFonts w:hint="eastAsia" w:ascii="Times New Roman" w:hAnsi="Times New Roman"/>
          <w:spacing w:val="-2"/>
          <w:kern w:val="0"/>
          <w:sz w:val="24"/>
          <w:szCs w:val="24"/>
        </w:rPr>
        <w:t>附图6 项目与钦州保税港区功能分区规划关系图</w:t>
      </w:r>
    </w:p>
    <w:p w14:paraId="1C7D2FF4">
      <w:pPr>
        <w:widowControl/>
        <w:spacing w:line="360" w:lineRule="auto"/>
        <w:ind w:firstLine="461"/>
        <w:rPr>
          <w:rFonts w:ascii="Times New Roman" w:hAnsi="Times New Roman"/>
          <w:spacing w:val="-2"/>
          <w:kern w:val="0"/>
          <w:sz w:val="24"/>
          <w:szCs w:val="24"/>
        </w:rPr>
      </w:pPr>
      <w:r>
        <w:rPr>
          <w:rFonts w:hint="eastAsia" w:ascii="Times New Roman" w:hAnsi="Times New Roman"/>
          <w:spacing w:val="-2"/>
          <w:kern w:val="0"/>
          <w:sz w:val="24"/>
          <w:szCs w:val="24"/>
        </w:rPr>
        <w:t>附图7 项目与钦州保税港区排水规划关系图</w:t>
      </w:r>
    </w:p>
    <w:p w14:paraId="09A55D27">
      <w:pPr>
        <w:widowControl/>
        <w:spacing w:line="360" w:lineRule="auto"/>
        <w:ind w:firstLine="461"/>
        <w:rPr>
          <w:rFonts w:ascii="Times New Roman" w:hAnsi="Times New Roman"/>
          <w:spacing w:val="-2"/>
          <w:kern w:val="0"/>
          <w:sz w:val="24"/>
          <w:szCs w:val="24"/>
        </w:rPr>
      </w:pPr>
      <w:r>
        <w:rPr>
          <w:rFonts w:hint="eastAsia" w:ascii="Times New Roman" w:hAnsi="Times New Roman"/>
          <w:spacing w:val="-2"/>
          <w:kern w:val="0"/>
          <w:sz w:val="24"/>
          <w:szCs w:val="24"/>
        </w:rPr>
        <w:t xml:space="preserve">附图8 </w:t>
      </w:r>
      <w:bookmarkStart w:id="40" w:name="_Hlk187231545"/>
      <w:r>
        <w:rPr>
          <w:rFonts w:hint="eastAsia" w:ascii="Times New Roman" w:hAnsi="Times New Roman"/>
          <w:spacing w:val="-2"/>
          <w:kern w:val="0"/>
          <w:sz w:val="24"/>
          <w:szCs w:val="24"/>
        </w:rPr>
        <w:t>项目与钦州保税港区周边企业分布关系图</w:t>
      </w:r>
      <w:bookmarkEnd w:id="40"/>
    </w:p>
    <w:p w14:paraId="27F35129">
      <w:pPr>
        <w:widowControl/>
        <w:spacing w:line="360" w:lineRule="auto"/>
        <w:ind w:firstLine="461"/>
        <w:rPr>
          <w:rFonts w:ascii="Times New Roman" w:hAnsi="Times New Roman"/>
          <w:spacing w:val="-2"/>
          <w:kern w:val="0"/>
          <w:sz w:val="24"/>
          <w:szCs w:val="24"/>
        </w:rPr>
      </w:pPr>
      <w:r>
        <w:rPr>
          <w:rFonts w:hint="eastAsia" w:ascii="Times New Roman" w:hAnsi="Times New Roman"/>
          <w:spacing w:val="-2"/>
          <w:kern w:val="0"/>
          <w:sz w:val="24"/>
          <w:szCs w:val="24"/>
        </w:rPr>
        <w:t>附图9 项目与历史区域水文地质图关系图</w:t>
      </w:r>
    </w:p>
    <w:p w14:paraId="3C7D65A1">
      <w:pPr>
        <w:widowControl/>
        <w:spacing w:line="360" w:lineRule="auto"/>
        <w:ind w:firstLine="461"/>
        <w:rPr>
          <w:rFonts w:ascii="Times New Roman" w:hAnsi="Times New Roman"/>
          <w:spacing w:val="-2"/>
          <w:kern w:val="0"/>
          <w:sz w:val="24"/>
          <w:szCs w:val="24"/>
        </w:rPr>
      </w:pPr>
      <w:r>
        <w:rPr>
          <w:rFonts w:hint="eastAsia" w:ascii="Times New Roman" w:hAnsi="Times New Roman"/>
          <w:spacing w:val="-2"/>
          <w:kern w:val="0"/>
          <w:sz w:val="24"/>
          <w:szCs w:val="24"/>
        </w:rPr>
        <w:t>附图10 项目与钦州市声环境功能区划关系示意图</w:t>
      </w:r>
    </w:p>
    <w:p w14:paraId="31B09783">
      <w:pPr>
        <w:widowControl/>
        <w:spacing w:line="360" w:lineRule="auto"/>
        <w:ind w:firstLine="461"/>
        <w:rPr>
          <w:rFonts w:ascii="Times New Roman" w:hAnsi="Times New Roman"/>
          <w:spacing w:val="-2"/>
          <w:kern w:val="0"/>
          <w:sz w:val="24"/>
          <w:szCs w:val="24"/>
        </w:rPr>
      </w:pPr>
      <w:r>
        <w:rPr>
          <w:rFonts w:hint="eastAsia" w:ascii="Times New Roman" w:hAnsi="Times New Roman"/>
          <w:spacing w:val="-2"/>
          <w:kern w:val="0"/>
          <w:sz w:val="24"/>
          <w:szCs w:val="24"/>
        </w:rPr>
        <w:t>附图11 项目与广西近岸海域环境功能区划调整方案位置关系</w:t>
      </w:r>
    </w:p>
    <w:p w14:paraId="5EB1396E">
      <w:pPr>
        <w:widowControl/>
        <w:spacing w:line="360" w:lineRule="auto"/>
        <w:ind w:firstLine="461"/>
        <w:rPr>
          <w:rFonts w:ascii="Times New Roman" w:hAnsi="Times New Roman"/>
          <w:spacing w:val="-2"/>
          <w:kern w:val="0"/>
          <w:sz w:val="24"/>
          <w:szCs w:val="24"/>
        </w:rPr>
      </w:pPr>
      <w:r>
        <w:rPr>
          <w:rFonts w:hint="eastAsia" w:ascii="Times New Roman" w:hAnsi="Times New Roman"/>
          <w:spacing w:val="-2"/>
          <w:kern w:val="0"/>
          <w:sz w:val="24"/>
          <w:szCs w:val="24"/>
        </w:rPr>
        <w:t>附图12 项目与广西生态功能区划的位置关系图</w:t>
      </w:r>
    </w:p>
    <w:p w14:paraId="4FF51DAE">
      <w:pPr>
        <w:widowControl/>
        <w:spacing w:line="360" w:lineRule="auto"/>
        <w:ind w:firstLine="461"/>
        <w:rPr>
          <w:rFonts w:ascii="Times New Roman" w:hAnsi="Times New Roman"/>
          <w:spacing w:val="-2"/>
          <w:kern w:val="0"/>
          <w:sz w:val="24"/>
          <w:szCs w:val="24"/>
        </w:rPr>
      </w:pPr>
      <w:r>
        <w:rPr>
          <w:rFonts w:hint="eastAsia" w:ascii="Times New Roman" w:hAnsi="Times New Roman"/>
          <w:spacing w:val="-2"/>
          <w:kern w:val="0"/>
          <w:sz w:val="24"/>
          <w:szCs w:val="24"/>
        </w:rPr>
        <w:t>附图13 项目与广西海洋生态红线划定方案位置关系图</w:t>
      </w:r>
    </w:p>
    <w:p w14:paraId="09808B8F">
      <w:pPr>
        <w:widowControl/>
        <w:spacing w:line="360" w:lineRule="auto"/>
        <w:ind w:firstLine="461"/>
        <w:rPr>
          <w:rFonts w:ascii="Times New Roman" w:hAnsi="Times New Roman"/>
          <w:spacing w:val="-2"/>
          <w:kern w:val="0"/>
          <w:sz w:val="24"/>
          <w:szCs w:val="24"/>
        </w:rPr>
      </w:pPr>
      <w:r>
        <w:rPr>
          <w:rFonts w:hint="eastAsia" w:ascii="Times New Roman" w:hAnsi="Times New Roman"/>
          <w:spacing w:val="-2"/>
          <w:kern w:val="0"/>
          <w:sz w:val="24"/>
          <w:szCs w:val="24"/>
        </w:rPr>
        <w:t>附图14 项目与钦州市陆域环境管控单元关系图</w:t>
      </w:r>
    </w:p>
    <w:p w14:paraId="23769D48">
      <w:pPr>
        <w:widowControl/>
        <w:spacing w:line="360" w:lineRule="auto"/>
        <w:ind w:firstLine="461"/>
        <w:rPr>
          <w:rFonts w:ascii="Times New Roman" w:hAnsi="Times New Roman"/>
          <w:spacing w:val="-2"/>
          <w:kern w:val="0"/>
          <w:sz w:val="24"/>
          <w:szCs w:val="24"/>
        </w:rPr>
      </w:pPr>
      <w:r>
        <w:rPr>
          <w:rFonts w:hint="eastAsia" w:ascii="Times New Roman" w:hAnsi="Times New Roman"/>
          <w:spacing w:val="-2"/>
          <w:kern w:val="0"/>
          <w:sz w:val="24"/>
          <w:szCs w:val="24"/>
        </w:rPr>
        <w:t>附图15 项目与钦州市近岸海域环境管控单元关系图</w:t>
      </w:r>
    </w:p>
    <w:p w14:paraId="187C8CB4">
      <w:pPr>
        <w:widowControl/>
        <w:spacing w:line="360" w:lineRule="auto"/>
        <w:rPr>
          <w:rFonts w:ascii="Times New Roman" w:hAnsi="Times New Roman"/>
          <w:b/>
          <w:bCs/>
          <w:spacing w:val="-2"/>
          <w:kern w:val="0"/>
          <w:sz w:val="24"/>
          <w:szCs w:val="24"/>
        </w:rPr>
      </w:pPr>
      <w:r>
        <w:rPr>
          <w:rFonts w:ascii="Times New Roman" w:hAnsi="Times New Roman"/>
          <w:b/>
          <w:bCs/>
          <w:spacing w:val="-2"/>
          <w:kern w:val="0"/>
          <w:sz w:val="24"/>
          <w:szCs w:val="24"/>
        </w:rPr>
        <w:t>附件</w:t>
      </w:r>
    </w:p>
    <w:p w14:paraId="7D2E9C0B">
      <w:pPr>
        <w:widowControl/>
        <w:spacing w:line="360" w:lineRule="auto"/>
        <w:ind w:firstLine="461"/>
        <w:rPr>
          <w:rFonts w:ascii="Times New Roman" w:hAnsi="Times New Roman"/>
          <w:spacing w:val="-2"/>
          <w:kern w:val="0"/>
          <w:sz w:val="24"/>
          <w:szCs w:val="24"/>
        </w:rPr>
      </w:pPr>
      <w:bookmarkStart w:id="41" w:name="_Toc358131263"/>
      <w:bookmarkStart w:id="42" w:name="_Toc356756732"/>
      <w:bookmarkStart w:id="43" w:name="_Toc356577480"/>
      <w:bookmarkStart w:id="44" w:name="_Toc358130232"/>
      <w:r>
        <w:rPr>
          <w:rFonts w:hint="eastAsia" w:ascii="Times New Roman" w:hAnsi="Times New Roman"/>
          <w:spacing w:val="-2"/>
          <w:kern w:val="0"/>
          <w:sz w:val="24"/>
          <w:szCs w:val="24"/>
        </w:rPr>
        <w:t>附件1 项目委托书</w:t>
      </w:r>
    </w:p>
    <w:p w14:paraId="00255D38">
      <w:pPr>
        <w:widowControl/>
        <w:spacing w:line="360" w:lineRule="auto"/>
        <w:ind w:firstLine="461"/>
        <w:rPr>
          <w:rFonts w:ascii="Times New Roman" w:hAnsi="Times New Roman"/>
          <w:spacing w:val="-2"/>
          <w:kern w:val="0"/>
          <w:sz w:val="24"/>
          <w:szCs w:val="24"/>
        </w:rPr>
      </w:pPr>
      <w:r>
        <w:rPr>
          <w:rFonts w:hint="eastAsia" w:ascii="Times New Roman" w:hAnsi="Times New Roman"/>
          <w:spacing w:val="-2"/>
          <w:kern w:val="0"/>
          <w:sz w:val="24"/>
          <w:szCs w:val="24"/>
        </w:rPr>
        <w:t>附件2 项目备案证明</w:t>
      </w:r>
    </w:p>
    <w:p w14:paraId="3475CD57">
      <w:pPr>
        <w:widowControl/>
        <w:spacing w:line="360" w:lineRule="auto"/>
        <w:ind w:firstLine="461"/>
        <w:rPr>
          <w:rFonts w:ascii="Times New Roman" w:hAnsi="Times New Roman"/>
          <w:spacing w:val="-2"/>
          <w:kern w:val="0"/>
          <w:sz w:val="24"/>
          <w:szCs w:val="24"/>
        </w:rPr>
      </w:pPr>
      <w:r>
        <w:rPr>
          <w:rFonts w:hint="eastAsia" w:ascii="Times New Roman" w:hAnsi="Times New Roman"/>
          <w:spacing w:val="-2"/>
          <w:kern w:val="0"/>
          <w:sz w:val="24"/>
          <w:szCs w:val="24"/>
        </w:rPr>
        <w:t>附件3 关于同意广西瑞腾贸易有限公司开展锆钛矿保税加工业务的函</w:t>
      </w:r>
    </w:p>
    <w:p w14:paraId="26534B97">
      <w:pPr>
        <w:widowControl/>
        <w:spacing w:line="360" w:lineRule="auto"/>
        <w:ind w:firstLine="461"/>
        <w:rPr>
          <w:rFonts w:ascii="Times New Roman" w:hAnsi="Times New Roman"/>
          <w:spacing w:val="-2"/>
          <w:kern w:val="0"/>
          <w:sz w:val="24"/>
          <w:szCs w:val="24"/>
        </w:rPr>
      </w:pPr>
      <w:r>
        <w:rPr>
          <w:rFonts w:hint="eastAsia" w:ascii="Times New Roman" w:hAnsi="Times New Roman"/>
          <w:spacing w:val="-2"/>
          <w:kern w:val="0"/>
          <w:sz w:val="24"/>
          <w:szCs w:val="24"/>
        </w:rPr>
        <w:t>附件4 项目用地租赁协议</w:t>
      </w:r>
    </w:p>
    <w:p w14:paraId="64879E92">
      <w:pPr>
        <w:widowControl/>
        <w:spacing w:line="360" w:lineRule="auto"/>
        <w:ind w:firstLine="461"/>
        <w:rPr>
          <w:rFonts w:ascii="Times New Roman" w:hAnsi="Times New Roman"/>
          <w:spacing w:val="-2"/>
          <w:kern w:val="0"/>
          <w:sz w:val="24"/>
          <w:szCs w:val="24"/>
        </w:rPr>
      </w:pPr>
      <w:r>
        <w:rPr>
          <w:rFonts w:hint="eastAsia" w:ascii="Times New Roman" w:hAnsi="Times New Roman"/>
          <w:spacing w:val="-2"/>
          <w:kern w:val="0"/>
          <w:sz w:val="24"/>
          <w:szCs w:val="24"/>
        </w:rPr>
        <w:t>附件5 原料成分分析</w:t>
      </w:r>
    </w:p>
    <w:p w14:paraId="41DB2227">
      <w:pPr>
        <w:widowControl/>
        <w:spacing w:line="360" w:lineRule="auto"/>
        <w:ind w:firstLine="461"/>
        <w:rPr>
          <w:rFonts w:ascii="Times New Roman" w:hAnsi="Times New Roman"/>
          <w:spacing w:val="-2"/>
          <w:kern w:val="0"/>
          <w:sz w:val="24"/>
          <w:szCs w:val="24"/>
        </w:rPr>
      </w:pPr>
      <w:r>
        <w:rPr>
          <w:rFonts w:hint="eastAsia" w:ascii="Times New Roman" w:hAnsi="Times New Roman"/>
          <w:spacing w:val="-2"/>
          <w:kern w:val="0"/>
          <w:sz w:val="24"/>
          <w:szCs w:val="24"/>
        </w:rPr>
        <w:t>附件6 产品成分分析</w:t>
      </w:r>
    </w:p>
    <w:p w14:paraId="0EBA0737">
      <w:pPr>
        <w:widowControl/>
        <w:spacing w:line="360" w:lineRule="auto"/>
        <w:ind w:firstLine="461"/>
        <w:rPr>
          <w:rFonts w:ascii="Times New Roman" w:hAnsi="Times New Roman"/>
          <w:spacing w:val="-2"/>
          <w:kern w:val="0"/>
          <w:sz w:val="24"/>
          <w:szCs w:val="24"/>
        </w:rPr>
      </w:pPr>
      <w:r>
        <w:rPr>
          <w:rFonts w:hint="eastAsia" w:ascii="Times New Roman" w:hAnsi="Times New Roman"/>
          <w:spacing w:val="-2"/>
          <w:kern w:val="0"/>
          <w:sz w:val="24"/>
          <w:szCs w:val="24"/>
        </w:rPr>
        <w:t>附件7 原料核素浓度检测报告</w:t>
      </w:r>
    </w:p>
    <w:p w14:paraId="11B382AE">
      <w:pPr>
        <w:widowControl/>
        <w:spacing w:line="360" w:lineRule="auto"/>
        <w:ind w:firstLine="461"/>
        <w:rPr>
          <w:rFonts w:ascii="Times New Roman" w:hAnsi="Times New Roman"/>
          <w:spacing w:val="-2"/>
          <w:kern w:val="0"/>
          <w:sz w:val="24"/>
          <w:szCs w:val="24"/>
        </w:rPr>
      </w:pPr>
      <w:r>
        <w:rPr>
          <w:rFonts w:hint="eastAsia" w:ascii="Times New Roman" w:hAnsi="Times New Roman"/>
          <w:spacing w:val="-2"/>
          <w:kern w:val="0"/>
          <w:sz w:val="24"/>
          <w:szCs w:val="24"/>
        </w:rPr>
        <w:t>附件8 广西钦州保税港区总体规划环境影响报告审查意见</w:t>
      </w:r>
    </w:p>
    <w:p w14:paraId="2EA8FB71">
      <w:pPr>
        <w:widowControl/>
        <w:spacing w:line="360" w:lineRule="auto"/>
        <w:ind w:firstLine="461"/>
        <w:rPr>
          <w:rFonts w:ascii="Times New Roman" w:hAnsi="Times New Roman"/>
          <w:spacing w:val="-2"/>
          <w:kern w:val="0"/>
          <w:sz w:val="24"/>
          <w:szCs w:val="24"/>
        </w:rPr>
      </w:pPr>
      <w:r>
        <w:rPr>
          <w:rFonts w:hint="eastAsia" w:ascii="Times New Roman" w:hAnsi="Times New Roman"/>
          <w:spacing w:val="-2"/>
          <w:kern w:val="0"/>
          <w:sz w:val="24"/>
          <w:szCs w:val="24"/>
        </w:rPr>
        <w:t>附件9 环境质量现状监测报告</w:t>
      </w:r>
    </w:p>
    <w:p w14:paraId="23C2FAAA">
      <w:pPr>
        <w:widowControl/>
        <w:spacing w:line="360" w:lineRule="auto"/>
        <w:ind w:firstLine="461"/>
        <w:rPr>
          <w:rFonts w:ascii="Times New Roman" w:hAnsi="Times New Roman"/>
          <w:spacing w:val="-2"/>
          <w:kern w:val="0"/>
          <w:sz w:val="24"/>
          <w:szCs w:val="24"/>
        </w:rPr>
      </w:pPr>
      <w:r>
        <w:rPr>
          <w:rFonts w:hint="eastAsia" w:ascii="Times New Roman" w:hAnsi="Times New Roman"/>
          <w:spacing w:val="-2"/>
          <w:kern w:val="0"/>
          <w:sz w:val="24"/>
          <w:szCs w:val="24"/>
        </w:rPr>
        <w:t>附件10 辐射环境现状监测报告</w:t>
      </w:r>
    </w:p>
    <w:p w14:paraId="0A1712B8">
      <w:pPr>
        <w:widowControl/>
        <w:spacing w:line="360" w:lineRule="auto"/>
        <w:rPr>
          <w:rFonts w:ascii="Times New Roman" w:hAnsi="Times New Roman"/>
          <w:spacing w:val="-2"/>
          <w:kern w:val="0"/>
          <w:sz w:val="24"/>
          <w:szCs w:val="24"/>
        </w:rPr>
      </w:pPr>
      <w:r>
        <w:rPr>
          <w:rFonts w:ascii="Times New Roman" w:hAnsi="Times New Roman"/>
          <w:b/>
          <w:spacing w:val="-2"/>
          <w:kern w:val="0"/>
          <w:sz w:val="24"/>
          <w:szCs w:val="24"/>
        </w:rPr>
        <w:t>附表</w:t>
      </w:r>
      <w:r>
        <w:rPr>
          <w:rFonts w:ascii="Times New Roman" w:hAnsi="Times New Roman"/>
          <w:spacing w:val="-2"/>
          <w:kern w:val="0"/>
          <w:sz w:val="24"/>
          <w:szCs w:val="24"/>
        </w:rPr>
        <w:t xml:space="preserve"> </w:t>
      </w:r>
    </w:p>
    <w:p w14:paraId="3235D0D8">
      <w:pPr>
        <w:spacing w:line="360" w:lineRule="auto"/>
        <w:ind w:firstLine="472" w:firstLineChars="200"/>
        <w:jc w:val="left"/>
        <w:rPr>
          <w:rFonts w:ascii="Times New Roman" w:hAnsi="Times New Roman"/>
          <w:spacing w:val="-2"/>
          <w:kern w:val="0"/>
          <w:sz w:val="24"/>
          <w:szCs w:val="20"/>
        </w:rPr>
      </w:pPr>
      <w:r>
        <w:rPr>
          <w:rFonts w:ascii="Times New Roman" w:hAnsi="Times New Roman"/>
          <w:spacing w:val="-2"/>
          <w:kern w:val="0"/>
          <w:sz w:val="24"/>
          <w:szCs w:val="20"/>
        </w:rPr>
        <w:t>附表1 建设项目大气环境影响评价自查表</w:t>
      </w:r>
    </w:p>
    <w:p w14:paraId="5599CA8E">
      <w:pPr>
        <w:spacing w:line="360" w:lineRule="auto"/>
        <w:ind w:firstLine="472" w:firstLineChars="200"/>
        <w:jc w:val="left"/>
        <w:rPr>
          <w:rFonts w:ascii="Times New Roman" w:hAnsi="Times New Roman"/>
          <w:spacing w:val="-2"/>
          <w:kern w:val="0"/>
          <w:sz w:val="24"/>
          <w:szCs w:val="20"/>
        </w:rPr>
      </w:pPr>
      <w:r>
        <w:rPr>
          <w:rFonts w:ascii="Times New Roman" w:hAnsi="Times New Roman"/>
          <w:spacing w:val="-2"/>
          <w:kern w:val="0"/>
          <w:sz w:val="24"/>
          <w:szCs w:val="20"/>
        </w:rPr>
        <w:t>附表2 建设项目地表水环境影响评价自查表</w:t>
      </w:r>
    </w:p>
    <w:p w14:paraId="07FC8C7F">
      <w:pPr>
        <w:spacing w:line="360" w:lineRule="auto"/>
        <w:ind w:firstLine="472" w:firstLineChars="200"/>
        <w:jc w:val="left"/>
        <w:rPr>
          <w:rFonts w:ascii="Times New Roman" w:hAnsi="Times New Roman"/>
          <w:spacing w:val="-2"/>
          <w:kern w:val="0"/>
          <w:sz w:val="24"/>
          <w:szCs w:val="20"/>
        </w:rPr>
      </w:pPr>
      <w:r>
        <w:rPr>
          <w:rFonts w:ascii="Times New Roman" w:hAnsi="Times New Roman"/>
          <w:spacing w:val="-2"/>
          <w:kern w:val="0"/>
          <w:sz w:val="24"/>
          <w:szCs w:val="20"/>
        </w:rPr>
        <w:t>附表</w:t>
      </w:r>
      <w:r>
        <w:rPr>
          <w:rFonts w:hint="eastAsia" w:ascii="Times New Roman" w:hAnsi="Times New Roman"/>
          <w:spacing w:val="-2"/>
          <w:kern w:val="0"/>
          <w:sz w:val="24"/>
          <w:szCs w:val="20"/>
        </w:rPr>
        <w:t>3</w:t>
      </w:r>
      <w:r>
        <w:rPr>
          <w:rFonts w:ascii="Times New Roman" w:hAnsi="Times New Roman"/>
          <w:spacing w:val="-2"/>
          <w:kern w:val="0"/>
          <w:sz w:val="24"/>
          <w:szCs w:val="20"/>
        </w:rPr>
        <w:t xml:space="preserve"> 建设项目</w:t>
      </w:r>
      <w:r>
        <w:rPr>
          <w:rFonts w:hint="eastAsia" w:ascii="Times New Roman" w:hAnsi="Times New Roman"/>
          <w:spacing w:val="-2"/>
          <w:kern w:val="0"/>
          <w:sz w:val="24"/>
          <w:szCs w:val="20"/>
        </w:rPr>
        <w:t>声</w:t>
      </w:r>
      <w:r>
        <w:rPr>
          <w:rFonts w:ascii="Times New Roman" w:hAnsi="Times New Roman"/>
          <w:spacing w:val="-2"/>
          <w:kern w:val="0"/>
          <w:sz w:val="24"/>
          <w:szCs w:val="20"/>
        </w:rPr>
        <w:t>环境影响评价自查表</w:t>
      </w:r>
    </w:p>
    <w:p w14:paraId="7EA68E9E">
      <w:pPr>
        <w:spacing w:line="360" w:lineRule="auto"/>
        <w:ind w:firstLine="472" w:firstLineChars="200"/>
        <w:jc w:val="left"/>
        <w:rPr>
          <w:rFonts w:ascii="Times New Roman" w:hAnsi="Times New Roman"/>
          <w:spacing w:val="-2"/>
          <w:kern w:val="0"/>
          <w:sz w:val="24"/>
          <w:szCs w:val="20"/>
        </w:rPr>
      </w:pPr>
      <w:r>
        <w:rPr>
          <w:rFonts w:ascii="Times New Roman" w:hAnsi="Times New Roman"/>
          <w:spacing w:val="-2"/>
          <w:kern w:val="0"/>
          <w:sz w:val="24"/>
          <w:szCs w:val="20"/>
        </w:rPr>
        <w:t>附表</w:t>
      </w:r>
      <w:r>
        <w:rPr>
          <w:rFonts w:hint="eastAsia" w:ascii="Times New Roman" w:hAnsi="Times New Roman"/>
          <w:spacing w:val="-2"/>
          <w:kern w:val="0"/>
          <w:sz w:val="24"/>
          <w:szCs w:val="20"/>
        </w:rPr>
        <w:t xml:space="preserve">4 </w:t>
      </w:r>
      <w:r>
        <w:rPr>
          <w:rFonts w:ascii="Times New Roman" w:hAnsi="Times New Roman"/>
          <w:spacing w:val="-2"/>
          <w:kern w:val="0"/>
          <w:sz w:val="24"/>
          <w:szCs w:val="20"/>
        </w:rPr>
        <w:t>建设项目</w:t>
      </w:r>
      <w:r>
        <w:rPr>
          <w:rFonts w:hint="eastAsia" w:ascii="Times New Roman" w:hAnsi="Times New Roman"/>
          <w:spacing w:val="-2"/>
          <w:kern w:val="0"/>
          <w:sz w:val="24"/>
          <w:szCs w:val="20"/>
        </w:rPr>
        <w:t>生态</w:t>
      </w:r>
      <w:r>
        <w:rPr>
          <w:rFonts w:ascii="Times New Roman" w:hAnsi="Times New Roman"/>
          <w:spacing w:val="-2"/>
          <w:kern w:val="0"/>
          <w:sz w:val="24"/>
          <w:szCs w:val="20"/>
        </w:rPr>
        <w:t>环境影响评价自查表</w:t>
      </w:r>
    </w:p>
    <w:p w14:paraId="56BA433A">
      <w:pPr>
        <w:spacing w:line="360" w:lineRule="auto"/>
        <w:ind w:firstLine="472" w:firstLineChars="200"/>
        <w:jc w:val="left"/>
        <w:rPr>
          <w:rFonts w:ascii="Times New Roman" w:hAnsi="Times New Roman"/>
          <w:spacing w:val="-2"/>
          <w:kern w:val="0"/>
          <w:sz w:val="24"/>
          <w:szCs w:val="20"/>
        </w:rPr>
      </w:pPr>
      <w:r>
        <w:rPr>
          <w:rFonts w:ascii="Times New Roman" w:hAnsi="Times New Roman"/>
          <w:spacing w:val="-2"/>
          <w:kern w:val="0"/>
          <w:sz w:val="24"/>
          <w:szCs w:val="20"/>
        </w:rPr>
        <w:t>附表</w:t>
      </w:r>
      <w:r>
        <w:rPr>
          <w:rFonts w:hint="eastAsia" w:ascii="Times New Roman" w:hAnsi="Times New Roman"/>
          <w:spacing w:val="-2"/>
          <w:kern w:val="0"/>
          <w:sz w:val="24"/>
          <w:szCs w:val="20"/>
        </w:rPr>
        <w:t>5</w:t>
      </w:r>
      <w:r>
        <w:rPr>
          <w:rFonts w:ascii="Times New Roman" w:hAnsi="Times New Roman"/>
          <w:spacing w:val="-2"/>
          <w:kern w:val="0"/>
          <w:sz w:val="24"/>
          <w:szCs w:val="20"/>
        </w:rPr>
        <w:t xml:space="preserve"> 建设项目</w:t>
      </w:r>
      <w:r>
        <w:rPr>
          <w:rFonts w:hint="eastAsia" w:ascii="Times New Roman" w:hAnsi="Times New Roman"/>
          <w:spacing w:val="-2"/>
          <w:kern w:val="0"/>
          <w:sz w:val="24"/>
          <w:szCs w:val="20"/>
        </w:rPr>
        <w:t>土壤</w:t>
      </w:r>
      <w:r>
        <w:rPr>
          <w:rFonts w:ascii="Times New Roman" w:hAnsi="Times New Roman"/>
          <w:spacing w:val="-2"/>
          <w:kern w:val="0"/>
          <w:sz w:val="24"/>
          <w:szCs w:val="20"/>
        </w:rPr>
        <w:t>环境影响评价自查表</w:t>
      </w:r>
    </w:p>
    <w:p w14:paraId="42B1DD6A">
      <w:pPr>
        <w:widowControl/>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1"/>
        </w:rPr>
        <w:t>附表</w:t>
      </w:r>
      <w:r>
        <w:rPr>
          <w:rFonts w:hint="eastAsia" w:ascii="Times New Roman" w:hAnsi="Times New Roman"/>
          <w:spacing w:val="-2"/>
          <w:kern w:val="0"/>
          <w:sz w:val="24"/>
          <w:szCs w:val="21"/>
        </w:rPr>
        <w:t>6</w:t>
      </w:r>
      <w:r>
        <w:rPr>
          <w:rFonts w:ascii="Times New Roman" w:hAnsi="Times New Roman"/>
          <w:spacing w:val="-2"/>
          <w:kern w:val="0"/>
          <w:sz w:val="24"/>
          <w:szCs w:val="21"/>
        </w:rPr>
        <w:t xml:space="preserve"> 建</w:t>
      </w:r>
      <w:r>
        <w:rPr>
          <w:rFonts w:ascii="Times New Roman" w:hAnsi="Times New Roman"/>
          <w:spacing w:val="-2"/>
          <w:kern w:val="0"/>
          <w:sz w:val="24"/>
          <w:szCs w:val="20"/>
        </w:rPr>
        <w:t>设项目环境风险评价自查表</w:t>
      </w:r>
    </w:p>
    <w:p w14:paraId="3C880114">
      <w:pPr>
        <w:spacing w:line="360" w:lineRule="auto"/>
        <w:ind w:firstLine="472" w:firstLineChars="200"/>
        <w:jc w:val="left"/>
        <w:rPr>
          <w:rFonts w:ascii="Times New Roman" w:hAnsi="Times New Roman"/>
          <w:spacing w:val="-2"/>
          <w:kern w:val="0"/>
          <w:sz w:val="24"/>
          <w:szCs w:val="20"/>
        </w:rPr>
      </w:pPr>
      <w:r>
        <w:rPr>
          <w:rFonts w:ascii="Times New Roman" w:hAnsi="Times New Roman"/>
          <w:spacing w:val="-2"/>
          <w:kern w:val="0"/>
          <w:sz w:val="24"/>
          <w:szCs w:val="20"/>
        </w:rPr>
        <w:t>附表</w:t>
      </w:r>
      <w:r>
        <w:rPr>
          <w:rFonts w:hint="eastAsia" w:ascii="Times New Roman" w:hAnsi="Times New Roman"/>
          <w:spacing w:val="-2"/>
          <w:kern w:val="0"/>
          <w:sz w:val="24"/>
          <w:szCs w:val="20"/>
        </w:rPr>
        <w:t>7</w:t>
      </w:r>
      <w:r>
        <w:rPr>
          <w:rFonts w:ascii="Times New Roman" w:hAnsi="Times New Roman"/>
          <w:spacing w:val="-2"/>
          <w:kern w:val="0"/>
          <w:sz w:val="24"/>
          <w:szCs w:val="20"/>
        </w:rPr>
        <w:t xml:space="preserve"> 建设项目环评审批基础信息表</w:t>
      </w:r>
      <w:bookmarkEnd w:id="41"/>
      <w:bookmarkEnd w:id="42"/>
      <w:bookmarkEnd w:id="43"/>
      <w:bookmarkEnd w:id="44"/>
    </w:p>
    <w:p w14:paraId="489E2060">
      <w:pPr>
        <w:spacing w:line="360" w:lineRule="auto"/>
        <w:ind w:firstLine="552" w:firstLineChars="200"/>
        <w:rPr>
          <w:rFonts w:ascii="Times New Roman" w:hAnsi="Times New Roman"/>
          <w:spacing w:val="-2"/>
          <w:kern w:val="0"/>
          <w:sz w:val="28"/>
          <w:szCs w:val="20"/>
        </w:rPr>
        <w:sectPr>
          <w:headerReference r:id="rId8" w:type="first"/>
          <w:footerReference r:id="rId11" w:type="first"/>
          <w:headerReference r:id="rId6" w:type="default"/>
          <w:footerReference r:id="rId9" w:type="default"/>
          <w:headerReference r:id="rId7" w:type="even"/>
          <w:footerReference r:id="rId10" w:type="even"/>
          <w:pgSz w:w="11906" w:h="16838"/>
          <w:pgMar w:top="1418" w:right="1440" w:bottom="1418" w:left="1440" w:header="851" w:footer="992" w:gutter="0"/>
          <w:pgNumType w:start="1"/>
          <w:cols w:space="720" w:num="1"/>
          <w:docGrid w:linePitch="312" w:charSpace="0"/>
        </w:sectPr>
      </w:pPr>
    </w:p>
    <w:p w14:paraId="754CE0FB">
      <w:pPr>
        <w:pStyle w:val="4"/>
      </w:pPr>
      <w:bookmarkStart w:id="45" w:name="_Toc19122"/>
      <w:r>
        <w:t>总则</w:t>
      </w:r>
      <w:bookmarkEnd w:id="45"/>
    </w:p>
    <w:p w14:paraId="216002C8">
      <w:pPr>
        <w:pStyle w:val="5"/>
      </w:pPr>
      <w:bookmarkStart w:id="46" w:name="_Toc8332"/>
      <w:bookmarkStart w:id="47" w:name="_Toc221206706"/>
      <w:r>
        <w:t>编制依据</w:t>
      </w:r>
      <w:bookmarkEnd w:id="46"/>
      <w:bookmarkEnd w:id="47"/>
    </w:p>
    <w:p w14:paraId="7B578766">
      <w:pPr>
        <w:pStyle w:val="6"/>
      </w:pPr>
      <w:r>
        <w:t>国家法律</w:t>
      </w:r>
    </w:p>
    <w:p w14:paraId="67F23E9A">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（1）《中华人民共和国环境保护法》（2014年4月24日修订通过，自2015年1月1日起施行）；</w:t>
      </w:r>
    </w:p>
    <w:p w14:paraId="53587F2C">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（2）《中华人民共和国环境影响评价法》（2018年12月29日修订）；</w:t>
      </w:r>
    </w:p>
    <w:p w14:paraId="0513A40A">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（3）《中华人民共和国水污染防治法》（2017年修订）；</w:t>
      </w:r>
    </w:p>
    <w:p w14:paraId="5D88BA12">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（4）《中华人民共和国大气污染防治法》（2018年10月26日修订）；</w:t>
      </w:r>
    </w:p>
    <w:p w14:paraId="61572558">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（5）《中华人民共和国噪声污染防治法》（2021年12月24日通过）；</w:t>
      </w:r>
    </w:p>
    <w:p w14:paraId="674094E1">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（6）《中华人民共和国固体废物污染环境防治法》（2020年9月1日施行）；</w:t>
      </w:r>
    </w:p>
    <w:p w14:paraId="339C7BDE">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（7）《中华人民共和国水土保持法》（2011年3月1日实施）；</w:t>
      </w:r>
    </w:p>
    <w:p w14:paraId="1548BE5B">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（8）《中华人民共和国土壤污染防治法》（2018年8月31日通过）；</w:t>
      </w:r>
    </w:p>
    <w:p w14:paraId="22BB6035">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（9）《中华人民共和国土地管理法》（2019年8月26日修正）；</w:t>
      </w:r>
    </w:p>
    <w:p w14:paraId="09669F1C">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（10）《中华人民共和国放射性污染防治法》（2003年10月1日起实施）；</w:t>
      </w:r>
    </w:p>
    <w:p w14:paraId="40F29E15">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（11）《中华人民共和国城乡规划法》（2019年6月修正）；</w:t>
      </w:r>
    </w:p>
    <w:p w14:paraId="36A76C36">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（12）《中华人民共和国水法》（2016年7月2日修订）；</w:t>
      </w:r>
    </w:p>
    <w:p w14:paraId="4FEF32A0">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（13）《中华人民共和国海洋环境保护法》（2023年10月24日修订）；</w:t>
      </w:r>
    </w:p>
    <w:p w14:paraId="26760A41">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（14）《中华人民共和国清洁生产促进法》（2012年2月29日修正）；</w:t>
      </w:r>
    </w:p>
    <w:p w14:paraId="19742932">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（15）《中华人民共和国节约能源法》（2018年10月26日修正）；</w:t>
      </w:r>
    </w:p>
    <w:p w14:paraId="185D24E1">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（16）《中华人民共和国环境保护税法》（2018年10月26日修正）。</w:t>
      </w:r>
    </w:p>
    <w:p w14:paraId="485C8AAE">
      <w:pPr>
        <w:pStyle w:val="6"/>
      </w:pPr>
      <w:r>
        <w:t>国家行政法规及政策</w:t>
      </w:r>
    </w:p>
    <w:p w14:paraId="2140FEDE">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（1）《建设项目环境保护管理条例》（2017年修订）；</w:t>
      </w:r>
    </w:p>
    <w:p w14:paraId="557E5354">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（2）《危险化学品安全管理条例》（2013年修订）；</w:t>
      </w:r>
    </w:p>
    <w:p w14:paraId="6A4F9EB2">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（3）《国务院关于印发大气污染防治行动计划的通知》（国发〔2013〕37号）；</w:t>
      </w:r>
    </w:p>
    <w:p w14:paraId="0B88030F">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（4）《国务院关于印发水污染防治行动计划的通知》（国发〔2015〕17号）；</w:t>
      </w:r>
    </w:p>
    <w:p w14:paraId="7BEA1B9B">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（5）《国务院关于印发土壤污染防治行动计划的通知》（国发〔2016〕31号）。</w:t>
      </w:r>
    </w:p>
    <w:p w14:paraId="5F31FC3F">
      <w:pPr>
        <w:pStyle w:val="6"/>
      </w:pPr>
      <w:r>
        <w:t>国家部门规章、规范性文件</w:t>
      </w:r>
    </w:p>
    <w:p w14:paraId="1BA6EF4E">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（1）《建设项目环境影响评价分类管理名录（2021年版）》（部令第16号）；</w:t>
      </w:r>
    </w:p>
    <w:p w14:paraId="6E3744D2">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（2）《关于以改善环境质量为核心加强环境影响评价管理的通知》（环环评〔2016〕150号）；</w:t>
      </w:r>
    </w:p>
    <w:p w14:paraId="5958230D">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（3）《关于做好环境影响评价制度与排污许可制衔接相关工作的通知》（环办环评〔2017〕84号）；</w:t>
      </w:r>
    </w:p>
    <w:p w14:paraId="25457FD1">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（4）《国家危险废物名录（202</w:t>
      </w:r>
      <w:r>
        <w:rPr>
          <w:rFonts w:hint="eastAsia" w:ascii="Times New Roman" w:hAnsi="Times New Roman"/>
          <w:spacing w:val="-2"/>
          <w:kern w:val="0"/>
          <w:sz w:val="24"/>
          <w:szCs w:val="20"/>
        </w:rPr>
        <w:t>5</w:t>
      </w:r>
      <w:r>
        <w:rPr>
          <w:rFonts w:ascii="Times New Roman" w:hAnsi="Times New Roman"/>
          <w:spacing w:val="-2"/>
          <w:kern w:val="0"/>
          <w:sz w:val="24"/>
          <w:szCs w:val="20"/>
        </w:rPr>
        <w:t>年版）》（202</w:t>
      </w:r>
      <w:r>
        <w:rPr>
          <w:rFonts w:hint="eastAsia" w:ascii="Times New Roman" w:hAnsi="Times New Roman"/>
          <w:spacing w:val="-2"/>
          <w:kern w:val="0"/>
          <w:sz w:val="24"/>
          <w:szCs w:val="20"/>
        </w:rPr>
        <w:t>5</w:t>
      </w:r>
      <w:r>
        <w:rPr>
          <w:rFonts w:ascii="Times New Roman" w:hAnsi="Times New Roman"/>
          <w:spacing w:val="-2"/>
          <w:kern w:val="0"/>
          <w:sz w:val="24"/>
          <w:szCs w:val="20"/>
        </w:rPr>
        <w:t>年1月1日实施）；</w:t>
      </w:r>
    </w:p>
    <w:p w14:paraId="76454373">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（5）《产业结构调整指导目录》（2024年）；</w:t>
      </w:r>
    </w:p>
    <w:p w14:paraId="5A397A67">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（6）《环境影响评价公众参与办法》（2019年1月1日实施）；</w:t>
      </w:r>
    </w:p>
    <w:p w14:paraId="6A19A359">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（7）《排污许可管理办法（试行）》（原国家环境保护部令 第48号）；</w:t>
      </w:r>
    </w:p>
    <w:p w14:paraId="749C76AE">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w:t>
      </w:r>
      <w:r>
        <w:rPr>
          <w:rFonts w:hint="eastAsia" w:ascii="Times New Roman" w:hAnsi="Times New Roman"/>
          <w:spacing w:val="-2"/>
          <w:kern w:val="0"/>
          <w:sz w:val="24"/>
          <w:szCs w:val="20"/>
        </w:rPr>
        <w:t>8</w:t>
      </w:r>
      <w:r>
        <w:rPr>
          <w:rFonts w:ascii="Times New Roman" w:hAnsi="Times New Roman"/>
          <w:spacing w:val="-2"/>
          <w:kern w:val="0"/>
          <w:sz w:val="24"/>
          <w:szCs w:val="20"/>
        </w:rPr>
        <w:t>）生态环境部《关于</w:t>
      </w:r>
      <w:r>
        <w:rPr>
          <w:rFonts w:ascii="宋体" w:hAnsi="宋体"/>
          <w:spacing w:val="-2"/>
          <w:kern w:val="0"/>
          <w:sz w:val="24"/>
          <w:szCs w:val="20"/>
        </w:rPr>
        <w:t>实施“三线一单”生态</w:t>
      </w:r>
      <w:r>
        <w:rPr>
          <w:rFonts w:ascii="Times New Roman" w:hAnsi="Times New Roman"/>
          <w:spacing w:val="-2"/>
          <w:kern w:val="0"/>
          <w:sz w:val="24"/>
          <w:szCs w:val="20"/>
        </w:rPr>
        <w:t>环境分区管控的指导意见（试行）》（环评〔2021〕108号），2021年11月19日；</w:t>
      </w:r>
    </w:p>
    <w:p w14:paraId="3181D9E3">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w:t>
      </w:r>
      <w:r>
        <w:rPr>
          <w:rFonts w:hint="eastAsia" w:ascii="Times New Roman" w:hAnsi="Times New Roman"/>
          <w:spacing w:val="-2"/>
          <w:kern w:val="0"/>
          <w:sz w:val="24"/>
          <w:szCs w:val="20"/>
        </w:rPr>
        <w:t>9</w:t>
      </w:r>
      <w:r>
        <w:rPr>
          <w:rFonts w:ascii="Times New Roman" w:hAnsi="Times New Roman"/>
          <w:spacing w:val="-2"/>
          <w:kern w:val="0"/>
          <w:sz w:val="24"/>
          <w:szCs w:val="20"/>
        </w:rPr>
        <w:t>）《</w:t>
      </w:r>
      <w:r>
        <w:rPr>
          <w:rFonts w:ascii="宋体" w:hAnsi="宋体"/>
          <w:spacing w:val="-2"/>
          <w:kern w:val="0"/>
          <w:sz w:val="24"/>
          <w:szCs w:val="20"/>
        </w:rPr>
        <w:t>“十四五”噪声污</w:t>
      </w:r>
      <w:r>
        <w:rPr>
          <w:rFonts w:ascii="Times New Roman" w:hAnsi="Times New Roman"/>
          <w:spacing w:val="-2"/>
          <w:kern w:val="0"/>
          <w:sz w:val="24"/>
          <w:szCs w:val="20"/>
        </w:rPr>
        <w:t>染防治行动计划》（环大气〔2023〕1号）；</w:t>
      </w:r>
    </w:p>
    <w:p w14:paraId="5D90A9DD">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（1</w:t>
      </w:r>
      <w:r>
        <w:rPr>
          <w:rFonts w:hint="eastAsia" w:ascii="Times New Roman" w:hAnsi="Times New Roman"/>
          <w:spacing w:val="-2"/>
          <w:kern w:val="0"/>
          <w:sz w:val="24"/>
          <w:szCs w:val="20"/>
        </w:rPr>
        <w:t>0</w:t>
      </w:r>
      <w:r>
        <w:rPr>
          <w:rFonts w:ascii="Times New Roman" w:hAnsi="Times New Roman"/>
          <w:spacing w:val="-2"/>
          <w:kern w:val="0"/>
          <w:sz w:val="24"/>
          <w:szCs w:val="20"/>
        </w:rPr>
        <w:t>）《伴生放射性矿开发利用企业环境辐射监测及信息公开办法（试行）》（国环规辐射〔2018〕1号）；</w:t>
      </w:r>
    </w:p>
    <w:p w14:paraId="11D1594E">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（1</w:t>
      </w:r>
      <w:r>
        <w:rPr>
          <w:rFonts w:hint="eastAsia" w:ascii="Times New Roman" w:hAnsi="Times New Roman"/>
          <w:spacing w:val="-2"/>
          <w:kern w:val="0"/>
          <w:sz w:val="24"/>
          <w:szCs w:val="20"/>
        </w:rPr>
        <w:t>1</w:t>
      </w:r>
      <w:r>
        <w:rPr>
          <w:rFonts w:ascii="Times New Roman" w:hAnsi="Times New Roman"/>
          <w:spacing w:val="-2"/>
          <w:kern w:val="0"/>
          <w:sz w:val="24"/>
          <w:szCs w:val="20"/>
        </w:rPr>
        <w:t>）《放射性物品运输安全管理条例》（国务院令562号，2010年1月1日施行）；</w:t>
      </w:r>
    </w:p>
    <w:p w14:paraId="275BCCE5">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（1</w:t>
      </w:r>
      <w:r>
        <w:rPr>
          <w:rFonts w:hint="eastAsia" w:ascii="Times New Roman" w:hAnsi="Times New Roman"/>
          <w:spacing w:val="-2"/>
          <w:kern w:val="0"/>
          <w:sz w:val="24"/>
          <w:szCs w:val="20"/>
        </w:rPr>
        <w:t>2</w:t>
      </w:r>
      <w:r>
        <w:rPr>
          <w:rFonts w:ascii="Times New Roman" w:hAnsi="Times New Roman"/>
          <w:spacing w:val="-2"/>
          <w:kern w:val="0"/>
          <w:sz w:val="24"/>
          <w:szCs w:val="20"/>
        </w:rPr>
        <w:t>）《关于发布&lt;矿产资源开发利用辐射环境监督管理名录&gt;的通知》，公告2020年第54号；</w:t>
      </w:r>
    </w:p>
    <w:p w14:paraId="07D03294">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（1</w:t>
      </w:r>
      <w:r>
        <w:rPr>
          <w:rFonts w:hint="eastAsia" w:ascii="Times New Roman" w:hAnsi="Times New Roman"/>
          <w:spacing w:val="-2"/>
          <w:kern w:val="0"/>
          <w:sz w:val="24"/>
          <w:szCs w:val="20"/>
        </w:rPr>
        <w:t>3</w:t>
      </w:r>
      <w:r>
        <w:rPr>
          <w:rFonts w:ascii="Times New Roman" w:hAnsi="Times New Roman"/>
          <w:spacing w:val="-2"/>
          <w:kern w:val="0"/>
          <w:sz w:val="24"/>
          <w:szCs w:val="20"/>
        </w:rPr>
        <w:t>）《放射性废物安全管理条例》，（国务院令612号，2012年3月1日施行）；</w:t>
      </w:r>
    </w:p>
    <w:p w14:paraId="593112E2">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（1</w:t>
      </w:r>
      <w:r>
        <w:rPr>
          <w:rFonts w:hint="eastAsia" w:ascii="Times New Roman" w:hAnsi="Times New Roman"/>
          <w:spacing w:val="-2"/>
          <w:kern w:val="0"/>
          <w:sz w:val="24"/>
          <w:szCs w:val="20"/>
        </w:rPr>
        <w:t>4</w:t>
      </w:r>
      <w:r>
        <w:rPr>
          <w:rFonts w:ascii="Times New Roman" w:hAnsi="Times New Roman"/>
          <w:spacing w:val="-2"/>
          <w:kern w:val="0"/>
          <w:sz w:val="24"/>
          <w:szCs w:val="20"/>
        </w:rPr>
        <w:t>）《企业事业单位突发环境事件应急预案备案管理办法（试行）》（环发〔2015〕4号）；</w:t>
      </w:r>
    </w:p>
    <w:p w14:paraId="4AAE4E01">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（1</w:t>
      </w:r>
      <w:r>
        <w:rPr>
          <w:rFonts w:hint="eastAsia" w:ascii="Times New Roman" w:hAnsi="Times New Roman"/>
          <w:spacing w:val="-2"/>
          <w:kern w:val="0"/>
          <w:sz w:val="24"/>
          <w:szCs w:val="20"/>
        </w:rPr>
        <w:t>5</w:t>
      </w:r>
      <w:r>
        <w:rPr>
          <w:rFonts w:ascii="Times New Roman" w:hAnsi="Times New Roman"/>
          <w:spacing w:val="-2"/>
          <w:kern w:val="0"/>
          <w:sz w:val="24"/>
          <w:szCs w:val="20"/>
        </w:rPr>
        <w:t>）《危险废物转移管理办法》（部令第23号 2022年1月1日实施）。</w:t>
      </w:r>
    </w:p>
    <w:p w14:paraId="1BF35767">
      <w:pPr>
        <w:pStyle w:val="6"/>
      </w:pPr>
      <w:bookmarkStart w:id="48" w:name="_Hlk183724592"/>
      <w:r>
        <w:t>地方性法规、规章及规范性文件</w:t>
      </w:r>
    </w:p>
    <w:bookmarkEnd w:id="48"/>
    <w:p w14:paraId="616CD87E">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（1）《广西壮族自治区环境保护条例》（2019年7月25日修改）；</w:t>
      </w:r>
    </w:p>
    <w:p w14:paraId="27BA3DF4">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 xml:space="preserve">（2）《广西壮族自治区人民政府办公厅关于印发广西壮族自治区建设项目环境准入管理办法的通知》（桂政办发〔2012〕103号）； </w:t>
      </w:r>
    </w:p>
    <w:p w14:paraId="2EE78DDD">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（3）《广西生态保护红线监管办法（试行）》（桂自然资规〔2023〕4号）；</w:t>
      </w:r>
    </w:p>
    <w:p w14:paraId="043A110F">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（4）《广西壮族自治区主体功能区规划》（桂政发〔2012〕89 号）；</w:t>
      </w:r>
    </w:p>
    <w:p w14:paraId="42AD21A6">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（5）《广西壮族自治区生态功能区划》（桂政办发〔2008〕8号）；</w:t>
      </w:r>
    </w:p>
    <w:p w14:paraId="06F0B5CC">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（6）《广西壮族自治区大气污染防治条例》（2019年1月1日起施行）；</w:t>
      </w:r>
    </w:p>
    <w:p w14:paraId="5B7B1A71">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（7）《广西壮族自治区水污染防治条例》（2020年5月1日起施行）；</w:t>
      </w:r>
    </w:p>
    <w:p w14:paraId="1CB237E5">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（8）《广西壮族自治区固体废物污染环境防治条例》（2022年7月1日实施）；</w:t>
      </w:r>
    </w:p>
    <w:p w14:paraId="7C1713AB">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（9）《广西壮族自治区海洋环境保护条例》（2014年2月1日）；</w:t>
      </w:r>
    </w:p>
    <w:p w14:paraId="1C5A9244">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（10）《广西壮族自治区土壤污染防治条例》，2021年9月1日施行；</w:t>
      </w:r>
    </w:p>
    <w:p w14:paraId="59A9FA04">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（11）《广西水安全</w:t>
      </w:r>
      <w:r>
        <w:rPr>
          <w:rFonts w:ascii="宋体" w:hAnsi="宋体"/>
          <w:spacing w:val="-2"/>
          <w:kern w:val="0"/>
          <w:sz w:val="24"/>
          <w:szCs w:val="20"/>
        </w:rPr>
        <w:t>保障“十四五”规划</w:t>
      </w:r>
      <w:r>
        <w:rPr>
          <w:rFonts w:ascii="Times New Roman" w:hAnsi="Times New Roman"/>
          <w:spacing w:val="-2"/>
          <w:kern w:val="0"/>
          <w:sz w:val="24"/>
          <w:szCs w:val="20"/>
        </w:rPr>
        <w:t>》（2021年12月27日印发）；</w:t>
      </w:r>
    </w:p>
    <w:p w14:paraId="68E957F2">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（12）《广西壮族自治区生态环境厅关于印发广西2024年度水、大气、土壤污染防治工作计划的通知》（桂环发〔2024〕16号）；</w:t>
      </w:r>
    </w:p>
    <w:p w14:paraId="5ADFDFB7">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（13）《广西16个国家重点生态功能区县产业准入负面清单（试行）》（广西壮族自治区发展和改革委员会，2016.8）；</w:t>
      </w:r>
    </w:p>
    <w:p w14:paraId="59965289">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（14）《广西第二批重点生态功能区县产业准入负面清单（试行）》（广西壮族自治区发展和改革委员会，桂发改规划〔2017〕1652号，2017.12）；</w:t>
      </w:r>
    </w:p>
    <w:p w14:paraId="76E9308D">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（15）《广西壮族自治区重点生态功能区县产业准入负面清单调整方案》；</w:t>
      </w:r>
    </w:p>
    <w:p w14:paraId="6AF888CE">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（16）</w:t>
      </w:r>
      <w:r>
        <w:rPr>
          <w:rFonts w:hint="eastAsia" w:ascii="Times New Roman" w:hAnsi="Times New Roman"/>
          <w:spacing w:val="-2"/>
          <w:kern w:val="0"/>
          <w:sz w:val="24"/>
          <w:szCs w:val="20"/>
        </w:rPr>
        <w:t>《广西壮族自治区生态环境厅等部门关于印发〈广西生态保护正面清单（2022）〉和〈广西生态保护禁止事项清单（2022）的通知〉》</w:t>
      </w:r>
      <w:r>
        <w:rPr>
          <w:rFonts w:ascii="Times New Roman" w:hAnsi="Times New Roman"/>
          <w:spacing w:val="-2"/>
          <w:kern w:val="0"/>
          <w:sz w:val="24"/>
          <w:szCs w:val="20"/>
        </w:rPr>
        <w:t>（桂环发〔2022〕54号）；</w:t>
      </w:r>
    </w:p>
    <w:p w14:paraId="5BA54324">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（1</w:t>
      </w:r>
      <w:r>
        <w:rPr>
          <w:rFonts w:hint="eastAsia" w:ascii="Times New Roman" w:hAnsi="Times New Roman"/>
          <w:spacing w:val="-2"/>
          <w:kern w:val="0"/>
          <w:sz w:val="24"/>
          <w:szCs w:val="20"/>
        </w:rPr>
        <w:t>7</w:t>
      </w:r>
      <w:r>
        <w:rPr>
          <w:rFonts w:ascii="Times New Roman" w:hAnsi="Times New Roman"/>
          <w:spacing w:val="-2"/>
          <w:kern w:val="0"/>
          <w:sz w:val="24"/>
          <w:szCs w:val="20"/>
        </w:rPr>
        <w:t>）《广西壮族自治区人</w:t>
      </w:r>
      <w:r>
        <w:rPr>
          <w:rFonts w:ascii="宋体" w:hAnsi="宋体"/>
          <w:spacing w:val="-2"/>
          <w:kern w:val="0"/>
          <w:sz w:val="24"/>
          <w:szCs w:val="20"/>
        </w:rPr>
        <w:t>民政府关于实施“三线一单”生态环</w:t>
      </w:r>
      <w:r>
        <w:rPr>
          <w:rFonts w:ascii="Times New Roman" w:hAnsi="Times New Roman"/>
          <w:spacing w:val="-2"/>
          <w:kern w:val="0"/>
          <w:sz w:val="24"/>
          <w:szCs w:val="20"/>
        </w:rPr>
        <w:t>境分区管控的意见》（桂政发〔2020〕39号）；</w:t>
      </w:r>
    </w:p>
    <w:p w14:paraId="6E0DA31A">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（1</w:t>
      </w:r>
      <w:r>
        <w:rPr>
          <w:rFonts w:hint="eastAsia" w:ascii="Times New Roman" w:hAnsi="Times New Roman"/>
          <w:spacing w:val="-2"/>
          <w:kern w:val="0"/>
          <w:sz w:val="24"/>
          <w:szCs w:val="20"/>
        </w:rPr>
        <w:t>8</w:t>
      </w:r>
      <w:r>
        <w:rPr>
          <w:rFonts w:ascii="Times New Roman" w:hAnsi="Times New Roman"/>
          <w:spacing w:val="-2"/>
          <w:kern w:val="0"/>
          <w:sz w:val="24"/>
          <w:szCs w:val="20"/>
        </w:rPr>
        <w:t>）《广西壮族自</w:t>
      </w:r>
      <w:r>
        <w:rPr>
          <w:rFonts w:ascii="宋体" w:hAnsi="宋体"/>
          <w:spacing w:val="-2"/>
          <w:kern w:val="0"/>
          <w:sz w:val="24"/>
          <w:szCs w:val="20"/>
        </w:rPr>
        <w:t>治区“十四五”空</w:t>
      </w:r>
      <w:r>
        <w:rPr>
          <w:rFonts w:ascii="Times New Roman" w:hAnsi="Times New Roman"/>
          <w:spacing w:val="-2"/>
          <w:kern w:val="0"/>
          <w:sz w:val="24"/>
          <w:szCs w:val="20"/>
        </w:rPr>
        <w:t>气质量全面改善规划》（桂环发〔2022〕27号）；</w:t>
      </w:r>
    </w:p>
    <w:p w14:paraId="1C371349">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w:t>
      </w:r>
      <w:r>
        <w:rPr>
          <w:rFonts w:hint="eastAsia" w:ascii="Times New Roman" w:hAnsi="Times New Roman"/>
          <w:spacing w:val="-2"/>
          <w:kern w:val="0"/>
          <w:sz w:val="24"/>
          <w:szCs w:val="20"/>
        </w:rPr>
        <w:t>19</w:t>
      </w:r>
      <w:r>
        <w:rPr>
          <w:rFonts w:ascii="Times New Roman" w:hAnsi="Times New Roman"/>
          <w:spacing w:val="-2"/>
          <w:kern w:val="0"/>
          <w:sz w:val="24"/>
          <w:szCs w:val="20"/>
        </w:rPr>
        <w:t>）《广西壮族自治区土壤污染防治</w:t>
      </w:r>
      <w:r>
        <w:rPr>
          <w:rFonts w:ascii="宋体" w:hAnsi="宋体"/>
          <w:spacing w:val="-2"/>
          <w:kern w:val="0"/>
          <w:sz w:val="24"/>
          <w:szCs w:val="20"/>
        </w:rPr>
        <w:t>高质量发展“十四五”规划》</w:t>
      </w:r>
      <w:r>
        <w:rPr>
          <w:rFonts w:ascii="Times New Roman" w:hAnsi="Times New Roman"/>
          <w:spacing w:val="-2"/>
          <w:kern w:val="0"/>
          <w:sz w:val="24"/>
          <w:szCs w:val="20"/>
        </w:rPr>
        <w:t>（桂环发〔2022〕7号））；</w:t>
      </w:r>
    </w:p>
    <w:p w14:paraId="07EB8E4C">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（2</w:t>
      </w:r>
      <w:r>
        <w:rPr>
          <w:rFonts w:hint="eastAsia" w:ascii="Times New Roman" w:hAnsi="Times New Roman"/>
          <w:spacing w:val="-2"/>
          <w:kern w:val="0"/>
          <w:sz w:val="24"/>
          <w:szCs w:val="20"/>
        </w:rPr>
        <w:t>0</w:t>
      </w:r>
      <w:r>
        <w:rPr>
          <w:rFonts w:ascii="Times New Roman" w:hAnsi="Times New Roman"/>
          <w:spacing w:val="-2"/>
          <w:kern w:val="0"/>
          <w:sz w:val="24"/>
          <w:szCs w:val="20"/>
        </w:rPr>
        <w:t>）《广西地下水污</w:t>
      </w:r>
      <w:r>
        <w:rPr>
          <w:rFonts w:ascii="宋体" w:hAnsi="宋体"/>
          <w:spacing w:val="-2"/>
          <w:kern w:val="0"/>
          <w:sz w:val="24"/>
          <w:szCs w:val="20"/>
        </w:rPr>
        <w:t>染防治“十四五”规划》</w:t>
      </w:r>
      <w:r>
        <w:rPr>
          <w:rFonts w:ascii="Times New Roman" w:hAnsi="Times New Roman"/>
          <w:spacing w:val="-2"/>
          <w:kern w:val="0"/>
          <w:sz w:val="24"/>
          <w:szCs w:val="20"/>
        </w:rPr>
        <w:t>（桂环发〔2022〕8号）；</w:t>
      </w:r>
    </w:p>
    <w:p w14:paraId="72BEA49E">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（2</w:t>
      </w:r>
      <w:r>
        <w:rPr>
          <w:rFonts w:hint="eastAsia" w:ascii="Times New Roman" w:hAnsi="Times New Roman"/>
          <w:spacing w:val="-2"/>
          <w:kern w:val="0"/>
          <w:sz w:val="24"/>
          <w:szCs w:val="20"/>
        </w:rPr>
        <w:t>1</w:t>
      </w:r>
      <w:r>
        <w:rPr>
          <w:rFonts w:ascii="Times New Roman" w:hAnsi="Times New Roman"/>
          <w:spacing w:val="-2"/>
          <w:kern w:val="0"/>
          <w:sz w:val="24"/>
          <w:szCs w:val="20"/>
        </w:rPr>
        <w:t>）《广西壮族自治区自然资</w:t>
      </w:r>
      <w:r>
        <w:rPr>
          <w:rFonts w:ascii="宋体" w:hAnsi="宋体"/>
          <w:spacing w:val="-2"/>
          <w:kern w:val="0"/>
          <w:sz w:val="24"/>
          <w:szCs w:val="20"/>
        </w:rPr>
        <w:t>源厅“三区三线”划定</w:t>
      </w:r>
      <w:r>
        <w:rPr>
          <w:rFonts w:ascii="Times New Roman" w:hAnsi="Times New Roman"/>
          <w:spacing w:val="-2"/>
          <w:kern w:val="0"/>
          <w:sz w:val="24"/>
          <w:szCs w:val="20"/>
        </w:rPr>
        <w:t>实施方案》（桂自然资发〔2022〕45号）；</w:t>
      </w:r>
    </w:p>
    <w:p w14:paraId="16BE2548">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（2</w:t>
      </w:r>
      <w:r>
        <w:rPr>
          <w:rFonts w:hint="eastAsia" w:ascii="Times New Roman" w:hAnsi="Times New Roman"/>
          <w:spacing w:val="-2"/>
          <w:kern w:val="0"/>
          <w:sz w:val="24"/>
          <w:szCs w:val="20"/>
        </w:rPr>
        <w:t>2</w:t>
      </w:r>
      <w:r>
        <w:rPr>
          <w:rFonts w:ascii="Times New Roman" w:hAnsi="Times New Roman"/>
          <w:spacing w:val="-2"/>
          <w:kern w:val="0"/>
          <w:sz w:val="24"/>
          <w:szCs w:val="20"/>
        </w:rPr>
        <w:t>）《广西壮族自治区实施危险化学品管理条例》（广西壮族自治区人民政府第6号令）；</w:t>
      </w:r>
    </w:p>
    <w:p w14:paraId="17A8F394">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（2</w:t>
      </w:r>
      <w:r>
        <w:rPr>
          <w:rFonts w:hint="eastAsia" w:ascii="Times New Roman" w:hAnsi="Times New Roman"/>
          <w:spacing w:val="-2"/>
          <w:kern w:val="0"/>
          <w:sz w:val="24"/>
          <w:szCs w:val="20"/>
        </w:rPr>
        <w:t>3</w:t>
      </w:r>
      <w:r>
        <w:rPr>
          <w:rFonts w:ascii="Times New Roman" w:hAnsi="Times New Roman"/>
          <w:spacing w:val="-2"/>
          <w:kern w:val="0"/>
          <w:sz w:val="24"/>
          <w:szCs w:val="20"/>
        </w:rPr>
        <w:t>）《广西壮族自治区噪声污染防治实施方案（2023-2025年）》；</w:t>
      </w:r>
    </w:p>
    <w:p w14:paraId="479545FD">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（2</w:t>
      </w:r>
      <w:r>
        <w:rPr>
          <w:rFonts w:hint="eastAsia" w:ascii="Times New Roman" w:hAnsi="Times New Roman"/>
          <w:spacing w:val="-2"/>
          <w:kern w:val="0"/>
          <w:sz w:val="24"/>
          <w:szCs w:val="20"/>
        </w:rPr>
        <w:t>4</w:t>
      </w:r>
      <w:r>
        <w:rPr>
          <w:rFonts w:ascii="Times New Roman" w:hAnsi="Times New Roman"/>
          <w:spacing w:val="-2"/>
          <w:kern w:val="0"/>
          <w:sz w:val="24"/>
          <w:szCs w:val="20"/>
        </w:rPr>
        <w:t>）《广西壮族自治区国土空间规划（2021—2035年）》；</w:t>
      </w:r>
    </w:p>
    <w:p w14:paraId="44AAD0DA">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（2</w:t>
      </w:r>
      <w:r>
        <w:rPr>
          <w:rFonts w:hint="eastAsia" w:ascii="Times New Roman" w:hAnsi="Times New Roman"/>
          <w:spacing w:val="-2"/>
          <w:kern w:val="0"/>
          <w:sz w:val="24"/>
          <w:szCs w:val="20"/>
        </w:rPr>
        <w:t>5</w:t>
      </w:r>
      <w:r>
        <w:rPr>
          <w:rFonts w:ascii="Times New Roman" w:hAnsi="Times New Roman"/>
          <w:spacing w:val="-2"/>
          <w:kern w:val="0"/>
          <w:sz w:val="24"/>
          <w:szCs w:val="20"/>
        </w:rPr>
        <w:t>）《钦州市国土空间总体规划（2021—2035年）》；</w:t>
      </w:r>
    </w:p>
    <w:p w14:paraId="681B2225">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（2</w:t>
      </w:r>
      <w:r>
        <w:rPr>
          <w:rFonts w:hint="eastAsia" w:ascii="Times New Roman" w:hAnsi="Times New Roman"/>
          <w:spacing w:val="-2"/>
          <w:kern w:val="0"/>
          <w:sz w:val="24"/>
          <w:szCs w:val="20"/>
        </w:rPr>
        <w:t>6</w:t>
      </w:r>
      <w:r>
        <w:rPr>
          <w:rFonts w:ascii="Times New Roman" w:hAnsi="Times New Roman"/>
          <w:spacing w:val="-2"/>
          <w:kern w:val="0"/>
          <w:sz w:val="24"/>
          <w:szCs w:val="20"/>
        </w:rPr>
        <w:t>）《钦州港总体规划（2035年）》；</w:t>
      </w:r>
    </w:p>
    <w:p w14:paraId="73F9D54E">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（2</w:t>
      </w:r>
      <w:r>
        <w:rPr>
          <w:rFonts w:hint="eastAsia" w:ascii="Times New Roman" w:hAnsi="Times New Roman"/>
          <w:spacing w:val="-2"/>
          <w:kern w:val="0"/>
          <w:sz w:val="24"/>
          <w:szCs w:val="20"/>
        </w:rPr>
        <w:t>7</w:t>
      </w:r>
      <w:r>
        <w:rPr>
          <w:rFonts w:ascii="Times New Roman" w:hAnsi="Times New Roman"/>
          <w:spacing w:val="-2"/>
          <w:kern w:val="0"/>
          <w:sz w:val="24"/>
          <w:szCs w:val="20"/>
        </w:rPr>
        <w:t>）《钦州市城市总体规划修编（2012-2030）》；</w:t>
      </w:r>
    </w:p>
    <w:p w14:paraId="527918CE">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（2</w:t>
      </w:r>
      <w:r>
        <w:rPr>
          <w:rFonts w:hint="eastAsia" w:ascii="Times New Roman" w:hAnsi="Times New Roman"/>
          <w:spacing w:val="-2"/>
          <w:kern w:val="0"/>
          <w:sz w:val="24"/>
          <w:szCs w:val="20"/>
        </w:rPr>
        <w:t>8</w:t>
      </w:r>
      <w:r>
        <w:rPr>
          <w:rFonts w:ascii="Times New Roman" w:hAnsi="Times New Roman"/>
          <w:spacing w:val="-2"/>
          <w:kern w:val="0"/>
          <w:sz w:val="24"/>
          <w:szCs w:val="20"/>
        </w:rPr>
        <w:t>）《钦州市人民政府关</w:t>
      </w:r>
      <w:r>
        <w:rPr>
          <w:rFonts w:ascii="宋体" w:hAnsi="宋体"/>
          <w:spacing w:val="-2"/>
          <w:kern w:val="0"/>
          <w:sz w:val="24"/>
          <w:szCs w:val="20"/>
        </w:rPr>
        <w:t>于印发钦州市“三线一单”生态环境分</w:t>
      </w:r>
      <w:r>
        <w:rPr>
          <w:rFonts w:ascii="Times New Roman" w:hAnsi="Times New Roman"/>
          <w:spacing w:val="-2"/>
          <w:kern w:val="0"/>
          <w:sz w:val="24"/>
          <w:szCs w:val="20"/>
        </w:rPr>
        <w:t>区管控实施意见的通知》（钦政发〔2021〕13号）；</w:t>
      </w:r>
    </w:p>
    <w:p w14:paraId="0AB98043">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w:t>
      </w:r>
      <w:r>
        <w:rPr>
          <w:rFonts w:hint="eastAsia" w:ascii="Times New Roman" w:hAnsi="Times New Roman"/>
          <w:spacing w:val="-2"/>
          <w:kern w:val="0"/>
          <w:sz w:val="24"/>
          <w:szCs w:val="20"/>
        </w:rPr>
        <w:t>29</w:t>
      </w:r>
      <w:r>
        <w:rPr>
          <w:rFonts w:ascii="Times New Roman" w:hAnsi="Times New Roman"/>
          <w:spacing w:val="-2"/>
          <w:kern w:val="0"/>
          <w:sz w:val="24"/>
          <w:szCs w:val="20"/>
        </w:rPr>
        <w:t>）</w:t>
      </w:r>
      <w:r>
        <w:rPr>
          <w:rFonts w:hint="eastAsia" w:ascii="Times New Roman" w:hAnsi="Times New Roman"/>
          <w:spacing w:val="-2"/>
          <w:kern w:val="0"/>
          <w:sz w:val="24"/>
          <w:szCs w:val="20"/>
        </w:rPr>
        <w:t>《钦州市生态环境分区管控动态更新成果（2023版）》；</w:t>
      </w:r>
    </w:p>
    <w:p w14:paraId="097A53A0">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（3</w:t>
      </w:r>
      <w:r>
        <w:rPr>
          <w:rFonts w:hint="eastAsia" w:ascii="Times New Roman" w:hAnsi="Times New Roman"/>
          <w:spacing w:val="-2"/>
          <w:kern w:val="0"/>
          <w:sz w:val="24"/>
          <w:szCs w:val="20"/>
        </w:rPr>
        <w:t>0</w:t>
      </w:r>
      <w:r>
        <w:rPr>
          <w:rFonts w:ascii="Times New Roman" w:hAnsi="Times New Roman"/>
          <w:spacing w:val="-2"/>
          <w:kern w:val="0"/>
          <w:sz w:val="24"/>
          <w:szCs w:val="20"/>
        </w:rPr>
        <w:t>）《关于印发钦州市中心城区声环境功能区划的通知》（钦政办规〔2023〕11号）；</w:t>
      </w:r>
    </w:p>
    <w:p w14:paraId="34E6C6F7">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（3</w:t>
      </w:r>
      <w:r>
        <w:rPr>
          <w:rFonts w:hint="eastAsia" w:ascii="Times New Roman" w:hAnsi="Times New Roman"/>
          <w:spacing w:val="-2"/>
          <w:kern w:val="0"/>
          <w:sz w:val="24"/>
          <w:szCs w:val="20"/>
        </w:rPr>
        <w:t>1</w:t>
      </w:r>
      <w:r>
        <w:rPr>
          <w:rFonts w:ascii="Times New Roman" w:hAnsi="Times New Roman"/>
          <w:spacing w:val="-2"/>
          <w:kern w:val="0"/>
          <w:sz w:val="24"/>
          <w:szCs w:val="20"/>
        </w:rPr>
        <w:t>）《钦州市人民政府关于划定高污染燃料禁燃区的通告》（钦政通〔2017〕2号）。</w:t>
      </w:r>
    </w:p>
    <w:p w14:paraId="146BC128">
      <w:pPr>
        <w:pStyle w:val="6"/>
      </w:pPr>
      <w:r>
        <w:t>技术导则与技术规范</w:t>
      </w:r>
    </w:p>
    <w:p w14:paraId="04DDE3B1">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（1）《建设项目环境影响评价技术导则 总纲》（HJ2.1-2016）；</w:t>
      </w:r>
    </w:p>
    <w:p w14:paraId="4F74ADB4">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（2）《环境影响评价技术导则 地表水环境》（HJ2.3-2018）；</w:t>
      </w:r>
    </w:p>
    <w:p w14:paraId="4A38B944">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（3）《环境影响评价技术导则 大气环境》（HJ2.2-2018）；</w:t>
      </w:r>
    </w:p>
    <w:p w14:paraId="7D284E99">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（4）《环境影响评价技术导则 声环境》（HJ2.4-2021）；</w:t>
      </w:r>
    </w:p>
    <w:p w14:paraId="0E5C4F2D">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（5）《环境影响评价技术导则 生态影响》（HJ19-2022）；</w:t>
      </w:r>
    </w:p>
    <w:p w14:paraId="0656341D">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（6）《环境影响评价技术导则 地下水环境》（HJ610-2016）；</w:t>
      </w:r>
    </w:p>
    <w:p w14:paraId="3419E9F1">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（7）《环境影响评价技术导则</w:t>
      </w:r>
      <w:r>
        <w:rPr>
          <w:rFonts w:hint="eastAsia" w:ascii="Times New Roman" w:hAnsi="Times New Roman"/>
          <w:spacing w:val="-2"/>
          <w:kern w:val="0"/>
          <w:sz w:val="24"/>
          <w:szCs w:val="20"/>
        </w:rPr>
        <w:t xml:space="preserve"> </w:t>
      </w:r>
      <w:r>
        <w:rPr>
          <w:rFonts w:ascii="Times New Roman" w:hAnsi="Times New Roman"/>
          <w:spacing w:val="-2"/>
          <w:kern w:val="0"/>
          <w:sz w:val="24"/>
          <w:szCs w:val="20"/>
        </w:rPr>
        <w:t>土壤环境（试行）》（HJ964-2018）</w:t>
      </w:r>
    </w:p>
    <w:p w14:paraId="61309F3C">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（8）《建设项目环境风险评价技术导则》（HJ169-2018）；</w:t>
      </w:r>
    </w:p>
    <w:p w14:paraId="2159B516">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（9）《排污许可证申请与核发技术规范 总则》（HJ942-2018）；</w:t>
      </w:r>
    </w:p>
    <w:p w14:paraId="0984E33D">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（10）《排污许可证申请与核发技术规范 工业炉窑》（HJ1121-2020）；</w:t>
      </w:r>
    </w:p>
    <w:p w14:paraId="4A0E5142">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（11）《大气污染治理工程技术导则》（H2000-2010）；</w:t>
      </w:r>
    </w:p>
    <w:p w14:paraId="2250305D">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（12）《环境空气质量监测点位布设技术规范（试行）》（HJ 664-2013）；</w:t>
      </w:r>
    </w:p>
    <w:p w14:paraId="795C1C06">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（13）《环境空气质量评价技术规范（试行）》（HJ663-2013）；</w:t>
      </w:r>
    </w:p>
    <w:p w14:paraId="5DAC13E1">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（14）《水和废水监测分析方法》（第四版 国家环保局2002年）；</w:t>
      </w:r>
    </w:p>
    <w:p w14:paraId="2D8388C3">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（15）《地下水环境监测技术规范》（HJ/T164-2004）；</w:t>
      </w:r>
    </w:p>
    <w:p w14:paraId="2A227B81">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（16）《土壤环境监测技术规范》（HJ/T166-2004）；</w:t>
      </w:r>
    </w:p>
    <w:p w14:paraId="07E8D577">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（17）《电离辐射防护与辐射源安全基本标准》（GB18871-2002）；</w:t>
      </w:r>
    </w:p>
    <w:p w14:paraId="0A51E24B">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（18）《建筑材料放射性核素限量》（GB6566－2010）；</w:t>
      </w:r>
    </w:p>
    <w:p w14:paraId="0263033C">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（19）《民用建筑工程室内环境污染控制标准》GB 50325-2020；</w:t>
      </w:r>
    </w:p>
    <w:p w14:paraId="2B7FB9D0">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（20）《环境核辐射监测规定》（GB12379－1990）；</w:t>
      </w:r>
    </w:p>
    <w:p w14:paraId="5E083010">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（21）《辐射环境监测技术规范》（HJ/T61-2001）；</w:t>
      </w:r>
    </w:p>
    <w:p w14:paraId="7B28BBF0">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（22）《放射性物品安全运输规程》（GB11806-2019）；</w:t>
      </w:r>
    </w:p>
    <w:p w14:paraId="64BED621">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（23）《有色金属矿产品的天然放射性限值》（GB20664-2006）；</w:t>
      </w:r>
    </w:p>
    <w:p w14:paraId="08299838">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（24）</w:t>
      </w:r>
      <w:r>
        <w:rPr>
          <w:rFonts w:hint="eastAsia" w:ascii="Times New Roman" w:hAnsi="Times New Roman"/>
          <w:spacing w:val="-2"/>
          <w:kern w:val="0"/>
          <w:sz w:val="24"/>
          <w:szCs w:val="20"/>
        </w:rPr>
        <w:t>《铀矿冶辐射防护和辐射环境保护规定》（GB23727—2020</w:t>
      </w:r>
      <w:r>
        <w:rPr>
          <w:rFonts w:ascii="Times New Roman" w:hAnsi="Times New Roman"/>
          <w:spacing w:val="-2"/>
          <w:kern w:val="0"/>
          <w:sz w:val="24"/>
          <w:szCs w:val="20"/>
        </w:rPr>
        <w:t>）；</w:t>
      </w:r>
    </w:p>
    <w:p w14:paraId="3EC142DB">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（25）《环境地表γ辐射剂量率测定规范》（GB/T14583-93）；</w:t>
      </w:r>
    </w:p>
    <w:p w14:paraId="172EB356">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（26）《放射性废物管理规定》（GB14500-2002）；</w:t>
      </w:r>
    </w:p>
    <w:p w14:paraId="75A2B3AB">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（27）《矿产资源开发利用辐射环境影响评价专篇格式与内容（试行）》（2015 年1 月）；</w:t>
      </w:r>
    </w:p>
    <w:p w14:paraId="7DD3A79F">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（28）《可免于辐射防护监管的物料中放射性核素活度浓度》（GB27742-2011）；</w:t>
      </w:r>
    </w:p>
    <w:p w14:paraId="3BD26C62">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（29）《伴生放射性物料贮存及固体废物填埋处置辐射环境保护技术规范（试行）》（2020年4月）；</w:t>
      </w:r>
    </w:p>
    <w:p w14:paraId="1294BB8E">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（30）《伴生放射性矿开发利用企业环境辐射监测及信息公开办法（试行）》（国环规辐射〔2018〕1号）；</w:t>
      </w:r>
    </w:p>
    <w:p w14:paraId="6EEBE2CB">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（31）《关于发布〈伴生放射性矿物资源开发利用项目环境影响报告书（表）的内容和格式〉的通知》（环监〔1994〕080号）。</w:t>
      </w:r>
    </w:p>
    <w:p w14:paraId="6A686607">
      <w:pPr>
        <w:spacing w:line="360" w:lineRule="auto"/>
        <w:ind w:firstLine="472" w:firstLineChars="200"/>
        <w:rPr>
          <w:rFonts w:ascii="Times New Roman" w:hAnsi="Times New Roman"/>
          <w:spacing w:val="-2"/>
          <w:kern w:val="0"/>
          <w:sz w:val="24"/>
          <w:szCs w:val="20"/>
          <w:u w:val="single"/>
        </w:rPr>
      </w:pPr>
      <w:r>
        <w:rPr>
          <w:rFonts w:hint="eastAsia" w:ascii="Times New Roman" w:hAnsi="Times New Roman"/>
          <w:spacing w:val="-2"/>
          <w:kern w:val="0"/>
          <w:sz w:val="24"/>
          <w:szCs w:val="20"/>
          <w:u w:val="single"/>
        </w:rPr>
        <w:t>（32）</w:t>
      </w:r>
      <w:bookmarkStart w:id="49" w:name="_Hlk193713243"/>
      <w:r>
        <w:rPr>
          <w:rFonts w:hint="eastAsia" w:ascii="Times New Roman" w:hAnsi="Times New Roman"/>
          <w:spacing w:val="-2"/>
          <w:kern w:val="0"/>
          <w:sz w:val="24"/>
          <w:szCs w:val="20"/>
          <w:u w:val="single"/>
        </w:rPr>
        <w:t>《铀矿冶设施所造成的气态（载）放射性与有毒性源项的确定》（</w:t>
      </w:r>
      <w:r>
        <w:rPr>
          <w:rFonts w:ascii="Times New Roman" w:hAnsi="Times New Roman"/>
          <w:spacing w:val="-2"/>
          <w:kern w:val="0"/>
          <w:sz w:val="24"/>
          <w:szCs w:val="20"/>
          <w:u w:val="single"/>
        </w:rPr>
        <w:t>EJ/T 1090-1998</w:t>
      </w:r>
      <w:r>
        <w:rPr>
          <w:rFonts w:hint="eastAsia" w:ascii="Times New Roman" w:hAnsi="Times New Roman"/>
          <w:spacing w:val="-2"/>
          <w:kern w:val="0"/>
          <w:sz w:val="24"/>
          <w:szCs w:val="20"/>
          <w:u w:val="single"/>
        </w:rPr>
        <w:t>）</w:t>
      </w:r>
      <w:bookmarkEnd w:id="49"/>
      <w:r>
        <w:rPr>
          <w:rFonts w:hint="eastAsia" w:ascii="Times New Roman" w:hAnsi="Times New Roman"/>
          <w:spacing w:val="-2"/>
          <w:kern w:val="0"/>
          <w:sz w:val="24"/>
          <w:szCs w:val="20"/>
          <w:u w:val="single"/>
        </w:rPr>
        <w:t>；</w:t>
      </w:r>
    </w:p>
    <w:p w14:paraId="421F041E">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（3</w:t>
      </w:r>
      <w:r>
        <w:rPr>
          <w:rFonts w:hint="eastAsia" w:ascii="Times New Roman" w:hAnsi="Times New Roman"/>
          <w:spacing w:val="-2"/>
          <w:kern w:val="0"/>
          <w:sz w:val="24"/>
          <w:szCs w:val="20"/>
        </w:rPr>
        <w:t>3</w:t>
      </w:r>
      <w:r>
        <w:rPr>
          <w:rFonts w:ascii="Times New Roman" w:hAnsi="Times New Roman"/>
          <w:spacing w:val="-2"/>
          <w:kern w:val="0"/>
          <w:sz w:val="24"/>
          <w:szCs w:val="20"/>
        </w:rPr>
        <w:t>）《危险化学品重大危险源辨识》（GB18218-2018）；</w:t>
      </w:r>
    </w:p>
    <w:p w14:paraId="3AEDCA1E">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（3</w:t>
      </w:r>
      <w:r>
        <w:rPr>
          <w:rFonts w:hint="eastAsia" w:ascii="Times New Roman" w:hAnsi="Times New Roman"/>
          <w:spacing w:val="-2"/>
          <w:kern w:val="0"/>
          <w:sz w:val="24"/>
          <w:szCs w:val="20"/>
        </w:rPr>
        <w:t>4</w:t>
      </w:r>
      <w:r>
        <w:rPr>
          <w:rFonts w:ascii="Times New Roman" w:hAnsi="Times New Roman"/>
          <w:spacing w:val="-2"/>
          <w:kern w:val="0"/>
          <w:sz w:val="24"/>
          <w:szCs w:val="20"/>
        </w:rPr>
        <w:t>）《危险废物收集贮存运输技术规范》（HJ2025-2012）；</w:t>
      </w:r>
    </w:p>
    <w:p w14:paraId="4F6FA4DC">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（3</w:t>
      </w:r>
      <w:r>
        <w:rPr>
          <w:rFonts w:hint="eastAsia" w:ascii="Times New Roman" w:hAnsi="Times New Roman"/>
          <w:spacing w:val="-2"/>
          <w:kern w:val="0"/>
          <w:sz w:val="24"/>
          <w:szCs w:val="20"/>
        </w:rPr>
        <w:t>5</w:t>
      </w:r>
      <w:r>
        <w:rPr>
          <w:rFonts w:ascii="Times New Roman" w:hAnsi="Times New Roman"/>
          <w:spacing w:val="-2"/>
          <w:kern w:val="0"/>
          <w:sz w:val="24"/>
          <w:szCs w:val="20"/>
        </w:rPr>
        <w:t>）《污染源源强核算技术指南</w:t>
      </w:r>
      <w:r>
        <w:rPr>
          <w:rFonts w:hint="eastAsia" w:ascii="Times New Roman" w:hAnsi="Times New Roman"/>
          <w:spacing w:val="-2"/>
          <w:kern w:val="0"/>
          <w:sz w:val="24"/>
          <w:szCs w:val="20"/>
        </w:rPr>
        <w:t xml:space="preserve"> </w:t>
      </w:r>
      <w:r>
        <w:rPr>
          <w:rFonts w:ascii="Times New Roman" w:hAnsi="Times New Roman"/>
          <w:spacing w:val="-2"/>
          <w:kern w:val="0"/>
          <w:sz w:val="24"/>
          <w:szCs w:val="20"/>
        </w:rPr>
        <w:t>准则》（HJ884-2018）；</w:t>
      </w:r>
    </w:p>
    <w:p w14:paraId="09145C19">
      <w:pPr>
        <w:spacing w:line="360" w:lineRule="auto"/>
        <w:ind w:firstLine="472" w:firstLineChars="200"/>
        <w:rPr>
          <w:rFonts w:ascii="Times New Roman" w:hAnsi="Times New Roman"/>
          <w:spacing w:val="-2"/>
          <w:kern w:val="0"/>
          <w:sz w:val="24"/>
          <w:szCs w:val="20"/>
        </w:rPr>
      </w:pPr>
      <w:r>
        <w:rPr>
          <w:rFonts w:hint="eastAsia" w:ascii="Times New Roman" w:hAnsi="Times New Roman"/>
          <w:spacing w:val="-2"/>
          <w:kern w:val="0"/>
          <w:sz w:val="24"/>
          <w:szCs w:val="20"/>
        </w:rPr>
        <w:t>（36）《扬尘源颗粒物排放清单编制技术指南》（环境保护部公告2014年第92号）；</w:t>
      </w:r>
    </w:p>
    <w:p w14:paraId="6D1DEC31">
      <w:pPr>
        <w:spacing w:line="360" w:lineRule="auto"/>
        <w:ind w:firstLine="472" w:firstLineChars="200"/>
        <w:rPr>
          <w:rFonts w:ascii="Times New Roman" w:hAnsi="Times New Roman"/>
          <w:spacing w:val="-2"/>
          <w:kern w:val="0"/>
          <w:sz w:val="24"/>
          <w:szCs w:val="20"/>
        </w:rPr>
      </w:pPr>
      <w:r>
        <w:rPr>
          <w:rFonts w:hint="eastAsia" w:ascii="Times New Roman" w:hAnsi="Times New Roman"/>
          <w:spacing w:val="-2"/>
          <w:kern w:val="0"/>
          <w:sz w:val="24"/>
          <w:szCs w:val="20"/>
        </w:rPr>
        <w:t>（37）《污染源源强核算技术指南 锅炉》（HJ991-2018）；</w:t>
      </w:r>
    </w:p>
    <w:p w14:paraId="2FFB0E16">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（3</w:t>
      </w:r>
      <w:r>
        <w:rPr>
          <w:rFonts w:hint="eastAsia" w:ascii="Times New Roman" w:hAnsi="Times New Roman"/>
          <w:spacing w:val="-2"/>
          <w:kern w:val="0"/>
          <w:sz w:val="24"/>
          <w:szCs w:val="20"/>
        </w:rPr>
        <w:t>8</w:t>
      </w:r>
      <w:r>
        <w:rPr>
          <w:rFonts w:ascii="Times New Roman" w:hAnsi="Times New Roman"/>
          <w:spacing w:val="-2"/>
          <w:kern w:val="0"/>
          <w:sz w:val="24"/>
          <w:szCs w:val="20"/>
        </w:rPr>
        <w:t>）《排污单位自行监测技术指南</w:t>
      </w:r>
      <w:r>
        <w:rPr>
          <w:rFonts w:hint="eastAsia" w:ascii="Times New Roman" w:hAnsi="Times New Roman"/>
          <w:spacing w:val="-2"/>
          <w:kern w:val="0"/>
          <w:sz w:val="24"/>
          <w:szCs w:val="20"/>
        </w:rPr>
        <w:t xml:space="preserve"> </w:t>
      </w:r>
      <w:r>
        <w:rPr>
          <w:rFonts w:ascii="Times New Roman" w:hAnsi="Times New Roman"/>
          <w:spacing w:val="-2"/>
          <w:kern w:val="0"/>
          <w:sz w:val="24"/>
          <w:szCs w:val="20"/>
        </w:rPr>
        <w:t>总则》（HJ819-2017）；</w:t>
      </w:r>
    </w:p>
    <w:p w14:paraId="4D582640">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（3</w:t>
      </w:r>
      <w:r>
        <w:rPr>
          <w:rFonts w:hint="eastAsia" w:ascii="Times New Roman" w:hAnsi="Times New Roman"/>
          <w:spacing w:val="-2"/>
          <w:kern w:val="0"/>
          <w:sz w:val="24"/>
          <w:szCs w:val="20"/>
        </w:rPr>
        <w:t>9</w:t>
      </w:r>
      <w:r>
        <w:rPr>
          <w:rFonts w:ascii="Times New Roman" w:hAnsi="Times New Roman"/>
          <w:spacing w:val="-2"/>
          <w:kern w:val="0"/>
          <w:sz w:val="24"/>
          <w:szCs w:val="20"/>
        </w:rPr>
        <w:t>）《建设项目危险废物环境影响评价指南》（环保部公告2017年第43号）。</w:t>
      </w:r>
    </w:p>
    <w:p w14:paraId="49C0514C">
      <w:pPr>
        <w:pStyle w:val="6"/>
      </w:pPr>
      <w:r>
        <w:t>其他依据文件</w:t>
      </w:r>
    </w:p>
    <w:p w14:paraId="71FBA799">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（1）项目环境影响评价委托书；</w:t>
      </w:r>
    </w:p>
    <w:p w14:paraId="5E59945D">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（2）项目备案证明，项目代码：2407-450704-04-01-568667，广西自贸区钦州港片区行政审批局；</w:t>
      </w:r>
    </w:p>
    <w:p w14:paraId="2D9D9053">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（3）《</w:t>
      </w:r>
      <w:bookmarkStart w:id="50" w:name="OLE_LINK30"/>
      <w:r>
        <w:rPr>
          <w:rFonts w:ascii="Times New Roman" w:hAnsi="Times New Roman"/>
          <w:spacing w:val="-2"/>
          <w:kern w:val="0"/>
          <w:sz w:val="24"/>
          <w:szCs w:val="20"/>
        </w:rPr>
        <w:t>广西钦州保税港区</w:t>
      </w:r>
      <w:bookmarkEnd w:id="50"/>
      <w:r>
        <w:rPr>
          <w:rFonts w:ascii="Times New Roman" w:hAnsi="Times New Roman"/>
          <w:spacing w:val="-2"/>
          <w:kern w:val="0"/>
          <w:sz w:val="24"/>
          <w:szCs w:val="20"/>
        </w:rPr>
        <w:t>总体规划》；</w:t>
      </w:r>
    </w:p>
    <w:p w14:paraId="10B68025">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（4）《广西钦州保税港区控制性详细规划》（修编）；</w:t>
      </w:r>
    </w:p>
    <w:p w14:paraId="445EC390">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（5）《广西钦州保税港区总体规划环境影响报告书》及其审查意见；</w:t>
      </w:r>
    </w:p>
    <w:p w14:paraId="02814707">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（6）《锆钛矿石分选加工项目辐射环境影响评价专篇》；</w:t>
      </w:r>
    </w:p>
    <w:p w14:paraId="348E979C">
      <w:pPr>
        <w:spacing w:line="360" w:lineRule="auto"/>
        <w:ind w:firstLine="472" w:firstLineChars="200"/>
        <w:rPr>
          <w:rFonts w:ascii="Times New Roman" w:hAnsi="Times New Roman"/>
          <w:spacing w:val="-2"/>
          <w:kern w:val="0"/>
          <w:sz w:val="24"/>
          <w:szCs w:val="20"/>
        </w:rPr>
      </w:pPr>
      <w:r>
        <w:rPr>
          <w:rFonts w:hint="eastAsia" w:ascii="Times New Roman" w:hAnsi="Times New Roman"/>
          <w:spacing w:val="-2"/>
          <w:kern w:val="0"/>
          <w:sz w:val="24"/>
          <w:szCs w:val="20"/>
        </w:rPr>
        <w:t>（7）《关于同意广西瑞腾贸易有限公司开展锆钛矿保税加工业务的函》；</w:t>
      </w:r>
    </w:p>
    <w:p w14:paraId="5D5AFAC3">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w:t>
      </w:r>
      <w:r>
        <w:rPr>
          <w:rFonts w:hint="eastAsia" w:ascii="Times New Roman" w:hAnsi="Times New Roman"/>
          <w:spacing w:val="-2"/>
          <w:kern w:val="0"/>
          <w:sz w:val="24"/>
          <w:szCs w:val="20"/>
        </w:rPr>
        <w:t>8</w:t>
      </w:r>
      <w:r>
        <w:rPr>
          <w:rFonts w:ascii="Times New Roman" w:hAnsi="Times New Roman"/>
          <w:spacing w:val="-2"/>
          <w:kern w:val="0"/>
          <w:sz w:val="24"/>
          <w:szCs w:val="20"/>
        </w:rPr>
        <w:t>）建设单位提供的其他相关资料和图件。</w:t>
      </w:r>
    </w:p>
    <w:p w14:paraId="0652F970">
      <w:pPr>
        <w:pStyle w:val="5"/>
      </w:pPr>
      <w:bookmarkStart w:id="51" w:name="_Toc232280156"/>
      <w:bookmarkStart w:id="52" w:name="_Toc228717431"/>
      <w:bookmarkStart w:id="53" w:name="_Toc1819"/>
      <w:bookmarkStart w:id="54" w:name="_Toc252741823"/>
      <w:bookmarkStart w:id="55" w:name="_Toc232280161"/>
      <w:bookmarkStart w:id="56" w:name="_Toc228717436"/>
      <w:bookmarkStart w:id="57" w:name="_Toc252741827"/>
      <w:r>
        <w:t>环境功能区划</w:t>
      </w:r>
      <w:bookmarkEnd w:id="51"/>
      <w:bookmarkEnd w:id="52"/>
      <w:bookmarkEnd w:id="53"/>
      <w:bookmarkEnd w:id="54"/>
    </w:p>
    <w:p w14:paraId="3837F50F">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（1）环境空气功能区划</w:t>
      </w:r>
    </w:p>
    <w:p w14:paraId="55C12334">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工程所在地尚未划分环境空气质量功能区，根据《环境空气质量功能区划分原则与技术方法》（HJ 14-1996），本项目位于广西钦州保税港区内，该区域主要为钦州港为工业区，属于二类环境空气质量功能区。</w:t>
      </w:r>
    </w:p>
    <w:p w14:paraId="6D706B2A">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（2）近岸海域环境</w:t>
      </w:r>
    </w:p>
    <w:p w14:paraId="0CCC0BF8">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本项目位于广西钦州保税港区内，项目不产生生产废水，少量生活污水</w:t>
      </w:r>
      <w:r>
        <w:rPr>
          <w:rFonts w:hint="eastAsia" w:ascii="Times New Roman" w:hAnsi="Times New Roman"/>
          <w:spacing w:val="-2"/>
          <w:kern w:val="0"/>
          <w:sz w:val="24"/>
          <w:szCs w:val="24"/>
        </w:rPr>
        <w:t>经化粪池处理后排入市政污水管网送</w:t>
      </w:r>
      <w:r>
        <w:rPr>
          <w:rFonts w:ascii="Times New Roman" w:hAnsi="Times New Roman"/>
          <w:spacing w:val="-2"/>
          <w:kern w:val="0"/>
          <w:sz w:val="24"/>
          <w:szCs w:val="24"/>
        </w:rPr>
        <w:t>钦州港大榄坪污水处理厂处理，经处理达标后深海（108°39′12.00″E，21°39′15″N）排放。</w:t>
      </w:r>
    </w:p>
    <w:p w14:paraId="0AF3D72E">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根据《广西壮族自治区近岸海域环境功能区划调整方案》（桂环发〔2023〕9号），本工程位于钦州港大榄坪港口、工业区（代码GX055DⅣ），主导功能为港口、工业用海，属四类环境功能区，水质保护目标为海水水质标准第四类。详见附图</w:t>
      </w:r>
      <w:r>
        <w:rPr>
          <w:rFonts w:hint="eastAsia" w:ascii="Times New Roman" w:hAnsi="Times New Roman"/>
          <w:spacing w:val="-2"/>
          <w:kern w:val="0"/>
          <w:sz w:val="24"/>
          <w:szCs w:val="24"/>
        </w:rPr>
        <w:t>12</w:t>
      </w:r>
      <w:r>
        <w:rPr>
          <w:rFonts w:ascii="Times New Roman" w:hAnsi="Times New Roman"/>
          <w:spacing w:val="-2"/>
          <w:kern w:val="0"/>
          <w:sz w:val="24"/>
          <w:szCs w:val="24"/>
        </w:rPr>
        <w:t>。</w:t>
      </w:r>
    </w:p>
    <w:p w14:paraId="4792A806">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（3）地下水环境</w:t>
      </w:r>
    </w:p>
    <w:p w14:paraId="6044BD61">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项目所在区域地下水未划分环境功能区，根据调查，项目所处区域没有大、中型集中地下水供水水源地。根据《地下水质量标准》（GB/T14848-2017）中地下水质量分类，本项目评价区域地下水属于Ⅲ类（以人体健康基准值为依据，主要适用于集中式生活饮用水水源及工、农业水），评价区域内地下水执行《地下水质量标准》（GB/T14848-2017）Ⅲ类标准。</w:t>
      </w:r>
    </w:p>
    <w:p w14:paraId="48220BDA">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（4）土壤环境</w:t>
      </w:r>
    </w:p>
    <w:p w14:paraId="5D2D8D53">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由于项目所在区域未进行土壤环境功能区划，项目场址土地类型为建设用地，且项目选址及周边为生产物流混合用地、工业用地为主，因此，区域土壤环境质量执行《土壤环境质量标准 建设用地土壤污染风险管控标准（试行）》（GB36600-2018）第二类用地筛选值。</w:t>
      </w:r>
    </w:p>
    <w:p w14:paraId="37938EE8">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（5）声环境功能区划</w:t>
      </w:r>
    </w:p>
    <w:p w14:paraId="32DE2762">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本项目位于广西钦州保税港区内，根据《关于印发钦州市中心城区声环境功能区划的通知》（钦政办规〔2023〕11号），项目声环境执行3类区，执行《声环境质量标准》（GB3096-2008）3类标准。</w:t>
      </w:r>
    </w:p>
    <w:p w14:paraId="0F99B0EC">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（6）生态功能区划</w:t>
      </w:r>
    </w:p>
    <w:p w14:paraId="16250ACE">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本项目位于</w:t>
      </w:r>
      <w:r>
        <w:rPr>
          <w:rFonts w:hint="eastAsia" w:ascii="Times New Roman" w:hAnsi="Times New Roman"/>
          <w:spacing w:val="-2"/>
          <w:kern w:val="0"/>
          <w:sz w:val="24"/>
          <w:szCs w:val="24"/>
        </w:rPr>
        <w:t>广西钦州保税港区内，区域原为海域，对照</w:t>
      </w:r>
      <w:r>
        <w:rPr>
          <w:rFonts w:ascii="Times New Roman" w:hAnsi="Times New Roman"/>
          <w:spacing w:val="-2"/>
          <w:kern w:val="0"/>
          <w:sz w:val="24"/>
          <w:szCs w:val="24"/>
        </w:rPr>
        <w:t>《广西壮族自治区生态功能区划》，</w:t>
      </w:r>
      <w:r>
        <w:rPr>
          <w:rFonts w:hint="eastAsia" w:ascii="Times New Roman" w:hAnsi="Times New Roman"/>
          <w:spacing w:val="-2"/>
          <w:kern w:val="0"/>
          <w:sz w:val="24"/>
          <w:szCs w:val="24"/>
        </w:rPr>
        <w:t>项目位于</w:t>
      </w:r>
      <w:r>
        <w:rPr>
          <w:rFonts w:ascii="Times New Roman" w:hAnsi="Times New Roman"/>
          <w:spacing w:val="-2"/>
          <w:kern w:val="0"/>
          <w:sz w:val="24"/>
          <w:szCs w:val="24"/>
        </w:rPr>
        <w:t>广西壮族自治区生态功能区划</w:t>
      </w:r>
      <w:r>
        <w:rPr>
          <w:rFonts w:hint="eastAsia" w:ascii="Times New Roman" w:hAnsi="Times New Roman"/>
          <w:spacing w:val="-2"/>
          <w:kern w:val="0"/>
          <w:sz w:val="24"/>
          <w:szCs w:val="24"/>
        </w:rPr>
        <w:t>范围外</w:t>
      </w:r>
      <w:r>
        <w:rPr>
          <w:rFonts w:ascii="宋体" w:hAnsi="宋体"/>
          <w:spacing w:val="-2"/>
          <w:kern w:val="0"/>
          <w:sz w:val="24"/>
          <w:szCs w:val="24"/>
        </w:rPr>
        <w:t>。位</w:t>
      </w:r>
      <w:r>
        <w:rPr>
          <w:rFonts w:ascii="Times New Roman" w:hAnsi="Times New Roman"/>
          <w:spacing w:val="-2"/>
          <w:kern w:val="0"/>
          <w:sz w:val="24"/>
          <w:szCs w:val="24"/>
        </w:rPr>
        <w:t>置关系详见图</w:t>
      </w:r>
      <w:r>
        <w:rPr>
          <w:rFonts w:hint="eastAsia" w:ascii="Times New Roman" w:hAnsi="Times New Roman"/>
          <w:spacing w:val="-2"/>
          <w:kern w:val="0"/>
          <w:sz w:val="24"/>
          <w:szCs w:val="24"/>
        </w:rPr>
        <w:t>13</w:t>
      </w:r>
      <w:r>
        <w:rPr>
          <w:rFonts w:ascii="Times New Roman" w:hAnsi="Times New Roman"/>
          <w:spacing w:val="-2"/>
          <w:kern w:val="0"/>
          <w:sz w:val="24"/>
          <w:szCs w:val="24"/>
        </w:rPr>
        <w:t>。</w:t>
      </w:r>
    </w:p>
    <w:p w14:paraId="261C35BD">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本项目所属环境功能区详见表1.2-1。</w:t>
      </w:r>
    </w:p>
    <w:p w14:paraId="23465047">
      <w:pPr>
        <w:pStyle w:val="8"/>
        <w:rPr>
          <w:sz w:val="24"/>
          <w:szCs w:val="24"/>
        </w:rPr>
      </w:pPr>
      <w:r>
        <w:rPr>
          <w:sz w:val="24"/>
          <w:szCs w:val="24"/>
        </w:rPr>
        <w:t>本项目所属环境功能区一览表</w:t>
      </w:r>
    </w:p>
    <w:tbl>
      <w:tblPr>
        <w:tblStyle w:val="88"/>
        <w:tblW w:w="928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227"/>
        <w:gridCol w:w="6059"/>
      </w:tblGrid>
      <w:tr w14:paraId="465730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3227" w:type="dxa"/>
            <w:vAlign w:val="center"/>
          </w:tcPr>
          <w:p w14:paraId="5B828B9C">
            <w:pPr>
              <w:jc w:val="center"/>
              <w:rPr>
                <w:rFonts w:ascii="Times New Roman" w:hAnsi="Times New Roman"/>
                <w:b/>
                <w:bCs/>
                <w:spacing w:val="-2"/>
                <w:kern w:val="0"/>
                <w:szCs w:val="21"/>
              </w:rPr>
            </w:pPr>
            <w:r>
              <w:rPr>
                <w:rFonts w:ascii="Times New Roman" w:hAnsi="Times New Roman"/>
                <w:b/>
                <w:bCs/>
                <w:spacing w:val="-2"/>
                <w:kern w:val="0"/>
                <w:szCs w:val="21"/>
              </w:rPr>
              <w:t>项目</w:t>
            </w:r>
          </w:p>
        </w:tc>
        <w:tc>
          <w:tcPr>
            <w:tcW w:w="6059" w:type="dxa"/>
            <w:vAlign w:val="center"/>
          </w:tcPr>
          <w:p w14:paraId="3A32B504">
            <w:pPr>
              <w:jc w:val="center"/>
              <w:rPr>
                <w:rFonts w:ascii="Times New Roman" w:hAnsi="Times New Roman"/>
                <w:b/>
                <w:bCs/>
                <w:spacing w:val="-2"/>
                <w:kern w:val="0"/>
                <w:szCs w:val="21"/>
              </w:rPr>
            </w:pPr>
            <w:r>
              <w:rPr>
                <w:rFonts w:ascii="Times New Roman" w:hAnsi="Times New Roman"/>
                <w:b/>
                <w:bCs/>
                <w:spacing w:val="-2"/>
                <w:kern w:val="0"/>
                <w:szCs w:val="21"/>
              </w:rPr>
              <w:t>功能区</w:t>
            </w:r>
          </w:p>
        </w:tc>
      </w:tr>
      <w:tr w14:paraId="388EFD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227" w:type="dxa"/>
            <w:vAlign w:val="center"/>
          </w:tcPr>
          <w:p w14:paraId="19DA1A4B">
            <w:pPr>
              <w:jc w:val="center"/>
              <w:rPr>
                <w:rFonts w:ascii="Times New Roman" w:hAnsi="Times New Roman"/>
                <w:spacing w:val="-2"/>
                <w:kern w:val="0"/>
                <w:szCs w:val="21"/>
              </w:rPr>
            </w:pPr>
            <w:r>
              <w:rPr>
                <w:rFonts w:ascii="Times New Roman" w:hAnsi="Times New Roman"/>
                <w:spacing w:val="-2"/>
                <w:kern w:val="0"/>
                <w:szCs w:val="21"/>
              </w:rPr>
              <w:t>空气环境</w:t>
            </w:r>
          </w:p>
        </w:tc>
        <w:tc>
          <w:tcPr>
            <w:tcW w:w="6059" w:type="dxa"/>
            <w:vAlign w:val="center"/>
          </w:tcPr>
          <w:p w14:paraId="5F2F66FE">
            <w:pPr>
              <w:jc w:val="center"/>
              <w:rPr>
                <w:rFonts w:ascii="Times New Roman" w:hAnsi="Times New Roman"/>
                <w:spacing w:val="-2"/>
                <w:kern w:val="0"/>
                <w:szCs w:val="21"/>
              </w:rPr>
            </w:pPr>
            <w:r>
              <w:rPr>
                <w:rFonts w:ascii="Times New Roman" w:hAnsi="Times New Roman"/>
                <w:spacing w:val="-2"/>
                <w:kern w:val="0"/>
                <w:szCs w:val="21"/>
              </w:rPr>
              <w:t>二类区，执行（GB3095-2012）二级标准</w:t>
            </w:r>
          </w:p>
        </w:tc>
      </w:tr>
      <w:tr w14:paraId="6C2C4A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227" w:type="dxa"/>
            <w:vAlign w:val="center"/>
          </w:tcPr>
          <w:p w14:paraId="60A038E5">
            <w:pPr>
              <w:jc w:val="center"/>
              <w:rPr>
                <w:rFonts w:ascii="Times New Roman" w:hAnsi="Times New Roman"/>
                <w:spacing w:val="-2"/>
                <w:kern w:val="0"/>
                <w:szCs w:val="21"/>
              </w:rPr>
            </w:pPr>
            <w:r>
              <w:rPr>
                <w:rFonts w:ascii="Times New Roman" w:hAnsi="Times New Roman"/>
                <w:spacing w:val="-2"/>
                <w:kern w:val="0"/>
                <w:szCs w:val="21"/>
              </w:rPr>
              <w:t>海洋环境</w:t>
            </w:r>
          </w:p>
        </w:tc>
        <w:tc>
          <w:tcPr>
            <w:tcW w:w="6059" w:type="dxa"/>
            <w:vAlign w:val="center"/>
          </w:tcPr>
          <w:p w14:paraId="7DB38CC5">
            <w:pPr>
              <w:jc w:val="center"/>
              <w:rPr>
                <w:rFonts w:ascii="Times New Roman" w:hAnsi="Times New Roman"/>
                <w:spacing w:val="-2"/>
                <w:kern w:val="0"/>
                <w:szCs w:val="21"/>
              </w:rPr>
            </w:pPr>
            <w:r>
              <w:rPr>
                <w:rFonts w:ascii="Times New Roman" w:hAnsi="Times New Roman"/>
                <w:spacing w:val="-2"/>
                <w:kern w:val="0"/>
                <w:szCs w:val="21"/>
              </w:rPr>
              <w:t>第四类水质，执行（GB3097-1997）第四类标准</w:t>
            </w:r>
          </w:p>
        </w:tc>
      </w:tr>
      <w:tr w14:paraId="7C4ABE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227" w:type="dxa"/>
            <w:vAlign w:val="center"/>
          </w:tcPr>
          <w:p w14:paraId="7A3D1BF0">
            <w:pPr>
              <w:jc w:val="center"/>
              <w:rPr>
                <w:rFonts w:ascii="Times New Roman" w:hAnsi="Times New Roman"/>
                <w:spacing w:val="-2"/>
                <w:kern w:val="0"/>
                <w:szCs w:val="21"/>
              </w:rPr>
            </w:pPr>
            <w:r>
              <w:rPr>
                <w:rFonts w:ascii="Times New Roman" w:hAnsi="Times New Roman"/>
                <w:spacing w:val="-2"/>
                <w:kern w:val="0"/>
                <w:szCs w:val="21"/>
              </w:rPr>
              <w:t>地下水环境</w:t>
            </w:r>
          </w:p>
        </w:tc>
        <w:tc>
          <w:tcPr>
            <w:tcW w:w="6059" w:type="dxa"/>
            <w:vAlign w:val="center"/>
          </w:tcPr>
          <w:p w14:paraId="1565C532">
            <w:pPr>
              <w:jc w:val="center"/>
              <w:rPr>
                <w:rFonts w:ascii="Times New Roman" w:hAnsi="Times New Roman"/>
                <w:spacing w:val="-2"/>
                <w:kern w:val="0"/>
                <w:szCs w:val="21"/>
              </w:rPr>
            </w:pPr>
            <w:r>
              <w:rPr>
                <w:rFonts w:ascii="Times New Roman" w:hAnsi="Times New Roman"/>
                <w:spacing w:val="-2"/>
                <w:kern w:val="0"/>
                <w:szCs w:val="21"/>
              </w:rPr>
              <w:t>区域地下水属于Ⅲ类，执行（GB/T14848-2017）Ⅲ类标准</w:t>
            </w:r>
          </w:p>
        </w:tc>
      </w:tr>
      <w:tr w14:paraId="03021C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227" w:type="dxa"/>
            <w:vAlign w:val="center"/>
          </w:tcPr>
          <w:p w14:paraId="5A6D6702">
            <w:pPr>
              <w:jc w:val="center"/>
              <w:rPr>
                <w:rFonts w:ascii="Times New Roman" w:hAnsi="Times New Roman"/>
                <w:spacing w:val="-2"/>
                <w:kern w:val="0"/>
                <w:szCs w:val="21"/>
              </w:rPr>
            </w:pPr>
            <w:r>
              <w:rPr>
                <w:rFonts w:ascii="Times New Roman" w:hAnsi="Times New Roman"/>
                <w:spacing w:val="-2"/>
                <w:kern w:val="0"/>
                <w:szCs w:val="21"/>
              </w:rPr>
              <w:t>土壤环境</w:t>
            </w:r>
          </w:p>
        </w:tc>
        <w:tc>
          <w:tcPr>
            <w:tcW w:w="6059" w:type="dxa"/>
            <w:vAlign w:val="center"/>
          </w:tcPr>
          <w:p w14:paraId="3215A25A">
            <w:pPr>
              <w:jc w:val="center"/>
              <w:rPr>
                <w:rFonts w:ascii="Times New Roman" w:hAnsi="Times New Roman"/>
                <w:spacing w:val="-2"/>
                <w:kern w:val="0"/>
                <w:szCs w:val="21"/>
              </w:rPr>
            </w:pPr>
            <w:r>
              <w:rPr>
                <w:rFonts w:ascii="Times New Roman" w:hAnsi="Times New Roman"/>
                <w:spacing w:val="-2"/>
                <w:kern w:val="0"/>
                <w:szCs w:val="21"/>
              </w:rPr>
              <w:t>建设用地，执行（GB36600-2018）第二类用地筛选值</w:t>
            </w:r>
          </w:p>
        </w:tc>
      </w:tr>
      <w:tr w14:paraId="10DE06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227" w:type="dxa"/>
            <w:vAlign w:val="center"/>
          </w:tcPr>
          <w:p w14:paraId="03078C3C">
            <w:pPr>
              <w:jc w:val="center"/>
              <w:rPr>
                <w:rFonts w:ascii="Times New Roman" w:hAnsi="Times New Roman"/>
                <w:spacing w:val="-2"/>
                <w:kern w:val="0"/>
                <w:szCs w:val="21"/>
              </w:rPr>
            </w:pPr>
            <w:r>
              <w:rPr>
                <w:rFonts w:ascii="Times New Roman" w:hAnsi="Times New Roman"/>
                <w:spacing w:val="-2"/>
                <w:kern w:val="0"/>
                <w:szCs w:val="21"/>
              </w:rPr>
              <w:t>声环境</w:t>
            </w:r>
          </w:p>
        </w:tc>
        <w:tc>
          <w:tcPr>
            <w:tcW w:w="6059" w:type="dxa"/>
            <w:vAlign w:val="center"/>
          </w:tcPr>
          <w:p w14:paraId="539B88DA">
            <w:pPr>
              <w:jc w:val="center"/>
              <w:rPr>
                <w:rFonts w:ascii="Times New Roman" w:hAnsi="Times New Roman"/>
                <w:spacing w:val="-2"/>
                <w:kern w:val="0"/>
                <w:szCs w:val="21"/>
              </w:rPr>
            </w:pPr>
            <w:r>
              <w:rPr>
                <w:rFonts w:ascii="Times New Roman" w:hAnsi="Times New Roman"/>
                <w:spacing w:val="-2"/>
                <w:kern w:val="0"/>
                <w:szCs w:val="21"/>
              </w:rPr>
              <w:t>执行（GB3096-2008）3类标准</w:t>
            </w:r>
          </w:p>
        </w:tc>
      </w:tr>
      <w:tr w14:paraId="447A61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227" w:type="dxa"/>
            <w:vAlign w:val="center"/>
          </w:tcPr>
          <w:p w14:paraId="30B50994">
            <w:pPr>
              <w:jc w:val="center"/>
              <w:rPr>
                <w:rFonts w:ascii="Times New Roman" w:hAnsi="Times New Roman"/>
                <w:spacing w:val="-2"/>
                <w:kern w:val="0"/>
                <w:szCs w:val="21"/>
              </w:rPr>
            </w:pPr>
            <w:r>
              <w:rPr>
                <w:rFonts w:ascii="Times New Roman" w:hAnsi="Times New Roman"/>
                <w:spacing w:val="-2"/>
                <w:kern w:val="0"/>
                <w:szCs w:val="21"/>
              </w:rPr>
              <w:t>生态环境</w:t>
            </w:r>
          </w:p>
        </w:tc>
        <w:tc>
          <w:tcPr>
            <w:tcW w:w="6059" w:type="dxa"/>
            <w:vAlign w:val="center"/>
          </w:tcPr>
          <w:p w14:paraId="2C3D3DD8">
            <w:pPr>
              <w:jc w:val="center"/>
              <w:rPr>
                <w:rFonts w:ascii="Times New Roman" w:hAnsi="Times New Roman"/>
                <w:spacing w:val="-2"/>
                <w:kern w:val="0"/>
                <w:szCs w:val="21"/>
              </w:rPr>
            </w:pPr>
            <w:r>
              <w:rPr>
                <w:rFonts w:hint="eastAsia" w:ascii="Times New Roman" w:hAnsi="Times New Roman"/>
                <w:spacing w:val="-2"/>
                <w:kern w:val="0"/>
                <w:szCs w:val="21"/>
              </w:rPr>
              <w:t>/</w:t>
            </w:r>
          </w:p>
        </w:tc>
      </w:tr>
      <w:tr w14:paraId="374C7A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227" w:type="dxa"/>
            <w:vAlign w:val="center"/>
          </w:tcPr>
          <w:p w14:paraId="25F9A51D">
            <w:pPr>
              <w:jc w:val="center"/>
              <w:rPr>
                <w:rFonts w:ascii="Times New Roman" w:hAnsi="Times New Roman"/>
                <w:spacing w:val="-2"/>
                <w:kern w:val="0"/>
                <w:szCs w:val="21"/>
              </w:rPr>
            </w:pPr>
            <w:r>
              <w:rPr>
                <w:rFonts w:ascii="Times New Roman" w:hAnsi="Times New Roman"/>
              </w:rPr>
              <w:t>是否涉及自然保护区</w:t>
            </w:r>
          </w:p>
        </w:tc>
        <w:tc>
          <w:tcPr>
            <w:tcW w:w="6059" w:type="dxa"/>
            <w:vAlign w:val="center"/>
          </w:tcPr>
          <w:p w14:paraId="75401AAE">
            <w:pPr>
              <w:jc w:val="center"/>
              <w:rPr>
                <w:rFonts w:ascii="Times New Roman" w:hAnsi="Times New Roman"/>
                <w:spacing w:val="-2"/>
                <w:kern w:val="0"/>
                <w:szCs w:val="21"/>
              </w:rPr>
            </w:pPr>
            <w:r>
              <w:rPr>
                <w:rFonts w:ascii="Times New Roman" w:hAnsi="Times New Roman"/>
              </w:rPr>
              <w:t>不涉及</w:t>
            </w:r>
          </w:p>
        </w:tc>
      </w:tr>
      <w:tr w14:paraId="1F980D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227" w:type="dxa"/>
            <w:vAlign w:val="center"/>
          </w:tcPr>
          <w:p w14:paraId="0C063816">
            <w:pPr>
              <w:jc w:val="center"/>
              <w:rPr>
                <w:rFonts w:ascii="Times New Roman" w:hAnsi="Times New Roman"/>
                <w:spacing w:val="-2"/>
                <w:kern w:val="0"/>
                <w:szCs w:val="21"/>
              </w:rPr>
            </w:pPr>
            <w:r>
              <w:rPr>
                <w:rFonts w:ascii="Times New Roman" w:hAnsi="Times New Roman"/>
              </w:rPr>
              <w:t>是否涉及水源保护区</w:t>
            </w:r>
          </w:p>
        </w:tc>
        <w:tc>
          <w:tcPr>
            <w:tcW w:w="6059" w:type="dxa"/>
            <w:vAlign w:val="center"/>
          </w:tcPr>
          <w:p w14:paraId="65A254B2">
            <w:pPr>
              <w:jc w:val="center"/>
              <w:rPr>
                <w:rFonts w:ascii="Times New Roman" w:hAnsi="Times New Roman"/>
                <w:spacing w:val="-2"/>
                <w:kern w:val="0"/>
                <w:szCs w:val="21"/>
              </w:rPr>
            </w:pPr>
            <w:r>
              <w:rPr>
                <w:rFonts w:ascii="Times New Roman" w:hAnsi="Times New Roman"/>
              </w:rPr>
              <w:t>不涉及</w:t>
            </w:r>
          </w:p>
        </w:tc>
      </w:tr>
      <w:tr w14:paraId="60CFDF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227" w:type="dxa"/>
            <w:vAlign w:val="center"/>
          </w:tcPr>
          <w:p w14:paraId="27398424">
            <w:pPr>
              <w:jc w:val="center"/>
              <w:rPr>
                <w:rFonts w:ascii="Times New Roman" w:hAnsi="Times New Roman"/>
                <w:spacing w:val="-2"/>
                <w:kern w:val="0"/>
                <w:szCs w:val="21"/>
              </w:rPr>
            </w:pPr>
            <w:r>
              <w:rPr>
                <w:rFonts w:ascii="Times New Roman" w:hAnsi="Times New Roman"/>
              </w:rPr>
              <w:t>是否涉及基本农田保护区</w:t>
            </w:r>
          </w:p>
        </w:tc>
        <w:tc>
          <w:tcPr>
            <w:tcW w:w="6059" w:type="dxa"/>
            <w:vAlign w:val="center"/>
          </w:tcPr>
          <w:p w14:paraId="648F1971">
            <w:pPr>
              <w:jc w:val="center"/>
              <w:rPr>
                <w:rFonts w:ascii="Times New Roman" w:hAnsi="Times New Roman"/>
                <w:spacing w:val="-2"/>
                <w:kern w:val="0"/>
                <w:szCs w:val="21"/>
              </w:rPr>
            </w:pPr>
            <w:r>
              <w:rPr>
                <w:rFonts w:ascii="Times New Roman" w:hAnsi="Times New Roman"/>
              </w:rPr>
              <w:t>不涉及</w:t>
            </w:r>
          </w:p>
        </w:tc>
      </w:tr>
      <w:tr w14:paraId="63FB64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227" w:type="dxa"/>
            <w:vAlign w:val="center"/>
          </w:tcPr>
          <w:p w14:paraId="21AB6390">
            <w:pPr>
              <w:jc w:val="center"/>
              <w:rPr>
                <w:rFonts w:ascii="Times New Roman" w:hAnsi="Times New Roman"/>
                <w:spacing w:val="-2"/>
                <w:kern w:val="0"/>
                <w:szCs w:val="21"/>
              </w:rPr>
            </w:pPr>
            <w:r>
              <w:rPr>
                <w:rFonts w:ascii="Times New Roman" w:hAnsi="Times New Roman"/>
              </w:rPr>
              <w:t>是否涉及风景名胜区</w:t>
            </w:r>
          </w:p>
        </w:tc>
        <w:tc>
          <w:tcPr>
            <w:tcW w:w="6059" w:type="dxa"/>
            <w:vAlign w:val="center"/>
          </w:tcPr>
          <w:p w14:paraId="47174D40">
            <w:pPr>
              <w:jc w:val="center"/>
              <w:rPr>
                <w:rFonts w:ascii="Times New Roman" w:hAnsi="Times New Roman"/>
                <w:spacing w:val="-2"/>
                <w:kern w:val="0"/>
                <w:szCs w:val="21"/>
              </w:rPr>
            </w:pPr>
            <w:r>
              <w:rPr>
                <w:rFonts w:ascii="Times New Roman" w:hAnsi="Times New Roman"/>
              </w:rPr>
              <w:t>不涉及</w:t>
            </w:r>
          </w:p>
        </w:tc>
      </w:tr>
      <w:tr w14:paraId="321435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227" w:type="dxa"/>
            <w:vAlign w:val="center"/>
          </w:tcPr>
          <w:p w14:paraId="3E3BD060">
            <w:pPr>
              <w:jc w:val="center"/>
              <w:rPr>
                <w:rFonts w:ascii="Times New Roman" w:hAnsi="Times New Roman"/>
                <w:spacing w:val="-2"/>
                <w:kern w:val="0"/>
                <w:szCs w:val="21"/>
              </w:rPr>
            </w:pPr>
            <w:r>
              <w:rPr>
                <w:rFonts w:ascii="Times New Roman" w:hAnsi="Times New Roman"/>
              </w:rPr>
              <w:t>是否涉及重要生态功能区</w:t>
            </w:r>
          </w:p>
        </w:tc>
        <w:tc>
          <w:tcPr>
            <w:tcW w:w="6059" w:type="dxa"/>
            <w:vAlign w:val="center"/>
          </w:tcPr>
          <w:p w14:paraId="17B5BCAF">
            <w:pPr>
              <w:jc w:val="center"/>
              <w:rPr>
                <w:rFonts w:ascii="Times New Roman" w:hAnsi="Times New Roman"/>
                <w:spacing w:val="-2"/>
                <w:kern w:val="0"/>
                <w:szCs w:val="21"/>
              </w:rPr>
            </w:pPr>
            <w:r>
              <w:rPr>
                <w:rFonts w:ascii="Times New Roman" w:hAnsi="Times New Roman"/>
              </w:rPr>
              <w:t>不涉及</w:t>
            </w:r>
          </w:p>
        </w:tc>
      </w:tr>
      <w:tr w14:paraId="310A08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227" w:type="dxa"/>
            <w:vAlign w:val="center"/>
          </w:tcPr>
          <w:p w14:paraId="4C61DEF4">
            <w:pPr>
              <w:jc w:val="center"/>
              <w:rPr>
                <w:rFonts w:ascii="Times New Roman" w:hAnsi="Times New Roman"/>
                <w:spacing w:val="-2"/>
                <w:kern w:val="0"/>
                <w:szCs w:val="21"/>
              </w:rPr>
            </w:pPr>
            <w:r>
              <w:rPr>
                <w:rFonts w:ascii="Times New Roman" w:hAnsi="Times New Roman"/>
              </w:rPr>
              <w:t>是否涉及重点文物保护单位</w:t>
            </w:r>
          </w:p>
        </w:tc>
        <w:tc>
          <w:tcPr>
            <w:tcW w:w="6059" w:type="dxa"/>
            <w:vAlign w:val="center"/>
          </w:tcPr>
          <w:p w14:paraId="61B327C8">
            <w:pPr>
              <w:jc w:val="center"/>
              <w:rPr>
                <w:rFonts w:ascii="Times New Roman" w:hAnsi="Times New Roman"/>
                <w:spacing w:val="-2"/>
                <w:kern w:val="0"/>
                <w:szCs w:val="21"/>
              </w:rPr>
            </w:pPr>
            <w:r>
              <w:rPr>
                <w:rFonts w:ascii="Times New Roman" w:hAnsi="Times New Roman"/>
              </w:rPr>
              <w:t>不涉及</w:t>
            </w:r>
          </w:p>
        </w:tc>
      </w:tr>
      <w:tr w14:paraId="516BE3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227" w:type="dxa"/>
            <w:vAlign w:val="center"/>
          </w:tcPr>
          <w:p w14:paraId="68E6F071">
            <w:pPr>
              <w:jc w:val="center"/>
              <w:rPr>
                <w:rFonts w:ascii="Times New Roman" w:hAnsi="Times New Roman"/>
                <w:spacing w:val="-2"/>
                <w:kern w:val="0"/>
                <w:szCs w:val="21"/>
              </w:rPr>
            </w:pPr>
            <w:r>
              <w:rPr>
                <w:rFonts w:ascii="Times New Roman" w:hAnsi="Times New Roman"/>
              </w:rPr>
              <w:t>是否涉及水库库区</w:t>
            </w:r>
          </w:p>
        </w:tc>
        <w:tc>
          <w:tcPr>
            <w:tcW w:w="6059" w:type="dxa"/>
            <w:vAlign w:val="center"/>
          </w:tcPr>
          <w:p w14:paraId="7EA3150F">
            <w:pPr>
              <w:jc w:val="center"/>
              <w:rPr>
                <w:rFonts w:ascii="Times New Roman" w:hAnsi="Times New Roman"/>
                <w:spacing w:val="-2"/>
                <w:kern w:val="0"/>
                <w:szCs w:val="21"/>
              </w:rPr>
            </w:pPr>
            <w:r>
              <w:rPr>
                <w:rFonts w:ascii="Times New Roman" w:hAnsi="Times New Roman"/>
              </w:rPr>
              <w:t>不涉及</w:t>
            </w:r>
          </w:p>
        </w:tc>
      </w:tr>
      <w:tr w14:paraId="1CCE63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227" w:type="dxa"/>
            <w:vAlign w:val="center"/>
          </w:tcPr>
          <w:p w14:paraId="3311D2EE">
            <w:pPr>
              <w:jc w:val="center"/>
              <w:rPr>
                <w:rFonts w:ascii="Times New Roman" w:hAnsi="Times New Roman"/>
                <w:spacing w:val="-2"/>
                <w:kern w:val="0"/>
                <w:szCs w:val="21"/>
              </w:rPr>
            </w:pPr>
            <w:r>
              <w:rPr>
                <w:rFonts w:ascii="Times New Roman" w:hAnsi="Times New Roman"/>
              </w:rPr>
              <w:t>是否污水处理厂集污范围</w:t>
            </w:r>
          </w:p>
        </w:tc>
        <w:tc>
          <w:tcPr>
            <w:tcW w:w="6059" w:type="dxa"/>
            <w:vAlign w:val="center"/>
          </w:tcPr>
          <w:p w14:paraId="4DD5C409">
            <w:pPr>
              <w:jc w:val="center"/>
              <w:rPr>
                <w:rFonts w:ascii="Times New Roman" w:hAnsi="Times New Roman"/>
                <w:spacing w:val="-2"/>
                <w:kern w:val="0"/>
                <w:szCs w:val="21"/>
              </w:rPr>
            </w:pPr>
            <w:r>
              <w:rPr>
                <w:rFonts w:hint="eastAsia" w:ascii="Times New Roman" w:hAnsi="Times New Roman"/>
              </w:rPr>
              <w:t>是，位于大榄坪污水处理厂集污范围</w:t>
            </w:r>
          </w:p>
        </w:tc>
      </w:tr>
      <w:tr w14:paraId="4DEF75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227" w:type="dxa"/>
            <w:vAlign w:val="center"/>
          </w:tcPr>
          <w:p w14:paraId="34C6B550">
            <w:pPr>
              <w:jc w:val="center"/>
              <w:rPr>
                <w:rFonts w:ascii="Times New Roman" w:hAnsi="Times New Roman"/>
                <w:spacing w:val="-2"/>
                <w:kern w:val="0"/>
                <w:szCs w:val="21"/>
              </w:rPr>
            </w:pPr>
            <w:r>
              <w:rPr>
                <w:rFonts w:ascii="Times New Roman" w:hAnsi="Times New Roman"/>
              </w:rPr>
              <w:t>是否有其它重点保护目标</w:t>
            </w:r>
          </w:p>
        </w:tc>
        <w:tc>
          <w:tcPr>
            <w:tcW w:w="6059" w:type="dxa"/>
            <w:vAlign w:val="center"/>
          </w:tcPr>
          <w:p w14:paraId="46267F53">
            <w:pPr>
              <w:jc w:val="center"/>
              <w:rPr>
                <w:rFonts w:ascii="Times New Roman" w:hAnsi="Times New Roman"/>
                <w:spacing w:val="-2"/>
                <w:kern w:val="0"/>
                <w:szCs w:val="21"/>
              </w:rPr>
            </w:pPr>
            <w:r>
              <w:rPr>
                <w:rFonts w:ascii="Times New Roman" w:hAnsi="Times New Roman"/>
              </w:rPr>
              <w:t>否，场区周边300m主要为生产物流混合用地</w:t>
            </w:r>
          </w:p>
        </w:tc>
      </w:tr>
    </w:tbl>
    <w:p w14:paraId="7668B01B">
      <w:pPr>
        <w:widowControl/>
        <w:overflowPunct w:val="0"/>
        <w:autoSpaceDE w:val="0"/>
        <w:autoSpaceDN w:val="0"/>
        <w:adjustRightInd w:val="0"/>
        <w:spacing w:line="360" w:lineRule="auto"/>
        <w:ind w:firstLine="414" w:firstLineChars="200"/>
        <w:rPr>
          <w:rFonts w:ascii="Times New Roman" w:hAnsi="Times New Roman"/>
          <w:b/>
          <w:spacing w:val="-2"/>
          <w:kern w:val="0"/>
          <w:szCs w:val="21"/>
        </w:rPr>
      </w:pPr>
    </w:p>
    <w:p w14:paraId="2938E89B">
      <w:pPr>
        <w:pStyle w:val="5"/>
      </w:pPr>
      <w:bookmarkStart w:id="58" w:name="_Toc22218"/>
      <w:r>
        <w:t>环境影响识别及评价因子筛选</w:t>
      </w:r>
      <w:bookmarkEnd w:id="58"/>
    </w:p>
    <w:p w14:paraId="07405243">
      <w:pPr>
        <w:pStyle w:val="6"/>
      </w:pPr>
      <w:r>
        <w:t>环境影响识别</w:t>
      </w:r>
    </w:p>
    <w:p w14:paraId="49A0808C">
      <w:pPr>
        <w:widowControl/>
        <w:overflowPunct w:val="0"/>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根据本项目特点和主要环境问题识别结果，采用矩阵法对可能受本项目影响的环境要素进行识别和筛选。项目对环境可能造成的主要影响是：施工期场地内运输车辆、施工机械产生的噪声、扬尘等；营运期主要是烘干炉废气、粉尘、生活污水、噪声、</w:t>
      </w:r>
      <w:r>
        <w:rPr>
          <w:rFonts w:hint="eastAsia" w:ascii="Times New Roman" w:hAnsi="Times New Roman"/>
          <w:spacing w:val="-2"/>
          <w:kern w:val="0"/>
          <w:sz w:val="24"/>
          <w:szCs w:val="24"/>
        </w:rPr>
        <w:t>灰渣</w:t>
      </w:r>
      <w:r>
        <w:rPr>
          <w:rFonts w:ascii="Times New Roman" w:hAnsi="Times New Roman"/>
          <w:spacing w:val="-2"/>
          <w:kern w:val="0"/>
          <w:sz w:val="24"/>
          <w:szCs w:val="24"/>
        </w:rPr>
        <w:t>等对环境的影响。项目在施工期对环境产生的影响是不利的，但此类影响是短期的；项目投入营运后，其在营运期内产生的各类污染物对环境的影响将通过采取有效地控制后，这些不利影响因素可有效削减，识别结果详见表1.3-1。</w:t>
      </w:r>
    </w:p>
    <w:p w14:paraId="2D705B25">
      <w:pPr>
        <w:pStyle w:val="8"/>
        <w:rPr>
          <w:sz w:val="24"/>
          <w:szCs w:val="24"/>
        </w:rPr>
      </w:pPr>
      <w:r>
        <w:rPr>
          <w:sz w:val="24"/>
          <w:szCs w:val="24"/>
        </w:rPr>
        <w:t>拟建项目环境影响识别</w:t>
      </w:r>
    </w:p>
    <w:tbl>
      <w:tblPr>
        <w:tblStyle w:val="88"/>
        <w:tblW w:w="928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6"/>
        <w:gridCol w:w="1642"/>
        <w:gridCol w:w="925"/>
        <w:gridCol w:w="925"/>
        <w:gridCol w:w="1164"/>
        <w:gridCol w:w="927"/>
        <w:gridCol w:w="925"/>
        <w:gridCol w:w="925"/>
        <w:gridCol w:w="927"/>
      </w:tblGrid>
      <w:tr w14:paraId="43924C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926" w:type="dxa"/>
            <w:vMerge w:val="restart"/>
            <w:vAlign w:val="center"/>
          </w:tcPr>
          <w:p w14:paraId="4A655D94">
            <w:pPr>
              <w:widowControl/>
              <w:overflowPunct w:val="0"/>
              <w:autoSpaceDE w:val="0"/>
              <w:autoSpaceDN w:val="0"/>
              <w:adjustRightInd w:val="0"/>
              <w:jc w:val="center"/>
              <w:rPr>
                <w:rFonts w:ascii="Times New Roman" w:hAnsi="Times New Roman"/>
                <w:b/>
                <w:bCs/>
                <w:spacing w:val="-2"/>
                <w:kern w:val="0"/>
                <w:szCs w:val="21"/>
              </w:rPr>
            </w:pPr>
            <w:r>
              <w:rPr>
                <w:rFonts w:ascii="Times New Roman" w:hAnsi="Times New Roman"/>
                <w:b/>
                <w:bCs/>
                <w:spacing w:val="-2"/>
                <w:kern w:val="0"/>
                <w:szCs w:val="21"/>
              </w:rPr>
              <w:t>要素</w:t>
            </w:r>
          </w:p>
        </w:tc>
        <w:tc>
          <w:tcPr>
            <w:tcW w:w="1642" w:type="dxa"/>
            <w:vMerge w:val="restart"/>
            <w:vAlign w:val="center"/>
          </w:tcPr>
          <w:p w14:paraId="2DC3C704">
            <w:pPr>
              <w:widowControl/>
              <w:overflowPunct w:val="0"/>
              <w:autoSpaceDE w:val="0"/>
              <w:autoSpaceDN w:val="0"/>
              <w:adjustRightInd w:val="0"/>
              <w:jc w:val="center"/>
              <w:rPr>
                <w:rFonts w:ascii="Times New Roman" w:hAnsi="Times New Roman"/>
                <w:b/>
                <w:bCs/>
                <w:spacing w:val="-2"/>
                <w:kern w:val="0"/>
                <w:szCs w:val="21"/>
              </w:rPr>
            </w:pPr>
            <w:r>
              <w:rPr>
                <w:rFonts w:ascii="Times New Roman" w:hAnsi="Times New Roman"/>
                <w:b/>
                <w:bCs/>
                <w:spacing w:val="-2"/>
                <w:kern w:val="0"/>
                <w:szCs w:val="21"/>
              </w:rPr>
              <w:t>影响因子</w:t>
            </w:r>
          </w:p>
        </w:tc>
        <w:tc>
          <w:tcPr>
            <w:tcW w:w="3941" w:type="dxa"/>
            <w:gridSpan w:val="4"/>
            <w:vAlign w:val="center"/>
          </w:tcPr>
          <w:p w14:paraId="4AB6AC89">
            <w:pPr>
              <w:widowControl/>
              <w:overflowPunct w:val="0"/>
              <w:autoSpaceDE w:val="0"/>
              <w:autoSpaceDN w:val="0"/>
              <w:adjustRightInd w:val="0"/>
              <w:jc w:val="center"/>
              <w:rPr>
                <w:rFonts w:ascii="Times New Roman" w:hAnsi="Times New Roman"/>
                <w:b/>
                <w:bCs/>
                <w:spacing w:val="-2"/>
                <w:kern w:val="0"/>
                <w:szCs w:val="21"/>
              </w:rPr>
            </w:pPr>
            <w:r>
              <w:rPr>
                <w:rFonts w:ascii="Times New Roman" w:hAnsi="Times New Roman"/>
                <w:b/>
                <w:bCs/>
                <w:spacing w:val="-2"/>
                <w:kern w:val="0"/>
                <w:szCs w:val="21"/>
              </w:rPr>
              <w:t>施工期</w:t>
            </w:r>
          </w:p>
        </w:tc>
        <w:tc>
          <w:tcPr>
            <w:tcW w:w="2777" w:type="dxa"/>
            <w:gridSpan w:val="3"/>
            <w:vAlign w:val="center"/>
          </w:tcPr>
          <w:p w14:paraId="5D05D391">
            <w:pPr>
              <w:widowControl/>
              <w:overflowPunct w:val="0"/>
              <w:autoSpaceDE w:val="0"/>
              <w:autoSpaceDN w:val="0"/>
              <w:adjustRightInd w:val="0"/>
              <w:jc w:val="center"/>
              <w:rPr>
                <w:rFonts w:ascii="Times New Roman" w:hAnsi="Times New Roman"/>
                <w:b/>
                <w:bCs/>
                <w:spacing w:val="-2"/>
                <w:kern w:val="0"/>
                <w:szCs w:val="21"/>
              </w:rPr>
            </w:pPr>
            <w:r>
              <w:rPr>
                <w:rFonts w:ascii="Times New Roman" w:hAnsi="Times New Roman"/>
                <w:b/>
                <w:bCs/>
                <w:spacing w:val="-2"/>
                <w:kern w:val="0"/>
                <w:szCs w:val="21"/>
              </w:rPr>
              <w:t>营运期</w:t>
            </w:r>
          </w:p>
        </w:tc>
      </w:tr>
      <w:tr w14:paraId="22B241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926" w:type="dxa"/>
            <w:vMerge w:val="continue"/>
            <w:vAlign w:val="center"/>
          </w:tcPr>
          <w:p w14:paraId="5E944B02">
            <w:pPr>
              <w:widowControl/>
              <w:overflowPunct w:val="0"/>
              <w:autoSpaceDE w:val="0"/>
              <w:autoSpaceDN w:val="0"/>
              <w:adjustRightInd w:val="0"/>
              <w:jc w:val="center"/>
              <w:rPr>
                <w:rFonts w:ascii="Times New Roman" w:hAnsi="Times New Roman"/>
                <w:b/>
                <w:bCs/>
                <w:spacing w:val="-2"/>
                <w:kern w:val="0"/>
                <w:szCs w:val="21"/>
              </w:rPr>
            </w:pPr>
          </w:p>
        </w:tc>
        <w:tc>
          <w:tcPr>
            <w:tcW w:w="1642" w:type="dxa"/>
            <w:vMerge w:val="continue"/>
            <w:vAlign w:val="center"/>
          </w:tcPr>
          <w:p w14:paraId="7A0E7479">
            <w:pPr>
              <w:widowControl/>
              <w:overflowPunct w:val="0"/>
              <w:autoSpaceDE w:val="0"/>
              <w:autoSpaceDN w:val="0"/>
              <w:adjustRightInd w:val="0"/>
              <w:jc w:val="center"/>
              <w:rPr>
                <w:rFonts w:ascii="Times New Roman" w:hAnsi="Times New Roman"/>
                <w:b/>
                <w:bCs/>
                <w:spacing w:val="-2"/>
                <w:kern w:val="0"/>
                <w:szCs w:val="21"/>
              </w:rPr>
            </w:pPr>
          </w:p>
        </w:tc>
        <w:tc>
          <w:tcPr>
            <w:tcW w:w="925" w:type="dxa"/>
            <w:vAlign w:val="center"/>
          </w:tcPr>
          <w:p w14:paraId="1797439D">
            <w:pPr>
              <w:widowControl/>
              <w:overflowPunct w:val="0"/>
              <w:autoSpaceDE w:val="0"/>
              <w:autoSpaceDN w:val="0"/>
              <w:adjustRightInd w:val="0"/>
              <w:jc w:val="center"/>
              <w:rPr>
                <w:rFonts w:ascii="Times New Roman" w:hAnsi="Times New Roman"/>
                <w:b/>
                <w:bCs/>
                <w:spacing w:val="-2"/>
                <w:kern w:val="0"/>
                <w:szCs w:val="21"/>
              </w:rPr>
            </w:pPr>
            <w:r>
              <w:rPr>
                <w:rFonts w:ascii="Times New Roman" w:hAnsi="Times New Roman"/>
                <w:b/>
                <w:bCs/>
                <w:spacing w:val="-2"/>
                <w:kern w:val="0"/>
                <w:szCs w:val="21"/>
              </w:rPr>
              <w:t>物料</w:t>
            </w:r>
          </w:p>
          <w:p w14:paraId="2109A90A">
            <w:pPr>
              <w:widowControl/>
              <w:overflowPunct w:val="0"/>
              <w:autoSpaceDE w:val="0"/>
              <w:autoSpaceDN w:val="0"/>
              <w:adjustRightInd w:val="0"/>
              <w:jc w:val="center"/>
              <w:rPr>
                <w:rFonts w:ascii="Times New Roman" w:hAnsi="Times New Roman"/>
                <w:b/>
                <w:bCs/>
                <w:spacing w:val="-2"/>
                <w:kern w:val="0"/>
                <w:szCs w:val="21"/>
              </w:rPr>
            </w:pPr>
            <w:r>
              <w:rPr>
                <w:rFonts w:ascii="Times New Roman" w:hAnsi="Times New Roman"/>
                <w:b/>
                <w:bCs/>
                <w:spacing w:val="-2"/>
                <w:kern w:val="0"/>
                <w:szCs w:val="21"/>
              </w:rPr>
              <w:t>运输</w:t>
            </w:r>
          </w:p>
        </w:tc>
        <w:tc>
          <w:tcPr>
            <w:tcW w:w="925" w:type="dxa"/>
            <w:vAlign w:val="center"/>
          </w:tcPr>
          <w:p w14:paraId="0AA6B7A8">
            <w:pPr>
              <w:widowControl/>
              <w:overflowPunct w:val="0"/>
              <w:autoSpaceDE w:val="0"/>
              <w:autoSpaceDN w:val="0"/>
              <w:adjustRightInd w:val="0"/>
              <w:jc w:val="center"/>
              <w:rPr>
                <w:rFonts w:ascii="Times New Roman" w:hAnsi="Times New Roman"/>
                <w:b/>
                <w:bCs/>
                <w:spacing w:val="-2"/>
                <w:kern w:val="0"/>
                <w:szCs w:val="21"/>
              </w:rPr>
            </w:pPr>
            <w:r>
              <w:rPr>
                <w:rFonts w:ascii="Times New Roman" w:hAnsi="Times New Roman"/>
                <w:b/>
                <w:bCs/>
                <w:spacing w:val="-2"/>
                <w:kern w:val="0"/>
                <w:szCs w:val="21"/>
              </w:rPr>
              <w:t>基础</w:t>
            </w:r>
          </w:p>
          <w:p w14:paraId="38E06566">
            <w:pPr>
              <w:widowControl/>
              <w:overflowPunct w:val="0"/>
              <w:autoSpaceDE w:val="0"/>
              <w:autoSpaceDN w:val="0"/>
              <w:adjustRightInd w:val="0"/>
              <w:jc w:val="center"/>
              <w:rPr>
                <w:rFonts w:ascii="Times New Roman" w:hAnsi="Times New Roman"/>
                <w:b/>
                <w:bCs/>
                <w:spacing w:val="-2"/>
                <w:kern w:val="0"/>
                <w:szCs w:val="21"/>
              </w:rPr>
            </w:pPr>
            <w:r>
              <w:rPr>
                <w:rFonts w:ascii="Times New Roman" w:hAnsi="Times New Roman"/>
                <w:b/>
                <w:bCs/>
                <w:spacing w:val="-2"/>
                <w:kern w:val="0"/>
                <w:szCs w:val="21"/>
              </w:rPr>
              <w:t>设施</w:t>
            </w:r>
          </w:p>
        </w:tc>
        <w:tc>
          <w:tcPr>
            <w:tcW w:w="1164" w:type="dxa"/>
            <w:vAlign w:val="center"/>
          </w:tcPr>
          <w:p w14:paraId="139ECAD5">
            <w:pPr>
              <w:widowControl/>
              <w:overflowPunct w:val="0"/>
              <w:autoSpaceDE w:val="0"/>
              <w:autoSpaceDN w:val="0"/>
              <w:adjustRightInd w:val="0"/>
              <w:jc w:val="center"/>
              <w:rPr>
                <w:rFonts w:ascii="Times New Roman" w:hAnsi="Times New Roman"/>
                <w:b/>
                <w:bCs/>
                <w:spacing w:val="-2"/>
                <w:kern w:val="0"/>
                <w:szCs w:val="21"/>
              </w:rPr>
            </w:pPr>
            <w:r>
              <w:rPr>
                <w:rFonts w:ascii="Times New Roman" w:hAnsi="Times New Roman"/>
                <w:b/>
                <w:bCs/>
                <w:spacing w:val="-2"/>
                <w:kern w:val="0"/>
                <w:szCs w:val="21"/>
              </w:rPr>
              <w:t>施工人</w:t>
            </w:r>
          </w:p>
          <w:p w14:paraId="4DD7F983">
            <w:pPr>
              <w:widowControl/>
              <w:overflowPunct w:val="0"/>
              <w:autoSpaceDE w:val="0"/>
              <w:autoSpaceDN w:val="0"/>
              <w:adjustRightInd w:val="0"/>
              <w:jc w:val="center"/>
              <w:rPr>
                <w:rFonts w:ascii="Times New Roman" w:hAnsi="Times New Roman"/>
                <w:b/>
                <w:bCs/>
                <w:spacing w:val="-2"/>
                <w:kern w:val="0"/>
                <w:szCs w:val="21"/>
              </w:rPr>
            </w:pPr>
            <w:r>
              <w:rPr>
                <w:rFonts w:ascii="Times New Roman" w:hAnsi="Times New Roman"/>
                <w:b/>
                <w:bCs/>
                <w:spacing w:val="-2"/>
                <w:kern w:val="0"/>
                <w:szCs w:val="21"/>
              </w:rPr>
              <w:t>员生活</w:t>
            </w:r>
          </w:p>
        </w:tc>
        <w:tc>
          <w:tcPr>
            <w:tcW w:w="927" w:type="dxa"/>
            <w:vAlign w:val="center"/>
          </w:tcPr>
          <w:p w14:paraId="718BEFE7">
            <w:pPr>
              <w:widowControl/>
              <w:overflowPunct w:val="0"/>
              <w:autoSpaceDE w:val="0"/>
              <w:autoSpaceDN w:val="0"/>
              <w:adjustRightInd w:val="0"/>
              <w:jc w:val="center"/>
              <w:rPr>
                <w:rFonts w:ascii="Times New Roman" w:hAnsi="Times New Roman"/>
                <w:b/>
                <w:bCs/>
                <w:spacing w:val="-2"/>
                <w:kern w:val="0"/>
                <w:szCs w:val="21"/>
              </w:rPr>
            </w:pPr>
            <w:r>
              <w:rPr>
                <w:rFonts w:ascii="Times New Roman" w:hAnsi="Times New Roman"/>
                <w:b/>
                <w:bCs/>
                <w:spacing w:val="-2"/>
                <w:kern w:val="0"/>
                <w:szCs w:val="21"/>
              </w:rPr>
              <w:t>设备</w:t>
            </w:r>
          </w:p>
          <w:p w14:paraId="207F5E8A">
            <w:pPr>
              <w:widowControl/>
              <w:overflowPunct w:val="0"/>
              <w:autoSpaceDE w:val="0"/>
              <w:autoSpaceDN w:val="0"/>
              <w:adjustRightInd w:val="0"/>
              <w:jc w:val="center"/>
              <w:rPr>
                <w:rFonts w:ascii="Times New Roman" w:hAnsi="Times New Roman"/>
                <w:b/>
                <w:bCs/>
                <w:spacing w:val="-2"/>
                <w:kern w:val="0"/>
                <w:szCs w:val="21"/>
              </w:rPr>
            </w:pPr>
            <w:r>
              <w:rPr>
                <w:rFonts w:ascii="Times New Roman" w:hAnsi="Times New Roman"/>
                <w:b/>
                <w:bCs/>
                <w:spacing w:val="-2"/>
                <w:kern w:val="0"/>
                <w:szCs w:val="21"/>
              </w:rPr>
              <w:t>安装</w:t>
            </w:r>
          </w:p>
        </w:tc>
        <w:tc>
          <w:tcPr>
            <w:tcW w:w="925" w:type="dxa"/>
            <w:vAlign w:val="center"/>
          </w:tcPr>
          <w:p w14:paraId="515AA415">
            <w:pPr>
              <w:widowControl/>
              <w:overflowPunct w:val="0"/>
              <w:autoSpaceDE w:val="0"/>
              <w:autoSpaceDN w:val="0"/>
              <w:adjustRightInd w:val="0"/>
              <w:jc w:val="center"/>
              <w:rPr>
                <w:rFonts w:ascii="Times New Roman" w:hAnsi="Times New Roman"/>
                <w:b/>
                <w:bCs/>
                <w:spacing w:val="-2"/>
                <w:kern w:val="0"/>
                <w:szCs w:val="21"/>
              </w:rPr>
            </w:pPr>
            <w:r>
              <w:rPr>
                <w:rFonts w:ascii="Times New Roman" w:hAnsi="Times New Roman"/>
                <w:b/>
                <w:bCs/>
                <w:spacing w:val="-2"/>
                <w:kern w:val="0"/>
                <w:szCs w:val="21"/>
              </w:rPr>
              <w:t>车间</w:t>
            </w:r>
          </w:p>
          <w:p w14:paraId="1D558C34">
            <w:pPr>
              <w:widowControl/>
              <w:overflowPunct w:val="0"/>
              <w:autoSpaceDE w:val="0"/>
              <w:autoSpaceDN w:val="0"/>
              <w:adjustRightInd w:val="0"/>
              <w:jc w:val="center"/>
              <w:rPr>
                <w:rFonts w:ascii="Times New Roman" w:hAnsi="Times New Roman"/>
                <w:b/>
                <w:bCs/>
                <w:spacing w:val="-2"/>
                <w:kern w:val="0"/>
                <w:szCs w:val="21"/>
              </w:rPr>
            </w:pPr>
            <w:r>
              <w:rPr>
                <w:rFonts w:ascii="Times New Roman" w:hAnsi="Times New Roman"/>
                <w:b/>
                <w:bCs/>
                <w:spacing w:val="-2"/>
                <w:kern w:val="0"/>
                <w:szCs w:val="21"/>
              </w:rPr>
              <w:t>生产</w:t>
            </w:r>
          </w:p>
        </w:tc>
        <w:tc>
          <w:tcPr>
            <w:tcW w:w="925" w:type="dxa"/>
            <w:vAlign w:val="center"/>
          </w:tcPr>
          <w:p w14:paraId="75F060CF">
            <w:pPr>
              <w:widowControl/>
              <w:overflowPunct w:val="0"/>
              <w:autoSpaceDE w:val="0"/>
              <w:autoSpaceDN w:val="0"/>
              <w:adjustRightInd w:val="0"/>
              <w:jc w:val="center"/>
              <w:rPr>
                <w:rFonts w:ascii="Times New Roman" w:hAnsi="Times New Roman"/>
                <w:b/>
                <w:bCs/>
                <w:spacing w:val="-2"/>
                <w:kern w:val="0"/>
                <w:szCs w:val="21"/>
              </w:rPr>
            </w:pPr>
            <w:r>
              <w:rPr>
                <w:rFonts w:ascii="Times New Roman" w:hAnsi="Times New Roman"/>
                <w:b/>
                <w:bCs/>
                <w:spacing w:val="-2"/>
                <w:kern w:val="0"/>
                <w:szCs w:val="21"/>
              </w:rPr>
              <w:t>交通</w:t>
            </w:r>
          </w:p>
          <w:p w14:paraId="21BECEB3">
            <w:pPr>
              <w:widowControl/>
              <w:overflowPunct w:val="0"/>
              <w:autoSpaceDE w:val="0"/>
              <w:autoSpaceDN w:val="0"/>
              <w:adjustRightInd w:val="0"/>
              <w:jc w:val="center"/>
              <w:rPr>
                <w:rFonts w:ascii="Times New Roman" w:hAnsi="Times New Roman"/>
                <w:b/>
                <w:bCs/>
                <w:spacing w:val="-2"/>
                <w:kern w:val="0"/>
                <w:szCs w:val="21"/>
              </w:rPr>
            </w:pPr>
            <w:r>
              <w:rPr>
                <w:rFonts w:ascii="Times New Roman" w:hAnsi="Times New Roman"/>
                <w:b/>
                <w:bCs/>
                <w:spacing w:val="-2"/>
                <w:kern w:val="0"/>
                <w:szCs w:val="21"/>
              </w:rPr>
              <w:t>运输</w:t>
            </w:r>
          </w:p>
        </w:tc>
        <w:tc>
          <w:tcPr>
            <w:tcW w:w="927" w:type="dxa"/>
            <w:vAlign w:val="center"/>
          </w:tcPr>
          <w:p w14:paraId="300C7947">
            <w:pPr>
              <w:widowControl/>
              <w:overflowPunct w:val="0"/>
              <w:autoSpaceDE w:val="0"/>
              <w:autoSpaceDN w:val="0"/>
              <w:adjustRightInd w:val="0"/>
              <w:jc w:val="center"/>
              <w:rPr>
                <w:rFonts w:ascii="Times New Roman" w:hAnsi="Times New Roman"/>
                <w:b/>
                <w:bCs/>
                <w:spacing w:val="-2"/>
                <w:kern w:val="0"/>
                <w:szCs w:val="21"/>
              </w:rPr>
            </w:pPr>
            <w:r>
              <w:rPr>
                <w:rFonts w:ascii="Times New Roman" w:hAnsi="Times New Roman"/>
                <w:b/>
                <w:bCs/>
                <w:spacing w:val="-2"/>
                <w:kern w:val="0"/>
                <w:szCs w:val="21"/>
              </w:rPr>
              <w:t>职工</w:t>
            </w:r>
          </w:p>
          <w:p w14:paraId="699560DF">
            <w:pPr>
              <w:widowControl/>
              <w:overflowPunct w:val="0"/>
              <w:autoSpaceDE w:val="0"/>
              <w:autoSpaceDN w:val="0"/>
              <w:adjustRightInd w:val="0"/>
              <w:jc w:val="center"/>
              <w:rPr>
                <w:rFonts w:ascii="Times New Roman" w:hAnsi="Times New Roman"/>
                <w:b/>
                <w:bCs/>
                <w:spacing w:val="-2"/>
                <w:kern w:val="0"/>
                <w:szCs w:val="21"/>
              </w:rPr>
            </w:pPr>
            <w:r>
              <w:rPr>
                <w:rFonts w:ascii="Times New Roman" w:hAnsi="Times New Roman"/>
                <w:b/>
                <w:bCs/>
                <w:spacing w:val="-2"/>
                <w:kern w:val="0"/>
                <w:szCs w:val="21"/>
              </w:rPr>
              <w:t>生活</w:t>
            </w:r>
          </w:p>
        </w:tc>
      </w:tr>
      <w:tr w14:paraId="346546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26" w:type="dxa"/>
            <w:vMerge w:val="restart"/>
            <w:vAlign w:val="center"/>
          </w:tcPr>
          <w:p w14:paraId="2B7B1FFC">
            <w:pPr>
              <w:widowControl/>
              <w:overflowPunct w:val="0"/>
              <w:autoSpaceDE w:val="0"/>
              <w:autoSpaceDN w:val="0"/>
              <w:adjustRightInd w:val="0"/>
              <w:jc w:val="center"/>
              <w:rPr>
                <w:rFonts w:ascii="Times New Roman" w:hAnsi="Times New Roman"/>
                <w:spacing w:val="-2"/>
                <w:kern w:val="0"/>
                <w:szCs w:val="21"/>
              </w:rPr>
            </w:pPr>
            <w:r>
              <w:rPr>
                <w:rFonts w:ascii="Times New Roman" w:hAnsi="Times New Roman"/>
                <w:spacing w:val="-2"/>
                <w:kern w:val="0"/>
                <w:szCs w:val="21"/>
              </w:rPr>
              <w:t>自然</w:t>
            </w:r>
          </w:p>
          <w:p w14:paraId="2D86C8B6">
            <w:pPr>
              <w:widowControl/>
              <w:overflowPunct w:val="0"/>
              <w:autoSpaceDE w:val="0"/>
              <w:autoSpaceDN w:val="0"/>
              <w:adjustRightInd w:val="0"/>
              <w:jc w:val="center"/>
              <w:rPr>
                <w:rFonts w:ascii="Times New Roman" w:hAnsi="Times New Roman"/>
                <w:spacing w:val="-2"/>
                <w:kern w:val="0"/>
                <w:szCs w:val="21"/>
              </w:rPr>
            </w:pPr>
            <w:r>
              <w:rPr>
                <w:rFonts w:ascii="Times New Roman" w:hAnsi="Times New Roman"/>
                <w:spacing w:val="-2"/>
                <w:kern w:val="0"/>
                <w:szCs w:val="21"/>
              </w:rPr>
              <w:t>环境</w:t>
            </w:r>
          </w:p>
        </w:tc>
        <w:tc>
          <w:tcPr>
            <w:tcW w:w="1642" w:type="dxa"/>
            <w:vAlign w:val="center"/>
          </w:tcPr>
          <w:p w14:paraId="26CEB081">
            <w:pPr>
              <w:widowControl/>
              <w:overflowPunct w:val="0"/>
              <w:autoSpaceDE w:val="0"/>
              <w:autoSpaceDN w:val="0"/>
              <w:adjustRightInd w:val="0"/>
              <w:jc w:val="center"/>
              <w:rPr>
                <w:rFonts w:ascii="Times New Roman" w:hAnsi="Times New Roman"/>
                <w:spacing w:val="-2"/>
                <w:kern w:val="0"/>
                <w:szCs w:val="21"/>
              </w:rPr>
            </w:pPr>
            <w:r>
              <w:rPr>
                <w:rFonts w:ascii="Times New Roman" w:hAnsi="Times New Roman"/>
                <w:spacing w:val="-2"/>
                <w:kern w:val="0"/>
                <w:szCs w:val="21"/>
              </w:rPr>
              <w:t>环境空气</w:t>
            </w:r>
          </w:p>
        </w:tc>
        <w:tc>
          <w:tcPr>
            <w:tcW w:w="925" w:type="dxa"/>
            <w:vAlign w:val="center"/>
          </w:tcPr>
          <w:p w14:paraId="62561C27">
            <w:pPr>
              <w:widowControl/>
              <w:overflowPunct w:val="0"/>
              <w:autoSpaceDE w:val="0"/>
              <w:autoSpaceDN w:val="0"/>
              <w:adjustRightInd w:val="0"/>
              <w:jc w:val="center"/>
              <w:rPr>
                <w:rFonts w:ascii="Times New Roman" w:hAnsi="Times New Roman"/>
                <w:spacing w:val="-2"/>
                <w:kern w:val="0"/>
                <w:szCs w:val="21"/>
              </w:rPr>
            </w:pPr>
          </w:p>
        </w:tc>
        <w:tc>
          <w:tcPr>
            <w:tcW w:w="925" w:type="dxa"/>
            <w:vAlign w:val="center"/>
          </w:tcPr>
          <w:p w14:paraId="1C82F576">
            <w:pPr>
              <w:widowControl/>
              <w:overflowPunct w:val="0"/>
              <w:autoSpaceDE w:val="0"/>
              <w:autoSpaceDN w:val="0"/>
              <w:adjustRightInd w:val="0"/>
              <w:jc w:val="center"/>
              <w:rPr>
                <w:rFonts w:ascii="Times New Roman" w:hAnsi="Times New Roman"/>
                <w:spacing w:val="-2"/>
                <w:kern w:val="0"/>
                <w:szCs w:val="21"/>
              </w:rPr>
            </w:pPr>
          </w:p>
        </w:tc>
        <w:tc>
          <w:tcPr>
            <w:tcW w:w="1164" w:type="dxa"/>
            <w:vAlign w:val="center"/>
          </w:tcPr>
          <w:p w14:paraId="670F7BEB">
            <w:pPr>
              <w:widowControl/>
              <w:overflowPunct w:val="0"/>
              <w:autoSpaceDE w:val="0"/>
              <w:autoSpaceDN w:val="0"/>
              <w:adjustRightInd w:val="0"/>
              <w:jc w:val="center"/>
              <w:rPr>
                <w:rFonts w:ascii="Times New Roman" w:hAnsi="Times New Roman"/>
                <w:spacing w:val="-2"/>
                <w:kern w:val="0"/>
                <w:szCs w:val="21"/>
              </w:rPr>
            </w:pPr>
          </w:p>
        </w:tc>
        <w:tc>
          <w:tcPr>
            <w:tcW w:w="927" w:type="dxa"/>
            <w:vAlign w:val="center"/>
          </w:tcPr>
          <w:p w14:paraId="5811CE38">
            <w:pPr>
              <w:widowControl/>
              <w:overflowPunct w:val="0"/>
              <w:autoSpaceDE w:val="0"/>
              <w:autoSpaceDN w:val="0"/>
              <w:adjustRightInd w:val="0"/>
              <w:jc w:val="center"/>
              <w:rPr>
                <w:rFonts w:ascii="Times New Roman" w:hAnsi="Times New Roman"/>
                <w:spacing w:val="-2"/>
                <w:kern w:val="0"/>
                <w:szCs w:val="21"/>
              </w:rPr>
            </w:pPr>
            <w:r>
              <w:rPr>
                <w:rFonts w:ascii="Times New Roman" w:hAnsi="Times New Roman"/>
                <w:spacing w:val="-2"/>
                <w:kern w:val="0"/>
                <w:szCs w:val="21"/>
              </w:rPr>
              <w:t>▲1</w:t>
            </w:r>
          </w:p>
        </w:tc>
        <w:tc>
          <w:tcPr>
            <w:tcW w:w="925" w:type="dxa"/>
            <w:vAlign w:val="center"/>
          </w:tcPr>
          <w:p w14:paraId="3E21311B">
            <w:pPr>
              <w:widowControl/>
              <w:overflowPunct w:val="0"/>
              <w:autoSpaceDE w:val="0"/>
              <w:autoSpaceDN w:val="0"/>
              <w:adjustRightInd w:val="0"/>
              <w:jc w:val="center"/>
              <w:rPr>
                <w:rFonts w:ascii="Times New Roman" w:hAnsi="Times New Roman"/>
                <w:spacing w:val="-2"/>
                <w:kern w:val="0"/>
                <w:szCs w:val="21"/>
              </w:rPr>
            </w:pPr>
            <w:r>
              <w:rPr>
                <w:rFonts w:ascii="Times New Roman" w:hAnsi="Times New Roman"/>
                <w:spacing w:val="-2"/>
                <w:kern w:val="0"/>
                <w:szCs w:val="21"/>
              </w:rPr>
              <w:t>■1</w:t>
            </w:r>
          </w:p>
        </w:tc>
        <w:tc>
          <w:tcPr>
            <w:tcW w:w="925" w:type="dxa"/>
            <w:vAlign w:val="center"/>
          </w:tcPr>
          <w:p w14:paraId="1A65AED4">
            <w:pPr>
              <w:widowControl/>
              <w:overflowPunct w:val="0"/>
              <w:autoSpaceDE w:val="0"/>
              <w:autoSpaceDN w:val="0"/>
              <w:adjustRightInd w:val="0"/>
              <w:jc w:val="center"/>
              <w:rPr>
                <w:rFonts w:ascii="Times New Roman" w:hAnsi="Times New Roman"/>
                <w:spacing w:val="-2"/>
                <w:kern w:val="0"/>
                <w:szCs w:val="21"/>
              </w:rPr>
            </w:pPr>
            <w:r>
              <w:rPr>
                <w:rFonts w:ascii="Times New Roman" w:hAnsi="Times New Roman"/>
                <w:spacing w:val="-2"/>
                <w:kern w:val="0"/>
                <w:szCs w:val="21"/>
              </w:rPr>
              <w:t>■1</w:t>
            </w:r>
          </w:p>
        </w:tc>
        <w:tc>
          <w:tcPr>
            <w:tcW w:w="927" w:type="dxa"/>
            <w:vAlign w:val="center"/>
          </w:tcPr>
          <w:p w14:paraId="49F0C292">
            <w:pPr>
              <w:widowControl/>
              <w:overflowPunct w:val="0"/>
              <w:autoSpaceDE w:val="0"/>
              <w:autoSpaceDN w:val="0"/>
              <w:adjustRightInd w:val="0"/>
              <w:jc w:val="center"/>
              <w:rPr>
                <w:rFonts w:ascii="Times New Roman" w:hAnsi="Times New Roman"/>
                <w:spacing w:val="-2"/>
                <w:kern w:val="0"/>
                <w:szCs w:val="21"/>
              </w:rPr>
            </w:pPr>
          </w:p>
        </w:tc>
      </w:tr>
      <w:tr w14:paraId="4938F5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26" w:type="dxa"/>
            <w:vMerge w:val="continue"/>
            <w:vAlign w:val="center"/>
          </w:tcPr>
          <w:p w14:paraId="2C596E81">
            <w:pPr>
              <w:widowControl/>
              <w:overflowPunct w:val="0"/>
              <w:autoSpaceDE w:val="0"/>
              <w:autoSpaceDN w:val="0"/>
              <w:adjustRightInd w:val="0"/>
              <w:jc w:val="center"/>
              <w:rPr>
                <w:rFonts w:ascii="Times New Roman" w:hAnsi="Times New Roman"/>
                <w:spacing w:val="-2"/>
                <w:kern w:val="0"/>
                <w:szCs w:val="21"/>
              </w:rPr>
            </w:pPr>
          </w:p>
        </w:tc>
        <w:tc>
          <w:tcPr>
            <w:tcW w:w="1642" w:type="dxa"/>
            <w:vAlign w:val="center"/>
          </w:tcPr>
          <w:p w14:paraId="7DF10A66">
            <w:pPr>
              <w:widowControl/>
              <w:overflowPunct w:val="0"/>
              <w:autoSpaceDE w:val="0"/>
              <w:autoSpaceDN w:val="0"/>
              <w:adjustRightInd w:val="0"/>
              <w:jc w:val="center"/>
              <w:rPr>
                <w:rFonts w:ascii="Times New Roman" w:hAnsi="Times New Roman"/>
                <w:spacing w:val="-2"/>
                <w:kern w:val="0"/>
                <w:szCs w:val="21"/>
              </w:rPr>
            </w:pPr>
            <w:r>
              <w:rPr>
                <w:rFonts w:ascii="Times New Roman" w:hAnsi="Times New Roman"/>
                <w:spacing w:val="-2"/>
                <w:kern w:val="0"/>
                <w:szCs w:val="21"/>
              </w:rPr>
              <w:t>地表水</w:t>
            </w:r>
            <w:r>
              <w:rPr>
                <w:rFonts w:hint="eastAsia" w:ascii="Times New Roman" w:hAnsi="Times New Roman"/>
                <w:spacing w:val="-2"/>
                <w:kern w:val="0"/>
                <w:szCs w:val="21"/>
              </w:rPr>
              <w:t>环境</w:t>
            </w:r>
          </w:p>
        </w:tc>
        <w:tc>
          <w:tcPr>
            <w:tcW w:w="925" w:type="dxa"/>
            <w:vAlign w:val="center"/>
          </w:tcPr>
          <w:p w14:paraId="2328EC75">
            <w:pPr>
              <w:widowControl/>
              <w:overflowPunct w:val="0"/>
              <w:autoSpaceDE w:val="0"/>
              <w:autoSpaceDN w:val="0"/>
              <w:adjustRightInd w:val="0"/>
              <w:jc w:val="center"/>
              <w:rPr>
                <w:rFonts w:ascii="Times New Roman" w:hAnsi="Times New Roman"/>
                <w:spacing w:val="-2"/>
                <w:kern w:val="0"/>
                <w:szCs w:val="21"/>
              </w:rPr>
            </w:pPr>
          </w:p>
        </w:tc>
        <w:tc>
          <w:tcPr>
            <w:tcW w:w="925" w:type="dxa"/>
            <w:vAlign w:val="center"/>
          </w:tcPr>
          <w:p w14:paraId="740412A7">
            <w:pPr>
              <w:widowControl/>
              <w:overflowPunct w:val="0"/>
              <w:autoSpaceDE w:val="0"/>
              <w:autoSpaceDN w:val="0"/>
              <w:adjustRightInd w:val="0"/>
              <w:jc w:val="center"/>
              <w:rPr>
                <w:rFonts w:ascii="Times New Roman" w:hAnsi="Times New Roman"/>
                <w:spacing w:val="-2"/>
                <w:kern w:val="0"/>
                <w:szCs w:val="21"/>
              </w:rPr>
            </w:pPr>
          </w:p>
        </w:tc>
        <w:tc>
          <w:tcPr>
            <w:tcW w:w="1164" w:type="dxa"/>
            <w:vAlign w:val="center"/>
          </w:tcPr>
          <w:p w14:paraId="5B4C7BD0">
            <w:pPr>
              <w:widowControl/>
              <w:overflowPunct w:val="0"/>
              <w:autoSpaceDE w:val="0"/>
              <w:autoSpaceDN w:val="0"/>
              <w:adjustRightInd w:val="0"/>
              <w:jc w:val="center"/>
              <w:rPr>
                <w:rFonts w:ascii="Times New Roman" w:hAnsi="Times New Roman"/>
                <w:spacing w:val="-2"/>
                <w:kern w:val="0"/>
                <w:szCs w:val="21"/>
              </w:rPr>
            </w:pPr>
            <w:r>
              <w:rPr>
                <w:rFonts w:ascii="Times New Roman" w:hAnsi="Times New Roman"/>
                <w:spacing w:val="-2"/>
                <w:kern w:val="0"/>
                <w:szCs w:val="21"/>
              </w:rPr>
              <w:t>▲1</w:t>
            </w:r>
          </w:p>
        </w:tc>
        <w:tc>
          <w:tcPr>
            <w:tcW w:w="927" w:type="dxa"/>
            <w:vAlign w:val="center"/>
          </w:tcPr>
          <w:p w14:paraId="2036D12D">
            <w:pPr>
              <w:widowControl/>
              <w:overflowPunct w:val="0"/>
              <w:autoSpaceDE w:val="0"/>
              <w:autoSpaceDN w:val="0"/>
              <w:adjustRightInd w:val="0"/>
              <w:jc w:val="center"/>
              <w:rPr>
                <w:rFonts w:ascii="Times New Roman" w:hAnsi="Times New Roman"/>
                <w:spacing w:val="-2"/>
                <w:kern w:val="0"/>
                <w:szCs w:val="21"/>
              </w:rPr>
            </w:pPr>
          </w:p>
        </w:tc>
        <w:tc>
          <w:tcPr>
            <w:tcW w:w="925" w:type="dxa"/>
            <w:vAlign w:val="center"/>
          </w:tcPr>
          <w:p w14:paraId="7203736D">
            <w:pPr>
              <w:widowControl/>
              <w:overflowPunct w:val="0"/>
              <w:autoSpaceDE w:val="0"/>
              <w:autoSpaceDN w:val="0"/>
              <w:adjustRightInd w:val="0"/>
              <w:jc w:val="center"/>
              <w:rPr>
                <w:rFonts w:ascii="Times New Roman" w:hAnsi="Times New Roman"/>
                <w:spacing w:val="-2"/>
                <w:kern w:val="0"/>
                <w:szCs w:val="21"/>
              </w:rPr>
            </w:pPr>
          </w:p>
        </w:tc>
        <w:tc>
          <w:tcPr>
            <w:tcW w:w="925" w:type="dxa"/>
            <w:vAlign w:val="center"/>
          </w:tcPr>
          <w:p w14:paraId="097012C3">
            <w:pPr>
              <w:widowControl/>
              <w:overflowPunct w:val="0"/>
              <w:autoSpaceDE w:val="0"/>
              <w:autoSpaceDN w:val="0"/>
              <w:adjustRightInd w:val="0"/>
              <w:jc w:val="center"/>
              <w:rPr>
                <w:rFonts w:ascii="Times New Roman" w:hAnsi="Times New Roman"/>
                <w:spacing w:val="-2"/>
                <w:kern w:val="0"/>
                <w:szCs w:val="21"/>
              </w:rPr>
            </w:pPr>
          </w:p>
        </w:tc>
        <w:tc>
          <w:tcPr>
            <w:tcW w:w="927" w:type="dxa"/>
            <w:vAlign w:val="center"/>
          </w:tcPr>
          <w:p w14:paraId="2B8C878D">
            <w:pPr>
              <w:widowControl/>
              <w:overflowPunct w:val="0"/>
              <w:autoSpaceDE w:val="0"/>
              <w:autoSpaceDN w:val="0"/>
              <w:adjustRightInd w:val="0"/>
              <w:jc w:val="center"/>
              <w:rPr>
                <w:rFonts w:ascii="Times New Roman" w:hAnsi="Times New Roman"/>
                <w:spacing w:val="-2"/>
                <w:kern w:val="0"/>
                <w:szCs w:val="21"/>
              </w:rPr>
            </w:pPr>
            <w:r>
              <w:rPr>
                <w:rFonts w:ascii="Times New Roman" w:hAnsi="Times New Roman"/>
                <w:spacing w:val="-2"/>
                <w:kern w:val="0"/>
                <w:szCs w:val="21"/>
              </w:rPr>
              <w:t>■1</w:t>
            </w:r>
          </w:p>
        </w:tc>
      </w:tr>
      <w:tr w14:paraId="698D6F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26" w:type="dxa"/>
            <w:vMerge w:val="continue"/>
            <w:vAlign w:val="center"/>
          </w:tcPr>
          <w:p w14:paraId="29296253">
            <w:pPr>
              <w:widowControl/>
              <w:overflowPunct w:val="0"/>
              <w:autoSpaceDE w:val="0"/>
              <w:autoSpaceDN w:val="0"/>
              <w:adjustRightInd w:val="0"/>
              <w:jc w:val="center"/>
              <w:rPr>
                <w:rFonts w:ascii="Times New Roman" w:hAnsi="Times New Roman"/>
                <w:spacing w:val="-2"/>
                <w:kern w:val="0"/>
                <w:szCs w:val="21"/>
              </w:rPr>
            </w:pPr>
          </w:p>
        </w:tc>
        <w:tc>
          <w:tcPr>
            <w:tcW w:w="1642" w:type="dxa"/>
            <w:vAlign w:val="center"/>
          </w:tcPr>
          <w:p w14:paraId="33ADE1D2">
            <w:pPr>
              <w:widowControl/>
              <w:overflowPunct w:val="0"/>
              <w:autoSpaceDE w:val="0"/>
              <w:autoSpaceDN w:val="0"/>
              <w:adjustRightInd w:val="0"/>
              <w:jc w:val="center"/>
              <w:rPr>
                <w:rFonts w:ascii="Times New Roman" w:hAnsi="Times New Roman"/>
                <w:spacing w:val="-2"/>
                <w:kern w:val="0"/>
                <w:szCs w:val="21"/>
              </w:rPr>
            </w:pPr>
            <w:r>
              <w:rPr>
                <w:rFonts w:ascii="Times New Roman" w:hAnsi="Times New Roman"/>
                <w:spacing w:val="-2"/>
                <w:kern w:val="0"/>
                <w:szCs w:val="21"/>
              </w:rPr>
              <w:t>声环境</w:t>
            </w:r>
          </w:p>
        </w:tc>
        <w:tc>
          <w:tcPr>
            <w:tcW w:w="925" w:type="dxa"/>
            <w:vAlign w:val="center"/>
          </w:tcPr>
          <w:p w14:paraId="30BCFCB2">
            <w:pPr>
              <w:widowControl/>
              <w:overflowPunct w:val="0"/>
              <w:autoSpaceDE w:val="0"/>
              <w:autoSpaceDN w:val="0"/>
              <w:adjustRightInd w:val="0"/>
              <w:jc w:val="center"/>
              <w:rPr>
                <w:rFonts w:ascii="Times New Roman" w:hAnsi="Times New Roman"/>
                <w:spacing w:val="-2"/>
                <w:kern w:val="0"/>
                <w:szCs w:val="21"/>
              </w:rPr>
            </w:pPr>
          </w:p>
        </w:tc>
        <w:tc>
          <w:tcPr>
            <w:tcW w:w="925" w:type="dxa"/>
            <w:vAlign w:val="center"/>
          </w:tcPr>
          <w:p w14:paraId="5D371679">
            <w:pPr>
              <w:widowControl/>
              <w:overflowPunct w:val="0"/>
              <w:autoSpaceDE w:val="0"/>
              <w:autoSpaceDN w:val="0"/>
              <w:adjustRightInd w:val="0"/>
              <w:jc w:val="center"/>
              <w:rPr>
                <w:rFonts w:ascii="Times New Roman" w:hAnsi="Times New Roman"/>
                <w:spacing w:val="-2"/>
                <w:kern w:val="0"/>
                <w:szCs w:val="21"/>
              </w:rPr>
            </w:pPr>
          </w:p>
        </w:tc>
        <w:tc>
          <w:tcPr>
            <w:tcW w:w="1164" w:type="dxa"/>
            <w:vAlign w:val="center"/>
          </w:tcPr>
          <w:p w14:paraId="256609AF">
            <w:pPr>
              <w:widowControl/>
              <w:overflowPunct w:val="0"/>
              <w:autoSpaceDE w:val="0"/>
              <w:autoSpaceDN w:val="0"/>
              <w:adjustRightInd w:val="0"/>
              <w:jc w:val="center"/>
              <w:rPr>
                <w:rFonts w:ascii="Times New Roman" w:hAnsi="Times New Roman"/>
                <w:spacing w:val="-2"/>
                <w:kern w:val="0"/>
                <w:szCs w:val="21"/>
              </w:rPr>
            </w:pPr>
          </w:p>
        </w:tc>
        <w:tc>
          <w:tcPr>
            <w:tcW w:w="927" w:type="dxa"/>
            <w:vAlign w:val="center"/>
          </w:tcPr>
          <w:p w14:paraId="568E3D5D">
            <w:pPr>
              <w:widowControl/>
              <w:overflowPunct w:val="0"/>
              <w:autoSpaceDE w:val="0"/>
              <w:autoSpaceDN w:val="0"/>
              <w:adjustRightInd w:val="0"/>
              <w:jc w:val="center"/>
              <w:rPr>
                <w:rFonts w:ascii="Times New Roman" w:hAnsi="Times New Roman"/>
                <w:spacing w:val="-2"/>
                <w:kern w:val="0"/>
                <w:szCs w:val="21"/>
              </w:rPr>
            </w:pPr>
            <w:r>
              <w:rPr>
                <w:rFonts w:ascii="Times New Roman" w:hAnsi="Times New Roman"/>
                <w:spacing w:val="-2"/>
                <w:kern w:val="0"/>
                <w:szCs w:val="21"/>
              </w:rPr>
              <w:t>▲1</w:t>
            </w:r>
          </w:p>
        </w:tc>
        <w:tc>
          <w:tcPr>
            <w:tcW w:w="925" w:type="dxa"/>
            <w:vAlign w:val="center"/>
          </w:tcPr>
          <w:p w14:paraId="29D4FADE">
            <w:pPr>
              <w:widowControl/>
              <w:overflowPunct w:val="0"/>
              <w:autoSpaceDE w:val="0"/>
              <w:autoSpaceDN w:val="0"/>
              <w:adjustRightInd w:val="0"/>
              <w:jc w:val="center"/>
              <w:rPr>
                <w:rFonts w:ascii="Times New Roman" w:hAnsi="Times New Roman"/>
                <w:spacing w:val="-2"/>
                <w:kern w:val="0"/>
                <w:szCs w:val="21"/>
              </w:rPr>
            </w:pPr>
            <w:r>
              <w:rPr>
                <w:rFonts w:ascii="Times New Roman" w:hAnsi="Times New Roman"/>
                <w:spacing w:val="-2"/>
                <w:kern w:val="0"/>
                <w:szCs w:val="21"/>
              </w:rPr>
              <w:t>■1</w:t>
            </w:r>
          </w:p>
        </w:tc>
        <w:tc>
          <w:tcPr>
            <w:tcW w:w="925" w:type="dxa"/>
            <w:vAlign w:val="center"/>
          </w:tcPr>
          <w:p w14:paraId="6AA8E792">
            <w:pPr>
              <w:widowControl/>
              <w:overflowPunct w:val="0"/>
              <w:autoSpaceDE w:val="0"/>
              <w:autoSpaceDN w:val="0"/>
              <w:adjustRightInd w:val="0"/>
              <w:jc w:val="center"/>
              <w:rPr>
                <w:rFonts w:ascii="Times New Roman" w:hAnsi="Times New Roman"/>
                <w:spacing w:val="-2"/>
                <w:kern w:val="0"/>
                <w:szCs w:val="21"/>
              </w:rPr>
            </w:pPr>
          </w:p>
        </w:tc>
        <w:tc>
          <w:tcPr>
            <w:tcW w:w="927" w:type="dxa"/>
            <w:vAlign w:val="center"/>
          </w:tcPr>
          <w:p w14:paraId="6CC8AC78">
            <w:pPr>
              <w:widowControl/>
              <w:overflowPunct w:val="0"/>
              <w:autoSpaceDE w:val="0"/>
              <w:autoSpaceDN w:val="0"/>
              <w:adjustRightInd w:val="0"/>
              <w:jc w:val="center"/>
              <w:rPr>
                <w:rFonts w:ascii="Times New Roman" w:hAnsi="Times New Roman"/>
                <w:spacing w:val="-2"/>
                <w:kern w:val="0"/>
                <w:szCs w:val="21"/>
              </w:rPr>
            </w:pPr>
          </w:p>
        </w:tc>
      </w:tr>
      <w:tr w14:paraId="58E516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26" w:type="dxa"/>
            <w:vMerge w:val="continue"/>
            <w:vAlign w:val="center"/>
          </w:tcPr>
          <w:p w14:paraId="71E94E0F">
            <w:pPr>
              <w:widowControl/>
              <w:overflowPunct w:val="0"/>
              <w:autoSpaceDE w:val="0"/>
              <w:autoSpaceDN w:val="0"/>
              <w:adjustRightInd w:val="0"/>
              <w:jc w:val="center"/>
              <w:rPr>
                <w:rFonts w:ascii="Times New Roman" w:hAnsi="Times New Roman"/>
                <w:spacing w:val="-2"/>
                <w:kern w:val="0"/>
                <w:szCs w:val="21"/>
              </w:rPr>
            </w:pPr>
          </w:p>
        </w:tc>
        <w:tc>
          <w:tcPr>
            <w:tcW w:w="1642" w:type="dxa"/>
            <w:vAlign w:val="center"/>
          </w:tcPr>
          <w:p w14:paraId="1E649295">
            <w:pPr>
              <w:widowControl/>
              <w:overflowPunct w:val="0"/>
              <w:autoSpaceDE w:val="0"/>
              <w:autoSpaceDN w:val="0"/>
              <w:adjustRightInd w:val="0"/>
              <w:jc w:val="center"/>
              <w:rPr>
                <w:rFonts w:ascii="Times New Roman" w:hAnsi="Times New Roman"/>
                <w:spacing w:val="-2"/>
                <w:kern w:val="0"/>
                <w:szCs w:val="21"/>
              </w:rPr>
            </w:pPr>
            <w:r>
              <w:rPr>
                <w:rFonts w:hint="eastAsia" w:ascii="Times New Roman" w:hAnsi="Times New Roman"/>
                <w:spacing w:val="-2"/>
                <w:kern w:val="0"/>
                <w:szCs w:val="21"/>
              </w:rPr>
              <w:t>地下水环境</w:t>
            </w:r>
          </w:p>
        </w:tc>
        <w:tc>
          <w:tcPr>
            <w:tcW w:w="925" w:type="dxa"/>
            <w:vAlign w:val="center"/>
          </w:tcPr>
          <w:p w14:paraId="13581ECC">
            <w:pPr>
              <w:widowControl/>
              <w:overflowPunct w:val="0"/>
              <w:autoSpaceDE w:val="0"/>
              <w:autoSpaceDN w:val="0"/>
              <w:adjustRightInd w:val="0"/>
              <w:jc w:val="center"/>
              <w:rPr>
                <w:rFonts w:ascii="Times New Roman" w:hAnsi="Times New Roman"/>
                <w:spacing w:val="-2"/>
                <w:kern w:val="0"/>
                <w:szCs w:val="21"/>
              </w:rPr>
            </w:pPr>
          </w:p>
        </w:tc>
        <w:tc>
          <w:tcPr>
            <w:tcW w:w="925" w:type="dxa"/>
            <w:vAlign w:val="center"/>
          </w:tcPr>
          <w:p w14:paraId="36A22238">
            <w:pPr>
              <w:widowControl/>
              <w:overflowPunct w:val="0"/>
              <w:autoSpaceDE w:val="0"/>
              <w:autoSpaceDN w:val="0"/>
              <w:adjustRightInd w:val="0"/>
              <w:jc w:val="center"/>
              <w:rPr>
                <w:rFonts w:ascii="Times New Roman" w:hAnsi="Times New Roman"/>
                <w:spacing w:val="-2"/>
                <w:kern w:val="0"/>
                <w:szCs w:val="21"/>
              </w:rPr>
            </w:pPr>
          </w:p>
        </w:tc>
        <w:tc>
          <w:tcPr>
            <w:tcW w:w="1164" w:type="dxa"/>
            <w:vAlign w:val="center"/>
          </w:tcPr>
          <w:p w14:paraId="05079B55">
            <w:pPr>
              <w:widowControl/>
              <w:overflowPunct w:val="0"/>
              <w:autoSpaceDE w:val="0"/>
              <w:autoSpaceDN w:val="0"/>
              <w:adjustRightInd w:val="0"/>
              <w:jc w:val="center"/>
              <w:rPr>
                <w:rFonts w:ascii="Times New Roman" w:hAnsi="Times New Roman"/>
                <w:spacing w:val="-2"/>
                <w:kern w:val="0"/>
                <w:szCs w:val="21"/>
              </w:rPr>
            </w:pPr>
            <w:r>
              <w:rPr>
                <w:rFonts w:ascii="Times New Roman" w:hAnsi="Times New Roman"/>
                <w:spacing w:val="-2"/>
                <w:kern w:val="0"/>
                <w:szCs w:val="21"/>
              </w:rPr>
              <w:t>▲1</w:t>
            </w:r>
          </w:p>
        </w:tc>
        <w:tc>
          <w:tcPr>
            <w:tcW w:w="927" w:type="dxa"/>
            <w:vAlign w:val="center"/>
          </w:tcPr>
          <w:p w14:paraId="0FDECF51">
            <w:pPr>
              <w:widowControl/>
              <w:overflowPunct w:val="0"/>
              <w:autoSpaceDE w:val="0"/>
              <w:autoSpaceDN w:val="0"/>
              <w:adjustRightInd w:val="0"/>
              <w:jc w:val="center"/>
              <w:rPr>
                <w:rFonts w:ascii="Times New Roman" w:hAnsi="Times New Roman"/>
                <w:spacing w:val="-2"/>
                <w:kern w:val="0"/>
                <w:szCs w:val="21"/>
              </w:rPr>
            </w:pPr>
          </w:p>
        </w:tc>
        <w:tc>
          <w:tcPr>
            <w:tcW w:w="925" w:type="dxa"/>
            <w:vAlign w:val="center"/>
          </w:tcPr>
          <w:p w14:paraId="71C41C2E">
            <w:pPr>
              <w:widowControl/>
              <w:overflowPunct w:val="0"/>
              <w:autoSpaceDE w:val="0"/>
              <w:autoSpaceDN w:val="0"/>
              <w:adjustRightInd w:val="0"/>
              <w:jc w:val="center"/>
              <w:rPr>
                <w:rFonts w:ascii="Times New Roman" w:hAnsi="Times New Roman"/>
                <w:spacing w:val="-2"/>
                <w:kern w:val="0"/>
                <w:szCs w:val="21"/>
              </w:rPr>
            </w:pPr>
          </w:p>
        </w:tc>
        <w:tc>
          <w:tcPr>
            <w:tcW w:w="925" w:type="dxa"/>
            <w:vAlign w:val="center"/>
          </w:tcPr>
          <w:p w14:paraId="0B7A150A">
            <w:pPr>
              <w:widowControl/>
              <w:overflowPunct w:val="0"/>
              <w:autoSpaceDE w:val="0"/>
              <w:autoSpaceDN w:val="0"/>
              <w:adjustRightInd w:val="0"/>
              <w:jc w:val="center"/>
              <w:rPr>
                <w:rFonts w:ascii="Times New Roman" w:hAnsi="Times New Roman"/>
                <w:spacing w:val="-2"/>
                <w:kern w:val="0"/>
                <w:szCs w:val="21"/>
              </w:rPr>
            </w:pPr>
          </w:p>
        </w:tc>
        <w:tc>
          <w:tcPr>
            <w:tcW w:w="927" w:type="dxa"/>
            <w:vAlign w:val="center"/>
          </w:tcPr>
          <w:p w14:paraId="6585CBB7">
            <w:pPr>
              <w:widowControl/>
              <w:overflowPunct w:val="0"/>
              <w:autoSpaceDE w:val="0"/>
              <w:autoSpaceDN w:val="0"/>
              <w:adjustRightInd w:val="0"/>
              <w:jc w:val="center"/>
              <w:rPr>
                <w:rFonts w:ascii="Times New Roman" w:hAnsi="Times New Roman"/>
                <w:spacing w:val="-2"/>
                <w:kern w:val="0"/>
                <w:szCs w:val="21"/>
              </w:rPr>
            </w:pPr>
            <w:r>
              <w:rPr>
                <w:rFonts w:ascii="Times New Roman" w:hAnsi="Times New Roman"/>
                <w:spacing w:val="-2"/>
                <w:kern w:val="0"/>
                <w:szCs w:val="21"/>
              </w:rPr>
              <w:t>■1</w:t>
            </w:r>
          </w:p>
        </w:tc>
      </w:tr>
      <w:tr w14:paraId="3FD73B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26" w:type="dxa"/>
            <w:vMerge w:val="continue"/>
            <w:vAlign w:val="center"/>
          </w:tcPr>
          <w:p w14:paraId="67966F1A">
            <w:pPr>
              <w:widowControl/>
              <w:overflowPunct w:val="0"/>
              <w:autoSpaceDE w:val="0"/>
              <w:autoSpaceDN w:val="0"/>
              <w:adjustRightInd w:val="0"/>
              <w:jc w:val="center"/>
              <w:rPr>
                <w:rFonts w:ascii="Times New Roman" w:hAnsi="Times New Roman"/>
                <w:spacing w:val="-2"/>
                <w:kern w:val="0"/>
                <w:szCs w:val="21"/>
              </w:rPr>
            </w:pPr>
          </w:p>
        </w:tc>
        <w:tc>
          <w:tcPr>
            <w:tcW w:w="1642" w:type="dxa"/>
            <w:vAlign w:val="center"/>
          </w:tcPr>
          <w:p w14:paraId="11312971">
            <w:pPr>
              <w:widowControl/>
              <w:overflowPunct w:val="0"/>
              <w:autoSpaceDE w:val="0"/>
              <w:autoSpaceDN w:val="0"/>
              <w:adjustRightInd w:val="0"/>
              <w:jc w:val="center"/>
              <w:rPr>
                <w:rFonts w:ascii="Times New Roman" w:hAnsi="Times New Roman"/>
                <w:spacing w:val="-2"/>
                <w:kern w:val="0"/>
                <w:szCs w:val="21"/>
              </w:rPr>
            </w:pPr>
            <w:r>
              <w:rPr>
                <w:rFonts w:ascii="Times New Roman" w:hAnsi="Times New Roman"/>
                <w:spacing w:val="-2"/>
                <w:kern w:val="0"/>
                <w:szCs w:val="21"/>
              </w:rPr>
              <w:t>辐射</w:t>
            </w:r>
          </w:p>
        </w:tc>
        <w:tc>
          <w:tcPr>
            <w:tcW w:w="925" w:type="dxa"/>
            <w:vAlign w:val="center"/>
          </w:tcPr>
          <w:p w14:paraId="260F843B">
            <w:pPr>
              <w:widowControl/>
              <w:overflowPunct w:val="0"/>
              <w:autoSpaceDE w:val="0"/>
              <w:autoSpaceDN w:val="0"/>
              <w:adjustRightInd w:val="0"/>
              <w:jc w:val="center"/>
              <w:rPr>
                <w:rFonts w:ascii="Times New Roman" w:hAnsi="Times New Roman"/>
                <w:spacing w:val="-2"/>
                <w:kern w:val="0"/>
                <w:szCs w:val="21"/>
              </w:rPr>
            </w:pPr>
          </w:p>
        </w:tc>
        <w:tc>
          <w:tcPr>
            <w:tcW w:w="925" w:type="dxa"/>
            <w:vAlign w:val="center"/>
          </w:tcPr>
          <w:p w14:paraId="3C509D68">
            <w:pPr>
              <w:widowControl/>
              <w:overflowPunct w:val="0"/>
              <w:autoSpaceDE w:val="0"/>
              <w:autoSpaceDN w:val="0"/>
              <w:adjustRightInd w:val="0"/>
              <w:jc w:val="center"/>
              <w:rPr>
                <w:rFonts w:ascii="Times New Roman" w:hAnsi="Times New Roman"/>
                <w:spacing w:val="-2"/>
                <w:kern w:val="0"/>
                <w:szCs w:val="21"/>
              </w:rPr>
            </w:pPr>
          </w:p>
        </w:tc>
        <w:tc>
          <w:tcPr>
            <w:tcW w:w="1164" w:type="dxa"/>
            <w:vAlign w:val="center"/>
          </w:tcPr>
          <w:p w14:paraId="7BB36DAD">
            <w:pPr>
              <w:widowControl/>
              <w:overflowPunct w:val="0"/>
              <w:autoSpaceDE w:val="0"/>
              <w:autoSpaceDN w:val="0"/>
              <w:adjustRightInd w:val="0"/>
              <w:jc w:val="center"/>
              <w:rPr>
                <w:rFonts w:ascii="Times New Roman" w:hAnsi="Times New Roman"/>
                <w:spacing w:val="-2"/>
                <w:kern w:val="0"/>
                <w:szCs w:val="21"/>
              </w:rPr>
            </w:pPr>
          </w:p>
        </w:tc>
        <w:tc>
          <w:tcPr>
            <w:tcW w:w="927" w:type="dxa"/>
            <w:vAlign w:val="center"/>
          </w:tcPr>
          <w:p w14:paraId="2D839051">
            <w:pPr>
              <w:widowControl/>
              <w:overflowPunct w:val="0"/>
              <w:autoSpaceDE w:val="0"/>
              <w:autoSpaceDN w:val="0"/>
              <w:adjustRightInd w:val="0"/>
              <w:jc w:val="center"/>
              <w:rPr>
                <w:rFonts w:ascii="Times New Roman" w:hAnsi="Times New Roman"/>
                <w:spacing w:val="-2"/>
                <w:kern w:val="0"/>
                <w:szCs w:val="21"/>
              </w:rPr>
            </w:pPr>
          </w:p>
        </w:tc>
        <w:tc>
          <w:tcPr>
            <w:tcW w:w="925" w:type="dxa"/>
            <w:vAlign w:val="center"/>
          </w:tcPr>
          <w:p w14:paraId="2B4440AE">
            <w:pPr>
              <w:widowControl/>
              <w:overflowPunct w:val="0"/>
              <w:autoSpaceDE w:val="0"/>
              <w:autoSpaceDN w:val="0"/>
              <w:adjustRightInd w:val="0"/>
              <w:jc w:val="center"/>
              <w:rPr>
                <w:rFonts w:ascii="Times New Roman" w:hAnsi="Times New Roman"/>
                <w:spacing w:val="-2"/>
                <w:kern w:val="0"/>
                <w:szCs w:val="21"/>
              </w:rPr>
            </w:pPr>
            <w:r>
              <w:rPr>
                <w:rFonts w:ascii="Times New Roman" w:hAnsi="Times New Roman"/>
                <w:spacing w:val="-2"/>
                <w:kern w:val="0"/>
                <w:szCs w:val="21"/>
              </w:rPr>
              <w:t>■1</w:t>
            </w:r>
          </w:p>
        </w:tc>
        <w:tc>
          <w:tcPr>
            <w:tcW w:w="925" w:type="dxa"/>
            <w:vAlign w:val="center"/>
          </w:tcPr>
          <w:p w14:paraId="74721119">
            <w:pPr>
              <w:widowControl/>
              <w:overflowPunct w:val="0"/>
              <w:autoSpaceDE w:val="0"/>
              <w:autoSpaceDN w:val="0"/>
              <w:adjustRightInd w:val="0"/>
              <w:jc w:val="center"/>
              <w:rPr>
                <w:rFonts w:ascii="Times New Roman" w:hAnsi="Times New Roman"/>
                <w:spacing w:val="-2"/>
                <w:kern w:val="0"/>
                <w:szCs w:val="21"/>
              </w:rPr>
            </w:pPr>
            <w:r>
              <w:rPr>
                <w:rFonts w:ascii="Times New Roman" w:hAnsi="Times New Roman"/>
                <w:spacing w:val="-2"/>
                <w:kern w:val="0"/>
                <w:szCs w:val="21"/>
              </w:rPr>
              <w:t>■1</w:t>
            </w:r>
          </w:p>
        </w:tc>
        <w:tc>
          <w:tcPr>
            <w:tcW w:w="927" w:type="dxa"/>
            <w:vAlign w:val="center"/>
          </w:tcPr>
          <w:p w14:paraId="5706EDA2">
            <w:pPr>
              <w:widowControl/>
              <w:overflowPunct w:val="0"/>
              <w:autoSpaceDE w:val="0"/>
              <w:autoSpaceDN w:val="0"/>
              <w:adjustRightInd w:val="0"/>
              <w:jc w:val="center"/>
              <w:rPr>
                <w:rFonts w:ascii="Times New Roman" w:hAnsi="Times New Roman"/>
                <w:spacing w:val="-2"/>
                <w:kern w:val="0"/>
                <w:szCs w:val="21"/>
              </w:rPr>
            </w:pPr>
          </w:p>
        </w:tc>
      </w:tr>
      <w:tr w14:paraId="1BEDD8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26" w:type="dxa"/>
            <w:vMerge w:val="restart"/>
            <w:vAlign w:val="center"/>
          </w:tcPr>
          <w:p w14:paraId="3F234918">
            <w:pPr>
              <w:widowControl/>
              <w:overflowPunct w:val="0"/>
              <w:autoSpaceDE w:val="0"/>
              <w:autoSpaceDN w:val="0"/>
              <w:adjustRightInd w:val="0"/>
              <w:jc w:val="center"/>
              <w:rPr>
                <w:rFonts w:ascii="Times New Roman" w:hAnsi="Times New Roman"/>
                <w:spacing w:val="-2"/>
                <w:kern w:val="0"/>
                <w:szCs w:val="21"/>
              </w:rPr>
            </w:pPr>
            <w:r>
              <w:rPr>
                <w:rFonts w:ascii="Times New Roman" w:hAnsi="Times New Roman"/>
                <w:spacing w:val="-2"/>
                <w:kern w:val="0"/>
                <w:szCs w:val="21"/>
              </w:rPr>
              <w:t>生态</w:t>
            </w:r>
          </w:p>
          <w:p w14:paraId="47B7EE91">
            <w:pPr>
              <w:widowControl/>
              <w:overflowPunct w:val="0"/>
              <w:autoSpaceDE w:val="0"/>
              <w:autoSpaceDN w:val="0"/>
              <w:adjustRightInd w:val="0"/>
              <w:jc w:val="center"/>
              <w:rPr>
                <w:rFonts w:ascii="Times New Roman" w:hAnsi="Times New Roman"/>
                <w:spacing w:val="-2"/>
                <w:kern w:val="0"/>
                <w:szCs w:val="21"/>
              </w:rPr>
            </w:pPr>
            <w:r>
              <w:rPr>
                <w:rFonts w:ascii="Times New Roman" w:hAnsi="Times New Roman"/>
                <w:spacing w:val="-2"/>
                <w:kern w:val="0"/>
                <w:szCs w:val="21"/>
              </w:rPr>
              <w:t>环境</w:t>
            </w:r>
          </w:p>
        </w:tc>
        <w:tc>
          <w:tcPr>
            <w:tcW w:w="1642" w:type="dxa"/>
            <w:vAlign w:val="center"/>
          </w:tcPr>
          <w:p w14:paraId="76480A23">
            <w:pPr>
              <w:widowControl/>
              <w:overflowPunct w:val="0"/>
              <w:autoSpaceDE w:val="0"/>
              <w:autoSpaceDN w:val="0"/>
              <w:adjustRightInd w:val="0"/>
              <w:jc w:val="center"/>
              <w:rPr>
                <w:rFonts w:ascii="Times New Roman" w:hAnsi="Times New Roman"/>
                <w:spacing w:val="-2"/>
                <w:kern w:val="0"/>
                <w:szCs w:val="21"/>
              </w:rPr>
            </w:pPr>
            <w:r>
              <w:rPr>
                <w:rFonts w:ascii="Times New Roman" w:hAnsi="Times New Roman"/>
                <w:spacing w:val="-2"/>
                <w:kern w:val="0"/>
                <w:szCs w:val="21"/>
              </w:rPr>
              <w:t>陆生生态</w:t>
            </w:r>
          </w:p>
        </w:tc>
        <w:tc>
          <w:tcPr>
            <w:tcW w:w="925" w:type="dxa"/>
            <w:vAlign w:val="center"/>
          </w:tcPr>
          <w:p w14:paraId="44B9DC46">
            <w:pPr>
              <w:widowControl/>
              <w:overflowPunct w:val="0"/>
              <w:autoSpaceDE w:val="0"/>
              <w:autoSpaceDN w:val="0"/>
              <w:adjustRightInd w:val="0"/>
              <w:jc w:val="center"/>
              <w:rPr>
                <w:rFonts w:ascii="Times New Roman" w:hAnsi="Times New Roman"/>
                <w:spacing w:val="-2"/>
                <w:kern w:val="0"/>
                <w:szCs w:val="21"/>
              </w:rPr>
            </w:pPr>
          </w:p>
        </w:tc>
        <w:tc>
          <w:tcPr>
            <w:tcW w:w="925" w:type="dxa"/>
            <w:vAlign w:val="center"/>
          </w:tcPr>
          <w:p w14:paraId="29443123">
            <w:pPr>
              <w:widowControl/>
              <w:overflowPunct w:val="0"/>
              <w:autoSpaceDE w:val="0"/>
              <w:autoSpaceDN w:val="0"/>
              <w:adjustRightInd w:val="0"/>
              <w:jc w:val="center"/>
              <w:rPr>
                <w:rFonts w:ascii="Times New Roman" w:hAnsi="Times New Roman"/>
                <w:spacing w:val="-2"/>
                <w:kern w:val="0"/>
                <w:szCs w:val="21"/>
              </w:rPr>
            </w:pPr>
          </w:p>
        </w:tc>
        <w:tc>
          <w:tcPr>
            <w:tcW w:w="1164" w:type="dxa"/>
            <w:vAlign w:val="center"/>
          </w:tcPr>
          <w:p w14:paraId="381DDF09">
            <w:pPr>
              <w:widowControl/>
              <w:overflowPunct w:val="0"/>
              <w:autoSpaceDE w:val="0"/>
              <w:autoSpaceDN w:val="0"/>
              <w:adjustRightInd w:val="0"/>
              <w:jc w:val="center"/>
              <w:rPr>
                <w:rFonts w:ascii="Times New Roman" w:hAnsi="Times New Roman"/>
                <w:spacing w:val="-2"/>
                <w:kern w:val="0"/>
                <w:szCs w:val="21"/>
              </w:rPr>
            </w:pPr>
          </w:p>
        </w:tc>
        <w:tc>
          <w:tcPr>
            <w:tcW w:w="927" w:type="dxa"/>
            <w:vAlign w:val="center"/>
          </w:tcPr>
          <w:p w14:paraId="6D023582">
            <w:pPr>
              <w:widowControl/>
              <w:overflowPunct w:val="0"/>
              <w:autoSpaceDE w:val="0"/>
              <w:autoSpaceDN w:val="0"/>
              <w:adjustRightInd w:val="0"/>
              <w:jc w:val="center"/>
              <w:rPr>
                <w:rFonts w:ascii="Times New Roman" w:hAnsi="Times New Roman"/>
                <w:spacing w:val="-2"/>
                <w:kern w:val="0"/>
                <w:szCs w:val="21"/>
              </w:rPr>
            </w:pPr>
          </w:p>
        </w:tc>
        <w:tc>
          <w:tcPr>
            <w:tcW w:w="925" w:type="dxa"/>
            <w:vAlign w:val="center"/>
          </w:tcPr>
          <w:p w14:paraId="08CBA2E2">
            <w:pPr>
              <w:widowControl/>
              <w:overflowPunct w:val="0"/>
              <w:autoSpaceDE w:val="0"/>
              <w:autoSpaceDN w:val="0"/>
              <w:adjustRightInd w:val="0"/>
              <w:jc w:val="center"/>
              <w:rPr>
                <w:rFonts w:ascii="Times New Roman" w:hAnsi="Times New Roman"/>
                <w:spacing w:val="-2"/>
                <w:kern w:val="0"/>
                <w:szCs w:val="21"/>
              </w:rPr>
            </w:pPr>
            <w:r>
              <w:rPr>
                <w:rFonts w:ascii="Times New Roman" w:hAnsi="Times New Roman"/>
                <w:spacing w:val="-2"/>
                <w:kern w:val="0"/>
                <w:szCs w:val="21"/>
              </w:rPr>
              <w:t>■1</w:t>
            </w:r>
          </w:p>
        </w:tc>
        <w:tc>
          <w:tcPr>
            <w:tcW w:w="925" w:type="dxa"/>
            <w:vAlign w:val="center"/>
          </w:tcPr>
          <w:p w14:paraId="073465E3">
            <w:pPr>
              <w:widowControl/>
              <w:overflowPunct w:val="0"/>
              <w:autoSpaceDE w:val="0"/>
              <w:autoSpaceDN w:val="0"/>
              <w:adjustRightInd w:val="0"/>
              <w:jc w:val="center"/>
              <w:rPr>
                <w:rFonts w:ascii="Times New Roman" w:hAnsi="Times New Roman"/>
                <w:spacing w:val="-2"/>
                <w:kern w:val="0"/>
                <w:szCs w:val="21"/>
              </w:rPr>
            </w:pPr>
          </w:p>
        </w:tc>
        <w:tc>
          <w:tcPr>
            <w:tcW w:w="927" w:type="dxa"/>
            <w:vAlign w:val="center"/>
          </w:tcPr>
          <w:p w14:paraId="00356845">
            <w:pPr>
              <w:widowControl/>
              <w:overflowPunct w:val="0"/>
              <w:autoSpaceDE w:val="0"/>
              <w:autoSpaceDN w:val="0"/>
              <w:adjustRightInd w:val="0"/>
              <w:jc w:val="center"/>
              <w:rPr>
                <w:rFonts w:ascii="Times New Roman" w:hAnsi="Times New Roman"/>
                <w:spacing w:val="-2"/>
                <w:kern w:val="0"/>
                <w:szCs w:val="21"/>
              </w:rPr>
            </w:pPr>
          </w:p>
        </w:tc>
      </w:tr>
      <w:tr w14:paraId="26E20E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26" w:type="dxa"/>
            <w:vMerge w:val="continue"/>
            <w:vAlign w:val="center"/>
          </w:tcPr>
          <w:p w14:paraId="0E932616">
            <w:pPr>
              <w:widowControl/>
              <w:overflowPunct w:val="0"/>
              <w:autoSpaceDE w:val="0"/>
              <w:autoSpaceDN w:val="0"/>
              <w:adjustRightInd w:val="0"/>
              <w:jc w:val="center"/>
              <w:rPr>
                <w:rFonts w:ascii="Times New Roman" w:hAnsi="Times New Roman"/>
                <w:spacing w:val="-2"/>
                <w:kern w:val="0"/>
                <w:szCs w:val="21"/>
              </w:rPr>
            </w:pPr>
          </w:p>
        </w:tc>
        <w:tc>
          <w:tcPr>
            <w:tcW w:w="1642" w:type="dxa"/>
            <w:vAlign w:val="center"/>
          </w:tcPr>
          <w:p w14:paraId="3E28CCDE">
            <w:pPr>
              <w:widowControl/>
              <w:overflowPunct w:val="0"/>
              <w:autoSpaceDE w:val="0"/>
              <w:autoSpaceDN w:val="0"/>
              <w:adjustRightInd w:val="0"/>
              <w:jc w:val="center"/>
              <w:rPr>
                <w:rFonts w:ascii="Times New Roman" w:hAnsi="Times New Roman"/>
                <w:spacing w:val="-2"/>
                <w:kern w:val="0"/>
                <w:szCs w:val="21"/>
              </w:rPr>
            </w:pPr>
            <w:r>
              <w:rPr>
                <w:rFonts w:ascii="Times New Roman" w:hAnsi="Times New Roman"/>
                <w:spacing w:val="-2"/>
                <w:kern w:val="0"/>
                <w:szCs w:val="21"/>
              </w:rPr>
              <w:t>水生生态</w:t>
            </w:r>
          </w:p>
        </w:tc>
        <w:tc>
          <w:tcPr>
            <w:tcW w:w="925" w:type="dxa"/>
            <w:vAlign w:val="center"/>
          </w:tcPr>
          <w:p w14:paraId="3E48474D">
            <w:pPr>
              <w:widowControl/>
              <w:overflowPunct w:val="0"/>
              <w:autoSpaceDE w:val="0"/>
              <w:autoSpaceDN w:val="0"/>
              <w:adjustRightInd w:val="0"/>
              <w:jc w:val="center"/>
              <w:rPr>
                <w:rFonts w:ascii="Times New Roman" w:hAnsi="Times New Roman"/>
                <w:spacing w:val="-2"/>
                <w:kern w:val="0"/>
                <w:szCs w:val="21"/>
              </w:rPr>
            </w:pPr>
          </w:p>
        </w:tc>
        <w:tc>
          <w:tcPr>
            <w:tcW w:w="925" w:type="dxa"/>
            <w:vAlign w:val="center"/>
          </w:tcPr>
          <w:p w14:paraId="75E428F7">
            <w:pPr>
              <w:widowControl/>
              <w:overflowPunct w:val="0"/>
              <w:autoSpaceDE w:val="0"/>
              <w:autoSpaceDN w:val="0"/>
              <w:adjustRightInd w:val="0"/>
              <w:jc w:val="center"/>
              <w:rPr>
                <w:rFonts w:ascii="Times New Roman" w:hAnsi="Times New Roman"/>
                <w:spacing w:val="-2"/>
                <w:kern w:val="0"/>
                <w:szCs w:val="21"/>
              </w:rPr>
            </w:pPr>
          </w:p>
        </w:tc>
        <w:tc>
          <w:tcPr>
            <w:tcW w:w="1164" w:type="dxa"/>
            <w:vAlign w:val="center"/>
          </w:tcPr>
          <w:p w14:paraId="4D047D52">
            <w:pPr>
              <w:widowControl/>
              <w:overflowPunct w:val="0"/>
              <w:autoSpaceDE w:val="0"/>
              <w:autoSpaceDN w:val="0"/>
              <w:adjustRightInd w:val="0"/>
              <w:jc w:val="center"/>
              <w:rPr>
                <w:rFonts w:ascii="Times New Roman" w:hAnsi="Times New Roman"/>
                <w:spacing w:val="-2"/>
                <w:kern w:val="0"/>
                <w:szCs w:val="21"/>
              </w:rPr>
            </w:pPr>
          </w:p>
        </w:tc>
        <w:tc>
          <w:tcPr>
            <w:tcW w:w="927" w:type="dxa"/>
            <w:vAlign w:val="center"/>
          </w:tcPr>
          <w:p w14:paraId="40489AB7">
            <w:pPr>
              <w:widowControl/>
              <w:overflowPunct w:val="0"/>
              <w:autoSpaceDE w:val="0"/>
              <w:autoSpaceDN w:val="0"/>
              <w:adjustRightInd w:val="0"/>
              <w:jc w:val="center"/>
              <w:rPr>
                <w:rFonts w:ascii="Times New Roman" w:hAnsi="Times New Roman"/>
                <w:spacing w:val="-2"/>
                <w:kern w:val="0"/>
                <w:szCs w:val="21"/>
              </w:rPr>
            </w:pPr>
          </w:p>
        </w:tc>
        <w:tc>
          <w:tcPr>
            <w:tcW w:w="925" w:type="dxa"/>
            <w:vAlign w:val="center"/>
          </w:tcPr>
          <w:p w14:paraId="3C6435D9">
            <w:pPr>
              <w:widowControl/>
              <w:overflowPunct w:val="0"/>
              <w:autoSpaceDE w:val="0"/>
              <w:autoSpaceDN w:val="0"/>
              <w:adjustRightInd w:val="0"/>
              <w:jc w:val="center"/>
              <w:rPr>
                <w:rFonts w:ascii="Times New Roman" w:hAnsi="Times New Roman"/>
                <w:spacing w:val="-2"/>
                <w:kern w:val="0"/>
                <w:szCs w:val="21"/>
              </w:rPr>
            </w:pPr>
          </w:p>
        </w:tc>
        <w:tc>
          <w:tcPr>
            <w:tcW w:w="925" w:type="dxa"/>
            <w:vAlign w:val="center"/>
          </w:tcPr>
          <w:p w14:paraId="6B7297BA">
            <w:pPr>
              <w:widowControl/>
              <w:overflowPunct w:val="0"/>
              <w:autoSpaceDE w:val="0"/>
              <w:autoSpaceDN w:val="0"/>
              <w:adjustRightInd w:val="0"/>
              <w:jc w:val="center"/>
              <w:rPr>
                <w:rFonts w:ascii="Times New Roman" w:hAnsi="Times New Roman"/>
                <w:spacing w:val="-2"/>
                <w:kern w:val="0"/>
                <w:szCs w:val="21"/>
              </w:rPr>
            </w:pPr>
          </w:p>
        </w:tc>
        <w:tc>
          <w:tcPr>
            <w:tcW w:w="927" w:type="dxa"/>
            <w:vAlign w:val="center"/>
          </w:tcPr>
          <w:p w14:paraId="2633A8DE">
            <w:pPr>
              <w:widowControl/>
              <w:overflowPunct w:val="0"/>
              <w:autoSpaceDE w:val="0"/>
              <w:autoSpaceDN w:val="0"/>
              <w:adjustRightInd w:val="0"/>
              <w:jc w:val="center"/>
              <w:rPr>
                <w:rFonts w:ascii="Times New Roman" w:hAnsi="Times New Roman"/>
                <w:spacing w:val="-2"/>
                <w:kern w:val="0"/>
                <w:szCs w:val="21"/>
              </w:rPr>
            </w:pPr>
          </w:p>
        </w:tc>
      </w:tr>
    </w:tbl>
    <w:p w14:paraId="49538477">
      <w:pPr>
        <w:widowControl/>
        <w:overflowPunct w:val="0"/>
        <w:autoSpaceDE w:val="0"/>
        <w:autoSpaceDN w:val="0"/>
        <w:adjustRightInd w:val="0"/>
        <w:rPr>
          <w:rFonts w:ascii="Times New Roman" w:hAnsi="Times New Roman"/>
          <w:spacing w:val="-2"/>
          <w:kern w:val="0"/>
          <w:szCs w:val="21"/>
        </w:rPr>
      </w:pPr>
      <w:r>
        <w:rPr>
          <w:rFonts w:ascii="Times New Roman" w:hAnsi="Times New Roman"/>
          <w:spacing w:val="-2"/>
          <w:kern w:val="0"/>
          <w:szCs w:val="21"/>
        </w:rPr>
        <w:t>▲短期负影响；</w:t>
      </w:r>
      <w:r>
        <w:rPr>
          <w:rFonts w:ascii="Times New Roman" w:hAnsi="Times New Roman"/>
          <w:b/>
          <w:spacing w:val="-2"/>
          <w:kern w:val="0"/>
          <w:szCs w:val="21"/>
        </w:rPr>
        <w:t>■</w:t>
      </w:r>
      <w:r>
        <w:rPr>
          <w:rFonts w:ascii="Times New Roman" w:hAnsi="Times New Roman"/>
          <w:spacing w:val="-2"/>
          <w:kern w:val="0"/>
          <w:szCs w:val="21"/>
        </w:rPr>
        <w:t>长期负影响；</w:t>
      </w:r>
      <w:r>
        <w:rPr>
          <w:rFonts w:ascii="Cambria Math" w:hAnsi="Cambria Math" w:cs="Cambria Math"/>
          <w:b/>
          <w:spacing w:val="-2"/>
          <w:kern w:val="0"/>
          <w:szCs w:val="21"/>
        </w:rPr>
        <w:t>△</w:t>
      </w:r>
      <w:r>
        <w:rPr>
          <w:rFonts w:ascii="Times New Roman" w:hAnsi="Times New Roman"/>
          <w:spacing w:val="-2"/>
          <w:kern w:val="0"/>
          <w:szCs w:val="21"/>
        </w:rPr>
        <w:t>短期正影响；</w:t>
      </w:r>
      <w:r>
        <w:rPr>
          <w:rFonts w:ascii="Times New Roman" w:hAnsi="Times New Roman"/>
          <w:b/>
          <w:spacing w:val="-2"/>
          <w:kern w:val="0"/>
          <w:szCs w:val="21"/>
        </w:rPr>
        <w:t>□</w:t>
      </w:r>
      <w:r>
        <w:rPr>
          <w:rFonts w:ascii="Times New Roman" w:hAnsi="Times New Roman"/>
          <w:spacing w:val="-2"/>
          <w:kern w:val="0"/>
          <w:szCs w:val="21"/>
        </w:rPr>
        <w:t>长期正影响；1、2、3表示影响程度增加。空格表示影响不明显或没影响。</w:t>
      </w:r>
    </w:p>
    <w:p w14:paraId="3C4C6328">
      <w:pPr>
        <w:pStyle w:val="6"/>
      </w:pPr>
      <w:r>
        <w:t>评价因子筛选</w:t>
      </w:r>
    </w:p>
    <w:p w14:paraId="5984CFAB">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根据环境特征和本项目的特征污染物，确定本次环境现状评价因子和预测因子，详见表1.3-2。</w:t>
      </w:r>
    </w:p>
    <w:p w14:paraId="571FC0AA">
      <w:pPr>
        <w:pStyle w:val="8"/>
        <w:rPr>
          <w:sz w:val="24"/>
          <w:szCs w:val="24"/>
        </w:rPr>
      </w:pPr>
      <w:r>
        <w:rPr>
          <w:sz w:val="24"/>
          <w:szCs w:val="24"/>
        </w:rPr>
        <w:t>项目环境影响现状及预测评价因子一览表</w:t>
      </w:r>
    </w:p>
    <w:tbl>
      <w:tblPr>
        <w:tblStyle w:val="88"/>
        <w:tblW w:w="928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73"/>
        <w:gridCol w:w="6183"/>
        <w:gridCol w:w="1930"/>
      </w:tblGrid>
      <w:tr w14:paraId="78C4BF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1173" w:type="dxa"/>
            <w:vAlign w:val="center"/>
          </w:tcPr>
          <w:p w14:paraId="782F2906">
            <w:pPr>
              <w:jc w:val="center"/>
              <w:rPr>
                <w:rFonts w:ascii="Times New Roman" w:hAnsi="Times New Roman"/>
                <w:b/>
                <w:bCs/>
                <w:spacing w:val="-2"/>
                <w:kern w:val="0"/>
                <w:szCs w:val="21"/>
              </w:rPr>
            </w:pPr>
            <w:r>
              <w:rPr>
                <w:rFonts w:ascii="Times New Roman" w:hAnsi="Times New Roman"/>
                <w:b/>
                <w:bCs/>
                <w:spacing w:val="-2"/>
                <w:kern w:val="0"/>
                <w:szCs w:val="21"/>
              </w:rPr>
              <w:t>环境要素</w:t>
            </w:r>
          </w:p>
        </w:tc>
        <w:tc>
          <w:tcPr>
            <w:tcW w:w="6183" w:type="dxa"/>
            <w:vAlign w:val="center"/>
          </w:tcPr>
          <w:p w14:paraId="4445C144">
            <w:pPr>
              <w:jc w:val="center"/>
              <w:rPr>
                <w:rFonts w:ascii="Times New Roman" w:hAnsi="Times New Roman"/>
                <w:b/>
                <w:bCs/>
                <w:spacing w:val="-2"/>
                <w:kern w:val="0"/>
                <w:szCs w:val="21"/>
              </w:rPr>
            </w:pPr>
            <w:r>
              <w:rPr>
                <w:rFonts w:ascii="Times New Roman" w:hAnsi="Times New Roman"/>
                <w:b/>
                <w:bCs/>
                <w:spacing w:val="-2"/>
                <w:kern w:val="0"/>
                <w:szCs w:val="21"/>
              </w:rPr>
              <w:t>现状评价因子</w:t>
            </w:r>
          </w:p>
        </w:tc>
        <w:tc>
          <w:tcPr>
            <w:tcW w:w="1930" w:type="dxa"/>
            <w:vAlign w:val="center"/>
          </w:tcPr>
          <w:p w14:paraId="431431BC">
            <w:pPr>
              <w:jc w:val="center"/>
              <w:rPr>
                <w:rFonts w:ascii="Times New Roman" w:hAnsi="Times New Roman"/>
                <w:b/>
                <w:bCs/>
                <w:spacing w:val="-2"/>
                <w:kern w:val="0"/>
                <w:szCs w:val="21"/>
              </w:rPr>
            </w:pPr>
            <w:r>
              <w:rPr>
                <w:rFonts w:ascii="Times New Roman" w:hAnsi="Times New Roman"/>
                <w:b/>
                <w:bCs/>
                <w:spacing w:val="-2"/>
                <w:kern w:val="0"/>
                <w:szCs w:val="21"/>
              </w:rPr>
              <w:t>影响预测因子</w:t>
            </w:r>
          </w:p>
        </w:tc>
      </w:tr>
      <w:tr w14:paraId="542299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73" w:type="dxa"/>
            <w:vAlign w:val="center"/>
          </w:tcPr>
          <w:p w14:paraId="2EF67924">
            <w:pPr>
              <w:jc w:val="center"/>
              <w:rPr>
                <w:rFonts w:ascii="Times New Roman" w:hAnsi="Times New Roman"/>
                <w:spacing w:val="-2"/>
                <w:kern w:val="0"/>
                <w:szCs w:val="21"/>
              </w:rPr>
            </w:pPr>
            <w:r>
              <w:rPr>
                <w:rFonts w:ascii="Times New Roman" w:hAnsi="Times New Roman"/>
                <w:spacing w:val="-2"/>
                <w:kern w:val="0"/>
                <w:szCs w:val="21"/>
              </w:rPr>
              <w:t>大气环境</w:t>
            </w:r>
          </w:p>
        </w:tc>
        <w:tc>
          <w:tcPr>
            <w:tcW w:w="6183" w:type="dxa"/>
            <w:vAlign w:val="center"/>
          </w:tcPr>
          <w:p w14:paraId="409234F7">
            <w:pPr>
              <w:jc w:val="center"/>
              <w:rPr>
                <w:rFonts w:ascii="Times New Roman" w:hAnsi="Times New Roman"/>
                <w:spacing w:val="-2"/>
                <w:kern w:val="0"/>
                <w:szCs w:val="21"/>
              </w:rPr>
            </w:pPr>
            <w:r>
              <w:rPr>
                <w:rFonts w:ascii="Times New Roman" w:hAnsi="Times New Roman"/>
                <w:spacing w:val="-2"/>
                <w:kern w:val="0"/>
                <w:szCs w:val="21"/>
              </w:rPr>
              <w:t>TSP、 PM</w:t>
            </w:r>
            <w:r>
              <w:rPr>
                <w:rFonts w:ascii="Times New Roman" w:hAnsi="Times New Roman"/>
                <w:spacing w:val="-2"/>
                <w:kern w:val="0"/>
                <w:szCs w:val="21"/>
                <w:vertAlign w:val="subscript"/>
              </w:rPr>
              <w:t>10</w:t>
            </w:r>
            <w:r>
              <w:rPr>
                <w:rFonts w:ascii="Times New Roman" w:hAnsi="Times New Roman"/>
                <w:spacing w:val="-2"/>
                <w:kern w:val="0"/>
                <w:szCs w:val="21"/>
              </w:rPr>
              <w:t>、PM</w:t>
            </w:r>
            <w:r>
              <w:rPr>
                <w:rFonts w:ascii="Times New Roman" w:hAnsi="Times New Roman"/>
                <w:spacing w:val="-2"/>
                <w:kern w:val="0"/>
                <w:szCs w:val="21"/>
                <w:vertAlign w:val="subscript"/>
              </w:rPr>
              <w:t>2.5</w:t>
            </w:r>
            <w:r>
              <w:rPr>
                <w:rFonts w:ascii="Times New Roman" w:hAnsi="Times New Roman"/>
                <w:spacing w:val="-2"/>
                <w:kern w:val="0"/>
                <w:szCs w:val="21"/>
              </w:rPr>
              <w:t>、SO</w:t>
            </w:r>
            <w:r>
              <w:rPr>
                <w:rFonts w:ascii="Times New Roman" w:hAnsi="Times New Roman"/>
                <w:spacing w:val="-2"/>
                <w:kern w:val="0"/>
                <w:szCs w:val="21"/>
                <w:vertAlign w:val="subscript"/>
              </w:rPr>
              <w:t>2</w:t>
            </w:r>
            <w:r>
              <w:rPr>
                <w:rFonts w:ascii="Times New Roman" w:hAnsi="Times New Roman"/>
                <w:spacing w:val="-2"/>
                <w:kern w:val="0"/>
                <w:szCs w:val="21"/>
              </w:rPr>
              <w:t>、NO</w:t>
            </w:r>
            <w:r>
              <w:rPr>
                <w:rFonts w:ascii="Times New Roman" w:hAnsi="Times New Roman"/>
                <w:spacing w:val="-2"/>
                <w:kern w:val="0"/>
                <w:szCs w:val="21"/>
                <w:vertAlign w:val="subscript"/>
              </w:rPr>
              <w:t>2</w:t>
            </w:r>
            <w:r>
              <w:rPr>
                <w:rFonts w:ascii="Times New Roman" w:hAnsi="Times New Roman"/>
                <w:spacing w:val="-2"/>
                <w:kern w:val="0"/>
                <w:szCs w:val="21"/>
              </w:rPr>
              <w:t>、O</w:t>
            </w:r>
            <w:r>
              <w:rPr>
                <w:rFonts w:ascii="Times New Roman" w:hAnsi="Times New Roman"/>
                <w:spacing w:val="-2"/>
                <w:kern w:val="0"/>
                <w:szCs w:val="21"/>
                <w:vertAlign w:val="subscript"/>
              </w:rPr>
              <w:t>3</w:t>
            </w:r>
            <w:r>
              <w:rPr>
                <w:rFonts w:ascii="Times New Roman" w:hAnsi="Times New Roman"/>
                <w:spacing w:val="-2"/>
                <w:kern w:val="0"/>
                <w:szCs w:val="21"/>
              </w:rPr>
              <w:t>、CO</w:t>
            </w:r>
          </w:p>
        </w:tc>
        <w:tc>
          <w:tcPr>
            <w:tcW w:w="1930" w:type="dxa"/>
            <w:vAlign w:val="center"/>
          </w:tcPr>
          <w:p w14:paraId="4406CE3C">
            <w:pPr>
              <w:jc w:val="center"/>
              <w:rPr>
                <w:rFonts w:ascii="Times New Roman" w:hAnsi="Times New Roman"/>
                <w:spacing w:val="-2"/>
                <w:kern w:val="0"/>
                <w:szCs w:val="21"/>
              </w:rPr>
            </w:pPr>
            <w:r>
              <w:rPr>
                <w:rFonts w:ascii="Times New Roman" w:hAnsi="Times New Roman"/>
                <w:spacing w:val="-2"/>
                <w:kern w:val="0"/>
                <w:szCs w:val="21"/>
              </w:rPr>
              <w:t>PM</w:t>
            </w:r>
            <w:r>
              <w:rPr>
                <w:rFonts w:ascii="Times New Roman" w:hAnsi="Times New Roman"/>
                <w:spacing w:val="-2"/>
                <w:kern w:val="0"/>
                <w:szCs w:val="21"/>
                <w:vertAlign w:val="subscript"/>
              </w:rPr>
              <w:t>10</w:t>
            </w:r>
            <w:r>
              <w:rPr>
                <w:rFonts w:ascii="Times New Roman" w:hAnsi="Times New Roman"/>
                <w:spacing w:val="-2"/>
                <w:kern w:val="0"/>
                <w:szCs w:val="21"/>
              </w:rPr>
              <w:t>、SO</w:t>
            </w:r>
            <w:r>
              <w:rPr>
                <w:rFonts w:ascii="Times New Roman" w:hAnsi="Times New Roman"/>
                <w:spacing w:val="-2"/>
                <w:kern w:val="0"/>
                <w:szCs w:val="21"/>
                <w:vertAlign w:val="subscript"/>
              </w:rPr>
              <w:t>2</w:t>
            </w:r>
            <w:r>
              <w:rPr>
                <w:rFonts w:ascii="Times New Roman" w:hAnsi="Times New Roman"/>
                <w:spacing w:val="-2"/>
                <w:kern w:val="0"/>
                <w:szCs w:val="21"/>
              </w:rPr>
              <w:t>、NO</w:t>
            </w:r>
            <w:r>
              <w:rPr>
                <w:rFonts w:ascii="Times New Roman" w:hAnsi="Times New Roman"/>
                <w:spacing w:val="-2"/>
                <w:kern w:val="0"/>
                <w:szCs w:val="21"/>
                <w:vertAlign w:val="subscript"/>
              </w:rPr>
              <w:t>X</w:t>
            </w:r>
            <w:r>
              <w:rPr>
                <w:rFonts w:ascii="Times New Roman" w:hAnsi="Times New Roman"/>
                <w:spacing w:val="-2"/>
                <w:kern w:val="0"/>
                <w:szCs w:val="21"/>
              </w:rPr>
              <w:t>、TSP</w:t>
            </w:r>
          </w:p>
        </w:tc>
      </w:tr>
      <w:tr w14:paraId="3C828C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73" w:type="dxa"/>
            <w:vAlign w:val="center"/>
          </w:tcPr>
          <w:p w14:paraId="4E753A07">
            <w:pPr>
              <w:jc w:val="center"/>
              <w:rPr>
                <w:rFonts w:ascii="Times New Roman" w:hAnsi="Times New Roman"/>
                <w:spacing w:val="-2"/>
                <w:kern w:val="0"/>
                <w:szCs w:val="21"/>
              </w:rPr>
            </w:pPr>
            <w:r>
              <w:rPr>
                <w:rFonts w:ascii="Times New Roman" w:hAnsi="Times New Roman"/>
                <w:spacing w:val="-2"/>
                <w:kern w:val="0"/>
                <w:szCs w:val="21"/>
              </w:rPr>
              <w:t>地下水环境</w:t>
            </w:r>
          </w:p>
        </w:tc>
        <w:tc>
          <w:tcPr>
            <w:tcW w:w="6183" w:type="dxa"/>
            <w:vAlign w:val="center"/>
          </w:tcPr>
          <w:p w14:paraId="024005B9">
            <w:pPr>
              <w:jc w:val="center"/>
              <w:rPr>
                <w:rFonts w:ascii="Times New Roman" w:hAnsi="Times New Roman"/>
                <w:spacing w:val="-2"/>
                <w:kern w:val="0"/>
                <w:szCs w:val="21"/>
              </w:rPr>
            </w:pPr>
            <w:r>
              <w:rPr>
                <w:rFonts w:ascii="Times New Roman" w:hAnsi="Times New Roman"/>
                <w:spacing w:val="-2"/>
                <w:kern w:val="0"/>
                <w:szCs w:val="21"/>
              </w:rPr>
              <w:t>K</w:t>
            </w:r>
            <w:r>
              <w:rPr>
                <w:rFonts w:ascii="Times New Roman" w:hAnsi="Times New Roman"/>
                <w:spacing w:val="-2"/>
                <w:kern w:val="0"/>
                <w:szCs w:val="21"/>
                <w:vertAlign w:val="superscript"/>
              </w:rPr>
              <w:t>+</w:t>
            </w:r>
            <w:r>
              <w:rPr>
                <w:rFonts w:ascii="Times New Roman" w:hAnsi="Times New Roman"/>
                <w:spacing w:val="-2"/>
                <w:kern w:val="0"/>
                <w:szCs w:val="21"/>
              </w:rPr>
              <w:t>、Na</w:t>
            </w:r>
            <w:r>
              <w:rPr>
                <w:rFonts w:ascii="Times New Roman" w:hAnsi="Times New Roman"/>
                <w:spacing w:val="-2"/>
                <w:kern w:val="0"/>
                <w:szCs w:val="21"/>
                <w:vertAlign w:val="superscript"/>
              </w:rPr>
              <w:t>+</w:t>
            </w:r>
            <w:r>
              <w:rPr>
                <w:rFonts w:ascii="Times New Roman" w:hAnsi="Times New Roman"/>
                <w:spacing w:val="-2"/>
                <w:kern w:val="0"/>
                <w:szCs w:val="21"/>
              </w:rPr>
              <w:t>、Ca</w:t>
            </w:r>
            <w:r>
              <w:rPr>
                <w:rFonts w:ascii="Times New Roman" w:hAnsi="Times New Roman"/>
                <w:spacing w:val="-2"/>
                <w:kern w:val="0"/>
                <w:szCs w:val="21"/>
                <w:vertAlign w:val="superscript"/>
              </w:rPr>
              <w:t>2+</w:t>
            </w:r>
            <w:r>
              <w:rPr>
                <w:rFonts w:ascii="Times New Roman" w:hAnsi="Times New Roman"/>
                <w:spacing w:val="-2"/>
                <w:kern w:val="0"/>
                <w:szCs w:val="21"/>
              </w:rPr>
              <w:t>、Mg</w:t>
            </w:r>
            <w:r>
              <w:rPr>
                <w:rFonts w:ascii="Times New Roman" w:hAnsi="Times New Roman"/>
                <w:spacing w:val="-2"/>
                <w:kern w:val="0"/>
                <w:szCs w:val="21"/>
                <w:vertAlign w:val="superscript"/>
              </w:rPr>
              <w:t>2+</w:t>
            </w:r>
            <w:r>
              <w:rPr>
                <w:rFonts w:ascii="Times New Roman" w:hAnsi="Times New Roman"/>
                <w:spacing w:val="-2"/>
                <w:kern w:val="0"/>
                <w:szCs w:val="21"/>
              </w:rPr>
              <w:t>、CO</w:t>
            </w:r>
            <w:r>
              <w:rPr>
                <w:rFonts w:ascii="Times New Roman" w:hAnsi="Times New Roman"/>
                <w:spacing w:val="-2"/>
                <w:kern w:val="0"/>
                <w:szCs w:val="21"/>
                <w:vertAlign w:val="subscript"/>
              </w:rPr>
              <w:t>3</w:t>
            </w:r>
            <w:r>
              <w:rPr>
                <w:rFonts w:ascii="Times New Roman" w:hAnsi="Times New Roman"/>
                <w:spacing w:val="-2"/>
                <w:kern w:val="0"/>
                <w:szCs w:val="21"/>
                <w:vertAlign w:val="superscript"/>
              </w:rPr>
              <w:t>2-</w:t>
            </w:r>
            <w:r>
              <w:rPr>
                <w:rFonts w:ascii="Times New Roman" w:hAnsi="Times New Roman"/>
                <w:spacing w:val="-2"/>
                <w:kern w:val="0"/>
                <w:szCs w:val="21"/>
              </w:rPr>
              <w:t>、HCO</w:t>
            </w:r>
            <w:r>
              <w:rPr>
                <w:rFonts w:ascii="Times New Roman" w:hAnsi="Times New Roman"/>
                <w:spacing w:val="-2"/>
                <w:kern w:val="0"/>
                <w:szCs w:val="21"/>
                <w:vertAlign w:val="subscript"/>
              </w:rPr>
              <w:t>3</w:t>
            </w:r>
            <w:r>
              <w:rPr>
                <w:rFonts w:ascii="Times New Roman" w:hAnsi="Times New Roman"/>
                <w:spacing w:val="-2"/>
                <w:kern w:val="0"/>
                <w:szCs w:val="21"/>
                <w:vertAlign w:val="superscript"/>
              </w:rPr>
              <w:t>-</w:t>
            </w:r>
            <w:r>
              <w:rPr>
                <w:rFonts w:ascii="Times New Roman" w:hAnsi="Times New Roman"/>
                <w:spacing w:val="-2"/>
                <w:kern w:val="0"/>
                <w:szCs w:val="21"/>
              </w:rPr>
              <w:t>、Cl</w:t>
            </w:r>
            <w:r>
              <w:rPr>
                <w:rFonts w:ascii="Times New Roman" w:hAnsi="Times New Roman"/>
                <w:spacing w:val="-2"/>
                <w:kern w:val="0"/>
                <w:szCs w:val="21"/>
                <w:vertAlign w:val="superscript"/>
              </w:rPr>
              <w:t>-</w:t>
            </w:r>
            <w:r>
              <w:rPr>
                <w:rFonts w:ascii="Times New Roman" w:hAnsi="Times New Roman"/>
                <w:spacing w:val="-2"/>
                <w:kern w:val="0"/>
                <w:szCs w:val="21"/>
              </w:rPr>
              <w:t>、SO</w:t>
            </w:r>
            <w:r>
              <w:rPr>
                <w:rFonts w:ascii="Times New Roman" w:hAnsi="Times New Roman"/>
                <w:spacing w:val="-2"/>
                <w:kern w:val="0"/>
                <w:szCs w:val="21"/>
                <w:vertAlign w:val="subscript"/>
              </w:rPr>
              <w:t>4</w:t>
            </w:r>
            <w:r>
              <w:rPr>
                <w:rFonts w:ascii="Times New Roman" w:hAnsi="Times New Roman"/>
                <w:spacing w:val="-2"/>
                <w:kern w:val="0"/>
                <w:szCs w:val="21"/>
                <w:vertAlign w:val="superscript"/>
              </w:rPr>
              <w:t>2-</w:t>
            </w:r>
            <w:r>
              <w:rPr>
                <w:rFonts w:ascii="Times New Roman" w:hAnsi="Times New Roman"/>
                <w:spacing w:val="-2"/>
                <w:kern w:val="0"/>
                <w:szCs w:val="21"/>
              </w:rPr>
              <w:t>、pH值、总硬度、高锰酸盐指数（耗氧量）、硝酸盐、亚硝酸盐、氨氮、砷、汞、铅、镉、锌、铜、六价铬、铁、锰。</w:t>
            </w:r>
          </w:p>
        </w:tc>
        <w:tc>
          <w:tcPr>
            <w:tcW w:w="1930" w:type="dxa"/>
            <w:vAlign w:val="center"/>
          </w:tcPr>
          <w:p w14:paraId="6D284240">
            <w:pPr>
              <w:jc w:val="center"/>
              <w:rPr>
                <w:rFonts w:ascii="Times New Roman" w:hAnsi="Times New Roman"/>
                <w:spacing w:val="-2"/>
                <w:kern w:val="0"/>
                <w:szCs w:val="21"/>
              </w:rPr>
            </w:pPr>
            <w:r>
              <w:rPr>
                <w:rFonts w:ascii="Times New Roman" w:hAnsi="Times New Roman"/>
                <w:spacing w:val="-2"/>
                <w:kern w:val="0"/>
                <w:szCs w:val="21"/>
              </w:rPr>
              <w:t>/</w:t>
            </w:r>
          </w:p>
        </w:tc>
      </w:tr>
      <w:tr w14:paraId="09BDB3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73" w:type="dxa"/>
            <w:vAlign w:val="center"/>
          </w:tcPr>
          <w:p w14:paraId="774F809B">
            <w:pPr>
              <w:jc w:val="center"/>
              <w:rPr>
                <w:rFonts w:ascii="Times New Roman" w:hAnsi="Times New Roman"/>
                <w:spacing w:val="-2"/>
                <w:kern w:val="0"/>
                <w:szCs w:val="21"/>
              </w:rPr>
            </w:pPr>
            <w:r>
              <w:rPr>
                <w:rFonts w:hint="eastAsia" w:ascii="Times New Roman" w:hAnsi="Times New Roman"/>
                <w:spacing w:val="-2"/>
                <w:kern w:val="0"/>
                <w:szCs w:val="21"/>
              </w:rPr>
              <w:t>海洋环境</w:t>
            </w:r>
          </w:p>
        </w:tc>
        <w:tc>
          <w:tcPr>
            <w:tcW w:w="6183" w:type="dxa"/>
            <w:vAlign w:val="center"/>
          </w:tcPr>
          <w:p w14:paraId="4005BCAF">
            <w:pPr>
              <w:jc w:val="center"/>
              <w:rPr>
                <w:rFonts w:ascii="Times New Roman" w:hAnsi="Times New Roman"/>
                <w:spacing w:val="-2"/>
                <w:kern w:val="0"/>
                <w:szCs w:val="21"/>
              </w:rPr>
            </w:pPr>
            <w:r>
              <w:rPr>
                <w:rFonts w:hint="eastAsia" w:ascii="Times New Roman" w:hAnsi="Times New Roman"/>
                <w:spacing w:val="-2"/>
                <w:kern w:val="0"/>
                <w:szCs w:val="21"/>
              </w:rPr>
              <w:t>pH、溶解氧、活性磷酸盐、无机氮等。</w:t>
            </w:r>
          </w:p>
        </w:tc>
        <w:tc>
          <w:tcPr>
            <w:tcW w:w="1930" w:type="dxa"/>
            <w:vAlign w:val="center"/>
          </w:tcPr>
          <w:p w14:paraId="37246183">
            <w:pPr>
              <w:jc w:val="center"/>
              <w:rPr>
                <w:rFonts w:ascii="Times New Roman" w:hAnsi="Times New Roman"/>
                <w:spacing w:val="-2"/>
                <w:kern w:val="0"/>
                <w:szCs w:val="21"/>
              </w:rPr>
            </w:pPr>
            <w:r>
              <w:rPr>
                <w:rFonts w:hint="eastAsia" w:ascii="Times New Roman" w:hAnsi="Times New Roman"/>
                <w:spacing w:val="-2"/>
                <w:kern w:val="0"/>
                <w:szCs w:val="21"/>
              </w:rPr>
              <w:t>/</w:t>
            </w:r>
          </w:p>
        </w:tc>
      </w:tr>
      <w:tr w14:paraId="7E14A0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73" w:type="dxa"/>
            <w:vAlign w:val="center"/>
          </w:tcPr>
          <w:p w14:paraId="4D9E4E0A">
            <w:pPr>
              <w:jc w:val="center"/>
              <w:rPr>
                <w:rFonts w:ascii="Times New Roman" w:hAnsi="Times New Roman"/>
                <w:spacing w:val="-2"/>
                <w:kern w:val="0"/>
                <w:szCs w:val="21"/>
              </w:rPr>
            </w:pPr>
            <w:r>
              <w:rPr>
                <w:rFonts w:ascii="Times New Roman" w:hAnsi="Times New Roman"/>
                <w:spacing w:val="-2"/>
                <w:kern w:val="0"/>
                <w:szCs w:val="21"/>
              </w:rPr>
              <w:t>辐射</w:t>
            </w:r>
          </w:p>
        </w:tc>
        <w:tc>
          <w:tcPr>
            <w:tcW w:w="6183" w:type="dxa"/>
            <w:vAlign w:val="center"/>
          </w:tcPr>
          <w:p w14:paraId="4D24AE59">
            <w:pPr>
              <w:jc w:val="center"/>
              <w:rPr>
                <w:rFonts w:ascii="Times New Roman" w:hAnsi="Times New Roman"/>
              </w:rPr>
            </w:pPr>
            <w:r>
              <w:rPr>
                <w:rFonts w:ascii="Times New Roman" w:hAnsi="Times New Roman"/>
              </w:rPr>
              <w:t>（1）环境</w:t>
            </w:r>
            <w:r>
              <w:rPr>
                <w:rFonts w:ascii="Times New Roman" w:hAnsi="Times New Roman" w:eastAsia="MS Gothic"/>
              </w:rPr>
              <w:t>γ</w:t>
            </w:r>
            <w:r>
              <w:rPr>
                <w:rFonts w:ascii="Times New Roman" w:hAnsi="Times New Roman"/>
              </w:rPr>
              <w:t>辐射评价因子：</w:t>
            </w:r>
            <w:r>
              <w:rPr>
                <w:rFonts w:ascii="Times New Roman" w:hAnsi="Times New Roman" w:eastAsia="MS Gothic"/>
              </w:rPr>
              <w:t>γ</w:t>
            </w:r>
            <w:r>
              <w:rPr>
                <w:rFonts w:ascii="Times New Roman" w:hAnsi="Times New Roman"/>
              </w:rPr>
              <w:t>辐射空气吸收剂量率。</w:t>
            </w:r>
          </w:p>
          <w:p w14:paraId="13416892">
            <w:pPr>
              <w:jc w:val="center"/>
              <w:rPr>
                <w:rFonts w:ascii="Times New Roman" w:hAnsi="Times New Roman"/>
              </w:rPr>
            </w:pPr>
            <w:r>
              <w:rPr>
                <w:rFonts w:ascii="Times New Roman" w:hAnsi="Times New Roman"/>
              </w:rPr>
              <w:t>（2）大气环境评价核素：氡浓度。</w:t>
            </w:r>
          </w:p>
          <w:p w14:paraId="4F557384">
            <w:pPr>
              <w:jc w:val="center"/>
              <w:rPr>
                <w:rFonts w:ascii="Times New Roman" w:hAnsi="Times New Roman"/>
                <w:spacing w:val="-2"/>
                <w:kern w:val="0"/>
                <w:szCs w:val="21"/>
              </w:rPr>
            </w:pPr>
            <w:r>
              <w:rPr>
                <w:rFonts w:ascii="Times New Roman" w:hAnsi="Times New Roman"/>
              </w:rPr>
              <w:t>（3）大气环境气溶胶核素：</w:t>
            </w:r>
            <w:r>
              <w:rPr>
                <w:rFonts w:ascii="Times New Roman" w:hAnsi="Times New Roman"/>
                <w:spacing w:val="-2"/>
                <w:kern w:val="0"/>
                <w:szCs w:val="21"/>
              </w:rPr>
              <w:t>总α、总β、</w:t>
            </w:r>
            <w:r>
              <w:rPr>
                <w:rFonts w:ascii="Times New Roman" w:hAnsi="Times New Roman"/>
                <w:spacing w:val="-2"/>
                <w:kern w:val="0"/>
                <w:szCs w:val="21"/>
                <w:vertAlign w:val="superscript"/>
              </w:rPr>
              <w:t>210</w:t>
            </w:r>
            <w:r>
              <w:rPr>
                <w:rFonts w:ascii="Times New Roman" w:hAnsi="Times New Roman"/>
                <w:spacing w:val="-2"/>
                <w:kern w:val="0"/>
                <w:szCs w:val="21"/>
              </w:rPr>
              <w:t>Po、</w:t>
            </w:r>
            <w:r>
              <w:rPr>
                <w:rFonts w:ascii="Times New Roman" w:hAnsi="Times New Roman"/>
                <w:spacing w:val="-2"/>
                <w:kern w:val="0"/>
                <w:szCs w:val="21"/>
                <w:vertAlign w:val="superscript"/>
              </w:rPr>
              <w:t>210</w:t>
            </w:r>
            <w:r>
              <w:rPr>
                <w:rFonts w:ascii="Times New Roman" w:hAnsi="Times New Roman"/>
                <w:spacing w:val="-2"/>
                <w:kern w:val="0"/>
                <w:szCs w:val="21"/>
              </w:rPr>
              <w:t>Pb。</w:t>
            </w:r>
          </w:p>
        </w:tc>
        <w:tc>
          <w:tcPr>
            <w:tcW w:w="1930" w:type="dxa"/>
            <w:vAlign w:val="center"/>
          </w:tcPr>
          <w:p w14:paraId="1C3D7DED">
            <w:pPr>
              <w:jc w:val="center"/>
              <w:rPr>
                <w:rFonts w:ascii="Times New Roman" w:hAnsi="Times New Roman"/>
                <w:spacing w:val="-2"/>
                <w:kern w:val="0"/>
                <w:szCs w:val="21"/>
              </w:rPr>
            </w:pPr>
            <w:r>
              <w:rPr>
                <w:rFonts w:ascii="Times New Roman" w:hAnsi="Times New Roman"/>
              </w:rPr>
              <w:t>公众的附加年有效剂量、职业人员的附加年有效剂量</w:t>
            </w:r>
          </w:p>
        </w:tc>
      </w:tr>
      <w:tr w14:paraId="0F140A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73" w:type="dxa"/>
            <w:vAlign w:val="center"/>
          </w:tcPr>
          <w:p w14:paraId="786F586D">
            <w:pPr>
              <w:jc w:val="center"/>
              <w:rPr>
                <w:rFonts w:ascii="Times New Roman" w:hAnsi="Times New Roman"/>
                <w:spacing w:val="-2"/>
                <w:kern w:val="0"/>
                <w:szCs w:val="21"/>
              </w:rPr>
            </w:pPr>
            <w:r>
              <w:rPr>
                <w:rFonts w:ascii="Times New Roman" w:hAnsi="Times New Roman"/>
                <w:spacing w:val="-2"/>
                <w:kern w:val="0"/>
                <w:szCs w:val="21"/>
              </w:rPr>
              <w:t>声环境</w:t>
            </w:r>
          </w:p>
        </w:tc>
        <w:tc>
          <w:tcPr>
            <w:tcW w:w="6183" w:type="dxa"/>
            <w:vAlign w:val="center"/>
          </w:tcPr>
          <w:p w14:paraId="62A038D1">
            <w:pPr>
              <w:jc w:val="center"/>
              <w:rPr>
                <w:rFonts w:ascii="Times New Roman" w:hAnsi="Times New Roman"/>
                <w:spacing w:val="-2"/>
                <w:kern w:val="0"/>
                <w:szCs w:val="21"/>
              </w:rPr>
            </w:pPr>
            <w:r>
              <w:rPr>
                <w:rFonts w:ascii="Times New Roman" w:hAnsi="Times New Roman"/>
                <w:spacing w:val="-2"/>
                <w:kern w:val="0"/>
                <w:szCs w:val="21"/>
              </w:rPr>
              <w:t>连续等效A声级（Leq(A)）</w:t>
            </w:r>
          </w:p>
        </w:tc>
        <w:tc>
          <w:tcPr>
            <w:tcW w:w="1930" w:type="dxa"/>
            <w:vAlign w:val="center"/>
          </w:tcPr>
          <w:p w14:paraId="37B0A76E">
            <w:pPr>
              <w:jc w:val="center"/>
              <w:rPr>
                <w:rFonts w:ascii="Times New Roman" w:hAnsi="Times New Roman"/>
                <w:spacing w:val="-2"/>
                <w:kern w:val="0"/>
                <w:szCs w:val="21"/>
              </w:rPr>
            </w:pPr>
            <w:r>
              <w:rPr>
                <w:rFonts w:ascii="Times New Roman" w:hAnsi="Times New Roman"/>
                <w:spacing w:val="-2"/>
                <w:kern w:val="0"/>
                <w:szCs w:val="21"/>
              </w:rPr>
              <w:t>连续等效A声级（Leq(A)）</w:t>
            </w:r>
          </w:p>
        </w:tc>
      </w:tr>
      <w:tr w14:paraId="7DE648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73" w:type="dxa"/>
            <w:vAlign w:val="center"/>
          </w:tcPr>
          <w:p w14:paraId="0EDC99B9">
            <w:pPr>
              <w:jc w:val="center"/>
              <w:rPr>
                <w:rFonts w:ascii="Times New Roman" w:hAnsi="Times New Roman"/>
                <w:spacing w:val="-2"/>
                <w:kern w:val="0"/>
                <w:szCs w:val="21"/>
              </w:rPr>
            </w:pPr>
            <w:r>
              <w:rPr>
                <w:rFonts w:ascii="Times New Roman" w:hAnsi="Times New Roman"/>
                <w:spacing w:val="-2"/>
                <w:kern w:val="0"/>
                <w:szCs w:val="21"/>
              </w:rPr>
              <w:t>固体废物</w:t>
            </w:r>
          </w:p>
        </w:tc>
        <w:tc>
          <w:tcPr>
            <w:tcW w:w="6183" w:type="dxa"/>
            <w:vAlign w:val="center"/>
          </w:tcPr>
          <w:p w14:paraId="40020EF2">
            <w:pPr>
              <w:jc w:val="center"/>
              <w:rPr>
                <w:rFonts w:ascii="Times New Roman" w:hAnsi="Times New Roman"/>
                <w:spacing w:val="-2"/>
                <w:kern w:val="0"/>
                <w:szCs w:val="21"/>
              </w:rPr>
            </w:pPr>
            <w:r>
              <w:rPr>
                <w:rFonts w:ascii="Times New Roman" w:hAnsi="Times New Roman"/>
                <w:spacing w:val="-2"/>
                <w:kern w:val="0"/>
                <w:szCs w:val="21"/>
              </w:rPr>
              <w:t>/</w:t>
            </w:r>
          </w:p>
        </w:tc>
        <w:tc>
          <w:tcPr>
            <w:tcW w:w="1930" w:type="dxa"/>
            <w:vAlign w:val="center"/>
          </w:tcPr>
          <w:p w14:paraId="2A04315B">
            <w:pPr>
              <w:jc w:val="center"/>
              <w:rPr>
                <w:rFonts w:ascii="Times New Roman" w:hAnsi="Times New Roman"/>
                <w:spacing w:val="-2"/>
                <w:kern w:val="0"/>
                <w:szCs w:val="21"/>
              </w:rPr>
            </w:pPr>
            <w:r>
              <w:rPr>
                <w:rFonts w:hint="eastAsia" w:ascii="Times New Roman" w:hAnsi="Times New Roman"/>
                <w:spacing w:val="-2"/>
                <w:kern w:val="0"/>
                <w:szCs w:val="21"/>
              </w:rPr>
              <w:t>含矿粉尘</w:t>
            </w:r>
            <w:r>
              <w:rPr>
                <w:rFonts w:ascii="Times New Roman" w:hAnsi="Times New Roman"/>
                <w:spacing w:val="-2"/>
                <w:kern w:val="0"/>
                <w:szCs w:val="21"/>
              </w:rPr>
              <w:t>、灰渣</w:t>
            </w:r>
          </w:p>
        </w:tc>
      </w:tr>
      <w:tr w14:paraId="68EDA7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73" w:type="dxa"/>
            <w:vAlign w:val="center"/>
          </w:tcPr>
          <w:p w14:paraId="06886FE9">
            <w:pPr>
              <w:jc w:val="center"/>
              <w:rPr>
                <w:rFonts w:ascii="Times New Roman" w:hAnsi="Times New Roman"/>
                <w:spacing w:val="-2"/>
                <w:kern w:val="0"/>
                <w:szCs w:val="21"/>
              </w:rPr>
            </w:pPr>
            <w:r>
              <w:rPr>
                <w:rFonts w:hint="eastAsia" w:ascii="Times New Roman" w:hAnsi="Times New Roman"/>
                <w:spacing w:val="-2"/>
                <w:kern w:val="0"/>
                <w:szCs w:val="21"/>
              </w:rPr>
              <w:t>生态环境</w:t>
            </w:r>
          </w:p>
        </w:tc>
        <w:tc>
          <w:tcPr>
            <w:tcW w:w="6183" w:type="dxa"/>
            <w:vAlign w:val="center"/>
          </w:tcPr>
          <w:p w14:paraId="3B39FFF5">
            <w:pPr>
              <w:jc w:val="center"/>
              <w:rPr>
                <w:rFonts w:ascii="Times New Roman" w:hAnsi="Times New Roman"/>
                <w:spacing w:val="-2"/>
                <w:kern w:val="0"/>
                <w:szCs w:val="21"/>
              </w:rPr>
            </w:pPr>
            <w:r>
              <w:rPr>
                <w:rFonts w:hint="eastAsia" w:ascii="Times New Roman" w:hAnsi="Times New Roman"/>
                <w:spacing w:val="-2"/>
                <w:kern w:val="0"/>
                <w:szCs w:val="21"/>
              </w:rPr>
              <w:t>物种分布范围、生境质量、连通性等</w:t>
            </w:r>
          </w:p>
        </w:tc>
        <w:tc>
          <w:tcPr>
            <w:tcW w:w="1930" w:type="dxa"/>
            <w:vAlign w:val="center"/>
          </w:tcPr>
          <w:p w14:paraId="3B1D2A54">
            <w:pPr>
              <w:jc w:val="center"/>
              <w:rPr>
                <w:rFonts w:ascii="Times New Roman" w:hAnsi="Times New Roman"/>
                <w:spacing w:val="-2"/>
                <w:kern w:val="0"/>
                <w:szCs w:val="21"/>
              </w:rPr>
            </w:pPr>
            <w:r>
              <w:rPr>
                <w:rFonts w:hint="eastAsia" w:ascii="Times New Roman" w:hAnsi="Times New Roman"/>
                <w:spacing w:val="-2"/>
                <w:kern w:val="0"/>
                <w:szCs w:val="21"/>
              </w:rPr>
              <w:t>/</w:t>
            </w:r>
          </w:p>
        </w:tc>
      </w:tr>
      <w:tr w14:paraId="338C71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73" w:type="dxa"/>
            <w:vAlign w:val="center"/>
          </w:tcPr>
          <w:p w14:paraId="0042315C">
            <w:pPr>
              <w:jc w:val="center"/>
              <w:rPr>
                <w:rFonts w:ascii="Times New Roman" w:hAnsi="Times New Roman"/>
                <w:spacing w:val="-2"/>
                <w:kern w:val="0"/>
                <w:szCs w:val="21"/>
              </w:rPr>
            </w:pPr>
            <w:r>
              <w:rPr>
                <w:rFonts w:ascii="Times New Roman" w:hAnsi="Times New Roman"/>
                <w:spacing w:val="-2"/>
                <w:kern w:val="0"/>
                <w:szCs w:val="21"/>
              </w:rPr>
              <w:t>环境风险</w:t>
            </w:r>
          </w:p>
        </w:tc>
        <w:tc>
          <w:tcPr>
            <w:tcW w:w="6183" w:type="dxa"/>
            <w:vAlign w:val="center"/>
          </w:tcPr>
          <w:p w14:paraId="066C3512">
            <w:pPr>
              <w:jc w:val="center"/>
              <w:rPr>
                <w:rFonts w:ascii="Times New Roman" w:hAnsi="Times New Roman"/>
                <w:spacing w:val="-2"/>
                <w:kern w:val="0"/>
                <w:szCs w:val="21"/>
              </w:rPr>
            </w:pPr>
            <w:r>
              <w:rPr>
                <w:rFonts w:ascii="Times New Roman" w:hAnsi="Times New Roman"/>
                <w:spacing w:val="-2"/>
                <w:kern w:val="0"/>
                <w:szCs w:val="21"/>
              </w:rPr>
              <w:t>/</w:t>
            </w:r>
          </w:p>
        </w:tc>
        <w:tc>
          <w:tcPr>
            <w:tcW w:w="1930" w:type="dxa"/>
            <w:vAlign w:val="center"/>
          </w:tcPr>
          <w:p w14:paraId="003CB22F">
            <w:pPr>
              <w:jc w:val="center"/>
              <w:rPr>
                <w:rFonts w:ascii="Times New Roman" w:hAnsi="Times New Roman"/>
                <w:spacing w:val="-2"/>
                <w:kern w:val="0"/>
                <w:szCs w:val="21"/>
              </w:rPr>
            </w:pPr>
            <w:r>
              <w:rPr>
                <w:rFonts w:hint="eastAsia" w:ascii="Times New Roman" w:hAnsi="Times New Roman"/>
                <w:spacing w:val="-2"/>
                <w:kern w:val="0"/>
                <w:szCs w:val="21"/>
              </w:rPr>
              <w:t>废机油泄漏、</w:t>
            </w:r>
            <w:r>
              <w:rPr>
                <w:rFonts w:ascii="Times New Roman" w:hAnsi="Times New Roman"/>
                <w:spacing w:val="-2"/>
                <w:kern w:val="0"/>
                <w:szCs w:val="21"/>
              </w:rPr>
              <w:t>除尘器事故排放风险</w:t>
            </w:r>
          </w:p>
        </w:tc>
      </w:tr>
    </w:tbl>
    <w:p w14:paraId="2DE0A1EB">
      <w:pPr>
        <w:widowControl/>
        <w:overflowPunct w:val="0"/>
        <w:autoSpaceDE w:val="0"/>
        <w:autoSpaceDN w:val="0"/>
        <w:spacing w:line="360" w:lineRule="auto"/>
        <w:ind w:firstLine="472" w:firstLineChars="200"/>
        <w:rPr>
          <w:rFonts w:ascii="Times New Roman" w:hAnsi="Times New Roman"/>
          <w:spacing w:val="-2"/>
          <w:kern w:val="0"/>
          <w:sz w:val="24"/>
          <w:szCs w:val="24"/>
        </w:rPr>
      </w:pPr>
    </w:p>
    <w:p w14:paraId="1DB09269">
      <w:pPr>
        <w:pStyle w:val="5"/>
      </w:pPr>
      <w:bookmarkStart w:id="59" w:name="_Toc27283"/>
      <w:r>
        <w:t>评价标准</w:t>
      </w:r>
      <w:bookmarkEnd w:id="59"/>
    </w:p>
    <w:p w14:paraId="19ED780D">
      <w:pPr>
        <w:pStyle w:val="6"/>
      </w:pPr>
      <w:r>
        <w:t>环境质量标准</w:t>
      </w:r>
    </w:p>
    <w:p w14:paraId="46233D26">
      <w:pPr>
        <w:widowControl/>
        <w:overflowPunct w:val="0"/>
        <w:autoSpaceDE w:val="0"/>
        <w:autoSpaceDN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（1）项目环境空气执行《环境空气质量标准》（GB3095-2012）二级标准，各执行标准见表1.4-1。</w:t>
      </w:r>
    </w:p>
    <w:p w14:paraId="50EDBE02">
      <w:pPr>
        <w:pStyle w:val="8"/>
        <w:rPr>
          <w:sz w:val="24"/>
          <w:szCs w:val="24"/>
        </w:rPr>
      </w:pPr>
      <w:r>
        <w:rPr>
          <w:sz w:val="24"/>
          <w:szCs w:val="24"/>
        </w:rPr>
        <w:t>环境空气质量标准（摘录）</w:t>
      </w:r>
    </w:p>
    <w:tbl>
      <w:tblPr>
        <w:tblStyle w:val="88"/>
        <w:tblW w:w="904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278"/>
        <w:gridCol w:w="4146"/>
        <w:gridCol w:w="2141"/>
        <w:gridCol w:w="1475"/>
      </w:tblGrid>
      <w:tr w14:paraId="612A09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exact"/>
          <w:tblHeader/>
          <w:jc w:val="center"/>
        </w:trPr>
        <w:tc>
          <w:tcPr>
            <w:tcW w:w="1278" w:type="dxa"/>
            <w:vAlign w:val="center"/>
          </w:tcPr>
          <w:p w14:paraId="4B9F3F72">
            <w:pPr>
              <w:snapToGrid w:val="0"/>
              <w:jc w:val="center"/>
              <w:rPr>
                <w:rFonts w:ascii="Times New Roman" w:hAnsi="Times New Roman"/>
                <w:b/>
                <w:bCs/>
                <w:spacing w:val="-2"/>
                <w:kern w:val="0"/>
                <w:szCs w:val="21"/>
              </w:rPr>
            </w:pPr>
            <w:r>
              <w:rPr>
                <w:rFonts w:ascii="Times New Roman" w:hAnsi="Times New Roman"/>
                <w:b/>
                <w:bCs/>
                <w:spacing w:val="-2"/>
                <w:kern w:val="0"/>
                <w:szCs w:val="21"/>
              </w:rPr>
              <w:t>项目</w:t>
            </w:r>
          </w:p>
        </w:tc>
        <w:tc>
          <w:tcPr>
            <w:tcW w:w="4146" w:type="dxa"/>
            <w:vAlign w:val="center"/>
          </w:tcPr>
          <w:p w14:paraId="3751E7C2">
            <w:pPr>
              <w:snapToGrid w:val="0"/>
              <w:jc w:val="center"/>
              <w:rPr>
                <w:rFonts w:ascii="Times New Roman" w:hAnsi="Times New Roman"/>
                <w:b/>
                <w:bCs/>
                <w:spacing w:val="-2"/>
                <w:kern w:val="0"/>
                <w:szCs w:val="21"/>
              </w:rPr>
            </w:pPr>
            <w:r>
              <w:rPr>
                <w:rFonts w:ascii="Times New Roman" w:hAnsi="Times New Roman"/>
                <w:b/>
                <w:bCs/>
                <w:spacing w:val="-2"/>
                <w:kern w:val="0"/>
                <w:szCs w:val="21"/>
              </w:rPr>
              <w:t>取值时间</w:t>
            </w:r>
          </w:p>
        </w:tc>
        <w:tc>
          <w:tcPr>
            <w:tcW w:w="2141" w:type="dxa"/>
            <w:vAlign w:val="center"/>
          </w:tcPr>
          <w:p w14:paraId="5C34D42B">
            <w:pPr>
              <w:snapToGrid w:val="0"/>
              <w:jc w:val="center"/>
              <w:rPr>
                <w:rFonts w:ascii="Times New Roman" w:hAnsi="Times New Roman"/>
                <w:b/>
                <w:bCs/>
                <w:spacing w:val="-2"/>
                <w:kern w:val="0"/>
                <w:szCs w:val="21"/>
              </w:rPr>
            </w:pPr>
            <w:r>
              <w:rPr>
                <w:rFonts w:ascii="Times New Roman" w:hAnsi="Times New Roman"/>
                <w:b/>
                <w:bCs/>
                <w:spacing w:val="-2"/>
                <w:kern w:val="0"/>
                <w:szCs w:val="21"/>
              </w:rPr>
              <w:t>二级标准</w:t>
            </w:r>
          </w:p>
        </w:tc>
        <w:tc>
          <w:tcPr>
            <w:tcW w:w="1475" w:type="dxa"/>
            <w:vAlign w:val="center"/>
          </w:tcPr>
          <w:p w14:paraId="71BC5587">
            <w:pPr>
              <w:snapToGrid w:val="0"/>
              <w:jc w:val="center"/>
              <w:rPr>
                <w:rFonts w:ascii="Times New Roman" w:hAnsi="Times New Roman"/>
                <w:b/>
                <w:bCs/>
                <w:spacing w:val="-2"/>
                <w:kern w:val="0"/>
                <w:szCs w:val="21"/>
              </w:rPr>
            </w:pPr>
            <w:r>
              <w:rPr>
                <w:rFonts w:ascii="Times New Roman" w:hAnsi="Times New Roman"/>
                <w:b/>
                <w:bCs/>
                <w:spacing w:val="-2"/>
                <w:kern w:val="0"/>
                <w:szCs w:val="21"/>
              </w:rPr>
              <w:t>单位</w:t>
            </w:r>
          </w:p>
        </w:tc>
      </w:tr>
      <w:tr w14:paraId="10464E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exact"/>
          <w:jc w:val="center"/>
        </w:trPr>
        <w:tc>
          <w:tcPr>
            <w:tcW w:w="1278" w:type="dxa"/>
            <w:vMerge w:val="restart"/>
            <w:vAlign w:val="center"/>
          </w:tcPr>
          <w:p w14:paraId="24AA8FBE">
            <w:pPr>
              <w:snapToGrid w:val="0"/>
              <w:jc w:val="center"/>
              <w:rPr>
                <w:rFonts w:ascii="Times New Roman" w:hAnsi="Times New Roman"/>
                <w:spacing w:val="-2"/>
                <w:kern w:val="0"/>
                <w:szCs w:val="21"/>
              </w:rPr>
            </w:pPr>
            <w:r>
              <w:rPr>
                <w:rFonts w:ascii="Times New Roman" w:hAnsi="Times New Roman"/>
                <w:spacing w:val="-2"/>
                <w:kern w:val="0"/>
                <w:szCs w:val="21"/>
              </w:rPr>
              <w:t>TSP</w:t>
            </w:r>
          </w:p>
        </w:tc>
        <w:tc>
          <w:tcPr>
            <w:tcW w:w="4146" w:type="dxa"/>
            <w:vAlign w:val="center"/>
          </w:tcPr>
          <w:p w14:paraId="3E593933">
            <w:pPr>
              <w:snapToGrid w:val="0"/>
              <w:jc w:val="center"/>
              <w:rPr>
                <w:rFonts w:ascii="Times New Roman" w:hAnsi="Times New Roman"/>
                <w:spacing w:val="-2"/>
                <w:kern w:val="0"/>
                <w:szCs w:val="21"/>
              </w:rPr>
            </w:pPr>
            <w:r>
              <w:rPr>
                <w:rFonts w:ascii="Times New Roman" w:hAnsi="Times New Roman"/>
                <w:spacing w:val="-2"/>
                <w:kern w:val="0"/>
                <w:szCs w:val="21"/>
              </w:rPr>
              <w:t>年平均</w:t>
            </w:r>
          </w:p>
        </w:tc>
        <w:tc>
          <w:tcPr>
            <w:tcW w:w="2141" w:type="dxa"/>
            <w:vAlign w:val="center"/>
          </w:tcPr>
          <w:p w14:paraId="7FF436CF">
            <w:pPr>
              <w:snapToGrid w:val="0"/>
              <w:jc w:val="center"/>
              <w:rPr>
                <w:rFonts w:ascii="Times New Roman" w:hAnsi="Times New Roman"/>
                <w:spacing w:val="-2"/>
                <w:kern w:val="0"/>
                <w:szCs w:val="21"/>
              </w:rPr>
            </w:pPr>
            <w:r>
              <w:rPr>
                <w:rFonts w:ascii="Times New Roman" w:hAnsi="Times New Roman"/>
                <w:spacing w:val="-2"/>
                <w:kern w:val="0"/>
                <w:szCs w:val="21"/>
              </w:rPr>
              <w:t>200</w:t>
            </w:r>
          </w:p>
        </w:tc>
        <w:tc>
          <w:tcPr>
            <w:tcW w:w="1475" w:type="dxa"/>
            <w:vMerge w:val="restart"/>
            <w:vAlign w:val="center"/>
          </w:tcPr>
          <w:p w14:paraId="56E7A8DF">
            <w:pPr>
              <w:snapToGrid w:val="0"/>
              <w:jc w:val="center"/>
              <w:rPr>
                <w:rFonts w:ascii="Times New Roman" w:hAnsi="Times New Roman"/>
                <w:spacing w:val="-2"/>
                <w:kern w:val="0"/>
                <w:szCs w:val="21"/>
              </w:rPr>
            </w:pPr>
            <w:r>
              <w:rPr>
                <w:rFonts w:ascii="Times New Roman" w:hAnsi="Times New Roman"/>
                <w:spacing w:val="-2"/>
                <w:kern w:val="0"/>
                <w:szCs w:val="21"/>
              </w:rPr>
              <w:t>μg/m</w:t>
            </w:r>
            <w:r>
              <w:rPr>
                <w:rFonts w:ascii="Times New Roman" w:hAnsi="Times New Roman"/>
                <w:spacing w:val="-2"/>
                <w:kern w:val="0"/>
                <w:szCs w:val="21"/>
                <w:vertAlign w:val="superscript"/>
              </w:rPr>
              <w:t>3</w:t>
            </w:r>
          </w:p>
        </w:tc>
      </w:tr>
      <w:tr w14:paraId="5CECC2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exact"/>
          <w:jc w:val="center"/>
        </w:trPr>
        <w:tc>
          <w:tcPr>
            <w:tcW w:w="1278" w:type="dxa"/>
            <w:vMerge w:val="continue"/>
            <w:vAlign w:val="center"/>
          </w:tcPr>
          <w:p w14:paraId="744415C3">
            <w:pPr>
              <w:snapToGrid w:val="0"/>
              <w:jc w:val="center"/>
              <w:rPr>
                <w:rFonts w:ascii="Times New Roman" w:hAnsi="Times New Roman"/>
                <w:spacing w:val="-2"/>
                <w:kern w:val="0"/>
                <w:szCs w:val="21"/>
              </w:rPr>
            </w:pPr>
          </w:p>
        </w:tc>
        <w:tc>
          <w:tcPr>
            <w:tcW w:w="4146" w:type="dxa"/>
            <w:vAlign w:val="center"/>
          </w:tcPr>
          <w:p w14:paraId="7303C369">
            <w:pPr>
              <w:snapToGrid w:val="0"/>
              <w:jc w:val="center"/>
              <w:rPr>
                <w:rFonts w:ascii="Times New Roman" w:hAnsi="Times New Roman"/>
                <w:spacing w:val="-2"/>
                <w:kern w:val="0"/>
                <w:szCs w:val="21"/>
              </w:rPr>
            </w:pPr>
            <w:r>
              <w:rPr>
                <w:rFonts w:ascii="Times New Roman" w:hAnsi="Times New Roman"/>
                <w:spacing w:val="-2"/>
                <w:kern w:val="0"/>
                <w:szCs w:val="21"/>
              </w:rPr>
              <w:t>24小时平均</w:t>
            </w:r>
          </w:p>
        </w:tc>
        <w:tc>
          <w:tcPr>
            <w:tcW w:w="2141" w:type="dxa"/>
            <w:vAlign w:val="center"/>
          </w:tcPr>
          <w:p w14:paraId="726C90CC">
            <w:pPr>
              <w:snapToGrid w:val="0"/>
              <w:jc w:val="center"/>
              <w:rPr>
                <w:rFonts w:ascii="Times New Roman" w:hAnsi="Times New Roman"/>
                <w:spacing w:val="-2"/>
                <w:kern w:val="0"/>
                <w:szCs w:val="21"/>
              </w:rPr>
            </w:pPr>
            <w:r>
              <w:rPr>
                <w:rFonts w:ascii="Times New Roman" w:hAnsi="Times New Roman"/>
                <w:spacing w:val="-2"/>
                <w:kern w:val="0"/>
                <w:szCs w:val="21"/>
              </w:rPr>
              <w:t>300</w:t>
            </w:r>
          </w:p>
        </w:tc>
        <w:tc>
          <w:tcPr>
            <w:tcW w:w="1475" w:type="dxa"/>
            <w:vMerge w:val="continue"/>
            <w:vAlign w:val="center"/>
          </w:tcPr>
          <w:p w14:paraId="49FBD37A">
            <w:pPr>
              <w:snapToGrid w:val="0"/>
              <w:jc w:val="center"/>
              <w:rPr>
                <w:rFonts w:ascii="Times New Roman" w:hAnsi="Times New Roman"/>
                <w:spacing w:val="-2"/>
                <w:kern w:val="0"/>
                <w:szCs w:val="21"/>
              </w:rPr>
            </w:pPr>
          </w:p>
        </w:tc>
      </w:tr>
      <w:tr w14:paraId="7AA93E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exact"/>
          <w:jc w:val="center"/>
        </w:trPr>
        <w:tc>
          <w:tcPr>
            <w:tcW w:w="1278" w:type="dxa"/>
            <w:vMerge w:val="restart"/>
            <w:vAlign w:val="center"/>
          </w:tcPr>
          <w:p w14:paraId="01EB4736">
            <w:pPr>
              <w:snapToGrid w:val="0"/>
              <w:jc w:val="center"/>
              <w:rPr>
                <w:rFonts w:ascii="Times New Roman" w:hAnsi="Times New Roman"/>
                <w:spacing w:val="-2"/>
                <w:kern w:val="0"/>
                <w:szCs w:val="21"/>
              </w:rPr>
            </w:pPr>
            <w:r>
              <w:rPr>
                <w:rFonts w:ascii="Times New Roman" w:hAnsi="Times New Roman"/>
                <w:spacing w:val="-2"/>
                <w:kern w:val="0"/>
                <w:szCs w:val="21"/>
              </w:rPr>
              <w:t>PM</w:t>
            </w:r>
            <w:r>
              <w:rPr>
                <w:rFonts w:ascii="Times New Roman" w:hAnsi="Times New Roman"/>
                <w:spacing w:val="-2"/>
                <w:kern w:val="0"/>
                <w:szCs w:val="21"/>
                <w:vertAlign w:val="subscript"/>
              </w:rPr>
              <w:t>10</w:t>
            </w:r>
          </w:p>
        </w:tc>
        <w:tc>
          <w:tcPr>
            <w:tcW w:w="4146" w:type="dxa"/>
            <w:vAlign w:val="center"/>
          </w:tcPr>
          <w:p w14:paraId="3A1788E8">
            <w:pPr>
              <w:snapToGrid w:val="0"/>
              <w:jc w:val="center"/>
              <w:rPr>
                <w:rFonts w:ascii="Times New Roman" w:hAnsi="Times New Roman"/>
                <w:spacing w:val="-2"/>
                <w:kern w:val="0"/>
                <w:szCs w:val="21"/>
              </w:rPr>
            </w:pPr>
            <w:r>
              <w:rPr>
                <w:rFonts w:ascii="Times New Roman" w:hAnsi="Times New Roman"/>
                <w:spacing w:val="-2"/>
                <w:kern w:val="0"/>
                <w:szCs w:val="21"/>
              </w:rPr>
              <w:t>年平均</w:t>
            </w:r>
          </w:p>
        </w:tc>
        <w:tc>
          <w:tcPr>
            <w:tcW w:w="2141" w:type="dxa"/>
            <w:vAlign w:val="center"/>
          </w:tcPr>
          <w:p w14:paraId="33EBFF28">
            <w:pPr>
              <w:snapToGrid w:val="0"/>
              <w:jc w:val="center"/>
              <w:rPr>
                <w:rFonts w:ascii="Times New Roman" w:hAnsi="Times New Roman"/>
                <w:spacing w:val="-2"/>
                <w:kern w:val="0"/>
                <w:szCs w:val="21"/>
              </w:rPr>
            </w:pPr>
            <w:r>
              <w:rPr>
                <w:rFonts w:ascii="Times New Roman" w:hAnsi="Times New Roman"/>
                <w:spacing w:val="-2"/>
                <w:kern w:val="0"/>
                <w:szCs w:val="21"/>
              </w:rPr>
              <w:t>70</w:t>
            </w:r>
          </w:p>
        </w:tc>
        <w:tc>
          <w:tcPr>
            <w:tcW w:w="1475" w:type="dxa"/>
            <w:vMerge w:val="continue"/>
            <w:vAlign w:val="center"/>
          </w:tcPr>
          <w:p w14:paraId="7FA867F6">
            <w:pPr>
              <w:snapToGrid w:val="0"/>
              <w:jc w:val="center"/>
              <w:rPr>
                <w:rFonts w:ascii="Times New Roman" w:hAnsi="Times New Roman"/>
                <w:spacing w:val="-2"/>
                <w:kern w:val="0"/>
                <w:szCs w:val="21"/>
              </w:rPr>
            </w:pPr>
          </w:p>
        </w:tc>
      </w:tr>
      <w:tr w14:paraId="57CE04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exact"/>
          <w:jc w:val="center"/>
        </w:trPr>
        <w:tc>
          <w:tcPr>
            <w:tcW w:w="1278" w:type="dxa"/>
            <w:vMerge w:val="continue"/>
            <w:vAlign w:val="center"/>
          </w:tcPr>
          <w:p w14:paraId="49D66BDB">
            <w:pPr>
              <w:snapToGrid w:val="0"/>
              <w:jc w:val="center"/>
              <w:rPr>
                <w:rFonts w:ascii="Times New Roman" w:hAnsi="Times New Roman"/>
                <w:spacing w:val="-2"/>
                <w:kern w:val="0"/>
                <w:szCs w:val="21"/>
              </w:rPr>
            </w:pPr>
          </w:p>
        </w:tc>
        <w:tc>
          <w:tcPr>
            <w:tcW w:w="4146" w:type="dxa"/>
            <w:vAlign w:val="center"/>
          </w:tcPr>
          <w:p w14:paraId="41F497E3">
            <w:pPr>
              <w:snapToGrid w:val="0"/>
              <w:jc w:val="center"/>
              <w:rPr>
                <w:rFonts w:ascii="Times New Roman" w:hAnsi="Times New Roman"/>
                <w:spacing w:val="-2"/>
                <w:kern w:val="0"/>
                <w:szCs w:val="21"/>
              </w:rPr>
            </w:pPr>
            <w:r>
              <w:rPr>
                <w:rFonts w:ascii="Times New Roman" w:hAnsi="Times New Roman"/>
                <w:spacing w:val="-2"/>
                <w:kern w:val="0"/>
                <w:szCs w:val="21"/>
              </w:rPr>
              <w:t>24小时平均</w:t>
            </w:r>
          </w:p>
        </w:tc>
        <w:tc>
          <w:tcPr>
            <w:tcW w:w="2141" w:type="dxa"/>
            <w:vAlign w:val="center"/>
          </w:tcPr>
          <w:p w14:paraId="5F73A572">
            <w:pPr>
              <w:snapToGrid w:val="0"/>
              <w:jc w:val="center"/>
              <w:rPr>
                <w:rFonts w:ascii="Times New Roman" w:hAnsi="Times New Roman"/>
                <w:spacing w:val="-2"/>
                <w:kern w:val="0"/>
                <w:szCs w:val="21"/>
              </w:rPr>
            </w:pPr>
            <w:r>
              <w:rPr>
                <w:rFonts w:ascii="Times New Roman" w:hAnsi="Times New Roman"/>
                <w:spacing w:val="-2"/>
                <w:kern w:val="0"/>
                <w:szCs w:val="21"/>
              </w:rPr>
              <w:t>150</w:t>
            </w:r>
          </w:p>
        </w:tc>
        <w:tc>
          <w:tcPr>
            <w:tcW w:w="1475" w:type="dxa"/>
            <w:vMerge w:val="continue"/>
            <w:vAlign w:val="center"/>
          </w:tcPr>
          <w:p w14:paraId="729EF947">
            <w:pPr>
              <w:snapToGrid w:val="0"/>
              <w:jc w:val="center"/>
              <w:rPr>
                <w:rFonts w:ascii="Times New Roman" w:hAnsi="Times New Roman"/>
                <w:spacing w:val="-2"/>
                <w:kern w:val="0"/>
                <w:szCs w:val="21"/>
              </w:rPr>
            </w:pPr>
          </w:p>
        </w:tc>
      </w:tr>
      <w:tr w14:paraId="566372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exact"/>
          <w:jc w:val="center"/>
        </w:trPr>
        <w:tc>
          <w:tcPr>
            <w:tcW w:w="1278" w:type="dxa"/>
            <w:vMerge w:val="restart"/>
            <w:vAlign w:val="center"/>
          </w:tcPr>
          <w:p w14:paraId="157FC465">
            <w:pPr>
              <w:snapToGrid w:val="0"/>
              <w:jc w:val="center"/>
              <w:rPr>
                <w:rFonts w:ascii="Times New Roman" w:hAnsi="Times New Roman"/>
                <w:spacing w:val="-2"/>
                <w:kern w:val="0"/>
                <w:szCs w:val="21"/>
              </w:rPr>
            </w:pPr>
            <w:r>
              <w:rPr>
                <w:rFonts w:ascii="Times New Roman" w:hAnsi="Times New Roman"/>
                <w:spacing w:val="-2"/>
                <w:kern w:val="0"/>
                <w:szCs w:val="21"/>
              </w:rPr>
              <w:t>PM</w:t>
            </w:r>
            <w:r>
              <w:rPr>
                <w:rFonts w:ascii="Times New Roman" w:hAnsi="Times New Roman"/>
                <w:spacing w:val="-2"/>
                <w:kern w:val="0"/>
                <w:szCs w:val="21"/>
                <w:vertAlign w:val="subscript"/>
              </w:rPr>
              <w:t>2.5</w:t>
            </w:r>
          </w:p>
        </w:tc>
        <w:tc>
          <w:tcPr>
            <w:tcW w:w="4146" w:type="dxa"/>
            <w:vAlign w:val="center"/>
          </w:tcPr>
          <w:p w14:paraId="619E0898">
            <w:pPr>
              <w:snapToGrid w:val="0"/>
              <w:jc w:val="center"/>
              <w:rPr>
                <w:rFonts w:ascii="Times New Roman" w:hAnsi="Times New Roman"/>
                <w:spacing w:val="-2"/>
                <w:kern w:val="0"/>
                <w:szCs w:val="21"/>
              </w:rPr>
            </w:pPr>
            <w:r>
              <w:rPr>
                <w:rFonts w:ascii="Times New Roman" w:hAnsi="Times New Roman"/>
                <w:spacing w:val="-2"/>
                <w:kern w:val="0"/>
                <w:szCs w:val="21"/>
              </w:rPr>
              <w:t>年平均</w:t>
            </w:r>
          </w:p>
        </w:tc>
        <w:tc>
          <w:tcPr>
            <w:tcW w:w="2141" w:type="dxa"/>
            <w:vAlign w:val="center"/>
          </w:tcPr>
          <w:p w14:paraId="06BC8803">
            <w:pPr>
              <w:snapToGrid w:val="0"/>
              <w:jc w:val="center"/>
              <w:rPr>
                <w:rFonts w:ascii="Times New Roman" w:hAnsi="Times New Roman"/>
                <w:spacing w:val="-2"/>
                <w:kern w:val="0"/>
                <w:szCs w:val="21"/>
              </w:rPr>
            </w:pPr>
            <w:r>
              <w:rPr>
                <w:rFonts w:ascii="Times New Roman" w:hAnsi="Times New Roman"/>
                <w:spacing w:val="-2"/>
                <w:kern w:val="0"/>
                <w:szCs w:val="21"/>
              </w:rPr>
              <w:t>35</w:t>
            </w:r>
          </w:p>
        </w:tc>
        <w:tc>
          <w:tcPr>
            <w:tcW w:w="1475" w:type="dxa"/>
            <w:vMerge w:val="continue"/>
            <w:vAlign w:val="center"/>
          </w:tcPr>
          <w:p w14:paraId="09BA97EF">
            <w:pPr>
              <w:snapToGrid w:val="0"/>
              <w:jc w:val="center"/>
              <w:rPr>
                <w:rFonts w:ascii="Times New Roman" w:hAnsi="Times New Roman"/>
                <w:spacing w:val="-2"/>
                <w:kern w:val="0"/>
                <w:szCs w:val="21"/>
              </w:rPr>
            </w:pPr>
          </w:p>
        </w:tc>
      </w:tr>
      <w:tr w14:paraId="695797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exact"/>
          <w:jc w:val="center"/>
        </w:trPr>
        <w:tc>
          <w:tcPr>
            <w:tcW w:w="1278" w:type="dxa"/>
            <w:vMerge w:val="continue"/>
            <w:vAlign w:val="center"/>
          </w:tcPr>
          <w:p w14:paraId="40203E0E">
            <w:pPr>
              <w:snapToGrid w:val="0"/>
              <w:jc w:val="center"/>
              <w:rPr>
                <w:rFonts w:ascii="Times New Roman" w:hAnsi="Times New Roman"/>
                <w:spacing w:val="-2"/>
                <w:kern w:val="0"/>
                <w:szCs w:val="21"/>
              </w:rPr>
            </w:pPr>
          </w:p>
        </w:tc>
        <w:tc>
          <w:tcPr>
            <w:tcW w:w="4146" w:type="dxa"/>
            <w:vAlign w:val="center"/>
          </w:tcPr>
          <w:p w14:paraId="2FF975C7">
            <w:pPr>
              <w:snapToGrid w:val="0"/>
              <w:jc w:val="center"/>
              <w:rPr>
                <w:rFonts w:ascii="Times New Roman" w:hAnsi="Times New Roman"/>
                <w:spacing w:val="-2"/>
                <w:kern w:val="0"/>
                <w:szCs w:val="21"/>
              </w:rPr>
            </w:pPr>
            <w:r>
              <w:rPr>
                <w:rFonts w:ascii="Times New Roman" w:hAnsi="Times New Roman"/>
                <w:spacing w:val="-2"/>
                <w:kern w:val="0"/>
                <w:szCs w:val="21"/>
              </w:rPr>
              <w:t>24小时平均</w:t>
            </w:r>
          </w:p>
        </w:tc>
        <w:tc>
          <w:tcPr>
            <w:tcW w:w="2141" w:type="dxa"/>
            <w:vAlign w:val="center"/>
          </w:tcPr>
          <w:p w14:paraId="10283334">
            <w:pPr>
              <w:snapToGrid w:val="0"/>
              <w:jc w:val="center"/>
              <w:rPr>
                <w:rFonts w:ascii="Times New Roman" w:hAnsi="Times New Roman"/>
                <w:spacing w:val="-2"/>
                <w:kern w:val="0"/>
                <w:szCs w:val="21"/>
              </w:rPr>
            </w:pPr>
            <w:r>
              <w:rPr>
                <w:rFonts w:ascii="Times New Roman" w:hAnsi="Times New Roman"/>
                <w:spacing w:val="-2"/>
                <w:kern w:val="0"/>
                <w:szCs w:val="21"/>
              </w:rPr>
              <w:t>75</w:t>
            </w:r>
          </w:p>
        </w:tc>
        <w:tc>
          <w:tcPr>
            <w:tcW w:w="1475" w:type="dxa"/>
            <w:vMerge w:val="continue"/>
            <w:vAlign w:val="center"/>
          </w:tcPr>
          <w:p w14:paraId="7141188C">
            <w:pPr>
              <w:snapToGrid w:val="0"/>
              <w:jc w:val="center"/>
              <w:rPr>
                <w:rFonts w:ascii="Times New Roman" w:hAnsi="Times New Roman"/>
                <w:spacing w:val="-2"/>
                <w:kern w:val="0"/>
                <w:szCs w:val="21"/>
              </w:rPr>
            </w:pPr>
          </w:p>
        </w:tc>
      </w:tr>
      <w:tr w14:paraId="6363A4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exact"/>
          <w:jc w:val="center"/>
        </w:trPr>
        <w:tc>
          <w:tcPr>
            <w:tcW w:w="1278" w:type="dxa"/>
            <w:vMerge w:val="restart"/>
            <w:vAlign w:val="center"/>
          </w:tcPr>
          <w:p w14:paraId="60640DD6">
            <w:pPr>
              <w:snapToGrid w:val="0"/>
              <w:jc w:val="center"/>
              <w:rPr>
                <w:rFonts w:ascii="Times New Roman" w:hAnsi="Times New Roman"/>
                <w:spacing w:val="-2"/>
                <w:kern w:val="0"/>
                <w:szCs w:val="21"/>
              </w:rPr>
            </w:pPr>
            <w:r>
              <w:rPr>
                <w:rFonts w:ascii="Times New Roman" w:hAnsi="Times New Roman"/>
                <w:spacing w:val="-2"/>
                <w:kern w:val="0"/>
                <w:szCs w:val="21"/>
              </w:rPr>
              <w:t>SO</w:t>
            </w:r>
            <w:r>
              <w:rPr>
                <w:rFonts w:ascii="Times New Roman" w:hAnsi="Times New Roman"/>
                <w:spacing w:val="-2"/>
                <w:kern w:val="0"/>
                <w:szCs w:val="21"/>
                <w:vertAlign w:val="subscript"/>
              </w:rPr>
              <w:t>2</w:t>
            </w:r>
          </w:p>
        </w:tc>
        <w:tc>
          <w:tcPr>
            <w:tcW w:w="4146" w:type="dxa"/>
            <w:vAlign w:val="center"/>
          </w:tcPr>
          <w:p w14:paraId="7973BA15">
            <w:pPr>
              <w:snapToGrid w:val="0"/>
              <w:jc w:val="center"/>
              <w:rPr>
                <w:rFonts w:ascii="Times New Roman" w:hAnsi="Times New Roman"/>
                <w:spacing w:val="-2"/>
                <w:kern w:val="0"/>
                <w:szCs w:val="21"/>
              </w:rPr>
            </w:pPr>
            <w:r>
              <w:rPr>
                <w:rFonts w:ascii="Times New Roman" w:hAnsi="Times New Roman"/>
                <w:spacing w:val="-2"/>
                <w:kern w:val="0"/>
                <w:szCs w:val="21"/>
              </w:rPr>
              <w:t>年平均</w:t>
            </w:r>
          </w:p>
        </w:tc>
        <w:tc>
          <w:tcPr>
            <w:tcW w:w="2141" w:type="dxa"/>
            <w:vAlign w:val="center"/>
          </w:tcPr>
          <w:p w14:paraId="67B6B4AF">
            <w:pPr>
              <w:snapToGrid w:val="0"/>
              <w:jc w:val="center"/>
              <w:rPr>
                <w:rFonts w:ascii="Times New Roman" w:hAnsi="Times New Roman"/>
                <w:spacing w:val="-2"/>
                <w:kern w:val="0"/>
                <w:szCs w:val="21"/>
              </w:rPr>
            </w:pPr>
            <w:r>
              <w:rPr>
                <w:rFonts w:ascii="Times New Roman" w:hAnsi="Times New Roman"/>
                <w:spacing w:val="-2"/>
                <w:kern w:val="0"/>
                <w:szCs w:val="21"/>
              </w:rPr>
              <w:t>60</w:t>
            </w:r>
          </w:p>
        </w:tc>
        <w:tc>
          <w:tcPr>
            <w:tcW w:w="1475" w:type="dxa"/>
            <w:vMerge w:val="continue"/>
            <w:vAlign w:val="center"/>
          </w:tcPr>
          <w:p w14:paraId="673E7D8E">
            <w:pPr>
              <w:snapToGrid w:val="0"/>
              <w:jc w:val="center"/>
              <w:rPr>
                <w:rFonts w:ascii="Times New Roman" w:hAnsi="Times New Roman"/>
                <w:spacing w:val="-2"/>
                <w:kern w:val="0"/>
                <w:szCs w:val="21"/>
              </w:rPr>
            </w:pPr>
          </w:p>
        </w:tc>
      </w:tr>
      <w:tr w14:paraId="72639A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exact"/>
          <w:jc w:val="center"/>
        </w:trPr>
        <w:tc>
          <w:tcPr>
            <w:tcW w:w="1278" w:type="dxa"/>
            <w:vMerge w:val="continue"/>
            <w:vAlign w:val="center"/>
          </w:tcPr>
          <w:p w14:paraId="00AD7C24">
            <w:pPr>
              <w:snapToGrid w:val="0"/>
              <w:jc w:val="center"/>
              <w:rPr>
                <w:rFonts w:ascii="Times New Roman" w:hAnsi="Times New Roman"/>
                <w:spacing w:val="-2"/>
                <w:kern w:val="0"/>
                <w:szCs w:val="21"/>
              </w:rPr>
            </w:pPr>
          </w:p>
        </w:tc>
        <w:tc>
          <w:tcPr>
            <w:tcW w:w="4146" w:type="dxa"/>
            <w:vAlign w:val="center"/>
          </w:tcPr>
          <w:p w14:paraId="1A80114D">
            <w:pPr>
              <w:snapToGrid w:val="0"/>
              <w:jc w:val="center"/>
              <w:rPr>
                <w:rFonts w:ascii="Times New Roman" w:hAnsi="Times New Roman"/>
                <w:spacing w:val="-2"/>
                <w:kern w:val="0"/>
                <w:szCs w:val="21"/>
              </w:rPr>
            </w:pPr>
            <w:r>
              <w:rPr>
                <w:rFonts w:ascii="Times New Roman" w:hAnsi="Times New Roman"/>
                <w:spacing w:val="-2"/>
                <w:kern w:val="0"/>
                <w:szCs w:val="21"/>
              </w:rPr>
              <w:t>24小时平均</w:t>
            </w:r>
          </w:p>
        </w:tc>
        <w:tc>
          <w:tcPr>
            <w:tcW w:w="2141" w:type="dxa"/>
            <w:vAlign w:val="center"/>
          </w:tcPr>
          <w:p w14:paraId="3E246E7F">
            <w:pPr>
              <w:snapToGrid w:val="0"/>
              <w:jc w:val="center"/>
              <w:rPr>
                <w:rFonts w:ascii="Times New Roman" w:hAnsi="Times New Roman"/>
                <w:spacing w:val="-2"/>
                <w:kern w:val="0"/>
                <w:szCs w:val="21"/>
              </w:rPr>
            </w:pPr>
            <w:r>
              <w:rPr>
                <w:rFonts w:ascii="Times New Roman" w:hAnsi="Times New Roman"/>
                <w:spacing w:val="-2"/>
                <w:kern w:val="0"/>
                <w:szCs w:val="21"/>
              </w:rPr>
              <w:t>150</w:t>
            </w:r>
          </w:p>
        </w:tc>
        <w:tc>
          <w:tcPr>
            <w:tcW w:w="1475" w:type="dxa"/>
            <w:vMerge w:val="continue"/>
            <w:vAlign w:val="center"/>
          </w:tcPr>
          <w:p w14:paraId="16AFD3F8">
            <w:pPr>
              <w:snapToGrid w:val="0"/>
              <w:jc w:val="center"/>
              <w:rPr>
                <w:rFonts w:ascii="Times New Roman" w:hAnsi="Times New Roman"/>
                <w:spacing w:val="-2"/>
                <w:kern w:val="0"/>
                <w:szCs w:val="21"/>
              </w:rPr>
            </w:pPr>
          </w:p>
        </w:tc>
      </w:tr>
      <w:tr w14:paraId="43E5B0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exact"/>
          <w:jc w:val="center"/>
        </w:trPr>
        <w:tc>
          <w:tcPr>
            <w:tcW w:w="1278" w:type="dxa"/>
            <w:vMerge w:val="continue"/>
            <w:vAlign w:val="center"/>
          </w:tcPr>
          <w:p w14:paraId="72262113">
            <w:pPr>
              <w:snapToGrid w:val="0"/>
              <w:jc w:val="center"/>
              <w:rPr>
                <w:rFonts w:ascii="Times New Roman" w:hAnsi="Times New Roman"/>
                <w:spacing w:val="-2"/>
                <w:kern w:val="0"/>
                <w:szCs w:val="21"/>
              </w:rPr>
            </w:pPr>
          </w:p>
        </w:tc>
        <w:tc>
          <w:tcPr>
            <w:tcW w:w="4146" w:type="dxa"/>
            <w:vAlign w:val="center"/>
          </w:tcPr>
          <w:p w14:paraId="3BCFCBC4">
            <w:pPr>
              <w:snapToGrid w:val="0"/>
              <w:jc w:val="center"/>
              <w:rPr>
                <w:rFonts w:ascii="Times New Roman" w:hAnsi="Times New Roman"/>
                <w:spacing w:val="-2"/>
                <w:kern w:val="0"/>
                <w:szCs w:val="21"/>
              </w:rPr>
            </w:pPr>
            <w:r>
              <w:rPr>
                <w:rFonts w:ascii="Times New Roman" w:hAnsi="Times New Roman"/>
                <w:spacing w:val="-2"/>
                <w:kern w:val="0"/>
                <w:szCs w:val="21"/>
              </w:rPr>
              <w:t>1小时平均</w:t>
            </w:r>
          </w:p>
        </w:tc>
        <w:tc>
          <w:tcPr>
            <w:tcW w:w="2141" w:type="dxa"/>
            <w:vAlign w:val="center"/>
          </w:tcPr>
          <w:p w14:paraId="2DC8ED67">
            <w:pPr>
              <w:snapToGrid w:val="0"/>
              <w:jc w:val="center"/>
              <w:rPr>
                <w:rFonts w:ascii="Times New Roman" w:hAnsi="Times New Roman"/>
                <w:spacing w:val="-2"/>
                <w:kern w:val="0"/>
                <w:szCs w:val="21"/>
              </w:rPr>
            </w:pPr>
            <w:r>
              <w:rPr>
                <w:rFonts w:ascii="Times New Roman" w:hAnsi="Times New Roman"/>
                <w:spacing w:val="-2"/>
                <w:kern w:val="0"/>
                <w:szCs w:val="21"/>
              </w:rPr>
              <w:t>500</w:t>
            </w:r>
          </w:p>
        </w:tc>
        <w:tc>
          <w:tcPr>
            <w:tcW w:w="1475" w:type="dxa"/>
            <w:vMerge w:val="continue"/>
            <w:vAlign w:val="center"/>
          </w:tcPr>
          <w:p w14:paraId="10486209">
            <w:pPr>
              <w:snapToGrid w:val="0"/>
              <w:jc w:val="center"/>
              <w:rPr>
                <w:rFonts w:ascii="Times New Roman" w:hAnsi="Times New Roman"/>
                <w:spacing w:val="-2"/>
                <w:kern w:val="0"/>
                <w:szCs w:val="21"/>
              </w:rPr>
            </w:pPr>
          </w:p>
        </w:tc>
      </w:tr>
      <w:tr w14:paraId="45C600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exact"/>
          <w:jc w:val="center"/>
        </w:trPr>
        <w:tc>
          <w:tcPr>
            <w:tcW w:w="1278" w:type="dxa"/>
            <w:vMerge w:val="restart"/>
            <w:vAlign w:val="center"/>
          </w:tcPr>
          <w:p w14:paraId="5D9F2F05">
            <w:pPr>
              <w:snapToGrid w:val="0"/>
              <w:jc w:val="center"/>
              <w:rPr>
                <w:rFonts w:ascii="Times New Roman" w:hAnsi="Times New Roman"/>
                <w:spacing w:val="-2"/>
                <w:kern w:val="0"/>
                <w:szCs w:val="21"/>
              </w:rPr>
            </w:pPr>
            <w:r>
              <w:rPr>
                <w:rFonts w:ascii="Times New Roman" w:hAnsi="Times New Roman"/>
                <w:spacing w:val="-2"/>
                <w:kern w:val="0"/>
                <w:szCs w:val="21"/>
              </w:rPr>
              <w:t>NO</w:t>
            </w:r>
            <w:r>
              <w:rPr>
                <w:rFonts w:ascii="Times New Roman" w:hAnsi="Times New Roman"/>
                <w:spacing w:val="-2"/>
                <w:kern w:val="0"/>
                <w:szCs w:val="21"/>
                <w:vertAlign w:val="subscript"/>
              </w:rPr>
              <w:t>2</w:t>
            </w:r>
          </w:p>
        </w:tc>
        <w:tc>
          <w:tcPr>
            <w:tcW w:w="4146" w:type="dxa"/>
            <w:vAlign w:val="center"/>
          </w:tcPr>
          <w:p w14:paraId="3EDBC648">
            <w:pPr>
              <w:snapToGrid w:val="0"/>
              <w:jc w:val="center"/>
              <w:rPr>
                <w:rFonts w:ascii="Times New Roman" w:hAnsi="Times New Roman"/>
                <w:spacing w:val="-2"/>
                <w:kern w:val="0"/>
                <w:szCs w:val="21"/>
              </w:rPr>
            </w:pPr>
            <w:r>
              <w:rPr>
                <w:rFonts w:ascii="Times New Roman" w:hAnsi="Times New Roman"/>
                <w:spacing w:val="-2"/>
                <w:kern w:val="0"/>
                <w:szCs w:val="21"/>
              </w:rPr>
              <w:t>年平均</w:t>
            </w:r>
          </w:p>
        </w:tc>
        <w:tc>
          <w:tcPr>
            <w:tcW w:w="2141" w:type="dxa"/>
            <w:vAlign w:val="center"/>
          </w:tcPr>
          <w:p w14:paraId="10528E7A">
            <w:pPr>
              <w:snapToGrid w:val="0"/>
              <w:jc w:val="center"/>
              <w:rPr>
                <w:rFonts w:ascii="Times New Roman" w:hAnsi="Times New Roman"/>
                <w:spacing w:val="-2"/>
                <w:kern w:val="0"/>
                <w:szCs w:val="21"/>
              </w:rPr>
            </w:pPr>
            <w:r>
              <w:rPr>
                <w:rFonts w:ascii="Times New Roman" w:hAnsi="Times New Roman"/>
                <w:spacing w:val="-2"/>
                <w:kern w:val="0"/>
                <w:szCs w:val="21"/>
              </w:rPr>
              <w:t>40</w:t>
            </w:r>
          </w:p>
        </w:tc>
        <w:tc>
          <w:tcPr>
            <w:tcW w:w="1475" w:type="dxa"/>
            <w:vMerge w:val="continue"/>
            <w:vAlign w:val="center"/>
          </w:tcPr>
          <w:p w14:paraId="4A309B63">
            <w:pPr>
              <w:snapToGrid w:val="0"/>
              <w:jc w:val="center"/>
              <w:rPr>
                <w:rFonts w:ascii="Times New Roman" w:hAnsi="Times New Roman"/>
                <w:spacing w:val="-2"/>
                <w:kern w:val="0"/>
                <w:szCs w:val="21"/>
              </w:rPr>
            </w:pPr>
          </w:p>
        </w:tc>
      </w:tr>
      <w:tr w14:paraId="3A6318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exact"/>
          <w:jc w:val="center"/>
        </w:trPr>
        <w:tc>
          <w:tcPr>
            <w:tcW w:w="1278" w:type="dxa"/>
            <w:vMerge w:val="continue"/>
            <w:vAlign w:val="center"/>
          </w:tcPr>
          <w:p w14:paraId="5803940D">
            <w:pPr>
              <w:snapToGrid w:val="0"/>
              <w:jc w:val="center"/>
              <w:rPr>
                <w:rFonts w:ascii="Times New Roman" w:hAnsi="Times New Roman"/>
                <w:spacing w:val="-2"/>
                <w:kern w:val="0"/>
                <w:szCs w:val="21"/>
              </w:rPr>
            </w:pPr>
          </w:p>
        </w:tc>
        <w:tc>
          <w:tcPr>
            <w:tcW w:w="4146" w:type="dxa"/>
            <w:vAlign w:val="center"/>
          </w:tcPr>
          <w:p w14:paraId="1C538E8B">
            <w:pPr>
              <w:snapToGrid w:val="0"/>
              <w:jc w:val="center"/>
              <w:rPr>
                <w:rFonts w:ascii="Times New Roman" w:hAnsi="Times New Roman"/>
                <w:spacing w:val="-2"/>
                <w:kern w:val="0"/>
                <w:szCs w:val="21"/>
              </w:rPr>
            </w:pPr>
            <w:r>
              <w:rPr>
                <w:rFonts w:ascii="Times New Roman" w:hAnsi="Times New Roman"/>
                <w:spacing w:val="-2"/>
                <w:kern w:val="0"/>
                <w:szCs w:val="21"/>
              </w:rPr>
              <w:t>24小时平均</w:t>
            </w:r>
          </w:p>
        </w:tc>
        <w:tc>
          <w:tcPr>
            <w:tcW w:w="2141" w:type="dxa"/>
            <w:vAlign w:val="center"/>
          </w:tcPr>
          <w:p w14:paraId="4C90197A">
            <w:pPr>
              <w:snapToGrid w:val="0"/>
              <w:jc w:val="center"/>
              <w:rPr>
                <w:rFonts w:ascii="Times New Roman" w:hAnsi="Times New Roman"/>
                <w:spacing w:val="-2"/>
                <w:kern w:val="0"/>
                <w:szCs w:val="21"/>
              </w:rPr>
            </w:pPr>
            <w:r>
              <w:rPr>
                <w:rFonts w:ascii="Times New Roman" w:hAnsi="Times New Roman"/>
                <w:spacing w:val="-2"/>
                <w:kern w:val="0"/>
                <w:szCs w:val="21"/>
              </w:rPr>
              <w:t>80</w:t>
            </w:r>
          </w:p>
        </w:tc>
        <w:tc>
          <w:tcPr>
            <w:tcW w:w="1475" w:type="dxa"/>
            <w:vMerge w:val="continue"/>
            <w:vAlign w:val="center"/>
          </w:tcPr>
          <w:p w14:paraId="4F2E32E3">
            <w:pPr>
              <w:snapToGrid w:val="0"/>
              <w:jc w:val="center"/>
              <w:rPr>
                <w:rFonts w:ascii="Times New Roman" w:hAnsi="Times New Roman"/>
                <w:spacing w:val="-2"/>
                <w:kern w:val="0"/>
                <w:szCs w:val="21"/>
              </w:rPr>
            </w:pPr>
          </w:p>
        </w:tc>
      </w:tr>
      <w:tr w14:paraId="60D5F2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exact"/>
          <w:jc w:val="center"/>
        </w:trPr>
        <w:tc>
          <w:tcPr>
            <w:tcW w:w="1278" w:type="dxa"/>
            <w:vMerge w:val="continue"/>
            <w:vAlign w:val="center"/>
          </w:tcPr>
          <w:p w14:paraId="06C08D4D">
            <w:pPr>
              <w:snapToGrid w:val="0"/>
              <w:jc w:val="center"/>
              <w:rPr>
                <w:rFonts w:ascii="Times New Roman" w:hAnsi="Times New Roman"/>
                <w:spacing w:val="-2"/>
                <w:kern w:val="0"/>
                <w:szCs w:val="21"/>
              </w:rPr>
            </w:pPr>
          </w:p>
        </w:tc>
        <w:tc>
          <w:tcPr>
            <w:tcW w:w="4146" w:type="dxa"/>
            <w:vAlign w:val="center"/>
          </w:tcPr>
          <w:p w14:paraId="23F97BD8">
            <w:pPr>
              <w:snapToGrid w:val="0"/>
              <w:jc w:val="center"/>
              <w:rPr>
                <w:rFonts w:ascii="Times New Roman" w:hAnsi="Times New Roman"/>
                <w:spacing w:val="-2"/>
                <w:kern w:val="0"/>
                <w:szCs w:val="21"/>
              </w:rPr>
            </w:pPr>
            <w:r>
              <w:rPr>
                <w:rFonts w:ascii="Times New Roman" w:hAnsi="Times New Roman"/>
                <w:spacing w:val="-2"/>
                <w:kern w:val="0"/>
                <w:szCs w:val="21"/>
              </w:rPr>
              <w:t>1小时平均</w:t>
            </w:r>
          </w:p>
        </w:tc>
        <w:tc>
          <w:tcPr>
            <w:tcW w:w="2141" w:type="dxa"/>
            <w:vAlign w:val="center"/>
          </w:tcPr>
          <w:p w14:paraId="3510E224">
            <w:pPr>
              <w:snapToGrid w:val="0"/>
              <w:jc w:val="center"/>
              <w:rPr>
                <w:rFonts w:ascii="Times New Roman" w:hAnsi="Times New Roman"/>
                <w:spacing w:val="-2"/>
                <w:kern w:val="0"/>
                <w:szCs w:val="21"/>
              </w:rPr>
            </w:pPr>
            <w:r>
              <w:rPr>
                <w:rFonts w:ascii="Times New Roman" w:hAnsi="Times New Roman"/>
                <w:spacing w:val="-2"/>
                <w:kern w:val="0"/>
                <w:szCs w:val="21"/>
              </w:rPr>
              <w:t>200</w:t>
            </w:r>
          </w:p>
        </w:tc>
        <w:tc>
          <w:tcPr>
            <w:tcW w:w="1475" w:type="dxa"/>
            <w:vMerge w:val="continue"/>
            <w:vAlign w:val="center"/>
          </w:tcPr>
          <w:p w14:paraId="63C03C4B">
            <w:pPr>
              <w:snapToGrid w:val="0"/>
              <w:jc w:val="center"/>
              <w:rPr>
                <w:rFonts w:ascii="Times New Roman" w:hAnsi="Times New Roman"/>
                <w:spacing w:val="-2"/>
                <w:kern w:val="0"/>
                <w:szCs w:val="21"/>
              </w:rPr>
            </w:pPr>
          </w:p>
        </w:tc>
      </w:tr>
      <w:tr w14:paraId="7EFDCC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exact"/>
          <w:jc w:val="center"/>
        </w:trPr>
        <w:tc>
          <w:tcPr>
            <w:tcW w:w="1278" w:type="dxa"/>
            <w:vMerge w:val="restart"/>
            <w:vAlign w:val="center"/>
          </w:tcPr>
          <w:p w14:paraId="0AC2DA28">
            <w:pPr>
              <w:snapToGrid w:val="0"/>
              <w:jc w:val="center"/>
              <w:rPr>
                <w:rFonts w:ascii="Times New Roman" w:hAnsi="Times New Roman"/>
                <w:spacing w:val="-2"/>
                <w:kern w:val="0"/>
                <w:szCs w:val="21"/>
              </w:rPr>
            </w:pPr>
            <w:r>
              <w:rPr>
                <w:rFonts w:ascii="Times New Roman" w:hAnsi="Times New Roman"/>
                <w:spacing w:val="-2"/>
                <w:kern w:val="0"/>
                <w:szCs w:val="21"/>
              </w:rPr>
              <w:t>NO</w:t>
            </w:r>
            <w:r>
              <w:rPr>
                <w:rFonts w:ascii="Times New Roman" w:hAnsi="Times New Roman"/>
                <w:spacing w:val="-2"/>
                <w:kern w:val="0"/>
                <w:szCs w:val="21"/>
                <w:vertAlign w:val="subscript"/>
              </w:rPr>
              <w:t>X</w:t>
            </w:r>
          </w:p>
        </w:tc>
        <w:tc>
          <w:tcPr>
            <w:tcW w:w="4146" w:type="dxa"/>
            <w:vAlign w:val="center"/>
          </w:tcPr>
          <w:p w14:paraId="7037E2BB">
            <w:pPr>
              <w:snapToGrid w:val="0"/>
              <w:jc w:val="center"/>
              <w:rPr>
                <w:rFonts w:ascii="Times New Roman" w:hAnsi="Times New Roman"/>
                <w:spacing w:val="-2"/>
                <w:kern w:val="0"/>
                <w:szCs w:val="21"/>
              </w:rPr>
            </w:pPr>
            <w:r>
              <w:rPr>
                <w:rFonts w:ascii="Times New Roman" w:hAnsi="Times New Roman"/>
                <w:spacing w:val="-2"/>
                <w:kern w:val="0"/>
                <w:szCs w:val="21"/>
              </w:rPr>
              <w:t>年平均</w:t>
            </w:r>
          </w:p>
        </w:tc>
        <w:tc>
          <w:tcPr>
            <w:tcW w:w="2141" w:type="dxa"/>
            <w:vAlign w:val="center"/>
          </w:tcPr>
          <w:p w14:paraId="2B021499">
            <w:pPr>
              <w:snapToGrid w:val="0"/>
              <w:jc w:val="center"/>
              <w:rPr>
                <w:rFonts w:ascii="Times New Roman" w:hAnsi="Times New Roman"/>
                <w:spacing w:val="-2"/>
                <w:kern w:val="0"/>
                <w:szCs w:val="21"/>
              </w:rPr>
            </w:pPr>
            <w:r>
              <w:rPr>
                <w:rFonts w:ascii="Times New Roman" w:hAnsi="Times New Roman"/>
                <w:spacing w:val="-2"/>
                <w:kern w:val="0"/>
                <w:szCs w:val="21"/>
              </w:rPr>
              <w:t>50</w:t>
            </w:r>
          </w:p>
        </w:tc>
        <w:tc>
          <w:tcPr>
            <w:tcW w:w="1475" w:type="dxa"/>
            <w:vMerge w:val="continue"/>
            <w:vAlign w:val="center"/>
          </w:tcPr>
          <w:p w14:paraId="09DD0462">
            <w:pPr>
              <w:snapToGrid w:val="0"/>
              <w:jc w:val="center"/>
              <w:rPr>
                <w:rFonts w:ascii="Times New Roman" w:hAnsi="Times New Roman"/>
                <w:spacing w:val="-2"/>
                <w:kern w:val="0"/>
                <w:szCs w:val="21"/>
              </w:rPr>
            </w:pPr>
          </w:p>
        </w:tc>
      </w:tr>
      <w:tr w14:paraId="0C8067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exact"/>
          <w:jc w:val="center"/>
        </w:trPr>
        <w:tc>
          <w:tcPr>
            <w:tcW w:w="1278" w:type="dxa"/>
            <w:vMerge w:val="continue"/>
            <w:vAlign w:val="center"/>
          </w:tcPr>
          <w:p w14:paraId="698A5EF2">
            <w:pPr>
              <w:snapToGrid w:val="0"/>
              <w:jc w:val="center"/>
              <w:rPr>
                <w:rFonts w:ascii="Times New Roman" w:hAnsi="Times New Roman"/>
                <w:spacing w:val="-2"/>
                <w:kern w:val="0"/>
                <w:szCs w:val="21"/>
              </w:rPr>
            </w:pPr>
          </w:p>
        </w:tc>
        <w:tc>
          <w:tcPr>
            <w:tcW w:w="4146" w:type="dxa"/>
            <w:vAlign w:val="center"/>
          </w:tcPr>
          <w:p w14:paraId="7C6961B9">
            <w:pPr>
              <w:snapToGrid w:val="0"/>
              <w:jc w:val="center"/>
              <w:rPr>
                <w:rFonts w:ascii="Times New Roman" w:hAnsi="Times New Roman"/>
                <w:spacing w:val="-2"/>
                <w:kern w:val="0"/>
                <w:szCs w:val="21"/>
              </w:rPr>
            </w:pPr>
            <w:r>
              <w:rPr>
                <w:rFonts w:ascii="Times New Roman" w:hAnsi="Times New Roman"/>
                <w:spacing w:val="-2"/>
                <w:kern w:val="0"/>
                <w:szCs w:val="21"/>
              </w:rPr>
              <w:t>24小时平均</w:t>
            </w:r>
          </w:p>
        </w:tc>
        <w:tc>
          <w:tcPr>
            <w:tcW w:w="2141" w:type="dxa"/>
            <w:vAlign w:val="center"/>
          </w:tcPr>
          <w:p w14:paraId="71D6E10D">
            <w:pPr>
              <w:snapToGrid w:val="0"/>
              <w:jc w:val="center"/>
              <w:rPr>
                <w:rFonts w:ascii="Times New Roman" w:hAnsi="Times New Roman"/>
                <w:spacing w:val="-2"/>
                <w:kern w:val="0"/>
                <w:szCs w:val="21"/>
              </w:rPr>
            </w:pPr>
            <w:r>
              <w:rPr>
                <w:rFonts w:ascii="Times New Roman" w:hAnsi="Times New Roman"/>
                <w:spacing w:val="-2"/>
                <w:kern w:val="0"/>
                <w:szCs w:val="21"/>
              </w:rPr>
              <w:t>100</w:t>
            </w:r>
          </w:p>
        </w:tc>
        <w:tc>
          <w:tcPr>
            <w:tcW w:w="1475" w:type="dxa"/>
            <w:vMerge w:val="continue"/>
            <w:vAlign w:val="center"/>
          </w:tcPr>
          <w:p w14:paraId="5B84B0D3">
            <w:pPr>
              <w:snapToGrid w:val="0"/>
              <w:jc w:val="center"/>
              <w:rPr>
                <w:rFonts w:ascii="Times New Roman" w:hAnsi="Times New Roman"/>
                <w:spacing w:val="-2"/>
                <w:kern w:val="0"/>
                <w:szCs w:val="21"/>
              </w:rPr>
            </w:pPr>
          </w:p>
        </w:tc>
      </w:tr>
      <w:tr w14:paraId="3A390B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exact"/>
          <w:jc w:val="center"/>
        </w:trPr>
        <w:tc>
          <w:tcPr>
            <w:tcW w:w="1278" w:type="dxa"/>
            <w:vMerge w:val="continue"/>
            <w:vAlign w:val="center"/>
          </w:tcPr>
          <w:p w14:paraId="35077D84">
            <w:pPr>
              <w:snapToGrid w:val="0"/>
              <w:jc w:val="center"/>
              <w:rPr>
                <w:rFonts w:ascii="Times New Roman" w:hAnsi="Times New Roman"/>
                <w:spacing w:val="-2"/>
                <w:kern w:val="0"/>
                <w:szCs w:val="21"/>
              </w:rPr>
            </w:pPr>
          </w:p>
        </w:tc>
        <w:tc>
          <w:tcPr>
            <w:tcW w:w="4146" w:type="dxa"/>
            <w:vAlign w:val="center"/>
          </w:tcPr>
          <w:p w14:paraId="7B66FF8D">
            <w:pPr>
              <w:snapToGrid w:val="0"/>
              <w:jc w:val="center"/>
              <w:rPr>
                <w:rFonts w:ascii="Times New Roman" w:hAnsi="Times New Roman"/>
                <w:spacing w:val="-2"/>
                <w:kern w:val="0"/>
                <w:szCs w:val="21"/>
              </w:rPr>
            </w:pPr>
            <w:r>
              <w:rPr>
                <w:rFonts w:ascii="Times New Roman" w:hAnsi="Times New Roman"/>
                <w:spacing w:val="-2"/>
                <w:kern w:val="0"/>
                <w:szCs w:val="21"/>
              </w:rPr>
              <w:t>1小时平均</w:t>
            </w:r>
          </w:p>
        </w:tc>
        <w:tc>
          <w:tcPr>
            <w:tcW w:w="2141" w:type="dxa"/>
            <w:vAlign w:val="center"/>
          </w:tcPr>
          <w:p w14:paraId="3966B2D1">
            <w:pPr>
              <w:snapToGrid w:val="0"/>
              <w:jc w:val="center"/>
              <w:rPr>
                <w:rFonts w:ascii="Times New Roman" w:hAnsi="Times New Roman"/>
                <w:spacing w:val="-2"/>
                <w:kern w:val="0"/>
                <w:szCs w:val="21"/>
              </w:rPr>
            </w:pPr>
            <w:r>
              <w:rPr>
                <w:rFonts w:ascii="Times New Roman" w:hAnsi="Times New Roman"/>
                <w:spacing w:val="-2"/>
                <w:kern w:val="0"/>
                <w:szCs w:val="21"/>
              </w:rPr>
              <w:t>250</w:t>
            </w:r>
          </w:p>
        </w:tc>
        <w:tc>
          <w:tcPr>
            <w:tcW w:w="1475" w:type="dxa"/>
            <w:vMerge w:val="continue"/>
            <w:vAlign w:val="center"/>
          </w:tcPr>
          <w:p w14:paraId="33E6D9AA">
            <w:pPr>
              <w:snapToGrid w:val="0"/>
              <w:jc w:val="center"/>
              <w:rPr>
                <w:rFonts w:ascii="Times New Roman" w:hAnsi="Times New Roman"/>
                <w:spacing w:val="-2"/>
                <w:kern w:val="0"/>
                <w:szCs w:val="21"/>
              </w:rPr>
            </w:pPr>
          </w:p>
        </w:tc>
      </w:tr>
      <w:tr w14:paraId="0A1830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exact"/>
          <w:jc w:val="center"/>
        </w:trPr>
        <w:tc>
          <w:tcPr>
            <w:tcW w:w="1278" w:type="dxa"/>
            <w:vMerge w:val="restart"/>
            <w:vAlign w:val="center"/>
          </w:tcPr>
          <w:p w14:paraId="396D9A14">
            <w:pPr>
              <w:snapToGrid w:val="0"/>
              <w:jc w:val="center"/>
              <w:rPr>
                <w:rFonts w:ascii="Times New Roman" w:hAnsi="Times New Roman"/>
                <w:spacing w:val="-2"/>
                <w:kern w:val="0"/>
                <w:szCs w:val="21"/>
              </w:rPr>
            </w:pPr>
            <w:r>
              <w:rPr>
                <w:rFonts w:ascii="Times New Roman" w:hAnsi="Times New Roman"/>
                <w:spacing w:val="-2"/>
                <w:kern w:val="0"/>
                <w:szCs w:val="21"/>
              </w:rPr>
              <w:t>O</w:t>
            </w:r>
            <w:r>
              <w:rPr>
                <w:rFonts w:ascii="Times New Roman" w:hAnsi="Times New Roman"/>
                <w:spacing w:val="-2"/>
                <w:kern w:val="0"/>
                <w:szCs w:val="21"/>
                <w:vertAlign w:val="subscript"/>
              </w:rPr>
              <w:t>3</w:t>
            </w:r>
          </w:p>
        </w:tc>
        <w:tc>
          <w:tcPr>
            <w:tcW w:w="4146" w:type="dxa"/>
            <w:vAlign w:val="center"/>
          </w:tcPr>
          <w:p w14:paraId="3CBCD2F9">
            <w:pPr>
              <w:snapToGrid w:val="0"/>
              <w:jc w:val="center"/>
              <w:rPr>
                <w:rFonts w:ascii="Times New Roman" w:hAnsi="Times New Roman"/>
                <w:spacing w:val="-2"/>
                <w:kern w:val="0"/>
                <w:szCs w:val="21"/>
              </w:rPr>
            </w:pPr>
            <w:r>
              <w:rPr>
                <w:rFonts w:ascii="Times New Roman" w:hAnsi="Times New Roman"/>
                <w:spacing w:val="-2"/>
                <w:kern w:val="0"/>
                <w:szCs w:val="21"/>
              </w:rPr>
              <w:t>日最大8小时平均</w:t>
            </w:r>
          </w:p>
        </w:tc>
        <w:tc>
          <w:tcPr>
            <w:tcW w:w="2141" w:type="dxa"/>
            <w:vAlign w:val="center"/>
          </w:tcPr>
          <w:p w14:paraId="32F66EE7">
            <w:pPr>
              <w:snapToGrid w:val="0"/>
              <w:jc w:val="center"/>
              <w:rPr>
                <w:rFonts w:ascii="Times New Roman" w:hAnsi="Times New Roman"/>
                <w:spacing w:val="-2"/>
                <w:kern w:val="0"/>
                <w:szCs w:val="21"/>
              </w:rPr>
            </w:pPr>
            <w:r>
              <w:rPr>
                <w:rFonts w:ascii="Times New Roman" w:hAnsi="Times New Roman"/>
                <w:spacing w:val="-2"/>
                <w:kern w:val="0"/>
                <w:szCs w:val="21"/>
              </w:rPr>
              <w:t>160</w:t>
            </w:r>
          </w:p>
        </w:tc>
        <w:tc>
          <w:tcPr>
            <w:tcW w:w="1475" w:type="dxa"/>
            <w:vMerge w:val="continue"/>
            <w:vAlign w:val="center"/>
          </w:tcPr>
          <w:p w14:paraId="33096298">
            <w:pPr>
              <w:snapToGrid w:val="0"/>
              <w:jc w:val="center"/>
              <w:rPr>
                <w:rFonts w:ascii="Times New Roman" w:hAnsi="Times New Roman"/>
                <w:spacing w:val="-2"/>
                <w:kern w:val="0"/>
                <w:szCs w:val="21"/>
              </w:rPr>
            </w:pPr>
          </w:p>
        </w:tc>
      </w:tr>
      <w:tr w14:paraId="4BA289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exact"/>
          <w:jc w:val="center"/>
        </w:trPr>
        <w:tc>
          <w:tcPr>
            <w:tcW w:w="1278" w:type="dxa"/>
            <w:vMerge w:val="continue"/>
            <w:vAlign w:val="center"/>
          </w:tcPr>
          <w:p w14:paraId="5D06527C">
            <w:pPr>
              <w:snapToGrid w:val="0"/>
              <w:jc w:val="center"/>
              <w:rPr>
                <w:rFonts w:ascii="Times New Roman" w:hAnsi="Times New Roman"/>
                <w:spacing w:val="-2"/>
                <w:kern w:val="0"/>
                <w:szCs w:val="21"/>
              </w:rPr>
            </w:pPr>
          </w:p>
        </w:tc>
        <w:tc>
          <w:tcPr>
            <w:tcW w:w="4146" w:type="dxa"/>
            <w:vAlign w:val="center"/>
          </w:tcPr>
          <w:p w14:paraId="5697422D">
            <w:pPr>
              <w:snapToGrid w:val="0"/>
              <w:jc w:val="center"/>
              <w:rPr>
                <w:rFonts w:ascii="Times New Roman" w:hAnsi="Times New Roman"/>
                <w:spacing w:val="-2"/>
                <w:kern w:val="0"/>
                <w:szCs w:val="21"/>
              </w:rPr>
            </w:pPr>
            <w:r>
              <w:rPr>
                <w:rFonts w:ascii="Times New Roman" w:hAnsi="Times New Roman"/>
                <w:spacing w:val="-2"/>
                <w:kern w:val="0"/>
                <w:szCs w:val="21"/>
              </w:rPr>
              <w:t>1小时平均</w:t>
            </w:r>
          </w:p>
        </w:tc>
        <w:tc>
          <w:tcPr>
            <w:tcW w:w="2141" w:type="dxa"/>
            <w:vAlign w:val="center"/>
          </w:tcPr>
          <w:p w14:paraId="03D29E1B">
            <w:pPr>
              <w:snapToGrid w:val="0"/>
              <w:jc w:val="center"/>
              <w:rPr>
                <w:rFonts w:ascii="Times New Roman" w:hAnsi="Times New Roman"/>
                <w:spacing w:val="-2"/>
                <w:kern w:val="0"/>
                <w:szCs w:val="21"/>
              </w:rPr>
            </w:pPr>
            <w:r>
              <w:rPr>
                <w:rFonts w:ascii="Times New Roman" w:hAnsi="Times New Roman"/>
                <w:spacing w:val="-2"/>
                <w:kern w:val="0"/>
                <w:szCs w:val="21"/>
              </w:rPr>
              <w:t>200</w:t>
            </w:r>
          </w:p>
        </w:tc>
        <w:tc>
          <w:tcPr>
            <w:tcW w:w="1475" w:type="dxa"/>
            <w:vMerge w:val="continue"/>
            <w:vAlign w:val="center"/>
          </w:tcPr>
          <w:p w14:paraId="4208188C">
            <w:pPr>
              <w:snapToGrid w:val="0"/>
              <w:jc w:val="center"/>
              <w:rPr>
                <w:rFonts w:ascii="Times New Roman" w:hAnsi="Times New Roman"/>
                <w:spacing w:val="-2"/>
                <w:kern w:val="0"/>
                <w:szCs w:val="21"/>
              </w:rPr>
            </w:pPr>
          </w:p>
        </w:tc>
      </w:tr>
      <w:tr w14:paraId="0C1241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exact"/>
          <w:jc w:val="center"/>
        </w:trPr>
        <w:tc>
          <w:tcPr>
            <w:tcW w:w="1278" w:type="dxa"/>
            <w:vMerge w:val="restart"/>
            <w:vAlign w:val="center"/>
          </w:tcPr>
          <w:p w14:paraId="357566C7">
            <w:pPr>
              <w:snapToGrid w:val="0"/>
              <w:jc w:val="center"/>
              <w:rPr>
                <w:rFonts w:ascii="Times New Roman" w:hAnsi="Times New Roman"/>
                <w:spacing w:val="-2"/>
                <w:kern w:val="0"/>
                <w:szCs w:val="21"/>
              </w:rPr>
            </w:pPr>
            <w:r>
              <w:rPr>
                <w:rFonts w:ascii="Times New Roman" w:hAnsi="Times New Roman"/>
                <w:spacing w:val="-2"/>
                <w:kern w:val="0"/>
                <w:szCs w:val="21"/>
              </w:rPr>
              <w:t>CO</w:t>
            </w:r>
          </w:p>
        </w:tc>
        <w:tc>
          <w:tcPr>
            <w:tcW w:w="4146" w:type="dxa"/>
            <w:vAlign w:val="center"/>
          </w:tcPr>
          <w:p w14:paraId="73F4BB8E">
            <w:pPr>
              <w:snapToGrid w:val="0"/>
              <w:jc w:val="center"/>
              <w:rPr>
                <w:rFonts w:ascii="Times New Roman" w:hAnsi="Times New Roman"/>
                <w:spacing w:val="-2"/>
                <w:kern w:val="0"/>
                <w:szCs w:val="21"/>
              </w:rPr>
            </w:pPr>
            <w:r>
              <w:rPr>
                <w:rFonts w:ascii="Times New Roman" w:hAnsi="Times New Roman"/>
                <w:spacing w:val="-2"/>
                <w:kern w:val="0"/>
                <w:szCs w:val="21"/>
              </w:rPr>
              <w:t>24小时平均</w:t>
            </w:r>
          </w:p>
        </w:tc>
        <w:tc>
          <w:tcPr>
            <w:tcW w:w="2141" w:type="dxa"/>
            <w:vAlign w:val="center"/>
          </w:tcPr>
          <w:p w14:paraId="0ECC1992">
            <w:pPr>
              <w:snapToGrid w:val="0"/>
              <w:jc w:val="center"/>
              <w:rPr>
                <w:rFonts w:ascii="Times New Roman" w:hAnsi="Times New Roman"/>
                <w:spacing w:val="-2"/>
                <w:kern w:val="0"/>
                <w:szCs w:val="21"/>
              </w:rPr>
            </w:pPr>
            <w:r>
              <w:rPr>
                <w:rFonts w:ascii="Times New Roman" w:hAnsi="Times New Roman"/>
                <w:spacing w:val="-2"/>
                <w:kern w:val="0"/>
                <w:szCs w:val="21"/>
              </w:rPr>
              <w:t>4</w:t>
            </w:r>
          </w:p>
        </w:tc>
        <w:tc>
          <w:tcPr>
            <w:tcW w:w="1475" w:type="dxa"/>
            <w:vMerge w:val="restart"/>
            <w:vAlign w:val="center"/>
          </w:tcPr>
          <w:p w14:paraId="46FDA791">
            <w:pPr>
              <w:snapToGrid w:val="0"/>
              <w:jc w:val="center"/>
              <w:rPr>
                <w:rFonts w:ascii="Times New Roman" w:hAnsi="Times New Roman"/>
                <w:spacing w:val="-2"/>
                <w:kern w:val="0"/>
                <w:szCs w:val="21"/>
              </w:rPr>
            </w:pPr>
            <w:r>
              <w:rPr>
                <w:rFonts w:ascii="Times New Roman" w:hAnsi="Times New Roman"/>
                <w:spacing w:val="-2"/>
                <w:kern w:val="0"/>
                <w:szCs w:val="21"/>
              </w:rPr>
              <w:t>mg/m</w:t>
            </w:r>
            <w:r>
              <w:rPr>
                <w:rFonts w:ascii="Times New Roman" w:hAnsi="Times New Roman"/>
                <w:spacing w:val="-2"/>
                <w:kern w:val="0"/>
                <w:szCs w:val="21"/>
                <w:vertAlign w:val="superscript"/>
              </w:rPr>
              <w:t>3</w:t>
            </w:r>
          </w:p>
        </w:tc>
      </w:tr>
      <w:tr w14:paraId="75CF31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exact"/>
          <w:jc w:val="center"/>
        </w:trPr>
        <w:tc>
          <w:tcPr>
            <w:tcW w:w="1278" w:type="dxa"/>
            <w:vMerge w:val="continue"/>
            <w:vAlign w:val="center"/>
          </w:tcPr>
          <w:p w14:paraId="337A585C">
            <w:pPr>
              <w:snapToGrid w:val="0"/>
              <w:jc w:val="center"/>
              <w:rPr>
                <w:rFonts w:ascii="Times New Roman" w:hAnsi="Times New Roman"/>
                <w:spacing w:val="-2"/>
                <w:kern w:val="0"/>
                <w:szCs w:val="21"/>
              </w:rPr>
            </w:pPr>
          </w:p>
        </w:tc>
        <w:tc>
          <w:tcPr>
            <w:tcW w:w="4146" w:type="dxa"/>
            <w:vAlign w:val="center"/>
          </w:tcPr>
          <w:p w14:paraId="779C85E7">
            <w:pPr>
              <w:snapToGrid w:val="0"/>
              <w:jc w:val="center"/>
              <w:rPr>
                <w:rFonts w:ascii="Times New Roman" w:hAnsi="Times New Roman"/>
                <w:spacing w:val="-2"/>
                <w:kern w:val="0"/>
                <w:szCs w:val="21"/>
              </w:rPr>
            </w:pPr>
            <w:r>
              <w:rPr>
                <w:rFonts w:ascii="Times New Roman" w:hAnsi="Times New Roman"/>
                <w:spacing w:val="-2"/>
                <w:kern w:val="0"/>
                <w:szCs w:val="21"/>
              </w:rPr>
              <w:t>1小时平均</w:t>
            </w:r>
          </w:p>
        </w:tc>
        <w:tc>
          <w:tcPr>
            <w:tcW w:w="2141" w:type="dxa"/>
            <w:vAlign w:val="center"/>
          </w:tcPr>
          <w:p w14:paraId="4AC9EFDF">
            <w:pPr>
              <w:snapToGrid w:val="0"/>
              <w:jc w:val="center"/>
              <w:rPr>
                <w:rFonts w:ascii="Times New Roman" w:hAnsi="Times New Roman"/>
                <w:spacing w:val="-2"/>
                <w:kern w:val="0"/>
                <w:szCs w:val="21"/>
              </w:rPr>
            </w:pPr>
            <w:r>
              <w:rPr>
                <w:rFonts w:ascii="Times New Roman" w:hAnsi="Times New Roman"/>
                <w:spacing w:val="-2"/>
                <w:kern w:val="0"/>
                <w:szCs w:val="21"/>
              </w:rPr>
              <w:t>10</w:t>
            </w:r>
          </w:p>
        </w:tc>
        <w:tc>
          <w:tcPr>
            <w:tcW w:w="1475" w:type="dxa"/>
            <w:vMerge w:val="continue"/>
            <w:vAlign w:val="center"/>
          </w:tcPr>
          <w:p w14:paraId="400408B7">
            <w:pPr>
              <w:snapToGrid w:val="0"/>
              <w:jc w:val="center"/>
              <w:rPr>
                <w:rFonts w:ascii="Times New Roman" w:hAnsi="Times New Roman"/>
                <w:spacing w:val="-2"/>
                <w:kern w:val="0"/>
                <w:szCs w:val="21"/>
              </w:rPr>
            </w:pPr>
          </w:p>
        </w:tc>
      </w:tr>
    </w:tbl>
    <w:p w14:paraId="28BDAB20">
      <w:pPr>
        <w:spacing w:line="360" w:lineRule="auto"/>
        <w:ind w:firstLine="472" w:firstLineChars="200"/>
        <w:rPr>
          <w:rFonts w:ascii="Times New Roman" w:hAnsi="Times New Roman"/>
          <w:spacing w:val="-2"/>
          <w:kern w:val="0"/>
          <w:sz w:val="24"/>
          <w:szCs w:val="24"/>
        </w:rPr>
      </w:pPr>
    </w:p>
    <w:p w14:paraId="0F5AB9FA">
      <w:pPr>
        <w:widowControl/>
        <w:overflowPunct w:val="0"/>
        <w:autoSpaceDE w:val="0"/>
        <w:autoSpaceDN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（2）地下水环境质量执行《地下水质量标准》（GB/T 14848-2017）Ⅲ类标准，详见表1.4-2。</w:t>
      </w:r>
    </w:p>
    <w:p w14:paraId="269D6D03">
      <w:pPr>
        <w:pStyle w:val="8"/>
        <w:adjustRightInd/>
        <w:rPr>
          <w:sz w:val="24"/>
          <w:szCs w:val="24"/>
        </w:rPr>
      </w:pPr>
      <w:r>
        <w:rPr>
          <w:sz w:val="24"/>
          <w:szCs w:val="24"/>
        </w:rPr>
        <w:t>地下水质量标准（摘录）      单位：mg/L（pH值、总α、总β除外）</w:t>
      </w:r>
    </w:p>
    <w:tbl>
      <w:tblPr>
        <w:tblStyle w:val="88"/>
        <w:tblW w:w="904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79"/>
        <w:gridCol w:w="2106"/>
        <w:gridCol w:w="1651"/>
        <w:gridCol w:w="636"/>
        <w:gridCol w:w="2023"/>
        <w:gridCol w:w="1645"/>
      </w:tblGrid>
      <w:tr w14:paraId="09C9CA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blHeader/>
          <w:jc w:val="center"/>
        </w:trPr>
        <w:tc>
          <w:tcPr>
            <w:tcW w:w="979" w:type="dxa"/>
            <w:vAlign w:val="center"/>
          </w:tcPr>
          <w:p w14:paraId="006BC09E">
            <w:pPr>
              <w:widowControl/>
              <w:adjustRightInd w:val="0"/>
              <w:snapToGrid w:val="0"/>
              <w:jc w:val="center"/>
              <w:rPr>
                <w:rFonts w:ascii="Times New Roman" w:hAnsi="Times New Roman"/>
                <w:b/>
                <w:spacing w:val="-2"/>
                <w:kern w:val="0"/>
                <w:szCs w:val="21"/>
              </w:rPr>
            </w:pPr>
            <w:r>
              <w:rPr>
                <w:rFonts w:ascii="Times New Roman" w:hAnsi="Times New Roman"/>
                <w:b/>
                <w:spacing w:val="-2"/>
                <w:kern w:val="0"/>
                <w:szCs w:val="21"/>
              </w:rPr>
              <w:t>序号</w:t>
            </w:r>
          </w:p>
        </w:tc>
        <w:tc>
          <w:tcPr>
            <w:tcW w:w="2106" w:type="dxa"/>
            <w:vAlign w:val="center"/>
          </w:tcPr>
          <w:p w14:paraId="40C92D8A">
            <w:pPr>
              <w:widowControl/>
              <w:adjustRightInd w:val="0"/>
              <w:snapToGrid w:val="0"/>
              <w:jc w:val="center"/>
              <w:rPr>
                <w:rFonts w:ascii="Times New Roman" w:hAnsi="Times New Roman"/>
                <w:b/>
                <w:spacing w:val="-2"/>
                <w:kern w:val="0"/>
                <w:szCs w:val="21"/>
              </w:rPr>
            </w:pPr>
            <w:r>
              <w:rPr>
                <w:rFonts w:ascii="Times New Roman" w:hAnsi="Times New Roman"/>
                <w:b/>
                <w:spacing w:val="-2"/>
                <w:kern w:val="0"/>
                <w:szCs w:val="21"/>
              </w:rPr>
              <w:t>项目</w:t>
            </w:r>
          </w:p>
        </w:tc>
        <w:tc>
          <w:tcPr>
            <w:tcW w:w="1651" w:type="dxa"/>
            <w:vAlign w:val="center"/>
          </w:tcPr>
          <w:p w14:paraId="00E4CD32">
            <w:pPr>
              <w:widowControl/>
              <w:adjustRightInd w:val="0"/>
              <w:snapToGrid w:val="0"/>
              <w:jc w:val="center"/>
              <w:rPr>
                <w:rFonts w:ascii="Times New Roman" w:hAnsi="Times New Roman"/>
                <w:b/>
                <w:spacing w:val="-2"/>
                <w:kern w:val="0"/>
                <w:szCs w:val="21"/>
              </w:rPr>
            </w:pPr>
            <w:r>
              <w:rPr>
                <w:rFonts w:ascii="Times New Roman" w:hAnsi="Times New Roman"/>
                <w:b/>
                <w:spacing w:val="-2"/>
                <w:kern w:val="0"/>
                <w:szCs w:val="21"/>
              </w:rPr>
              <w:t>Ⅲ类</w:t>
            </w:r>
          </w:p>
        </w:tc>
        <w:tc>
          <w:tcPr>
            <w:tcW w:w="636" w:type="dxa"/>
            <w:vAlign w:val="center"/>
          </w:tcPr>
          <w:p w14:paraId="64A0AFBC">
            <w:pPr>
              <w:widowControl/>
              <w:adjustRightInd w:val="0"/>
              <w:snapToGrid w:val="0"/>
              <w:jc w:val="center"/>
              <w:rPr>
                <w:rFonts w:ascii="Times New Roman" w:hAnsi="Times New Roman"/>
                <w:b/>
                <w:spacing w:val="-2"/>
                <w:kern w:val="0"/>
                <w:szCs w:val="21"/>
              </w:rPr>
            </w:pPr>
            <w:r>
              <w:rPr>
                <w:rFonts w:ascii="Times New Roman" w:hAnsi="Times New Roman"/>
                <w:b/>
                <w:spacing w:val="-2"/>
                <w:kern w:val="0"/>
                <w:szCs w:val="21"/>
              </w:rPr>
              <w:t>序号</w:t>
            </w:r>
          </w:p>
        </w:tc>
        <w:tc>
          <w:tcPr>
            <w:tcW w:w="2023" w:type="dxa"/>
            <w:vAlign w:val="center"/>
          </w:tcPr>
          <w:p w14:paraId="03829E76">
            <w:pPr>
              <w:widowControl/>
              <w:adjustRightInd w:val="0"/>
              <w:snapToGrid w:val="0"/>
              <w:jc w:val="center"/>
              <w:rPr>
                <w:rFonts w:ascii="Times New Roman" w:hAnsi="Times New Roman"/>
                <w:b/>
                <w:spacing w:val="-2"/>
                <w:kern w:val="0"/>
                <w:szCs w:val="21"/>
              </w:rPr>
            </w:pPr>
            <w:r>
              <w:rPr>
                <w:rFonts w:ascii="Times New Roman" w:hAnsi="Times New Roman"/>
                <w:b/>
                <w:spacing w:val="-2"/>
                <w:kern w:val="0"/>
                <w:szCs w:val="21"/>
              </w:rPr>
              <w:t>项目</w:t>
            </w:r>
          </w:p>
        </w:tc>
        <w:tc>
          <w:tcPr>
            <w:tcW w:w="1645" w:type="dxa"/>
            <w:vAlign w:val="center"/>
          </w:tcPr>
          <w:p w14:paraId="4505C7AB">
            <w:pPr>
              <w:widowControl/>
              <w:adjustRightInd w:val="0"/>
              <w:snapToGrid w:val="0"/>
              <w:jc w:val="center"/>
              <w:rPr>
                <w:rFonts w:ascii="Times New Roman" w:hAnsi="Times New Roman"/>
                <w:b/>
                <w:spacing w:val="-2"/>
                <w:kern w:val="0"/>
                <w:szCs w:val="21"/>
              </w:rPr>
            </w:pPr>
            <w:r>
              <w:rPr>
                <w:rFonts w:ascii="Times New Roman" w:hAnsi="Times New Roman"/>
                <w:b/>
                <w:spacing w:val="-2"/>
                <w:kern w:val="0"/>
                <w:szCs w:val="21"/>
              </w:rPr>
              <w:t>Ⅲ类</w:t>
            </w:r>
          </w:p>
        </w:tc>
      </w:tr>
      <w:tr w14:paraId="2B0BEF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979" w:type="dxa"/>
            <w:vAlign w:val="center"/>
          </w:tcPr>
          <w:p w14:paraId="1D7618F4">
            <w:pPr>
              <w:adjustRightInd w:val="0"/>
              <w:snapToGrid w:val="0"/>
              <w:jc w:val="center"/>
              <w:rPr>
                <w:rFonts w:ascii="Times New Roman" w:hAnsi="Times New Roman"/>
                <w:spacing w:val="-2"/>
                <w:kern w:val="0"/>
                <w:szCs w:val="21"/>
              </w:rPr>
            </w:pPr>
            <w:r>
              <w:rPr>
                <w:rFonts w:ascii="Times New Roman" w:hAnsi="Times New Roman"/>
                <w:spacing w:val="-2"/>
                <w:kern w:val="0"/>
                <w:szCs w:val="21"/>
              </w:rPr>
              <w:t>1</w:t>
            </w:r>
          </w:p>
        </w:tc>
        <w:tc>
          <w:tcPr>
            <w:tcW w:w="2106" w:type="dxa"/>
            <w:vAlign w:val="center"/>
          </w:tcPr>
          <w:p w14:paraId="56A8137E">
            <w:pPr>
              <w:adjustRightInd w:val="0"/>
              <w:snapToGrid w:val="0"/>
              <w:jc w:val="center"/>
              <w:rPr>
                <w:rFonts w:ascii="Times New Roman" w:hAnsi="Times New Roman"/>
                <w:spacing w:val="-2"/>
                <w:kern w:val="0"/>
                <w:szCs w:val="21"/>
              </w:rPr>
            </w:pPr>
            <w:r>
              <w:rPr>
                <w:rFonts w:ascii="Times New Roman" w:hAnsi="Times New Roman"/>
                <w:spacing w:val="-2"/>
                <w:kern w:val="0"/>
                <w:szCs w:val="21"/>
              </w:rPr>
              <w:t>pH值（无量纲）</w:t>
            </w:r>
          </w:p>
        </w:tc>
        <w:tc>
          <w:tcPr>
            <w:tcW w:w="1651" w:type="dxa"/>
            <w:vAlign w:val="center"/>
          </w:tcPr>
          <w:p w14:paraId="0900B439">
            <w:pPr>
              <w:widowControl/>
              <w:adjustRightInd w:val="0"/>
              <w:snapToGrid w:val="0"/>
              <w:jc w:val="center"/>
              <w:rPr>
                <w:rFonts w:ascii="Times New Roman" w:hAnsi="Times New Roman"/>
                <w:spacing w:val="-2"/>
                <w:kern w:val="0"/>
                <w:szCs w:val="21"/>
              </w:rPr>
            </w:pPr>
            <w:r>
              <w:rPr>
                <w:rFonts w:ascii="Times New Roman" w:hAnsi="Times New Roman"/>
                <w:spacing w:val="-2"/>
                <w:kern w:val="0"/>
                <w:szCs w:val="21"/>
              </w:rPr>
              <w:t>6.5</w:t>
            </w:r>
            <w:r>
              <w:rPr>
                <w:rFonts w:hint="eastAsia" w:ascii="Times New Roman" w:hAnsi="Times New Roman"/>
                <w:spacing w:val="-2"/>
                <w:kern w:val="0"/>
                <w:szCs w:val="21"/>
                <w:lang w:eastAsia="zh-CN"/>
              </w:rPr>
              <w:t>~</w:t>
            </w:r>
            <w:r>
              <w:rPr>
                <w:rFonts w:ascii="Times New Roman" w:hAnsi="Times New Roman"/>
                <w:spacing w:val="-2"/>
                <w:kern w:val="0"/>
                <w:szCs w:val="21"/>
              </w:rPr>
              <w:t>8.5</w:t>
            </w:r>
          </w:p>
        </w:tc>
        <w:tc>
          <w:tcPr>
            <w:tcW w:w="636" w:type="dxa"/>
            <w:vAlign w:val="center"/>
          </w:tcPr>
          <w:p w14:paraId="7B0EB450">
            <w:pPr>
              <w:adjustRightInd w:val="0"/>
              <w:snapToGrid w:val="0"/>
              <w:jc w:val="center"/>
              <w:rPr>
                <w:rFonts w:ascii="Times New Roman" w:hAnsi="Times New Roman"/>
                <w:spacing w:val="-2"/>
                <w:kern w:val="0"/>
                <w:szCs w:val="21"/>
              </w:rPr>
            </w:pPr>
            <w:r>
              <w:rPr>
                <w:rFonts w:ascii="Times New Roman" w:hAnsi="Times New Roman"/>
                <w:spacing w:val="-2"/>
                <w:kern w:val="0"/>
                <w:szCs w:val="21"/>
              </w:rPr>
              <w:t>14</w:t>
            </w:r>
          </w:p>
        </w:tc>
        <w:tc>
          <w:tcPr>
            <w:tcW w:w="2023" w:type="dxa"/>
            <w:vAlign w:val="center"/>
          </w:tcPr>
          <w:p w14:paraId="7E285772">
            <w:pPr>
              <w:adjustRightInd w:val="0"/>
              <w:snapToGrid w:val="0"/>
              <w:jc w:val="center"/>
              <w:rPr>
                <w:rFonts w:ascii="Times New Roman" w:hAnsi="Times New Roman"/>
                <w:spacing w:val="-2"/>
                <w:kern w:val="0"/>
                <w:szCs w:val="21"/>
              </w:rPr>
            </w:pPr>
            <w:r>
              <w:rPr>
                <w:rFonts w:ascii="Times New Roman" w:hAnsi="Times New Roman"/>
                <w:spacing w:val="-2"/>
                <w:kern w:val="0"/>
                <w:szCs w:val="21"/>
              </w:rPr>
              <w:t>K</w:t>
            </w:r>
            <w:r>
              <w:rPr>
                <w:rFonts w:ascii="Times New Roman" w:hAnsi="Times New Roman"/>
                <w:spacing w:val="-2"/>
                <w:kern w:val="0"/>
                <w:szCs w:val="21"/>
                <w:vertAlign w:val="superscript"/>
              </w:rPr>
              <w:t>+</w:t>
            </w:r>
          </w:p>
        </w:tc>
        <w:tc>
          <w:tcPr>
            <w:tcW w:w="1645" w:type="dxa"/>
            <w:vAlign w:val="center"/>
          </w:tcPr>
          <w:p w14:paraId="6CAFB050">
            <w:pPr>
              <w:adjustRightInd w:val="0"/>
              <w:snapToGrid w:val="0"/>
              <w:jc w:val="center"/>
              <w:rPr>
                <w:rFonts w:ascii="Times New Roman" w:hAnsi="Times New Roman"/>
                <w:spacing w:val="-2"/>
                <w:kern w:val="0"/>
                <w:szCs w:val="21"/>
              </w:rPr>
            </w:pPr>
            <w:r>
              <w:rPr>
                <w:rFonts w:ascii="Times New Roman" w:hAnsi="Times New Roman"/>
                <w:spacing w:val="-2"/>
                <w:kern w:val="0"/>
                <w:szCs w:val="21"/>
              </w:rPr>
              <w:t>--</w:t>
            </w:r>
          </w:p>
        </w:tc>
      </w:tr>
      <w:tr w14:paraId="732CFD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979" w:type="dxa"/>
            <w:vAlign w:val="center"/>
          </w:tcPr>
          <w:p w14:paraId="03F61751">
            <w:pPr>
              <w:adjustRightInd w:val="0"/>
              <w:snapToGrid w:val="0"/>
              <w:jc w:val="center"/>
              <w:rPr>
                <w:rFonts w:ascii="Times New Roman" w:hAnsi="Times New Roman"/>
                <w:spacing w:val="-2"/>
                <w:kern w:val="0"/>
                <w:szCs w:val="21"/>
              </w:rPr>
            </w:pPr>
            <w:r>
              <w:rPr>
                <w:rFonts w:ascii="Times New Roman" w:hAnsi="Times New Roman"/>
                <w:spacing w:val="-2"/>
                <w:kern w:val="0"/>
                <w:szCs w:val="21"/>
              </w:rPr>
              <w:t>2</w:t>
            </w:r>
          </w:p>
        </w:tc>
        <w:tc>
          <w:tcPr>
            <w:tcW w:w="2106" w:type="dxa"/>
            <w:vAlign w:val="center"/>
          </w:tcPr>
          <w:p w14:paraId="12E927A4">
            <w:pPr>
              <w:adjustRightInd w:val="0"/>
              <w:snapToGrid w:val="0"/>
              <w:jc w:val="center"/>
              <w:rPr>
                <w:rFonts w:ascii="Times New Roman" w:hAnsi="Times New Roman"/>
                <w:spacing w:val="-2"/>
                <w:kern w:val="0"/>
                <w:szCs w:val="21"/>
              </w:rPr>
            </w:pPr>
            <w:r>
              <w:rPr>
                <w:rFonts w:ascii="Times New Roman" w:hAnsi="Times New Roman"/>
                <w:spacing w:val="-2"/>
                <w:kern w:val="0"/>
                <w:szCs w:val="21"/>
              </w:rPr>
              <w:t>硝酸盐氮</w:t>
            </w:r>
          </w:p>
        </w:tc>
        <w:tc>
          <w:tcPr>
            <w:tcW w:w="1651" w:type="dxa"/>
            <w:vAlign w:val="center"/>
          </w:tcPr>
          <w:p w14:paraId="15A26E4F">
            <w:pPr>
              <w:widowControl/>
              <w:adjustRightInd w:val="0"/>
              <w:snapToGrid w:val="0"/>
              <w:jc w:val="center"/>
              <w:rPr>
                <w:rFonts w:ascii="Times New Roman" w:hAnsi="Times New Roman"/>
                <w:spacing w:val="-2"/>
                <w:kern w:val="0"/>
                <w:szCs w:val="21"/>
              </w:rPr>
            </w:pPr>
            <w:r>
              <w:rPr>
                <w:rFonts w:ascii="Times New Roman" w:hAnsi="Times New Roman"/>
                <w:spacing w:val="-2"/>
                <w:kern w:val="0"/>
                <w:szCs w:val="21"/>
              </w:rPr>
              <w:t>≤20</w:t>
            </w:r>
          </w:p>
        </w:tc>
        <w:tc>
          <w:tcPr>
            <w:tcW w:w="636" w:type="dxa"/>
            <w:vAlign w:val="center"/>
          </w:tcPr>
          <w:p w14:paraId="136E9B3A">
            <w:pPr>
              <w:adjustRightInd w:val="0"/>
              <w:snapToGrid w:val="0"/>
              <w:jc w:val="center"/>
              <w:rPr>
                <w:rFonts w:ascii="Times New Roman" w:hAnsi="Times New Roman"/>
                <w:spacing w:val="-2"/>
                <w:kern w:val="0"/>
                <w:szCs w:val="21"/>
              </w:rPr>
            </w:pPr>
            <w:r>
              <w:rPr>
                <w:rFonts w:ascii="Times New Roman" w:hAnsi="Times New Roman"/>
                <w:spacing w:val="-2"/>
                <w:kern w:val="0"/>
                <w:szCs w:val="21"/>
              </w:rPr>
              <w:t>15</w:t>
            </w:r>
          </w:p>
        </w:tc>
        <w:tc>
          <w:tcPr>
            <w:tcW w:w="2023" w:type="dxa"/>
            <w:vAlign w:val="center"/>
          </w:tcPr>
          <w:p w14:paraId="1545C156">
            <w:pPr>
              <w:adjustRightInd w:val="0"/>
              <w:snapToGrid w:val="0"/>
              <w:jc w:val="center"/>
              <w:rPr>
                <w:rFonts w:ascii="Times New Roman" w:hAnsi="Times New Roman"/>
                <w:spacing w:val="-2"/>
                <w:kern w:val="0"/>
                <w:szCs w:val="21"/>
              </w:rPr>
            </w:pPr>
            <w:r>
              <w:rPr>
                <w:rFonts w:ascii="Times New Roman" w:hAnsi="Times New Roman"/>
                <w:spacing w:val="-2"/>
                <w:kern w:val="0"/>
                <w:szCs w:val="21"/>
              </w:rPr>
              <w:t>Na</w:t>
            </w:r>
            <w:r>
              <w:rPr>
                <w:rFonts w:ascii="Times New Roman" w:hAnsi="Times New Roman"/>
                <w:spacing w:val="-2"/>
                <w:kern w:val="0"/>
                <w:szCs w:val="21"/>
                <w:vertAlign w:val="superscript"/>
              </w:rPr>
              <w:t>+</w:t>
            </w:r>
          </w:p>
        </w:tc>
        <w:tc>
          <w:tcPr>
            <w:tcW w:w="1645" w:type="dxa"/>
            <w:vAlign w:val="center"/>
          </w:tcPr>
          <w:p w14:paraId="3016BBBD">
            <w:pPr>
              <w:adjustRightInd w:val="0"/>
              <w:snapToGrid w:val="0"/>
              <w:jc w:val="center"/>
              <w:rPr>
                <w:rFonts w:ascii="Times New Roman" w:hAnsi="Times New Roman"/>
                <w:spacing w:val="-2"/>
                <w:kern w:val="0"/>
                <w:szCs w:val="21"/>
              </w:rPr>
            </w:pPr>
            <w:r>
              <w:rPr>
                <w:rFonts w:ascii="Times New Roman" w:hAnsi="Times New Roman"/>
                <w:spacing w:val="-2"/>
                <w:kern w:val="0"/>
                <w:szCs w:val="21"/>
              </w:rPr>
              <w:t>--</w:t>
            </w:r>
          </w:p>
        </w:tc>
      </w:tr>
      <w:tr w14:paraId="45C117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979" w:type="dxa"/>
            <w:vAlign w:val="center"/>
          </w:tcPr>
          <w:p w14:paraId="200CC2A5">
            <w:pPr>
              <w:adjustRightInd w:val="0"/>
              <w:snapToGrid w:val="0"/>
              <w:jc w:val="center"/>
              <w:rPr>
                <w:rFonts w:ascii="Times New Roman" w:hAnsi="Times New Roman"/>
                <w:spacing w:val="-2"/>
                <w:kern w:val="0"/>
                <w:szCs w:val="21"/>
              </w:rPr>
            </w:pPr>
            <w:r>
              <w:rPr>
                <w:rFonts w:ascii="Times New Roman" w:hAnsi="Times New Roman"/>
                <w:spacing w:val="-2"/>
                <w:kern w:val="0"/>
                <w:szCs w:val="21"/>
              </w:rPr>
              <w:t>3</w:t>
            </w:r>
          </w:p>
        </w:tc>
        <w:tc>
          <w:tcPr>
            <w:tcW w:w="2106" w:type="dxa"/>
            <w:vAlign w:val="center"/>
          </w:tcPr>
          <w:p w14:paraId="249403E4">
            <w:pPr>
              <w:adjustRightInd w:val="0"/>
              <w:snapToGrid w:val="0"/>
              <w:jc w:val="center"/>
              <w:rPr>
                <w:rFonts w:ascii="Times New Roman" w:hAnsi="Times New Roman"/>
                <w:spacing w:val="-2"/>
                <w:kern w:val="0"/>
                <w:szCs w:val="21"/>
              </w:rPr>
            </w:pPr>
            <w:r>
              <w:rPr>
                <w:rFonts w:ascii="Times New Roman" w:hAnsi="Times New Roman"/>
                <w:spacing w:val="-2"/>
                <w:kern w:val="0"/>
                <w:szCs w:val="21"/>
              </w:rPr>
              <w:t>亚硝酸盐氮</w:t>
            </w:r>
          </w:p>
        </w:tc>
        <w:tc>
          <w:tcPr>
            <w:tcW w:w="1651" w:type="dxa"/>
            <w:vAlign w:val="center"/>
          </w:tcPr>
          <w:p w14:paraId="5D661466">
            <w:pPr>
              <w:widowControl/>
              <w:adjustRightInd w:val="0"/>
              <w:snapToGrid w:val="0"/>
              <w:jc w:val="center"/>
              <w:rPr>
                <w:rFonts w:ascii="Times New Roman" w:hAnsi="Times New Roman"/>
                <w:spacing w:val="-2"/>
                <w:kern w:val="0"/>
                <w:szCs w:val="21"/>
              </w:rPr>
            </w:pPr>
            <w:r>
              <w:rPr>
                <w:rFonts w:ascii="Times New Roman" w:hAnsi="Times New Roman"/>
                <w:spacing w:val="-2"/>
                <w:kern w:val="0"/>
                <w:szCs w:val="21"/>
              </w:rPr>
              <w:t>≤1.00</w:t>
            </w:r>
          </w:p>
        </w:tc>
        <w:tc>
          <w:tcPr>
            <w:tcW w:w="636" w:type="dxa"/>
            <w:vAlign w:val="center"/>
          </w:tcPr>
          <w:p w14:paraId="30296D57">
            <w:pPr>
              <w:adjustRightInd w:val="0"/>
              <w:snapToGrid w:val="0"/>
              <w:jc w:val="center"/>
              <w:rPr>
                <w:rFonts w:ascii="Times New Roman" w:hAnsi="Times New Roman"/>
                <w:spacing w:val="-2"/>
                <w:kern w:val="0"/>
                <w:szCs w:val="21"/>
              </w:rPr>
            </w:pPr>
            <w:r>
              <w:rPr>
                <w:rFonts w:ascii="Times New Roman" w:hAnsi="Times New Roman"/>
                <w:spacing w:val="-2"/>
                <w:kern w:val="0"/>
                <w:szCs w:val="21"/>
              </w:rPr>
              <w:t>16</w:t>
            </w:r>
          </w:p>
        </w:tc>
        <w:tc>
          <w:tcPr>
            <w:tcW w:w="2023" w:type="dxa"/>
            <w:vAlign w:val="center"/>
          </w:tcPr>
          <w:p w14:paraId="405465BE">
            <w:pPr>
              <w:adjustRightInd w:val="0"/>
              <w:snapToGrid w:val="0"/>
              <w:jc w:val="center"/>
              <w:rPr>
                <w:rFonts w:ascii="Times New Roman" w:hAnsi="Times New Roman"/>
                <w:spacing w:val="-2"/>
                <w:kern w:val="0"/>
                <w:szCs w:val="21"/>
              </w:rPr>
            </w:pPr>
            <w:r>
              <w:rPr>
                <w:rFonts w:ascii="Times New Roman" w:hAnsi="Times New Roman"/>
                <w:spacing w:val="-2"/>
                <w:kern w:val="0"/>
                <w:szCs w:val="21"/>
              </w:rPr>
              <w:t>Ca</w:t>
            </w:r>
            <w:r>
              <w:rPr>
                <w:rFonts w:ascii="Times New Roman" w:hAnsi="Times New Roman"/>
                <w:spacing w:val="-2"/>
                <w:kern w:val="0"/>
                <w:szCs w:val="21"/>
                <w:vertAlign w:val="superscript"/>
              </w:rPr>
              <w:t>2+</w:t>
            </w:r>
          </w:p>
        </w:tc>
        <w:tc>
          <w:tcPr>
            <w:tcW w:w="1645" w:type="dxa"/>
            <w:vAlign w:val="center"/>
          </w:tcPr>
          <w:p w14:paraId="00CFFA47">
            <w:pPr>
              <w:adjustRightInd w:val="0"/>
              <w:snapToGrid w:val="0"/>
              <w:jc w:val="center"/>
              <w:rPr>
                <w:rFonts w:ascii="Times New Roman" w:hAnsi="Times New Roman"/>
                <w:spacing w:val="-2"/>
                <w:kern w:val="0"/>
                <w:szCs w:val="21"/>
              </w:rPr>
            </w:pPr>
            <w:r>
              <w:rPr>
                <w:rFonts w:ascii="Times New Roman" w:hAnsi="Times New Roman"/>
                <w:spacing w:val="-2"/>
                <w:kern w:val="0"/>
                <w:szCs w:val="21"/>
              </w:rPr>
              <w:t>--</w:t>
            </w:r>
          </w:p>
        </w:tc>
      </w:tr>
      <w:tr w14:paraId="259FC0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979" w:type="dxa"/>
            <w:vAlign w:val="center"/>
          </w:tcPr>
          <w:p w14:paraId="1BAFCC64">
            <w:pPr>
              <w:adjustRightInd w:val="0"/>
              <w:snapToGrid w:val="0"/>
              <w:jc w:val="center"/>
              <w:rPr>
                <w:rFonts w:ascii="Times New Roman" w:hAnsi="Times New Roman"/>
                <w:spacing w:val="-2"/>
                <w:kern w:val="0"/>
                <w:szCs w:val="21"/>
              </w:rPr>
            </w:pPr>
            <w:r>
              <w:rPr>
                <w:rFonts w:ascii="Times New Roman" w:hAnsi="Times New Roman"/>
                <w:spacing w:val="-2"/>
                <w:kern w:val="0"/>
                <w:szCs w:val="21"/>
              </w:rPr>
              <w:t>4</w:t>
            </w:r>
          </w:p>
        </w:tc>
        <w:tc>
          <w:tcPr>
            <w:tcW w:w="2106" w:type="dxa"/>
            <w:vAlign w:val="center"/>
          </w:tcPr>
          <w:p w14:paraId="4240E86D">
            <w:pPr>
              <w:adjustRightInd w:val="0"/>
              <w:snapToGrid w:val="0"/>
              <w:jc w:val="center"/>
              <w:rPr>
                <w:rFonts w:ascii="Times New Roman" w:hAnsi="Times New Roman"/>
                <w:spacing w:val="-2"/>
                <w:kern w:val="0"/>
                <w:szCs w:val="21"/>
              </w:rPr>
            </w:pPr>
            <w:r>
              <w:rPr>
                <w:rFonts w:ascii="Times New Roman" w:hAnsi="Times New Roman"/>
                <w:spacing w:val="-2"/>
                <w:kern w:val="0"/>
                <w:szCs w:val="21"/>
              </w:rPr>
              <w:t>氨 氮</w:t>
            </w:r>
          </w:p>
        </w:tc>
        <w:tc>
          <w:tcPr>
            <w:tcW w:w="1651" w:type="dxa"/>
            <w:vAlign w:val="center"/>
          </w:tcPr>
          <w:p w14:paraId="4F217E1B">
            <w:pPr>
              <w:widowControl/>
              <w:adjustRightInd w:val="0"/>
              <w:snapToGrid w:val="0"/>
              <w:jc w:val="center"/>
              <w:rPr>
                <w:rFonts w:ascii="Times New Roman" w:hAnsi="Times New Roman"/>
                <w:spacing w:val="-2"/>
                <w:kern w:val="0"/>
                <w:szCs w:val="21"/>
              </w:rPr>
            </w:pPr>
            <w:r>
              <w:rPr>
                <w:rFonts w:ascii="Times New Roman" w:hAnsi="Times New Roman"/>
                <w:spacing w:val="-2"/>
                <w:kern w:val="0"/>
                <w:szCs w:val="21"/>
              </w:rPr>
              <w:t>≤0.5</w:t>
            </w:r>
          </w:p>
        </w:tc>
        <w:tc>
          <w:tcPr>
            <w:tcW w:w="636" w:type="dxa"/>
            <w:vAlign w:val="center"/>
          </w:tcPr>
          <w:p w14:paraId="52EFA9D9">
            <w:pPr>
              <w:adjustRightInd w:val="0"/>
              <w:snapToGrid w:val="0"/>
              <w:jc w:val="center"/>
              <w:rPr>
                <w:rFonts w:ascii="Times New Roman" w:hAnsi="Times New Roman"/>
                <w:spacing w:val="-2"/>
                <w:kern w:val="0"/>
                <w:szCs w:val="21"/>
              </w:rPr>
            </w:pPr>
            <w:r>
              <w:rPr>
                <w:rFonts w:ascii="Times New Roman" w:hAnsi="Times New Roman"/>
                <w:spacing w:val="-2"/>
                <w:kern w:val="0"/>
                <w:szCs w:val="21"/>
              </w:rPr>
              <w:t>17</w:t>
            </w:r>
          </w:p>
        </w:tc>
        <w:tc>
          <w:tcPr>
            <w:tcW w:w="2023" w:type="dxa"/>
            <w:vAlign w:val="center"/>
          </w:tcPr>
          <w:p w14:paraId="4F53D414">
            <w:pPr>
              <w:adjustRightInd w:val="0"/>
              <w:snapToGrid w:val="0"/>
              <w:jc w:val="center"/>
              <w:rPr>
                <w:rFonts w:ascii="Times New Roman" w:hAnsi="Times New Roman"/>
                <w:spacing w:val="-2"/>
                <w:kern w:val="0"/>
                <w:szCs w:val="21"/>
              </w:rPr>
            </w:pPr>
            <w:r>
              <w:rPr>
                <w:rFonts w:ascii="Times New Roman" w:hAnsi="Times New Roman"/>
                <w:spacing w:val="-2"/>
                <w:kern w:val="0"/>
                <w:szCs w:val="21"/>
              </w:rPr>
              <w:t>Mg</w:t>
            </w:r>
            <w:r>
              <w:rPr>
                <w:rFonts w:ascii="Times New Roman" w:hAnsi="Times New Roman"/>
                <w:spacing w:val="-2"/>
                <w:kern w:val="0"/>
                <w:szCs w:val="21"/>
                <w:vertAlign w:val="superscript"/>
              </w:rPr>
              <w:t>2+</w:t>
            </w:r>
          </w:p>
        </w:tc>
        <w:tc>
          <w:tcPr>
            <w:tcW w:w="1645" w:type="dxa"/>
            <w:vAlign w:val="center"/>
          </w:tcPr>
          <w:p w14:paraId="5DFBF2D5">
            <w:pPr>
              <w:adjustRightInd w:val="0"/>
              <w:snapToGrid w:val="0"/>
              <w:jc w:val="center"/>
              <w:rPr>
                <w:rFonts w:ascii="Times New Roman" w:hAnsi="Times New Roman"/>
                <w:spacing w:val="-2"/>
                <w:kern w:val="0"/>
                <w:szCs w:val="21"/>
              </w:rPr>
            </w:pPr>
            <w:r>
              <w:rPr>
                <w:rFonts w:ascii="Times New Roman" w:hAnsi="Times New Roman"/>
                <w:spacing w:val="-2"/>
                <w:kern w:val="0"/>
                <w:szCs w:val="21"/>
              </w:rPr>
              <w:t>--</w:t>
            </w:r>
          </w:p>
        </w:tc>
      </w:tr>
      <w:tr w14:paraId="32704E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979" w:type="dxa"/>
            <w:vAlign w:val="center"/>
          </w:tcPr>
          <w:p w14:paraId="7CBB0A5D">
            <w:pPr>
              <w:adjustRightInd w:val="0"/>
              <w:snapToGrid w:val="0"/>
              <w:jc w:val="center"/>
              <w:rPr>
                <w:rFonts w:ascii="Times New Roman" w:hAnsi="Times New Roman"/>
                <w:spacing w:val="-2"/>
                <w:kern w:val="0"/>
                <w:szCs w:val="21"/>
              </w:rPr>
            </w:pPr>
            <w:r>
              <w:rPr>
                <w:rFonts w:ascii="Times New Roman" w:hAnsi="Times New Roman"/>
                <w:spacing w:val="-2"/>
                <w:kern w:val="0"/>
                <w:szCs w:val="21"/>
              </w:rPr>
              <w:t>5</w:t>
            </w:r>
          </w:p>
        </w:tc>
        <w:tc>
          <w:tcPr>
            <w:tcW w:w="2106" w:type="dxa"/>
            <w:vAlign w:val="center"/>
          </w:tcPr>
          <w:p w14:paraId="2E897FEE">
            <w:pPr>
              <w:adjustRightInd w:val="0"/>
              <w:snapToGrid w:val="0"/>
              <w:jc w:val="center"/>
              <w:rPr>
                <w:rFonts w:ascii="Times New Roman" w:hAnsi="Times New Roman"/>
                <w:spacing w:val="-2"/>
                <w:kern w:val="0"/>
                <w:szCs w:val="21"/>
              </w:rPr>
            </w:pPr>
            <w:r>
              <w:rPr>
                <w:rFonts w:ascii="Times New Roman" w:hAnsi="Times New Roman"/>
                <w:spacing w:val="-2"/>
                <w:kern w:val="0"/>
                <w:szCs w:val="21"/>
              </w:rPr>
              <w:t>汞</w:t>
            </w:r>
          </w:p>
        </w:tc>
        <w:tc>
          <w:tcPr>
            <w:tcW w:w="1651" w:type="dxa"/>
            <w:vAlign w:val="center"/>
          </w:tcPr>
          <w:p w14:paraId="6BFDA7E6">
            <w:pPr>
              <w:widowControl/>
              <w:adjustRightInd w:val="0"/>
              <w:snapToGrid w:val="0"/>
              <w:jc w:val="center"/>
              <w:rPr>
                <w:rFonts w:ascii="Times New Roman" w:hAnsi="Times New Roman"/>
                <w:spacing w:val="-2"/>
                <w:kern w:val="0"/>
                <w:szCs w:val="21"/>
              </w:rPr>
            </w:pPr>
            <w:r>
              <w:rPr>
                <w:rFonts w:ascii="Times New Roman" w:hAnsi="Times New Roman"/>
                <w:spacing w:val="-2"/>
                <w:kern w:val="0"/>
                <w:szCs w:val="21"/>
              </w:rPr>
              <w:t>≤0.001</w:t>
            </w:r>
          </w:p>
        </w:tc>
        <w:tc>
          <w:tcPr>
            <w:tcW w:w="636" w:type="dxa"/>
            <w:vAlign w:val="center"/>
          </w:tcPr>
          <w:p w14:paraId="7D1F059B">
            <w:pPr>
              <w:adjustRightInd w:val="0"/>
              <w:snapToGrid w:val="0"/>
              <w:jc w:val="center"/>
              <w:rPr>
                <w:rFonts w:ascii="Times New Roman" w:hAnsi="Times New Roman"/>
                <w:spacing w:val="-2"/>
                <w:kern w:val="0"/>
                <w:szCs w:val="21"/>
              </w:rPr>
            </w:pPr>
            <w:r>
              <w:rPr>
                <w:rFonts w:ascii="Times New Roman" w:hAnsi="Times New Roman"/>
                <w:spacing w:val="-2"/>
                <w:kern w:val="0"/>
                <w:szCs w:val="21"/>
              </w:rPr>
              <w:t>18</w:t>
            </w:r>
          </w:p>
        </w:tc>
        <w:tc>
          <w:tcPr>
            <w:tcW w:w="2023" w:type="dxa"/>
            <w:vAlign w:val="center"/>
          </w:tcPr>
          <w:p w14:paraId="2A27109C">
            <w:pPr>
              <w:adjustRightInd w:val="0"/>
              <w:snapToGrid w:val="0"/>
              <w:jc w:val="center"/>
              <w:rPr>
                <w:rFonts w:ascii="Times New Roman" w:hAnsi="Times New Roman"/>
                <w:spacing w:val="-2"/>
                <w:kern w:val="0"/>
                <w:szCs w:val="21"/>
              </w:rPr>
            </w:pPr>
            <w:r>
              <w:rPr>
                <w:rFonts w:ascii="Times New Roman" w:hAnsi="Times New Roman"/>
                <w:spacing w:val="-2"/>
                <w:kern w:val="0"/>
                <w:szCs w:val="21"/>
              </w:rPr>
              <w:t>CO</w:t>
            </w:r>
            <w:r>
              <w:rPr>
                <w:rFonts w:ascii="Times New Roman" w:hAnsi="Times New Roman"/>
                <w:spacing w:val="-2"/>
                <w:kern w:val="0"/>
                <w:szCs w:val="21"/>
                <w:vertAlign w:val="subscript"/>
              </w:rPr>
              <w:t>3</w:t>
            </w:r>
            <w:r>
              <w:rPr>
                <w:rFonts w:ascii="Times New Roman" w:hAnsi="Times New Roman"/>
                <w:spacing w:val="-2"/>
                <w:kern w:val="0"/>
                <w:szCs w:val="21"/>
                <w:vertAlign w:val="superscript"/>
              </w:rPr>
              <w:t>2-</w:t>
            </w:r>
          </w:p>
        </w:tc>
        <w:tc>
          <w:tcPr>
            <w:tcW w:w="1645" w:type="dxa"/>
            <w:vAlign w:val="center"/>
          </w:tcPr>
          <w:p w14:paraId="37B4E98B">
            <w:pPr>
              <w:adjustRightInd w:val="0"/>
              <w:snapToGrid w:val="0"/>
              <w:jc w:val="center"/>
              <w:rPr>
                <w:rFonts w:ascii="Times New Roman" w:hAnsi="Times New Roman"/>
                <w:spacing w:val="-2"/>
                <w:kern w:val="0"/>
                <w:szCs w:val="21"/>
              </w:rPr>
            </w:pPr>
            <w:r>
              <w:rPr>
                <w:rFonts w:ascii="Times New Roman" w:hAnsi="Times New Roman"/>
                <w:spacing w:val="-2"/>
                <w:kern w:val="0"/>
                <w:szCs w:val="21"/>
              </w:rPr>
              <w:t>--</w:t>
            </w:r>
          </w:p>
        </w:tc>
      </w:tr>
      <w:tr w14:paraId="5FF141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979" w:type="dxa"/>
            <w:vAlign w:val="center"/>
          </w:tcPr>
          <w:p w14:paraId="197384D7">
            <w:pPr>
              <w:adjustRightInd w:val="0"/>
              <w:snapToGrid w:val="0"/>
              <w:jc w:val="center"/>
              <w:rPr>
                <w:rFonts w:ascii="Times New Roman" w:hAnsi="Times New Roman"/>
                <w:spacing w:val="-2"/>
                <w:kern w:val="0"/>
                <w:szCs w:val="21"/>
              </w:rPr>
            </w:pPr>
            <w:r>
              <w:rPr>
                <w:rFonts w:ascii="Times New Roman" w:hAnsi="Times New Roman"/>
                <w:spacing w:val="-2"/>
                <w:kern w:val="0"/>
                <w:szCs w:val="21"/>
              </w:rPr>
              <w:t>6</w:t>
            </w:r>
          </w:p>
        </w:tc>
        <w:tc>
          <w:tcPr>
            <w:tcW w:w="2106" w:type="dxa"/>
            <w:vAlign w:val="center"/>
          </w:tcPr>
          <w:p w14:paraId="7FBBEEF0">
            <w:pPr>
              <w:adjustRightInd w:val="0"/>
              <w:snapToGrid w:val="0"/>
              <w:jc w:val="center"/>
              <w:rPr>
                <w:rFonts w:ascii="Times New Roman" w:hAnsi="Times New Roman"/>
                <w:spacing w:val="-2"/>
                <w:kern w:val="0"/>
                <w:szCs w:val="21"/>
              </w:rPr>
            </w:pPr>
            <w:r>
              <w:rPr>
                <w:rFonts w:ascii="Times New Roman" w:hAnsi="Times New Roman"/>
                <w:spacing w:val="-2"/>
                <w:kern w:val="0"/>
                <w:szCs w:val="21"/>
              </w:rPr>
              <w:t>铅</w:t>
            </w:r>
          </w:p>
        </w:tc>
        <w:tc>
          <w:tcPr>
            <w:tcW w:w="1651" w:type="dxa"/>
            <w:vAlign w:val="center"/>
          </w:tcPr>
          <w:p w14:paraId="67CA6E49">
            <w:pPr>
              <w:adjustRightInd w:val="0"/>
              <w:snapToGrid w:val="0"/>
              <w:jc w:val="center"/>
              <w:rPr>
                <w:rFonts w:ascii="Times New Roman" w:hAnsi="Times New Roman"/>
                <w:spacing w:val="-2"/>
                <w:kern w:val="0"/>
                <w:szCs w:val="21"/>
              </w:rPr>
            </w:pPr>
            <w:r>
              <w:rPr>
                <w:rFonts w:ascii="Times New Roman" w:hAnsi="Times New Roman"/>
                <w:spacing w:val="-2"/>
                <w:kern w:val="0"/>
                <w:szCs w:val="21"/>
              </w:rPr>
              <w:t>≤0.01</w:t>
            </w:r>
          </w:p>
        </w:tc>
        <w:tc>
          <w:tcPr>
            <w:tcW w:w="636" w:type="dxa"/>
            <w:vAlign w:val="center"/>
          </w:tcPr>
          <w:p w14:paraId="5BF5E586">
            <w:pPr>
              <w:adjustRightInd w:val="0"/>
              <w:snapToGrid w:val="0"/>
              <w:jc w:val="center"/>
              <w:rPr>
                <w:rFonts w:ascii="Times New Roman" w:hAnsi="Times New Roman"/>
                <w:spacing w:val="-2"/>
                <w:kern w:val="0"/>
                <w:szCs w:val="21"/>
              </w:rPr>
            </w:pPr>
            <w:r>
              <w:rPr>
                <w:rFonts w:ascii="Times New Roman" w:hAnsi="Times New Roman"/>
                <w:spacing w:val="-2"/>
                <w:kern w:val="0"/>
                <w:szCs w:val="21"/>
              </w:rPr>
              <w:t>19</w:t>
            </w:r>
          </w:p>
        </w:tc>
        <w:tc>
          <w:tcPr>
            <w:tcW w:w="2023" w:type="dxa"/>
            <w:vAlign w:val="center"/>
          </w:tcPr>
          <w:p w14:paraId="03731AF4">
            <w:pPr>
              <w:adjustRightInd w:val="0"/>
              <w:snapToGrid w:val="0"/>
              <w:jc w:val="center"/>
              <w:rPr>
                <w:rFonts w:ascii="Times New Roman" w:hAnsi="Times New Roman"/>
                <w:spacing w:val="-2"/>
                <w:kern w:val="0"/>
                <w:szCs w:val="21"/>
              </w:rPr>
            </w:pPr>
            <w:r>
              <w:rPr>
                <w:rFonts w:ascii="Times New Roman" w:hAnsi="Times New Roman"/>
                <w:spacing w:val="-2"/>
                <w:kern w:val="0"/>
                <w:szCs w:val="21"/>
              </w:rPr>
              <w:t>HCO</w:t>
            </w:r>
            <w:r>
              <w:rPr>
                <w:rFonts w:ascii="Times New Roman" w:hAnsi="Times New Roman"/>
                <w:spacing w:val="-2"/>
                <w:kern w:val="0"/>
                <w:szCs w:val="21"/>
                <w:vertAlign w:val="subscript"/>
              </w:rPr>
              <w:t>3</w:t>
            </w:r>
            <w:r>
              <w:rPr>
                <w:rFonts w:ascii="Times New Roman" w:hAnsi="Times New Roman"/>
                <w:spacing w:val="-2"/>
                <w:kern w:val="0"/>
                <w:szCs w:val="21"/>
                <w:vertAlign w:val="superscript"/>
              </w:rPr>
              <w:t>-</w:t>
            </w:r>
          </w:p>
        </w:tc>
        <w:tc>
          <w:tcPr>
            <w:tcW w:w="1645" w:type="dxa"/>
            <w:vAlign w:val="center"/>
          </w:tcPr>
          <w:p w14:paraId="71DDAAE0">
            <w:pPr>
              <w:adjustRightInd w:val="0"/>
              <w:snapToGrid w:val="0"/>
              <w:jc w:val="center"/>
              <w:rPr>
                <w:rFonts w:ascii="Times New Roman" w:hAnsi="Times New Roman"/>
                <w:spacing w:val="-2"/>
                <w:kern w:val="0"/>
                <w:szCs w:val="21"/>
              </w:rPr>
            </w:pPr>
            <w:r>
              <w:rPr>
                <w:rFonts w:ascii="Times New Roman" w:hAnsi="Times New Roman"/>
                <w:spacing w:val="-2"/>
                <w:kern w:val="0"/>
                <w:szCs w:val="21"/>
              </w:rPr>
              <w:t>--</w:t>
            </w:r>
          </w:p>
        </w:tc>
      </w:tr>
      <w:tr w14:paraId="4822F7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979" w:type="dxa"/>
            <w:vAlign w:val="center"/>
          </w:tcPr>
          <w:p w14:paraId="457CA4D4">
            <w:pPr>
              <w:adjustRightInd w:val="0"/>
              <w:snapToGrid w:val="0"/>
              <w:jc w:val="center"/>
              <w:rPr>
                <w:rFonts w:ascii="Times New Roman" w:hAnsi="Times New Roman"/>
                <w:spacing w:val="-2"/>
                <w:kern w:val="0"/>
                <w:szCs w:val="21"/>
              </w:rPr>
            </w:pPr>
            <w:r>
              <w:rPr>
                <w:rFonts w:ascii="Times New Roman" w:hAnsi="Times New Roman"/>
                <w:spacing w:val="-2"/>
                <w:kern w:val="0"/>
                <w:szCs w:val="21"/>
              </w:rPr>
              <w:t>7</w:t>
            </w:r>
          </w:p>
        </w:tc>
        <w:tc>
          <w:tcPr>
            <w:tcW w:w="2106" w:type="dxa"/>
            <w:vAlign w:val="center"/>
          </w:tcPr>
          <w:p w14:paraId="59CC3BC5">
            <w:pPr>
              <w:adjustRightInd w:val="0"/>
              <w:snapToGrid w:val="0"/>
              <w:jc w:val="center"/>
              <w:rPr>
                <w:rFonts w:ascii="Times New Roman" w:hAnsi="Times New Roman"/>
                <w:spacing w:val="-2"/>
                <w:kern w:val="0"/>
                <w:szCs w:val="21"/>
              </w:rPr>
            </w:pPr>
            <w:r>
              <w:rPr>
                <w:rFonts w:ascii="Times New Roman" w:hAnsi="Times New Roman"/>
                <w:spacing w:val="-2"/>
                <w:kern w:val="0"/>
                <w:szCs w:val="21"/>
              </w:rPr>
              <w:t>耗氧量</w:t>
            </w:r>
          </w:p>
        </w:tc>
        <w:tc>
          <w:tcPr>
            <w:tcW w:w="1651" w:type="dxa"/>
            <w:vAlign w:val="center"/>
          </w:tcPr>
          <w:p w14:paraId="0B1DDDD8">
            <w:pPr>
              <w:widowControl/>
              <w:adjustRightInd w:val="0"/>
              <w:snapToGrid w:val="0"/>
              <w:jc w:val="center"/>
              <w:rPr>
                <w:rFonts w:ascii="Times New Roman" w:hAnsi="Times New Roman"/>
                <w:spacing w:val="-2"/>
                <w:kern w:val="0"/>
                <w:szCs w:val="21"/>
              </w:rPr>
            </w:pPr>
            <w:r>
              <w:rPr>
                <w:rFonts w:ascii="Times New Roman" w:hAnsi="Times New Roman"/>
                <w:spacing w:val="-2"/>
                <w:kern w:val="0"/>
                <w:szCs w:val="21"/>
              </w:rPr>
              <w:t>≤3.0</w:t>
            </w:r>
          </w:p>
        </w:tc>
        <w:tc>
          <w:tcPr>
            <w:tcW w:w="636" w:type="dxa"/>
            <w:vAlign w:val="center"/>
          </w:tcPr>
          <w:p w14:paraId="13D462D1">
            <w:pPr>
              <w:adjustRightInd w:val="0"/>
              <w:snapToGrid w:val="0"/>
              <w:jc w:val="center"/>
              <w:rPr>
                <w:rFonts w:ascii="Times New Roman" w:hAnsi="Times New Roman"/>
                <w:spacing w:val="-2"/>
                <w:kern w:val="0"/>
                <w:szCs w:val="21"/>
              </w:rPr>
            </w:pPr>
            <w:r>
              <w:rPr>
                <w:rFonts w:ascii="Times New Roman" w:hAnsi="Times New Roman"/>
                <w:spacing w:val="-2"/>
                <w:kern w:val="0"/>
                <w:szCs w:val="21"/>
              </w:rPr>
              <w:t>20</w:t>
            </w:r>
          </w:p>
        </w:tc>
        <w:tc>
          <w:tcPr>
            <w:tcW w:w="2023" w:type="dxa"/>
            <w:vAlign w:val="center"/>
          </w:tcPr>
          <w:p w14:paraId="55DF9A01">
            <w:pPr>
              <w:adjustRightInd w:val="0"/>
              <w:snapToGrid w:val="0"/>
              <w:jc w:val="center"/>
              <w:rPr>
                <w:rFonts w:ascii="Times New Roman" w:hAnsi="Times New Roman"/>
                <w:spacing w:val="-2"/>
                <w:kern w:val="0"/>
                <w:szCs w:val="21"/>
              </w:rPr>
            </w:pPr>
            <w:r>
              <w:rPr>
                <w:rFonts w:ascii="Times New Roman" w:hAnsi="Times New Roman"/>
                <w:spacing w:val="-2"/>
                <w:kern w:val="0"/>
                <w:szCs w:val="21"/>
              </w:rPr>
              <w:t>氯化物</w:t>
            </w:r>
          </w:p>
        </w:tc>
        <w:tc>
          <w:tcPr>
            <w:tcW w:w="1645" w:type="dxa"/>
            <w:vAlign w:val="center"/>
          </w:tcPr>
          <w:p w14:paraId="7E240D66">
            <w:pPr>
              <w:adjustRightInd w:val="0"/>
              <w:snapToGrid w:val="0"/>
              <w:jc w:val="center"/>
              <w:rPr>
                <w:rFonts w:ascii="Times New Roman" w:hAnsi="Times New Roman"/>
                <w:spacing w:val="-2"/>
                <w:kern w:val="0"/>
                <w:szCs w:val="21"/>
              </w:rPr>
            </w:pPr>
            <w:r>
              <w:rPr>
                <w:rFonts w:ascii="Times New Roman" w:hAnsi="Times New Roman"/>
                <w:spacing w:val="-2"/>
                <w:kern w:val="0"/>
                <w:szCs w:val="21"/>
              </w:rPr>
              <w:t>≤250</w:t>
            </w:r>
          </w:p>
        </w:tc>
      </w:tr>
      <w:tr w14:paraId="5826A7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979" w:type="dxa"/>
            <w:vAlign w:val="center"/>
          </w:tcPr>
          <w:p w14:paraId="00824218">
            <w:pPr>
              <w:adjustRightInd w:val="0"/>
              <w:snapToGrid w:val="0"/>
              <w:jc w:val="center"/>
              <w:rPr>
                <w:rFonts w:ascii="Times New Roman" w:hAnsi="Times New Roman"/>
                <w:spacing w:val="-2"/>
                <w:kern w:val="0"/>
                <w:szCs w:val="21"/>
              </w:rPr>
            </w:pPr>
            <w:r>
              <w:rPr>
                <w:rFonts w:ascii="Times New Roman" w:hAnsi="Times New Roman"/>
                <w:spacing w:val="-2"/>
                <w:kern w:val="0"/>
                <w:szCs w:val="21"/>
              </w:rPr>
              <w:t>8</w:t>
            </w:r>
          </w:p>
        </w:tc>
        <w:tc>
          <w:tcPr>
            <w:tcW w:w="2106" w:type="dxa"/>
            <w:vAlign w:val="center"/>
          </w:tcPr>
          <w:p w14:paraId="202E3018">
            <w:pPr>
              <w:adjustRightInd w:val="0"/>
              <w:snapToGrid w:val="0"/>
              <w:jc w:val="center"/>
              <w:rPr>
                <w:rFonts w:ascii="Times New Roman" w:hAnsi="Times New Roman"/>
                <w:spacing w:val="-2"/>
                <w:kern w:val="0"/>
                <w:szCs w:val="21"/>
              </w:rPr>
            </w:pPr>
            <w:r>
              <w:rPr>
                <w:rFonts w:ascii="Times New Roman" w:hAnsi="Times New Roman"/>
                <w:spacing w:val="-2"/>
                <w:kern w:val="0"/>
                <w:szCs w:val="21"/>
              </w:rPr>
              <w:t>六价铬</w:t>
            </w:r>
          </w:p>
        </w:tc>
        <w:tc>
          <w:tcPr>
            <w:tcW w:w="1651" w:type="dxa"/>
            <w:vAlign w:val="center"/>
          </w:tcPr>
          <w:p w14:paraId="26F7C3FD">
            <w:pPr>
              <w:adjustRightInd w:val="0"/>
              <w:snapToGrid w:val="0"/>
              <w:jc w:val="center"/>
              <w:rPr>
                <w:rFonts w:ascii="Times New Roman" w:hAnsi="Times New Roman"/>
                <w:spacing w:val="-2"/>
                <w:kern w:val="0"/>
                <w:szCs w:val="21"/>
              </w:rPr>
            </w:pPr>
            <w:r>
              <w:rPr>
                <w:rFonts w:ascii="Times New Roman" w:hAnsi="Times New Roman"/>
                <w:spacing w:val="-2"/>
                <w:kern w:val="0"/>
                <w:szCs w:val="21"/>
              </w:rPr>
              <w:t>≤0.05</w:t>
            </w:r>
          </w:p>
        </w:tc>
        <w:tc>
          <w:tcPr>
            <w:tcW w:w="636" w:type="dxa"/>
            <w:vAlign w:val="center"/>
          </w:tcPr>
          <w:p w14:paraId="0A2699E4">
            <w:pPr>
              <w:adjustRightInd w:val="0"/>
              <w:snapToGrid w:val="0"/>
              <w:jc w:val="center"/>
              <w:rPr>
                <w:rFonts w:ascii="Times New Roman" w:hAnsi="Times New Roman"/>
                <w:spacing w:val="-2"/>
                <w:kern w:val="0"/>
                <w:szCs w:val="21"/>
              </w:rPr>
            </w:pPr>
            <w:r>
              <w:rPr>
                <w:rFonts w:ascii="Times New Roman" w:hAnsi="Times New Roman"/>
                <w:spacing w:val="-2"/>
                <w:kern w:val="0"/>
                <w:szCs w:val="21"/>
              </w:rPr>
              <w:t>21</w:t>
            </w:r>
          </w:p>
        </w:tc>
        <w:tc>
          <w:tcPr>
            <w:tcW w:w="2023" w:type="dxa"/>
            <w:vAlign w:val="center"/>
          </w:tcPr>
          <w:p w14:paraId="05EA7AEA">
            <w:pPr>
              <w:adjustRightInd w:val="0"/>
              <w:snapToGrid w:val="0"/>
              <w:jc w:val="center"/>
              <w:rPr>
                <w:rFonts w:ascii="Times New Roman" w:hAnsi="Times New Roman"/>
                <w:spacing w:val="-2"/>
                <w:kern w:val="0"/>
                <w:szCs w:val="21"/>
              </w:rPr>
            </w:pPr>
            <w:r>
              <w:rPr>
                <w:rFonts w:ascii="Times New Roman" w:hAnsi="Times New Roman"/>
                <w:spacing w:val="-2"/>
                <w:kern w:val="0"/>
                <w:szCs w:val="21"/>
              </w:rPr>
              <w:t>硫酸盐</w:t>
            </w:r>
          </w:p>
        </w:tc>
        <w:tc>
          <w:tcPr>
            <w:tcW w:w="1645" w:type="dxa"/>
            <w:vAlign w:val="center"/>
          </w:tcPr>
          <w:p w14:paraId="0F7A0BE2">
            <w:pPr>
              <w:widowControl/>
              <w:adjustRightInd w:val="0"/>
              <w:snapToGrid w:val="0"/>
              <w:jc w:val="center"/>
              <w:rPr>
                <w:rFonts w:ascii="Times New Roman" w:hAnsi="Times New Roman"/>
                <w:spacing w:val="-2"/>
                <w:kern w:val="0"/>
                <w:szCs w:val="21"/>
              </w:rPr>
            </w:pPr>
            <w:r>
              <w:rPr>
                <w:rFonts w:ascii="Times New Roman" w:hAnsi="Times New Roman"/>
                <w:spacing w:val="-2"/>
                <w:kern w:val="0"/>
                <w:szCs w:val="21"/>
              </w:rPr>
              <w:t>≤250</w:t>
            </w:r>
          </w:p>
        </w:tc>
      </w:tr>
      <w:tr w14:paraId="665B62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979" w:type="dxa"/>
            <w:vAlign w:val="center"/>
          </w:tcPr>
          <w:p w14:paraId="5DE238B4">
            <w:pPr>
              <w:adjustRightInd w:val="0"/>
              <w:snapToGrid w:val="0"/>
              <w:jc w:val="center"/>
              <w:rPr>
                <w:rFonts w:ascii="Times New Roman" w:hAnsi="Times New Roman"/>
                <w:spacing w:val="-2"/>
                <w:kern w:val="0"/>
                <w:szCs w:val="21"/>
              </w:rPr>
            </w:pPr>
            <w:r>
              <w:rPr>
                <w:rFonts w:ascii="Times New Roman" w:hAnsi="Times New Roman"/>
                <w:spacing w:val="-2"/>
                <w:kern w:val="0"/>
                <w:szCs w:val="21"/>
              </w:rPr>
              <w:t>9</w:t>
            </w:r>
          </w:p>
        </w:tc>
        <w:tc>
          <w:tcPr>
            <w:tcW w:w="2106" w:type="dxa"/>
            <w:vAlign w:val="center"/>
          </w:tcPr>
          <w:p w14:paraId="4AA6374B">
            <w:pPr>
              <w:adjustRightInd w:val="0"/>
              <w:snapToGrid w:val="0"/>
              <w:jc w:val="center"/>
              <w:rPr>
                <w:rFonts w:ascii="Times New Roman" w:hAnsi="Times New Roman"/>
                <w:spacing w:val="-2"/>
                <w:kern w:val="0"/>
                <w:szCs w:val="21"/>
              </w:rPr>
            </w:pPr>
            <w:r>
              <w:rPr>
                <w:rFonts w:ascii="Times New Roman" w:hAnsi="Times New Roman"/>
                <w:spacing w:val="-2"/>
                <w:kern w:val="0"/>
                <w:szCs w:val="21"/>
              </w:rPr>
              <w:t>砷</w:t>
            </w:r>
          </w:p>
        </w:tc>
        <w:tc>
          <w:tcPr>
            <w:tcW w:w="1651" w:type="dxa"/>
            <w:vAlign w:val="center"/>
          </w:tcPr>
          <w:p w14:paraId="65A41348">
            <w:pPr>
              <w:widowControl/>
              <w:adjustRightInd w:val="0"/>
              <w:snapToGrid w:val="0"/>
              <w:jc w:val="center"/>
              <w:rPr>
                <w:rFonts w:ascii="Times New Roman" w:hAnsi="Times New Roman"/>
                <w:spacing w:val="-2"/>
                <w:kern w:val="0"/>
                <w:szCs w:val="21"/>
              </w:rPr>
            </w:pPr>
            <w:r>
              <w:rPr>
                <w:rFonts w:ascii="Times New Roman" w:hAnsi="Times New Roman"/>
                <w:spacing w:val="-2"/>
                <w:kern w:val="0"/>
                <w:szCs w:val="21"/>
              </w:rPr>
              <w:t>≤0.01</w:t>
            </w:r>
          </w:p>
        </w:tc>
        <w:tc>
          <w:tcPr>
            <w:tcW w:w="636" w:type="dxa"/>
            <w:vAlign w:val="center"/>
          </w:tcPr>
          <w:p w14:paraId="6284A598">
            <w:pPr>
              <w:adjustRightInd w:val="0"/>
              <w:snapToGrid w:val="0"/>
              <w:jc w:val="center"/>
              <w:rPr>
                <w:rFonts w:ascii="Times New Roman" w:hAnsi="Times New Roman"/>
                <w:spacing w:val="-2"/>
                <w:kern w:val="0"/>
                <w:szCs w:val="21"/>
              </w:rPr>
            </w:pPr>
            <w:r>
              <w:rPr>
                <w:rFonts w:ascii="Times New Roman" w:hAnsi="Times New Roman"/>
                <w:spacing w:val="-2"/>
                <w:kern w:val="0"/>
                <w:szCs w:val="21"/>
              </w:rPr>
              <w:t>22</w:t>
            </w:r>
          </w:p>
        </w:tc>
        <w:tc>
          <w:tcPr>
            <w:tcW w:w="2023" w:type="dxa"/>
            <w:vAlign w:val="center"/>
          </w:tcPr>
          <w:p w14:paraId="15D19C67">
            <w:pPr>
              <w:adjustRightInd w:val="0"/>
              <w:snapToGrid w:val="0"/>
              <w:jc w:val="center"/>
              <w:rPr>
                <w:rFonts w:ascii="Times New Roman" w:hAnsi="Times New Roman"/>
                <w:spacing w:val="-2"/>
                <w:kern w:val="0"/>
                <w:szCs w:val="21"/>
              </w:rPr>
            </w:pPr>
            <w:r>
              <w:rPr>
                <w:rFonts w:ascii="Times New Roman" w:hAnsi="Times New Roman"/>
                <w:spacing w:val="-2"/>
                <w:kern w:val="0"/>
                <w:szCs w:val="21"/>
              </w:rPr>
              <w:t>铁</w:t>
            </w:r>
          </w:p>
        </w:tc>
        <w:tc>
          <w:tcPr>
            <w:tcW w:w="1645" w:type="dxa"/>
            <w:vAlign w:val="center"/>
          </w:tcPr>
          <w:p w14:paraId="2569C947">
            <w:pPr>
              <w:widowControl/>
              <w:adjustRightInd w:val="0"/>
              <w:snapToGrid w:val="0"/>
              <w:jc w:val="center"/>
              <w:rPr>
                <w:rFonts w:ascii="Times New Roman" w:hAnsi="Times New Roman"/>
                <w:spacing w:val="-2"/>
                <w:kern w:val="0"/>
                <w:szCs w:val="21"/>
              </w:rPr>
            </w:pPr>
            <w:r>
              <w:rPr>
                <w:rFonts w:ascii="Times New Roman" w:hAnsi="Times New Roman"/>
                <w:spacing w:val="-2"/>
                <w:kern w:val="0"/>
                <w:szCs w:val="21"/>
              </w:rPr>
              <w:t>≤0.3</w:t>
            </w:r>
          </w:p>
        </w:tc>
      </w:tr>
      <w:tr w14:paraId="418CC7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979" w:type="dxa"/>
            <w:vAlign w:val="center"/>
          </w:tcPr>
          <w:p w14:paraId="5AE109E0">
            <w:pPr>
              <w:adjustRightInd w:val="0"/>
              <w:snapToGrid w:val="0"/>
              <w:jc w:val="center"/>
              <w:rPr>
                <w:rFonts w:ascii="Times New Roman" w:hAnsi="Times New Roman"/>
                <w:spacing w:val="-2"/>
                <w:kern w:val="0"/>
                <w:szCs w:val="21"/>
              </w:rPr>
            </w:pPr>
            <w:r>
              <w:rPr>
                <w:rFonts w:ascii="Times New Roman" w:hAnsi="Times New Roman"/>
                <w:spacing w:val="-2"/>
                <w:kern w:val="0"/>
                <w:szCs w:val="21"/>
              </w:rPr>
              <w:t>10</w:t>
            </w:r>
          </w:p>
        </w:tc>
        <w:tc>
          <w:tcPr>
            <w:tcW w:w="2106" w:type="dxa"/>
            <w:vAlign w:val="center"/>
          </w:tcPr>
          <w:p w14:paraId="0644AEDF">
            <w:pPr>
              <w:adjustRightInd w:val="0"/>
              <w:snapToGrid w:val="0"/>
              <w:jc w:val="center"/>
              <w:rPr>
                <w:rFonts w:ascii="Times New Roman" w:hAnsi="Times New Roman"/>
                <w:spacing w:val="-2"/>
                <w:kern w:val="0"/>
                <w:szCs w:val="21"/>
              </w:rPr>
            </w:pPr>
            <w:r>
              <w:rPr>
                <w:rFonts w:ascii="Times New Roman" w:hAnsi="Times New Roman"/>
                <w:spacing w:val="-2"/>
                <w:kern w:val="0"/>
                <w:szCs w:val="21"/>
              </w:rPr>
              <w:t>锌</w:t>
            </w:r>
          </w:p>
        </w:tc>
        <w:tc>
          <w:tcPr>
            <w:tcW w:w="1651" w:type="dxa"/>
            <w:vAlign w:val="center"/>
          </w:tcPr>
          <w:p w14:paraId="13F541FC">
            <w:pPr>
              <w:widowControl/>
              <w:adjustRightInd w:val="0"/>
              <w:snapToGrid w:val="0"/>
              <w:jc w:val="center"/>
              <w:rPr>
                <w:rFonts w:ascii="Times New Roman" w:hAnsi="Times New Roman"/>
                <w:spacing w:val="-2"/>
                <w:kern w:val="0"/>
                <w:szCs w:val="21"/>
              </w:rPr>
            </w:pPr>
            <w:r>
              <w:rPr>
                <w:rFonts w:ascii="Times New Roman" w:hAnsi="Times New Roman"/>
                <w:spacing w:val="-2"/>
                <w:kern w:val="0"/>
                <w:szCs w:val="21"/>
              </w:rPr>
              <w:t>≤1.00</w:t>
            </w:r>
          </w:p>
        </w:tc>
        <w:tc>
          <w:tcPr>
            <w:tcW w:w="636" w:type="dxa"/>
            <w:vAlign w:val="center"/>
          </w:tcPr>
          <w:p w14:paraId="42F11107">
            <w:pPr>
              <w:adjustRightInd w:val="0"/>
              <w:snapToGrid w:val="0"/>
              <w:jc w:val="center"/>
              <w:rPr>
                <w:rFonts w:ascii="Times New Roman" w:hAnsi="Times New Roman"/>
                <w:spacing w:val="-2"/>
                <w:kern w:val="0"/>
                <w:szCs w:val="21"/>
              </w:rPr>
            </w:pPr>
            <w:r>
              <w:rPr>
                <w:rFonts w:ascii="Times New Roman" w:hAnsi="Times New Roman"/>
                <w:spacing w:val="-2"/>
                <w:kern w:val="0"/>
                <w:szCs w:val="21"/>
              </w:rPr>
              <w:t>23</w:t>
            </w:r>
          </w:p>
        </w:tc>
        <w:tc>
          <w:tcPr>
            <w:tcW w:w="2023" w:type="dxa"/>
            <w:vAlign w:val="center"/>
          </w:tcPr>
          <w:p w14:paraId="35270107">
            <w:pPr>
              <w:adjustRightInd w:val="0"/>
              <w:snapToGrid w:val="0"/>
              <w:jc w:val="center"/>
              <w:rPr>
                <w:rFonts w:ascii="Times New Roman" w:hAnsi="Times New Roman"/>
                <w:spacing w:val="-2"/>
                <w:kern w:val="0"/>
                <w:szCs w:val="21"/>
              </w:rPr>
            </w:pPr>
            <w:r>
              <w:rPr>
                <w:rFonts w:ascii="Times New Roman" w:hAnsi="Times New Roman"/>
                <w:spacing w:val="-2"/>
                <w:kern w:val="0"/>
                <w:szCs w:val="21"/>
              </w:rPr>
              <w:t>锰</w:t>
            </w:r>
          </w:p>
        </w:tc>
        <w:tc>
          <w:tcPr>
            <w:tcW w:w="1645" w:type="dxa"/>
            <w:vAlign w:val="center"/>
          </w:tcPr>
          <w:p w14:paraId="345F27F6">
            <w:pPr>
              <w:widowControl/>
              <w:adjustRightInd w:val="0"/>
              <w:snapToGrid w:val="0"/>
              <w:jc w:val="center"/>
              <w:rPr>
                <w:rFonts w:ascii="Times New Roman" w:hAnsi="Times New Roman"/>
                <w:spacing w:val="-2"/>
                <w:kern w:val="0"/>
                <w:szCs w:val="21"/>
              </w:rPr>
            </w:pPr>
            <w:r>
              <w:rPr>
                <w:rFonts w:ascii="Times New Roman" w:hAnsi="Times New Roman"/>
                <w:spacing w:val="-2"/>
                <w:kern w:val="0"/>
                <w:szCs w:val="21"/>
              </w:rPr>
              <w:t>≤0.1</w:t>
            </w:r>
          </w:p>
        </w:tc>
      </w:tr>
      <w:tr w14:paraId="35132A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979" w:type="dxa"/>
            <w:vAlign w:val="center"/>
          </w:tcPr>
          <w:p w14:paraId="50D26AD6">
            <w:pPr>
              <w:adjustRightInd w:val="0"/>
              <w:snapToGrid w:val="0"/>
              <w:jc w:val="center"/>
              <w:rPr>
                <w:rFonts w:ascii="Times New Roman" w:hAnsi="Times New Roman"/>
                <w:spacing w:val="-2"/>
                <w:kern w:val="0"/>
                <w:szCs w:val="21"/>
              </w:rPr>
            </w:pPr>
            <w:r>
              <w:rPr>
                <w:rFonts w:ascii="Times New Roman" w:hAnsi="Times New Roman"/>
                <w:spacing w:val="-2"/>
                <w:kern w:val="0"/>
                <w:szCs w:val="21"/>
              </w:rPr>
              <w:t>11</w:t>
            </w:r>
          </w:p>
        </w:tc>
        <w:tc>
          <w:tcPr>
            <w:tcW w:w="2106" w:type="dxa"/>
            <w:vAlign w:val="center"/>
          </w:tcPr>
          <w:p w14:paraId="3359724E">
            <w:pPr>
              <w:adjustRightInd w:val="0"/>
              <w:snapToGrid w:val="0"/>
              <w:jc w:val="center"/>
              <w:rPr>
                <w:rFonts w:ascii="Times New Roman" w:hAnsi="Times New Roman"/>
                <w:spacing w:val="-2"/>
                <w:kern w:val="0"/>
                <w:szCs w:val="21"/>
              </w:rPr>
            </w:pPr>
            <w:r>
              <w:rPr>
                <w:rFonts w:ascii="Times New Roman" w:hAnsi="Times New Roman"/>
                <w:spacing w:val="-2"/>
                <w:kern w:val="0"/>
                <w:szCs w:val="21"/>
              </w:rPr>
              <w:t>铜</w:t>
            </w:r>
          </w:p>
        </w:tc>
        <w:tc>
          <w:tcPr>
            <w:tcW w:w="1651" w:type="dxa"/>
            <w:vAlign w:val="center"/>
          </w:tcPr>
          <w:p w14:paraId="0982D6A8">
            <w:pPr>
              <w:widowControl/>
              <w:adjustRightInd w:val="0"/>
              <w:snapToGrid w:val="0"/>
              <w:jc w:val="center"/>
              <w:rPr>
                <w:rFonts w:ascii="Times New Roman" w:hAnsi="Times New Roman"/>
                <w:spacing w:val="-2"/>
                <w:kern w:val="0"/>
                <w:szCs w:val="21"/>
              </w:rPr>
            </w:pPr>
            <w:r>
              <w:rPr>
                <w:rFonts w:ascii="Times New Roman" w:hAnsi="Times New Roman"/>
                <w:spacing w:val="-2"/>
                <w:kern w:val="0"/>
                <w:szCs w:val="21"/>
              </w:rPr>
              <w:t>≤1.00</w:t>
            </w:r>
          </w:p>
        </w:tc>
        <w:tc>
          <w:tcPr>
            <w:tcW w:w="636" w:type="dxa"/>
            <w:vAlign w:val="center"/>
          </w:tcPr>
          <w:p w14:paraId="7B71A6F8">
            <w:pPr>
              <w:adjustRightInd w:val="0"/>
              <w:snapToGrid w:val="0"/>
              <w:jc w:val="center"/>
              <w:rPr>
                <w:rFonts w:ascii="Times New Roman" w:hAnsi="Times New Roman"/>
                <w:spacing w:val="-2"/>
                <w:kern w:val="0"/>
                <w:szCs w:val="21"/>
              </w:rPr>
            </w:pPr>
            <w:r>
              <w:rPr>
                <w:rFonts w:ascii="Times New Roman" w:hAnsi="Times New Roman"/>
                <w:spacing w:val="-2"/>
                <w:kern w:val="0"/>
                <w:szCs w:val="21"/>
              </w:rPr>
              <w:t>24</w:t>
            </w:r>
          </w:p>
        </w:tc>
        <w:tc>
          <w:tcPr>
            <w:tcW w:w="2023" w:type="dxa"/>
            <w:vAlign w:val="center"/>
          </w:tcPr>
          <w:p w14:paraId="521F8449">
            <w:pPr>
              <w:adjustRightInd w:val="0"/>
              <w:snapToGrid w:val="0"/>
              <w:jc w:val="center"/>
              <w:rPr>
                <w:rFonts w:ascii="Times New Roman" w:hAnsi="Times New Roman"/>
                <w:spacing w:val="-2"/>
                <w:kern w:val="0"/>
                <w:szCs w:val="21"/>
              </w:rPr>
            </w:pPr>
            <w:r>
              <w:rPr>
                <w:rFonts w:ascii="Times New Roman" w:hAnsi="Times New Roman"/>
                <w:spacing w:val="-2"/>
                <w:kern w:val="0"/>
                <w:szCs w:val="21"/>
              </w:rPr>
              <w:t>总α</w:t>
            </w:r>
          </w:p>
        </w:tc>
        <w:tc>
          <w:tcPr>
            <w:tcW w:w="1645" w:type="dxa"/>
            <w:vAlign w:val="center"/>
          </w:tcPr>
          <w:p w14:paraId="1E22B8AB">
            <w:pPr>
              <w:widowControl/>
              <w:adjustRightInd w:val="0"/>
              <w:snapToGrid w:val="0"/>
              <w:jc w:val="center"/>
              <w:rPr>
                <w:rFonts w:ascii="Times New Roman" w:hAnsi="Times New Roman"/>
                <w:spacing w:val="-2"/>
                <w:kern w:val="0"/>
                <w:szCs w:val="21"/>
              </w:rPr>
            </w:pPr>
            <w:r>
              <w:rPr>
                <w:rFonts w:ascii="Times New Roman" w:hAnsi="Times New Roman"/>
                <w:spacing w:val="-2"/>
                <w:kern w:val="0"/>
                <w:szCs w:val="21"/>
              </w:rPr>
              <w:t>≤0.5Bq/L</w:t>
            </w:r>
          </w:p>
        </w:tc>
      </w:tr>
      <w:tr w14:paraId="48E9E3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979" w:type="dxa"/>
            <w:vAlign w:val="center"/>
          </w:tcPr>
          <w:p w14:paraId="3B627F6B">
            <w:pPr>
              <w:adjustRightInd w:val="0"/>
              <w:snapToGrid w:val="0"/>
              <w:jc w:val="center"/>
              <w:rPr>
                <w:rFonts w:ascii="Times New Roman" w:hAnsi="Times New Roman"/>
                <w:spacing w:val="-2"/>
                <w:kern w:val="0"/>
                <w:szCs w:val="21"/>
              </w:rPr>
            </w:pPr>
            <w:r>
              <w:rPr>
                <w:rFonts w:ascii="Times New Roman" w:hAnsi="Times New Roman"/>
                <w:spacing w:val="-2"/>
                <w:kern w:val="0"/>
                <w:szCs w:val="21"/>
              </w:rPr>
              <w:t>12</w:t>
            </w:r>
          </w:p>
        </w:tc>
        <w:tc>
          <w:tcPr>
            <w:tcW w:w="2106" w:type="dxa"/>
            <w:vAlign w:val="center"/>
          </w:tcPr>
          <w:p w14:paraId="4CBF03FC">
            <w:pPr>
              <w:adjustRightInd w:val="0"/>
              <w:snapToGrid w:val="0"/>
              <w:jc w:val="center"/>
              <w:rPr>
                <w:rFonts w:ascii="Times New Roman" w:hAnsi="Times New Roman"/>
                <w:spacing w:val="-2"/>
                <w:kern w:val="0"/>
                <w:szCs w:val="21"/>
              </w:rPr>
            </w:pPr>
            <w:r>
              <w:rPr>
                <w:rFonts w:ascii="Times New Roman" w:hAnsi="Times New Roman"/>
                <w:spacing w:val="-2"/>
                <w:kern w:val="0"/>
                <w:szCs w:val="21"/>
              </w:rPr>
              <w:t>镉</w:t>
            </w:r>
          </w:p>
        </w:tc>
        <w:tc>
          <w:tcPr>
            <w:tcW w:w="1651" w:type="dxa"/>
            <w:vAlign w:val="center"/>
          </w:tcPr>
          <w:p w14:paraId="5708CBC3">
            <w:pPr>
              <w:adjustRightInd w:val="0"/>
              <w:snapToGrid w:val="0"/>
              <w:jc w:val="center"/>
              <w:rPr>
                <w:rFonts w:ascii="Times New Roman" w:hAnsi="Times New Roman"/>
                <w:spacing w:val="-2"/>
                <w:kern w:val="0"/>
                <w:szCs w:val="21"/>
              </w:rPr>
            </w:pPr>
            <w:r>
              <w:rPr>
                <w:rFonts w:ascii="Times New Roman" w:hAnsi="Times New Roman"/>
                <w:spacing w:val="-2"/>
                <w:kern w:val="0"/>
                <w:szCs w:val="21"/>
              </w:rPr>
              <w:t>≤0.005</w:t>
            </w:r>
          </w:p>
        </w:tc>
        <w:tc>
          <w:tcPr>
            <w:tcW w:w="636" w:type="dxa"/>
            <w:vAlign w:val="center"/>
          </w:tcPr>
          <w:p w14:paraId="077DE34A">
            <w:pPr>
              <w:adjustRightInd w:val="0"/>
              <w:snapToGrid w:val="0"/>
              <w:jc w:val="center"/>
              <w:rPr>
                <w:rFonts w:ascii="Times New Roman" w:hAnsi="Times New Roman"/>
                <w:spacing w:val="-2"/>
                <w:kern w:val="0"/>
                <w:szCs w:val="21"/>
              </w:rPr>
            </w:pPr>
            <w:r>
              <w:rPr>
                <w:rFonts w:ascii="Times New Roman" w:hAnsi="Times New Roman"/>
                <w:spacing w:val="-2"/>
                <w:kern w:val="0"/>
                <w:szCs w:val="21"/>
              </w:rPr>
              <w:t>25</w:t>
            </w:r>
          </w:p>
        </w:tc>
        <w:tc>
          <w:tcPr>
            <w:tcW w:w="2023" w:type="dxa"/>
            <w:vAlign w:val="center"/>
          </w:tcPr>
          <w:p w14:paraId="0385537F">
            <w:pPr>
              <w:adjustRightInd w:val="0"/>
              <w:snapToGrid w:val="0"/>
              <w:jc w:val="center"/>
              <w:rPr>
                <w:rFonts w:ascii="Times New Roman" w:hAnsi="Times New Roman"/>
                <w:spacing w:val="-2"/>
                <w:kern w:val="0"/>
                <w:szCs w:val="21"/>
              </w:rPr>
            </w:pPr>
            <w:r>
              <w:rPr>
                <w:rFonts w:ascii="Times New Roman" w:hAnsi="Times New Roman"/>
                <w:spacing w:val="-2"/>
                <w:kern w:val="0"/>
                <w:szCs w:val="21"/>
              </w:rPr>
              <w:t>总β</w:t>
            </w:r>
          </w:p>
        </w:tc>
        <w:tc>
          <w:tcPr>
            <w:tcW w:w="1645" w:type="dxa"/>
            <w:vAlign w:val="center"/>
          </w:tcPr>
          <w:p w14:paraId="2CE0D8CC">
            <w:pPr>
              <w:widowControl/>
              <w:adjustRightInd w:val="0"/>
              <w:snapToGrid w:val="0"/>
              <w:jc w:val="center"/>
              <w:rPr>
                <w:rFonts w:ascii="Times New Roman" w:hAnsi="Times New Roman"/>
                <w:spacing w:val="-2"/>
                <w:kern w:val="0"/>
                <w:szCs w:val="21"/>
              </w:rPr>
            </w:pPr>
            <w:r>
              <w:rPr>
                <w:rFonts w:ascii="Times New Roman" w:hAnsi="Times New Roman"/>
                <w:spacing w:val="-2"/>
                <w:kern w:val="0"/>
                <w:szCs w:val="21"/>
              </w:rPr>
              <w:t>≤1.0Bq/L</w:t>
            </w:r>
          </w:p>
        </w:tc>
      </w:tr>
      <w:tr w14:paraId="3AB929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979" w:type="dxa"/>
            <w:vAlign w:val="center"/>
          </w:tcPr>
          <w:p w14:paraId="4FCF3377">
            <w:pPr>
              <w:adjustRightInd w:val="0"/>
              <w:snapToGrid w:val="0"/>
              <w:jc w:val="center"/>
              <w:rPr>
                <w:rFonts w:ascii="Times New Roman" w:hAnsi="Times New Roman"/>
                <w:spacing w:val="-2"/>
                <w:kern w:val="0"/>
                <w:szCs w:val="21"/>
              </w:rPr>
            </w:pPr>
            <w:r>
              <w:rPr>
                <w:rFonts w:ascii="Times New Roman" w:hAnsi="Times New Roman"/>
                <w:spacing w:val="-2"/>
                <w:kern w:val="0"/>
                <w:szCs w:val="21"/>
              </w:rPr>
              <w:t>13</w:t>
            </w:r>
          </w:p>
        </w:tc>
        <w:tc>
          <w:tcPr>
            <w:tcW w:w="2106" w:type="dxa"/>
            <w:vAlign w:val="center"/>
          </w:tcPr>
          <w:p w14:paraId="5AF6461A">
            <w:pPr>
              <w:adjustRightInd w:val="0"/>
              <w:snapToGrid w:val="0"/>
              <w:jc w:val="center"/>
              <w:rPr>
                <w:rFonts w:ascii="Times New Roman" w:hAnsi="Times New Roman"/>
                <w:spacing w:val="-2"/>
                <w:kern w:val="0"/>
                <w:szCs w:val="21"/>
              </w:rPr>
            </w:pPr>
            <w:r>
              <w:rPr>
                <w:rFonts w:ascii="Times New Roman" w:hAnsi="Times New Roman"/>
                <w:spacing w:val="-2"/>
                <w:kern w:val="0"/>
                <w:szCs w:val="21"/>
              </w:rPr>
              <w:t>总硬度</w:t>
            </w:r>
          </w:p>
        </w:tc>
        <w:tc>
          <w:tcPr>
            <w:tcW w:w="1651" w:type="dxa"/>
            <w:vAlign w:val="center"/>
          </w:tcPr>
          <w:p w14:paraId="34EC4689">
            <w:pPr>
              <w:widowControl/>
              <w:adjustRightInd w:val="0"/>
              <w:snapToGrid w:val="0"/>
              <w:jc w:val="center"/>
              <w:rPr>
                <w:rFonts w:ascii="Times New Roman" w:hAnsi="Times New Roman"/>
                <w:spacing w:val="-2"/>
                <w:kern w:val="0"/>
                <w:szCs w:val="21"/>
              </w:rPr>
            </w:pPr>
            <w:r>
              <w:rPr>
                <w:rFonts w:ascii="Times New Roman" w:hAnsi="Times New Roman"/>
                <w:spacing w:val="-2"/>
                <w:kern w:val="0"/>
                <w:szCs w:val="21"/>
              </w:rPr>
              <w:t>≤450</w:t>
            </w:r>
          </w:p>
        </w:tc>
        <w:tc>
          <w:tcPr>
            <w:tcW w:w="636" w:type="dxa"/>
            <w:vAlign w:val="center"/>
          </w:tcPr>
          <w:p w14:paraId="675ACF9B">
            <w:pPr>
              <w:adjustRightInd w:val="0"/>
              <w:snapToGrid w:val="0"/>
              <w:jc w:val="center"/>
              <w:rPr>
                <w:rFonts w:ascii="Times New Roman" w:hAnsi="Times New Roman"/>
                <w:spacing w:val="-2"/>
                <w:kern w:val="0"/>
                <w:szCs w:val="21"/>
              </w:rPr>
            </w:pPr>
          </w:p>
        </w:tc>
        <w:tc>
          <w:tcPr>
            <w:tcW w:w="2023" w:type="dxa"/>
            <w:vAlign w:val="center"/>
          </w:tcPr>
          <w:p w14:paraId="21DB6559">
            <w:pPr>
              <w:adjustRightInd w:val="0"/>
              <w:snapToGrid w:val="0"/>
              <w:jc w:val="center"/>
              <w:rPr>
                <w:rFonts w:ascii="Times New Roman" w:hAnsi="Times New Roman"/>
                <w:spacing w:val="-2"/>
                <w:kern w:val="0"/>
                <w:szCs w:val="21"/>
              </w:rPr>
            </w:pPr>
          </w:p>
        </w:tc>
        <w:tc>
          <w:tcPr>
            <w:tcW w:w="1645" w:type="dxa"/>
            <w:vAlign w:val="center"/>
          </w:tcPr>
          <w:p w14:paraId="78CBBA5B">
            <w:pPr>
              <w:widowControl/>
              <w:adjustRightInd w:val="0"/>
              <w:snapToGrid w:val="0"/>
              <w:jc w:val="center"/>
              <w:rPr>
                <w:rFonts w:ascii="Times New Roman" w:hAnsi="Times New Roman"/>
                <w:spacing w:val="-2"/>
                <w:kern w:val="0"/>
                <w:szCs w:val="21"/>
              </w:rPr>
            </w:pPr>
          </w:p>
        </w:tc>
      </w:tr>
    </w:tbl>
    <w:p w14:paraId="6C7F910E">
      <w:pPr>
        <w:spacing w:line="360" w:lineRule="auto"/>
        <w:ind w:firstLine="472" w:firstLineChars="200"/>
        <w:rPr>
          <w:rFonts w:ascii="Times New Roman" w:hAnsi="Times New Roman"/>
          <w:spacing w:val="-2"/>
          <w:kern w:val="0"/>
          <w:sz w:val="24"/>
          <w:szCs w:val="24"/>
        </w:rPr>
      </w:pPr>
    </w:p>
    <w:p w14:paraId="74ECB86C">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（3）海水水质执行《海水水质标准》（GB3097-1997）中的第四类水质标准，见表1.4-3。</w:t>
      </w:r>
    </w:p>
    <w:p w14:paraId="386C0EA1">
      <w:pPr>
        <w:pStyle w:val="8"/>
        <w:rPr>
          <w:sz w:val="24"/>
          <w:szCs w:val="24"/>
        </w:rPr>
      </w:pPr>
      <w:r>
        <w:rPr>
          <w:rFonts w:hint="eastAsia"/>
          <w:sz w:val="24"/>
          <w:szCs w:val="24"/>
        </w:rPr>
        <w:t xml:space="preserve">  海水水质</w:t>
      </w:r>
      <w:r>
        <w:rPr>
          <w:sz w:val="24"/>
          <w:szCs w:val="24"/>
        </w:rPr>
        <w:t>标准（摘录）</w:t>
      </w:r>
    </w:p>
    <w:tbl>
      <w:tblPr>
        <w:tblStyle w:val="88"/>
        <w:tblW w:w="904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17" w:type="dxa"/>
          <w:left w:w="108" w:type="dxa"/>
          <w:bottom w:w="17" w:type="dxa"/>
          <w:right w:w="108" w:type="dxa"/>
        </w:tblCellMar>
      </w:tblPr>
      <w:tblGrid>
        <w:gridCol w:w="3519"/>
        <w:gridCol w:w="2802"/>
        <w:gridCol w:w="2719"/>
      </w:tblGrid>
      <w:tr w14:paraId="4D2184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7" w:type="dxa"/>
            <w:left w:w="108" w:type="dxa"/>
            <w:bottom w:w="17" w:type="dxa"/>
            <w:right w:w="108" w:type="dxa"/>
          </w:tblCellMar>
        </w:tblPrEx>
        <w:trPr>
          <w:trHeight w:val="340" w:hRule="atLeast"/>
          <w:tblHeader/>
          <w:jc w:val="center"/>
        </w:trPr>
        <w:tc>
          <w:tcPr>
            <w:tcW w:w="3519" w:type="dxa"/>
            <w:vAlign w:val="center"/>
          </w:tcPr>
          <w:p w14:paraId="247A1905">
            <w:pPr>
              <w:pStyle w:val="447"/>
              <w:jc w:val="center"/>
              <w:rPr>
                <w:rFonts w:ascii="Times New Roman" w:hAnsi="Times New Roman"/>
                <w:b/>
                <w:sz w:val="21"/>
                <w:szCs w:val="21"/>
              </w:rPr>
            </w:pPr>
            <w:r>
              <w:rPr>
                <w:rFonts w:hint="eastAsia" w:ascii="Times New Roman" w:hAnsi="Times New Roman"/>
                <w:b/>
                <w:sz w:val="21"/>
                <w:szCs w:val="21"/>
              </w:rPr>
              <w:t>项目</w:t>
            </w:r>
          </w:p>
        </w:tc>
        <w:tc>
          <w:tcPr>
            <w:tcW w:w="2802" w:type="dxa"/>
            <w:vAlign w:val="center"/>
          </w:tcPr>
          <w:p w14:paraId="7B1EA92F">
            <w:pPr>
              <w:pStyle w:val="447"/>
              <w:jc w:val="center"/>
              <w:rPr>
                <w:rFonts w:ascii="Times New Roman" w:hAnsi="Times New Roman"/>
                <w:b/>
                <w:sz w:val="21"/>
                <w:szCs w:val="21"/>
              </w:rPr>
            </w:pPr>
            <w:r>
              <w:rPr>
                <w:rFonts w:ascii="Times New Roman" w:hAnsi="Times New Roman"/>
                <w:b/>
                <w:sz w:val="21"/>
                <w:szCs w:val="21"/>
              </w:rPr>
              <w:t xml:space="preserve">第四类 </w:t>
            </w:r>
          </w:p>
        </w:tc>
        <w:tc>
          <w:tcPr>
            <w:tcW w:w="2719" w:type="dxa"/>
            <w:vAlign w:val="center"/>
          </w:tcPr>
          <w:p w14:paraId="624D5E24">
            <w:pPr>
              <w:pStyle w:val="447"/>
              <w:jc w:val="center"/>
              <w:rPr>
                <w:rFonts w:ascii="Times New Roman" w:hAnsi="Times New Roman"/>
                <w:b/>
                <w:sz w:val="21"/>
                <w:szCs w:val="21"/>
              </w:rPr>
            </w:pPr>
            <w:r>
              <w:rPr>
                <w:rFonts w:ascii="Times New Roman" w:hAnsi="Times New Roman"/>
                <w:b/>
                <w:sz w:val="21"/>
                <w:szCs w:val="21"/>
              </w:rPr>
              <w:t>单位</w:t>
            </w:r>
          </w:p>
        </w:tc>
      </w:tr>
      <w:tr w14:paraId="2AB8A2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7" w:type="dxa"/>
            <w:left w:w="108" w:type="dxa"/>
            <w:bottom w:w="17" w:type="dxa"/>
            <w:right w:w="108" w:type="dxa"/>
          </w:tblCellMar>
        </w:tblPrEx>
        <w:trPr>
          <w:trHeight w:val="340" w:hRule="atLeast"/>
          <w:jc w:val="center"/>
        </w:trPr>
        <w:tc>
          <w:tcPr>
            <w:tcW w:w="3519" w:type="dxa"/>
            <w:vAlign w:val="center"/>
          </w:tcPr>
          <w:p w14:paraId="19F1E5F4">
            <w:pPr>
              <w:pStyle w:val="447"/>
              <w:jc w:val="center"/>
              <w:rPr>
                <w:rFonts w:ascii="Times New Roman" w:hAnsi="Times New Roman"/>
                <w:sz w:val="21"/>
                <w:szCs w:val="21"/>
              </w:rPr>
            </w:pPr>
            <w:r>
              <w:rPr>
                <w:rFonts w:ascii="Times New Roman" w:hAnsi="Times New Roman"/>
                <w:sz w:val="21"/>
                <w:szCs w:val="21"/>
              </w:rPr>
              <w:t>pH</w:t>
            </w:r>
          </w:p>
        </w:tc>
        <w:tc>
          <w:tcPr>
            <w:tcW w:w="2802" w:type="dxa"/>
            <w:vAlign w:val="center"/>
          </w:tcPr>
          <w:p w14:paraId="700F7DCE">
            <w:pPr>
              <w:pStyle w:val="447"/>
              <w:jc w:val="center"/>
              <w:rPr>
                <w:rFonts w:ascii="Times New Roman" w:hAnsi="Times New Roman"/>
                <w:sz w:val="21"/>
                <w:szCs w:val="21"/>
              </w:rPr>
            </w:pPr>
            <w:r>
              <w:rPr>
                <w:rFonts w:ascii="Times New Roman" w:hAnsi="Times New Roman"/>
                <w:sz w:val="21"/>
                <w:szCs w:val="21"/>
              </w:rPr>
              <w:t>6.8</w:t>
            </w:r>
            <w:r>
              <w:rPr>
                <w:rFonts w:hint="eastAsia" w:ascii="Times New Roman" w:hAnsi="Times New Roman"/>
                <w:sz w:val="21"/>
                <w:szCs w:val="21"/>
                <w:lang w:eastAsia="zh-CN"/>
              </w:rPr>
              <w:t>~</w:t>
            </w:r>
            <w:r>
              <w:rPr>
                <w:rFonts w:ascii="Times New Roman" w:hAnsi="Times New Roman"/>
                <w:sz w:val="21"/>
                <w:szCs w:val="21"/>
              </w:rPr>
              <w:t>8.8</w:t>
            </w:r>
          </w:p>
        </w:tc>
        <w:tc>
          <w:tcPr>
            <w:tcW w:w="2719" w:type="dxa"/>
            <w:vAlign w:val="center"/>
          </w:tcPr>
          <w:p w14:paraId="1D5A4292">
            <w:pPr>
              <w:pStyle w:val="447"/>
              <w:jc w:val="center"/>
              <w:rPr>
                <w:rFonts w:ascii="Times New Roman" w:hAnsi="Times New Roman"/>
                <w:sz w:val="21"/>
                <w:szCs w:val="21"/>
              </w:rPr>
            </w:pPr>
            <w:r>
              <w:rPr>
                <w:rFonts w:ascii="Times New Roman" w:hAnsi="Times New Roman"/>
                <w:sz w:val="21"/>
                <w:szCs w:val="21"/>
              </w:rPr>
              <w:t>无量纲</w:t>
            </w:r>
          </w:p>
        </w:tc>
      </w:tr>
      <w:tr w14:paraId="3FBC98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7" w:type="dxa"/>
            <w:left w:w="108" w:type="dxa"/>
            <w:bottom w:w="17" w:type="dxa"/>
            <w:right w:w="108" w:type="dxa"/>
          </w:tblCellMar>
        </w:tblPrEx>
        <w:trPr>
          <w:trHeight w:val="340" w:hRule="atLeast"/>
          <w:jc w:val="center"/>
        </w:trPr>
        <w:tc>
          <w:tcPr>
            <w:tcW w:w="3519" w:type="dxa"/>
            <w:vAlign w:val="center"/>
          </w:tcPr>
          <w:p w14:paraId="084E0C74">
            <w:pPr>
              <w:pStyle w:val="447"/>
              <w:jc w:val="center"/>
              <w:rPr>
                <w:rFonts w:ascii="Times New Roman" w:hAnsi="Times New Roman"/>
                <w:sz w:val="21"/>
                <w:szCs w:val="21"/>
              </w:rPr>
            </w:pPr>
            <w:r>
              <w:rPr>
                <w:rFonts w:ascii="Times New Roman" w:hAnsi="Times New Roman"/>
                <w:sz w:val="21"/>
                <w:szCs w:val="21"/>
              </w:rPr>
              <w:t>溶解氧</w:t>
            </w:r>
            <w:r>
              <w:rPr>
                <w:rFonts w:hint="eastAsia" w:ascii="Times New Roman" w:hAnsi="Times New Roman"/>
                <w:sz w:val="21"/>
                <w:szCs w:val="21"/>
                <w:lang w:eastAsia="zh-CN"/>
              </w:rPr>
              <w:t>〉</w:t>
            </w:r>
          </w:p>
        </w:tc>
        <w:tc>
          <w:tcPr>
            <w:tcW w:w="2802" w:type="dxa"/>
            <w:vAlign w:val="center"/>
          </w:tcPr>
          <w:p w14:paraId="354068C7">
            <w:pPr>
              <w:pStyle w:val="447"/>
              <w:jc w:val="center"/>
              <w:rPr>
                <w:rFonts w:ascii="Times New Roman" w:hAnsi="Times New Roman"/>
                <w:sz w:val="21"/>
                <w:szCs w:val="21"/>
              </w:rPr>
            </w:pPr>
            <w:r>
              <w:rPr>
                <w:rFonts w:ascii="Times New Roman" w:hAnsi="Times New Roman"/>
                <w:sz w:val="21"/>
                <w:szCs w:val="21"/>
              </w:rPr>
              <w:t>3</w:t>
            </w:r>
          </w:p>
        </w:tc>
        <w:tc>
          <w:tcPr>
            <w:tcW w:w="2719" w:type="dxa"/>
            <w:vAlign w:val="center"/>
          </w:tcPr>
          <w:p w14:paraId="03005B56">
            <w:pPr>
              <w:pStyle w:val="447"/>
              <w:jc w:val="center"/>
              <w:rPr>
                <w:rFonts w:ascii="Times New Roman" w:hAnsi="Times New Roman"/>
                <w:sz w:val="21"/>
                <w:szCs w:val="21"/>
              </w:rPr>
            </w:pPr>
            <w:r>
              <w:rPr>
                <w:rFonts w:ascii="Times New Roman" w:hAnsi="Times New Roman"/>
                <w:sz w:val="21"/>
                <w:szCs w:val="21"/>
              </w:rPr>
              <w:t>mg/L</w:t>
            </w:r>
          </w:p>
        </w:tc>
      </w:tr>
      <w:tr w14:paraId="2D64EA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7" w:type="dxa"/>
            <w:left w:w="108" w:type="dxa"/>
            <w:bottom w:w="17" w:type="dxa"/>
            <w:right w:w="108" w:type="dxa"/>
          </w:tblCellMar>
        </w:tblPrEx>
        <w:trPr>
          <w:trHeight w:val="340" w:hRule="atLeast"/>
          <w:jc w:val="center"/>
        </w:trPr>
        <w:tc>
          <w:tcPr>
            <w:tcW w:w="3519" w:type="dxa"/>
            <w:vAlign w:val="center"/>
          </w:tcPr>
          <w:p w14:paraId="413FEBC3">
            <w:pPr>
              <w:pStyle w:val="447"/>
              <w:jc w:val="center"/>
              <w:rPr>
                <w:rFonts w:ascii="Times New Roman" w:hAnsi="Times New Roman"/>
                <w:sz w:val="21"/>
                <w:szCs w:val="21"/>
              </w:rPr>
            </w:pPr>
            <w:r>
              <w:rPr>
                <w:rFonts w:ascii="Times New Roman" w:hAnsi="Times New Roman"/>
                <w:sz w:val="21"/>
                <w:szCs w:val="21"/>
              </w:rPr>
              <w:t>无机氮≤</w:t>
            </w:r>
          </w:p>
        </w:tc>
        <w:tc>
          <w:tcPr>
            <w:tcW w:w="2802" w:type="dxa"/>
            <w:vAlign w:val="center"/>
          </w:tcPr>
          <w:p w14:paraId="4C447427">
            <w:pPr>
              <w:pStyle w:val="447"/>
              <w:jc w:val="center"/>
              <w:rPr>
                <w:rFonts w:ascii="Times New Roman" w:hAnsi="Times New Roman"/>
                <w:sz w:val="21"/>
                <w:szCs w:val="21"/>
              </w:rPr>
            </w:pPr>
            <w:r>
              <w:rPr>
                <w:rFonts w:ascii="Times New Roman" w:hAnsi="Times New Roman"/>
                <w:sz w:val="21"/>
                <w:szCs w:val="21"/>
              </w:rPr>
              <w:t>0.50</w:t>
            </w:r>
          </w:p>
        </w:tc>
        <w:tc>
          <w:tcPr>
            <w:tcW w:w="2719" w:type="dxa"/>
            <w:vAlign w:val="center"/>
          </w:tcPr>
          <w:p w14:paraId="7928CD9D">
            <w:pPr>
              <w:pStyle w:val="447"/>
              <w:jc w:val="center"/>
              <w:rPr>
                <w:rFonts w:ascii="Times New Roman" w:hAnsi="Times New Roman"/>
                <w:sz w:val="21"/>
                <w:szCs w:val="21"/>
              </w:rPr>
            </w:pPr>
            <w:r>
              <w:rPr>
                <w:rFonts w:ascii="Times New Roman" w:hAnsi="Times New Roman"/>
                <w:sz w:val="21"/>
                <w:szCs w:val="21"/>
              </w:rPr>
              <w:t>mg/L</w:t>
            </w:r>
          </w:p>
        </w:tc>
      </w:tr>
      <w:tr w14:paraId="568AE7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7" w:type="dxa"/>
            <w:left w:w="108" w:type="dxa"/>
            <w:bottom w:w="17" w:type="dxa"/>
            <w:right w:w="108" w:type="dxa"/>
          </w:tblCellMar>
        </w:tblPrEx>
        <w:trPr>
          <w:trHeight w:val="340" w:hRule="atLeast"/>
          <w:jc w:val="center"/>
        </w:trPr>
        <w:tc>
          <w:tcPr>
            <w:tcW w:w="3519" w:type="dxa"/>
            <w:vAlign w:val="center"/>
          </w:tcPr>
          <w:p w14:paraId="1393BAD8">
            <w:pPr>
              <w:pStyle w:val="447"/>
              <w:jc w:val="center"/>
              <w:rPr>
                <w:rFonts w:ascii="Times New Roman" w:hAnsi="Times New Roman"/>
                <w:sz w:val="21"/>
                <w:szCs w:val="21"/>
              </w:rPr>
            </w:pPr>
            <w:r>
              <w:rPr>
                <w:rFonts w:ascii="Times New Roman" w:hAnsi="Times New Roman"/>
                <w:sz w:val="21"/>
                <w:szCs w:val="21"/>
              </w:rPr>
              <w:t>活性磷酸盐≤</w:t>
            </w:r>
          </w:p>
        </w:tc>
        <w:tc>
          <w:tcPr>
            <w:tcW w:w="2802" w:type="dxa"/>
            <w:vAlign w:val="center"/>
          </w:tcPr>
          <w:p w14:paraId="2573A2AC">
            <w:pPr>
              <w:pStyle w:val="447"/>
              <w:jc w:val="center"/>
              <w:rPr>
                <w:rFonts w:ascii="Times New Roman" w:hAnsi="Times New Roman"/>
                <w:sz w:val="21"/>
                <w:szCs w:val="21"/>
              </w:rPr>
            </w:pPr>
            <w:r>
              <w:rPr>
                <w:rFonts w:ascii="Times New Roman" w:hAnsi="Times New Roman"/>
                <w:sz w:val="21"/>
                <w:szCs w:val="21"/>
              </w:rPr>
              <w:t>0.045</w:t>
            </w:r>
          </w:p>
        </w:tc>
        <w:tc>
          <w:tcPr>
            <w:tcW w:w="2719" w:type="dxa"/>
            <w:vAlign w:val="center"/>
          </w:tcPr>
          <w:p w14:paraId="60346EC8">
            <w:pPr>
              <w:pStyle w:val="447"/>
              <w:jc w:val="center"/>
              <w:rPr>
                <w:rFonts w:ascii="Times New Roman" w:hAnsi="Times New Roman"/>
                <w:sz w:val="21"/>
                <w:szCs w:val="21"/>
              </w:rPr>
            </w:pPr>
            <w:r>
              <w:rPr>
                <w:rFonts w:ascii="Times New Roman" w:hAnsi="Times New Roman"/>
                <w:sz w:val="21"/>
                <w:szCs w:val="21"/>
              </w:rPr>
              <w:t>mg/L</w:t>
            </w:r>
          </w:p>
        </w:tc>
      </w:tr>
    </w:tbl>
    <w:p w14:paraId="29E92BE2">
      <w:pPr>
        <w:spacing w:line="360" w:lineRule="auto"/>
        <w:ind w:firstLine="472" w:firstLineChars="200"/>
        <w:rPr>
          <w:rFonts w:ascii="Times New Roman" w:hAnsi="Times New Roman"/>
          <w:spacing w:val="-2"/>
          <w:kern w:val="0"/>
          <w:sz w:val="24"/>
          <w:szCs w:val="24"/>
        </w:rPr>
      </w:pPr>
    </w:p>
    <w:p w14:paraId="714537FE">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w:t>
      </w:r>
      <w:r>
        <w:rPr>
          <w:rFonts w:hint="eastAsia" w:ascii="Times New Roman" w:hAnsi="Times New Roman"/>
          <w:spacing w:val="-2"/>
          <w:kern w:val="0"/>
          <w:sz w:val="24"/>
          <w:szCs w:val="24"/>
        </w:rPr>
        <w:t>4</w:t>
      </w:r>
      <w:r>
        <w:rPr>
          <w:rFonts w:ascii="Times New Roman" w:hAnsi="Times New Roman"/>
          <w:spacing w:val="-2"/>
          <w:kern w:val="0"/>
          <w:sz w:val="24"/>
          <w:szCs w:val="24"/>
        </w:rPr>
        <w:t>）声环境质量执行《声环境质量标准》（GB3096-2008）3类区限值，见表1.4-</w:t>
      </w:r>
      <w:r>
        <w:rPr>
          <w:rFonts w:hint="eastAsia" w:ascii="Times New Roman" w:hAnsi="Times New Roman"/>
          <w:spacing w:val="-2"/>
          <w:kern w:val="0"/>
          <w:sz w:val="24"/>
          <w:szCs w:val="24"/>
        </w:rPr>
        <w:t>4</w:t>
      </w:r>
      <w:r>
        <w:rPr>
          <w:rFonts w:ascii="Times New Roman" w:hAnsi="Times New Roman"/>
          <w:spacing w:val="-2"/>
          <w:kern w:val="0"/>
          <w:sz w:val="24"/>
          <w:szCs w:val="24"/>
        </w:rPr>
        <w:t>。</w:t>
      </w:r>
    </w:p>
    <w:p w14:paraId="078202A3">
      <w:pPr>
        <w:pStyle w:val="8"/>
        <w:rPr>
          <w:sz w:val="24"/>
          <w:szCs w:val="24"/>
        </w:rPr>
      </w:pPr>
      <w:r>
        <w:rPr>
          <w:rFonts w:hint="eastAsia"/>
          <w:sz w:val="24"/>
          <w:szCs w:val="24"/>
        </w:rPr>
        <w:t xml:space="preserve">  </w:t>
      </w:r>
      <w:r>
        <w:rPr>
          <w:sz w:val="24"/>
          <w:szCs w:val="24"/>
        </w:rPr>
        <w:t>声环境质量标准（摘录）      单位：dB(A)</w:t>
      </w:r>
    </w:p>
    <w:tbl>
      <w:tblPr>
        <w:tblStyle w:val="88"/>
        <w:tblW w:w="901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950"/>
        <w:gridCol w:w="2533"/>
        <w:gridCol w:w="2534"/>
      </w:tblGrid>
      <w:tr w14:paraId="2586CD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3950" w:type="dxa"/>
            <w:vAlign w:val="center"/>
          </w:tcPr>
          <w:p w14:paraId="21ABE854">
            <w:pPr>
              <w:jc w:val="center"/>
              <w:rPr>
                <w:rFonts w:ascii="Times New Roman" w:hAnsi="Times New Roman"/>
                <w:b/>
                <w:bCs/>
                <w:spacing w:val="-2"/>
                <w:kern w:val="0"/>
                <w:szCs w:val="21"/>
              </w:rPr>
            </w:pPr>
            <w:r>
              <w:rPr>
                <w:rFonts w:ascii="Times New Roman" w:hAnsi="Times New Roman"/>
                <w:b/>
                <w:bCs/>
                <w:spacing w:val="-2"/>
                <w:kern w:val="0"/>
                <w:szCs w:val="21"/>
              </w:rPr>
              <w:t>类  别</w:t>
            </w:r>
          </w:p>
        </w:tc>
        <w:tc>
          <w:tcPr>
            <w:tcW w:w="2533" w:type="dxa"/>
            <w:vAlign w:val="center"/>
          </w:tcPr>
          <w:p w14:paraId="5AFCB26F">
            <w:pPr>
              <w:jc w:val="center"/>
              <w:rPr>
                <w:rFonts w:ascii="Times New Roman" w:hAnsi="Times New Roman"/>
                <w:b/>
                <w:bCs/>
                <w:spacing w:val="-2"/>
                <w:kern w:val="0"/>
                <w:szCs w:val="21"/>
              </w:rPr>
            </w:pPr>
            <w:r>
              <w:rPr>
                <w:rFonts w:ascii="Times New Roman" w:hAnsi="Times New Roman"/>
                <w:b/>
                <w:bCs/>
                <w:spacing w:val="-2"/>
                <w:kern w:val="0"/>
                <w:szCs w:val="21"/>
              </w:rPr>
              <w:t>昼  间</w:t>
            </w:r>
          </w:p>
        </w:tc>
        <w:tc>
          <w:tcPr>
            <w:tcW w:w="2534" w:type="dxa"/>
            <w:vAlign w:val="center"/>
          </w:tcPr>
          <w:p w14:paraId="2B5636F3">
            <w:pPr>
              <w:jc w:val="center"/>
              <w:rPr>
                <w:rFonts w:ascii="Times New Roman" w:hAnsi="Times New Roman"/>
                <w:b/>
                <w:bCs/>
                <w:spacing w:val="-2"/>
                <w:kern w:val="0"/>
                <w:szCs w:val="21"/>
              </w:rPr>
            </w:pPr>
            <w:r>
              <w:rPr>
                <w:rFonts w:ascii="Times New Roman" w:hAnsi="Times New Roman"/>
                <w:b/>
                <w:bCs/>
                <w:spacing w:val="-2"/>
                <w:kern w:val="0"/>
                <w:szCs w:val="21"/>
              </w:rPr>
              <w:t>夜  间</w:t>
            </w:r>
          </w:p>
        </w:tc>
      </w:tr>
      <w:tr w14:paraId="342AAC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3950" w:type="dxa"/>
            <w:vAlign w:val="center"/>
          </w:tcPr>
          <w:p w14:paraId="3F982D5C">
            <w:pPr>
              <w:jc w:val="center"/>
              <w:rPr>
                <w:rFonts w:ascii="Times New Roman" w:hAnsi="Times New Roman"/>
                <w:spacing w:val="-2"/>
                <w:kern w:val="0"/>
                <w:szCs w:val="21"/>
              </w:rPr>
            </w:pPr>
            <w:r>
              <w:rPr>
                <w:rFonts w:ascii="Times New Roman" w:hAnsi="Times New Roman"/>
                <w:spacing w:val="-2"/>
                <w:kern w:val="0"/>
                <w:szCs w:val="21"/>
              </w:rPr>
              <w:t>噪声限值（3类区限值）</w:t>
            </w:r>
          </w:p>
        </w:tc>
        <w:tc>
          <w:tcPr>
            <w:tcW w:w="2533" w:type="dxa"/>
            <w:vAlign w:val="center"/>
          </w:tcPr>
          <w:p w14:paraId="4C10F7D7">
            <w:pPr>
              <w:jc w:val="center"/>
              <w:rPr>
                <w:rFonts w:ascii="Times New Roman" w:hAnsi="Times New Roman"/>
                <w:spacing w:val="-2"/>
                <w:kern w:val="0"/>
                <w:szCs w:val="21"/>
              </w:rPr>
            </w:pPr>
            <w:r>
              <w:rPr>
                <w:rFonts w:ascii="Times New Roman" w:hAnsi="Times New Roman"/>
                <w:spacing w:val="-2"/>
                <w:kern w:val="0"/>
                <w:szCs w:val="21"/>
              </w:rPr>
              <w:t>65</w:t>
            </w:r>
          </w:p>
        </w:tc>
        <w:tc>
          <w:tcPr>
            <w:tcW w:w="2534" w:type="dxa"/>
            <w:vAlign w:val="center"/>
          </w:tcPr>
          <w:p w14:paraId="4200CFA4">
            <w:pPr>
              <w:jc w:val="center"/>
              <w:rPr>
                <w:rFonts w:ascii="Times New Roman" w:hAnsi="Times New Roman"/>
                <w:spacing w:val="-2"/>
                <w:kern w:val="0"/>
                <w:szCs w:val="21"/>
              </w:rPr>
            </w:pPr>
            <w:r>
              <w:rPr>
                <w:rFonts w:ascii="Times New Roman" w:hAnsi="Times New Roman"/>
                <w:spacing w:val="-2"/>
                <w:kern w:val="0"/>
                <w:szCs w:val="21"/>
              </w:rPr>
              <w:t>55</w:t>
            </w:r>
          </w:p>
        </w:tc>
      </w:tr>
    </w:tbl>
    <w:p w14:paraId="643904F2">
      <w:pPr>
        <w:spacing w:line="360" w:lineRule="auto"/>
        <w:ind w:firstLine="472" w:firstLineChars="200"/>
        <w:rPr>
          <w:rFonts w:ascii="Times New Roman" w:hAnsi="Times New Roman"/>
          <w:spacing w:val="-2"/>
          <w:kern w:val="0"/>
          <w:sz w:val="24"/>
          <w:szCs w:val="24"/>
        </w:rPr>
      </w:pPr>
    </w:p>
    <w:p w14:paraId="7A7F93A0">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w:t>
      </w:r>
      <w:r>
        <w:rPr>
          <w:rFonts w:hint="eastAsia" w:ascii="Times New Roman" w:hAnsi="Times New Roman"/>
          <w:spacing w:val="-2"/>
          <w:kern w:val="0"/>
          <w:sz w:val="24"/>
          <w:szCs w:val="24"/>
        </w:rPr>
        <w:t>5</w:t>
      </w:r>
      <w:r>
        <w:rPr>
          <w:rFonts w:ascii="Times New Roman" w:hAnsi="Times New Roman"/>
          <w:spacing w:val="-2"/>
          <w:kern w:val="0"/>
          <w:sz w:val="24"/>
          <w:szCs w:val="24"/>
        </w:rPr>
        <w:t>）</w:t>
      </w:r>
      <w:r>
        <w:rPr>
          <w:rFonts w:ascii="Times New Roman" w:hAnsi="Times New Roman"/>
          <w:kern w:val="0"/>
          <w:sz w:val="24"/>
          <w:szCs w:val="24"/>
        </w:rPr>
        <w:t>环境天然放射性水平</w:t>
      </w:r>
    </w:p>
    <w:p w14:paraId="0B4F478E">
      <w:pPr>
        <w:autoSpaceDE w:val="0"/>
        <w:autoSpaceDN w:val="0"/>
        <w:adjustRightInd w:val="0"/>
        <w:spacing w:line="360" w:lineRule="auto"/>
        <w:ind w:firstLine="472" w:firstLineChars="200"/>
        <w:jc w:val="left"/>
        <w:rPr>
          <w:rFonts w:ascii="Times New Roman" w:hAnsi="Times New Roman"/>
          <w:spacing w:val="-2"/>
          <w:kern w:val="0"/>
          <w:sz w:val="24"/>
          <w:szCs w:val="24"/>
        </w:rPr>
      </w:pPr>
      <w:r>
        <w:rPr>
          <w:rFonts w:ascii="Times New Roman" w:hAnsi="Times New Roman"/>
          <w:spacing w:val="-2"/>
          <w:kern w:val="0"/>
          <w:sz w:val="24"/>
          <w:szCs w:val="24"/>
        </w:rPr>
        <w:t>γ辐射剂量率、土壤、地表水、地下水等环境天然放射性水平，参照《中国环境天然放射性水平》中广西钦州地区（海水参照广西壮族自治区近海域的参照值）环境天然放射性水平的统计区间，详见表1.4-</w:t>
      </w:r>
      <w:r>
        <w:rPr>
          <w:rFonts w:hint="eastAsia" w:ascii="Times New Roman" w:hAnsi="Times New Roman"/>
          <w:spacing w:val="-2"/>
          <w:kern w:val="0"/>
          <w:sz w:val="24"/>
          <w:szCs w:val="24"/>
        </w:rPr>
        <w:t>5</w:t>
      </w:r>
      <w:r>
        <w:rPr>
          <w:rFonts w:ascii="Times New Roman" w:hAnsi="Times New Roman"/>
          <w:spacing w:val="-2"/>
          <w:kern w:val="0"/>
          <w:sz w:val="24"/>
          <w:szCs w:val="24"/>
        </w:rPr>
        <w:t>。</w:t>
      </w:r>
    </w:p>
    <w:p w14:paraId="7B78D1BF">
      <w:pPr>
        <w:pStyle w:val="8"/>
        <w:rPr>
          <w:sz w:val="24"/>
          <w:szCs w:val="24"/>
        </w:rPr>
      </w:pPr>
      <w:bookmarkStart w:id="60" w:name="_Hlk187220891"/>
      <w:r>
        <w:rPr>
          <w:sz w:val="24"/>
          <w:szCs w:val="24"/>
        </w:rPr>
        <w:t>《中国环境天然放射性水平》中广西钦州地区环境天然放射性水平</w:t>
      </w:r>
    </w:p>
    <w:tbl>
      <w:tblPr>
        <w:tblStyle w:val="88"/>
        <w:tblW w:w="901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19"/>
        <w:gridCol w:w="2127"/>
        <w:gridCol w:w="2126"/>
        <w:gridCol w:w="3645"/>
      </w:tblGrid>
      <w:tr w14:paraId="316877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119" w:type="dxa"/>
            <w:vAlign w:val="center"/>
          </w:tcPr>
          <w:p w14:paraId="6513914F">
            <w:pPr>
              <w:widowControl/>
              <w:adjustRightInd w:val="0"/>
              <w:snapToGrid w:val="0"/>
              <w:jc w:val="center"/>
              <w:rPr>
                <w:rFonts w:ascii="Times New Roman" w:hAnsi="Times New Roman"/>
                <w:b/>
                <w:bCs/>
                <w:spacing w:val="-2"/>
                <w:kern w:val="0"/>
                <w:szCs w:val="21"/>
              </w:rPr>
            </w:pPr>
            <w:r>
              <w:rPr>
                <w:rFonts w:ascii="Times New Roman" w:hAnsi="Times New Roman"/>
                <w:b/>
                <w:bCs/>
                <w:spacing w:val="-2"/>
                <w:kern w:val="0"/>
                <w:szCs w:val="21"/>
              </w:rPr>
              <w:t>序号</w:t>
            </w:r>
          </w:p>
        </w:tc>
        <w:tc>
          <w:tcPr>
            <w:tcW w:w="2127" w:type="dxa"/>
            <w:vAlign w:val="center"/>
          </w:tcPr>
          <w:p w14:paraId="3ABA6688">
            <w:pPr>
              <w:widowControl/>
              <w:adjustRightInd w:val="0"/>
              <w:snapToGrid w:val="0"/>
              <w:jc w:val="center"/>
              <w:rPr>
                <w:rFonts w:ascii="Times New Roman" w:hAnsi="Times New Roman"/>
                <w:b/>
                <w:bCs/>
                <w:spacing w:val="-2"/>
                <w:kern w:val="0"/>
                <w:szCs w:val="21"/>
              </w:rPr>
            </w:pPr>
            <w:r>
              <w:rPr>
                <w:rFonts w:ascii="Times New Roman" w:hAnsi="Times New Roman"/>
                <w:b/>
                <w:bCs/>
                <w:spacing w:val="-2"/>
                <w:kern w:val="0"/>
                <w:szCs w:val="21"/>
              </w:rPr>
              <w:t>项目</w:t>
            </w:r>
          </w:p>
        </w:tc>
        <w:tc>
          <w:tcPr>
            <w:tcW w:w="2126" w:type="dxa"/>
            <w:vAlign w:val="center"/>
          </w:tcPr>
          <w:p w14:paraId="1BFC394A">
            <w:pPr>
              <w:widowControl/>
              <w:adjustRightInd w:val="0"/>
              <w:snapToGrid w:val="0"/>
              <w:jc w:val="center"/>
              <w:rPr>
                <w:rFonts w:ascii="Times New Roman" w:hAnsi="Times New Roman"/>
                <w:b/>
                <w:bCs/>
                <w:spacing w:val="-2"/>
                <w:kern w:val="0"/>
                <w:szCs w:val="21"/>
              </w:rPr>
            </w:pPr>
            <w:r>
              <w:rPr>
                <w:rFonts w:ascii="Times New Roman" w:hAnsi="Times New Roman"/>
                <w:b/>
                <w:bCs/>
                <w:spacing w:val="-2"/>
                <w:kern w:val="0"/>
                <w:szCs w:val="21"/>
              </w:rPr>
              <w:t>单位</w:t>
            </w:r>
          </w:p>
        </w:tc>
        <w:tc>
          <w:tcPr>
            <w:tcW w:w="3645" w:type="dxa"/>
            <w:vAlign w:val="center"/>
          </w:tcPr>
          <w:p w14:paraId="362E831B">
            <w:pPr>
              <w:widowControl/>
              <w:adjustRightInd w:val="0"/>
              <w:snapToGrid w:val="0"/>
              <w:jc w:val="center"/>
              <w:rPr>
                <w:rFonts w:ascii="Times New Roman" w:hAnsi="Times New Roman"/>
                <w:spacing w:val="-2"/>
                <w:kern w:val="0"/>
                <w:szCs w:val="21"/>
              </w:rPr>
            </w:pPr>
            <w:r>
              <w:rPr>
                <w:rFonts w:ascii="Times New Roman" w:hAnsi="Times New Roman"/>
                <w:b/>
                <w:spacing w:val="-2"/>
                <w:kern w:val="0"/>
                <w:szCs w:val="21"/>
              </w:rPr>
              <w:t>《中国环境天然放射性水平》中广西钦州地区范围值</w:t>
            </w:r>
          </w:p>
        </w:tc>
      </w:tr>
      <w:tr w14:paraId="42B1BF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9" w:type="dxa"/>
            <w:vAlign w:val="center"/>
          </w:tcPr>
          <w:p w14:paraId="0FC226A5">
            <w:pPr>
              <w:adjustRightInd w:val="0"/>
              <w:snapToGrid w:val="0"/>
              <w:jc w:val="center"/>
              <w:rPr>
                <w:rFonts w:ascii="Times New Roman" w:hAnsi="Times New Roman"/>
                <w:spacing w:val="-2"/>
                <w:kern w:val="0"/>
                <w:szCs w:val="21"/>
              </w:rPr>
            </w:pPr>
            <w:r>
              <w:rPr>
                <w:rFonts w:ascii="Times New Roman" w:hAnsi="Times New Roman"/>
                <w:spacing w:val="-2"/>
                <w:kern w:val="0"/>
                <w:szCs w:val="21"/>
              </w:rPr>
              <w:t>1</w:t>
            </w:r>
          </w:p>
        </w:tc>
        <w:tc>
          <w:tcPr>
            <w:tcW w:w="2127" w:type="dxa"/>
            <w:vAlign w:val="center"/>
          </w:tcPr>
          <w:p w14:paraId="2651428A">
            <w:pPr>
              <w:adjustRightInd w:val="0"/>
              <w:snapToGrid w:val="0"/>
              <w:jc w:val="center"/>
              <w:rPr>
                <w:rFonts w:ascii="Times New Roman" w:hAnsi="Times New Roman"/>
                <w:spacing w:val="-2"/>
                <w:kern w:val="0"/>
                <w:szCs w:val="21"/>
              </w:rPr>
            </w:pPr>
            <w:r>
              <w:rPr>
                <w:rFonts w:ascii="Times New Roman" w:hAnsi="Times New Roman"/>
                <w:spacing w:val="-2"/>
                <w:kern w:val="0"/>
                <w:szCs w:val="21"/>
              </w:rPr>
              <w:t>γ辐射剂量率</w:t>
            </w:r>
          </w:p>
        </w:tc>
        <w:tc>
          <w:tcPr>
            <w:tcW w:w="2126" w:type="dxa"/>
            <w:vAlign w:val="center"/>
          </w:tcPr>
          <w:p w14:paraId="16725D43">
            <w:pPr>
              <w:widowControl/>
              <w:adjustRightInd w:val="0"/>
              <w:snapToGrid w:val="0"/>
              <w:jc w:val="center"/>
              <w:rPr>
                <w:rFonts w:ascii="Times New Roman" w:hAnsi="Times New Roman"/>
                <w:spacing w:val="-2"/>
                <w:kern w:val="0"/>
                <w:szCs w:val="21"/>
              </w:rPr>
            </w:pPr>
            <w:r>
              <w:rPr>
                <w:rFonts w:ascii="Times New Roman" w:hAnsi="Times New Roman"/>
                <w:spacing w:val="-2"/>
                <w:kern w:val="0"/>
                <w:szCs w:val="21"/>
              </w:rPr>
              <w:t>μGy/h</w:t>
            </w:r>
          </w:p>
        </w:tc>
        <w:tc>
          <w:tcPr>
            <w:tcW w:w="3645" w:type="dxa"/>
            <w:vAlign w:val="center"/>
          </w:tcPr>
          <w:p w14:paraId="3C707E80">
            <w:pPr>
              <w:adjustRightInd w:val="0"/>
              <w:snapToGrid w:val="0"/>
              <w:jc w:val="center"/>
              <w:rPr>
                <w:rFonts w:ascii="Times New Roman" w:hAnsi="Times New Roman"/>
                <w:spacing w:val="-2"/>
                <w:kern w:val="0"/>
                <w:szCs w:val="21"/>
              </w:rPr>
            </w:pPr>
            <w:r>
              <w:rPr>
                <w:rFonts w:ascii="Times New Roman" w:hAnsi="Times New Roman"/>
                <w:spacing w:val="-2"/>
                <w:kern w:val="0"/>
                <w:szCs w:val="21"/>
              </w:rPr>
              <w:t>0.0229～0.1190</w:t>
            </w:r>
          </w:p>
        </w:tc>
      </w:tr>
      <w:tr w14:paraId="38EFB1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9" w:type="dxa"/>
            <w:vAlign w:val="center"/>
          </w:tcPr>
          <w:p w14:paraId="381DCA1C">
            <w:pPr>
              <w:adjustRightInd w:val="0"/>
              <w:snapToGrid w:val="0"/>
              <w:jc w:val="center"/>
              <w:rPr>
                <w:rFonts w:ascii="Times New Roman" w:hAnsi="Times New Roman"/>
                <w:spacing w:val="-2"/>
                <w:kern w:val="0"/>
                <w:szCs w:val="21"/>
              </w:rPr>
            </w:pPr>
            <w:r>
              <w:rPr>
                <w:rFonts w:ascii="Times New Roman" w:hAnsi="Times New Roman"/>
                <w:spacing w:val="-2"/>
                <w:kern w:val="0"/>
                <w:szCs w:val="21"/>
              </w:rPr>
              <w:t>2</w:t>
            </w:r>
          </w:p>
        </w:tc>
        <w:tc>
          <w:tcPr>
            <w:tcW w:w="2127" w:type="dxa"/>
            <w:vAlign w:val="center"/>
          </w:tcPr>
          <w:p w14:paraId="69DF5F2C">
            <w:pPr>
              <w:adjustRightInd w:val="0"/>
              <w:snapToGrid w:val="0"/>
              <w:jc w:val="center"/>
              <w:rPr>
                <w:rFonts w:ascii="Times New Roman" w:hAnsi="Times New Roman"/>
                <w:spacing w:val="-2"/>
                <w:kern w:val="0"/>
                <w:szCs w:val="21"/>
              </w:rPr>
            </w:pPr>
            <w:r>
              <w:rPr>
                <w:rFonts w:ascii="Times New Roman" w:hAnsi="Times New Roman"/>
                <w:spacing w:val="-2"/>
                <w:kern w:val="0"/>
                <w:szCs w:val="21"/>
              </w:rPr>
              <w:t>土壤</w:t>
            </w:r>
            <w:r>
              <w:rPr>
                <w:rFonts w:ascii="Times New Roman" w:hAnsi="Times New Roman"/>
                <w:spacing w:val="-2"/>
                <w:kern w:val="0"/>
                <w:szCs w:val="21"/>
                <w:vertAlign w:val="superscript"/>
              </w:rPr>
              <w:t>238</w:t>
            </w:r>
            <w:r>
              <w:rPr>
                <w:rFonts w:ascii="Times New Roman" w:hAnsi="Times New Roman"/>
                <w:spacing w:val="-2"/>
                <w:kern w:val="0"/>
                <w:szCs w:val="21"/>
              </w:rPr>
              <w:t>U</w:t>
            </w:r>
          </w:p>
        </w:tc>
        <w:tc>
          <w:tcPr>
            <w:tcW w:w="2126" w:type="dxa"/>
            <w:vAlign w:val="center"/>
          </w:tcPr>
          <w:p w14:paraId="3953145E">
            <w:pPr>
              <w:widowControl/>
              <w:adjustRightInd w:val="0"/>
              <w:snapToGrid w:val="0"/>
              <w:jc w:val="center"/>
              <w:rPr>
                <w:rFonts w:ascii="Times New Roman" w:hAnsi="Times New Roman"/>
                <w:spacing w:val="-2"/>
                <w:kern w:val="0"/>
                <w:szCs w:val="21"/>
              </w:rPr>
            </w:pPr>
            <w:r>
              <w:rPr>
                <w:rFonts w:ascii="Times New Roman" w:hAnsi="Times New Roman"/>
                <w:spacing w:val="-2"/>
                <w:kern w:val="0"/>
                <w:szCs w:val="21"/>
              </w:rPr>
              <w:t>Bq/kg</w:t>
            </w:r>
          </w:p>
        </w:tc>
        <w:tc>
          <w:tcPr>
            <w:tcW w:w="3645" w:type="dxa"/>
            <w:vAlign w:val="center"/>
          </w:tcPr>
          <w:p w14:paraId="43413DE1">
            <w:pPr>
              <w:adjustRightInd w:val="0"/>
              <w:snapToGrid w:val="0"/>
              <w:jc w:val="center"/>
              <w:rPr>
                <w:rFonts w:ascii="Times New Roman" w:hAnsi="Times New Roman"/>
                <w:spacing w:val="-2"/>
                <w:kern w:val="0"/>
                <w:szCs w:val="21"/>
              </w:rPr>
            </w:pPr>
            <w:r>
              <w:rPr>
                <w:rFonts w:ascii="Times New Roman" w:hAnsi="Times New Roman"/>
                <w:spacing w:val="-2"/>
                <w:kern w:val="0"/>
                <w:szCs w:val="21"/>
              </w:rPr>
              <w:t>11.0～151.0</w:t>
            </w:r>
          </w:p>
        </w:tc>
      </w:tr>
      <w:tr w14:paraId="4C95A0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9" w:type="dxa"/>
            <w:vAlign w:val="center"/>
          </w:tcPr>
          <w:p w14:paraId="5E79C116">
            <w:pPr>
              <w:adjustRightInd w:val="0"/>
              <w:snapToGrid w:val="0"/>
              <w:jc w:val="center"/>
              <w:rPr>
                <w:rFonts w:ascii="Times New Roman" w:hAnsi="Times New Roman"/>
                <w:spacing w:val="-2"/>
                <w:kern w:val="0"/>
                <w:szCs w:val="21"/>
              </w:rPr>
            </w:pPr>
            <w:r>
              <w:rPr>
                <w:rFonts w:ascii="Times New Roman" w:hAnsi="Times New Roman"/>
                <w:spacing w:val="-2"/>
                <w:kern w:val="0"/>
                <w:szCs w:val="21"/>
              </w:rPr>
              <w:t>3</w:t>
            </w:r>
          </w:p>
        </w:tc>
        <w:tc>
          <w:tcPr>
            <w:tcW w:w="2127" w:type="dxa"/>
            <w:vAlign w:val="center"/>
          </w:tcPr>
          <w:p w14:paraId="7FF1424E">
            <w:pPr>
              <w:adjustRightInd w:val="0"/>
              <w:snapToGrid w:val="0"/>
              <w:jc w:val="center"/>
              <w:rPr>
                <w:rFonts w:ascii="Times New Roman" w:hAnsi="Times New Roman"/>
                <w:spacing w:val="-2"/>
                <w:kern w:val="0"/>
                <w:szCs w:val="21"/>
              </w:rPr>
            </w:pPr>
            <w:r>
              <w:rPr>
                <w:rFonts w:ascii="Times New Roman" w:hAnsi="Times New Roman"/>
                <w:spacing w:val="-2"/>
                <w:kern w:val="0"/>
                <w:szCs w:val="21"/>
              </w:rPr>
              <w:t>土壤</w:t>
            </w:r>
            <w:r>
              <w:rPr>
                <w:rFonts w:ascii="Times New Roman" w:hAnsi="Times New Roman"/>
                <w:spacing w:val="-2"/>
                <w:kern w:val="0"/>
                <w:szCs w:val="21"/>
                <w:vertAlign w:val="superscript"/>
              </w:rPr>
              <w:t>232</w:t>
            </w:r>
            <w:r>
              <w:rPr>
                <w:rFonts w:ascii="Times New Roman" w:hAnsi="Times New Roman"/>
                <w:spacing w:val="-2"/>
                <w:kern w:val="0"/>
                <w:szCs w:val="21"/>
              </w:rPr>
              <w:t>Th</w:t>
            </w:r>
          </w:p>
        </w:tc>
        <w:tc>
          <w:tcPr>
            <w:tcW w:w="2126" w:type="dxa"/>
            <w:vAlign w:val="center"/>
          </w:tcPr>
          <w:p w14:paraId="658997F4">
            <w:pPr>
              <w:widowControl/>
              <w:adjustRightInd w:val="0"/>
              <w:snapToGrid w:val="0"/>
              <w:jc w:val="center"/>
              <w:rPr>
                <w:rFonts w:ascii="Times New Roman" w:hAnsi="Times New Roman"/>
                <w:spacing w:val="-2"/>
                <w:kern w:val="0"/>
                <w:szCs w:val="21"/>
              </w:rPr>
            </w:pPr>
            <w:r>
              <w:rPr>
                <w:rFonts w:ascii="Times New Roman" w:hAnsi="Times New Roman"/>
                <w:spacing w:val="-2"/>
                <w:kern w:val="0"/>
                <w:szCs w:val="21"/>
              </w:rPr>
              <w:t>Bq/kg</w:t>
            </w:r>
          </w:p>
        </w:tc>
        <w:tc>
          <w:tcPr>
            <w:tcW w:w="3645" w:type="dxa"/>
            <w:vAlign w:val="center"/>
          </w:tcPr>
          <w:p w14:paraId="6A9761F3">
            <w:pPr>
              <w:adjustRightInd w:val="0"/>
              <w:snapToGrid w:val="0"/>
              <w:jc w:val="center"/>
              <w:rPr>
                <w:rFonts w:ascii="Times New Roman" w:hAnsi="Times New Roman"/>
                <w:spacing w:val="-2"/>
                <w:kern w:val="0"/>
                <w:szCs w:val="21"/>
              </w:rPr>
            </w:pPr>
            <w:r>
              <w:rPr>
                <w:rFonts w:ascii="Times New Roman" w:hAnsi="Times New Roman"/>
                <w:spacing w:val="-2"/>
                <w:kern w:val="0"/>
                <w:szCs w:val="21"/>
              </w:rPr>
              <w:t>26.1～182.0</w:t>
            </w:r>
          </w:p>
        </w:tc>
      </w:tr>
      <w:tr w14:paraId="4CC0FB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9" w:type="dxa"/>
            <w:vAlign w:val="center"/>
          </w:tcPr>
          <w:p w14:paraId="233017E7">
            <w:pPr>
              <w:adjustRightInd w:val="0"/>
              <w:snapToGrid w:val="0"/>
              <w:jc w:val="center"/>
              <w:rPr>
                <w:rFonts w:ascii="Times New Roman" w:hAnsi="Times New Roman"/>
                <w:spacing w:val="-2"/>
                <w:kern w:val="0"/>
                <w:szCs w:val="21"/>
              </w:rPr>
            </w:pPr>
            <w:r>
              <w:rPr>
                <w:rFonts w:ascii="Times New Roman" w:hAnsi="Times New Roman"/>
                <w:spacing w:val="-2"/>
                <w:kern w:val="0"/>
                <w:szCs w:val="21"/>
              </w:rPr>
              <w:t>4</w:t>
            </w:r>
          </w:p>
        </w:tc>
        <w:tc>
          <w:tcPr>
            <w:tcW w:w="2127" w:type="dxa"/>
            <w:vAlign w:val="center"/>
          </w:tcPr>
          <w:p w14:paraId="0711BC0F">
            <w:pPr>
              <w:adjustRightInd w:val="0"/>
              <w:snapToGrid w:val="0"/>
              <w:jc w:val="center"/>
              <w:rPr>
                <w:rFonts w:ascii="Times New Roman" w:hAnsi="Times New Roman"/>
                <w:spacing w:val="-2"/>
                <w:kern w:val="0"/>
                <w:szCs w:val="21"/>
              </w:rPr>
            </w:pPr>
            <w:r>
              <w:rPr>
                <w:rFonts w:ascii="Times New Roman" w:hAnsi="Times New Roman"/>
                <w:spacing w:val="-2"/>
                <w:kern w:val="0"/>
                <w:szCs w:val="21"/>
              </w:rPr>
              <w:t>土壤</w:t>
            </w:r>
            <w:r>
              <w:rPr>
                <w:rFonts w:ascii="Times New Roman" w:hAnsi="Times New Roman"/>
                <w:spacing w:val="-2"/>
                <w:kern w:val="0"/>
                <w:szCs w:val="21"/>
                <w:vertAlign w:val="superscript"/>
              </w:rPr>
              <w:t>226</w:t>
            </w:r>
            <w:r>
              <w:rPr>
                <w:rFonts w:ascii="Times New Roman" w:hAnsi="Times New Roman"/>
                <w:spacing w:val="-2"/>
                <w:kern w:val="0"/>
                <w:szCs w:val="21"/>
              </w:rPr>
              <w:t>Ra</w:t>
            </w:r>
          </w:p>
        </w:tc>
        <w:tc>
          <w:tcPr>
            <w:tcW w:w="2126" w:type="dxa"/>
            <w:vAlign w:val="center"/>
          </w:tcPr>
          <w:p w14:paraId="4E683555">
            <w:pPr>
              <w:widowControl/>
              <w:adjustRightInd w:val="0"/>
              <w:snapToGrid w:val="0"/>
              <w:jc w:val="center"/>
              <w:rPr>
                <w:rFonts w:ascii="Times New Roman" w:hAnsi="Times New Roman"/>
                <w:spacing w:val="-2"/>
                <w:kern w:val="0"/>
                <w:szCs w:val="21"/>
              </w:rPr>
            </w:pPr>
            <w:r>
              <w:rPr>
                <w:rFonts w:ascii="Times New Roman" w:hAnsi="Times New Roman"/>
                <w:spacing w:val="-2"/>
                <w:kern w:val="0"/>
                <w:szCs w:val="21"/>
              </w:rPr>
              <w:t>Bq/kg</w:t>
            </w:r>
          </w:p>
        </w:tc>
        <w:tc>
          <w:tcPr>
            <w:tcW w:w="3645" w:type="dxa"/>
            <w:vAlign w:val="center"/>
          </w:tcPr>
          <w:p w14:paraId="0ED2EC54">
            <w:pPr>
              <w:adjustRightInd w:val="0"/>
              <w:snapToGrid w:val="0"/>
              <w:jc w:val="center"/>
              <w:rPr>
                <w:rFonts w:ascii="Times New Roman" w:hAnsi="Times New Roman"/>
                <w:spacing w:val="-2"/>
                <w:kern w:val="0"/>
                <w:szCs w:val="21"/>
              </w:rPr>
            </w:pPr>
            <w:r>
              <w:rPr>
                <w:rFonts w:ascii="Times New Roman" w:hAnsi="Times New Roman"/>
                <w:spacing w:val="-2"/>
                <w:kern w:val="0"/>
                <w:szCs w:val="21"/>
              </w:rPr>
              <w:t>18.9～102.0</w:t>
            </w:r>
          </w:p>
        </w:tc>
      </w:tr>
      <w:tr w14:paraId="579203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9" w:type="dxa"/>
            <w:vAlign w:val="center"/>
          </w:tcPr>
          <w:p w14:paraId="228E8447">
            <w:pPr>
              <w:adjustRightInd w:val="0"/>
              <w:snapToGrid w:val="0"/>
              <w:jc w:val="center"/>
              <w:rPr>
                <w:rFonts w:ascii="Times New Roman" w:hAnsi="Times New Roman"/>
                <w:spacing w:val="-2"/>
                <w:kern w:val="0"/>
                <w:szCs w:val="21"/>
              </w:rPr>
            </w:pPr>
            <w:r>
              <w:rPr>
                <w:rFonts w:ascii="Times New Roman" w:hAnsi="Times New Roman"/>
                <w:spacing w:val="-2"/>
                <w:kern w:val="0"/>
                <w:szCs w:val="21"/>
              </w:rPr>
              <w:t>5</w:t>
            </w:r>
          </w:p>
        </w:tc>
        <w:tc>
          <w:tcPr>
            <w:tcW w:w="2127" w:type="dxa"/>
            <w:vAlign w:val="center"/>
          </w:tcPr>
          <w:p w14:paraId="507559F4">
            <w:pPr>
              <w:adjustRightInd w:val="0"/>
              <w:snapToGrid w:val="0"/>
              <w:jc w:val="center"/>
              <w:rPr>
                <w:rFonts w:ascii="Times New Roman" w:hAnsi="Times New Roman"/>
                <w:spacing w:val="-2"/>
                <w:kern w:val="0"/>
                <w:szCs w:val="21"/>
              </w:rPr>
            </w:pPr>
            <w:r>
              <w:rPr>
                <w:rFonts w:ascii="Times New Roman" w:hAnsi="Times New Roman"/>
                <w:spacing w:val="-2"/>
                <w:kern w:val="0"/>
                <w:szCs w:val="21"/>
              </w:rPr>
              <w:t>地表水U</w:t>
            </w:r>
            <w:r>
              <w:rPr>
                <w:rFonts w:ascii="Times New Roman" w:hAnsi="Times New Roman"/>
                <w:spacing w:val="-2"/>
                <w:kern w:val="0"/>
                <w:szCs w:val="21"/>
                <w:vertAlign w:val="subscript"/>
              </w:rPr>
              <w:t>天然</w:t>
            </w:r>
          </w:p>
        </w:tc>
        <w:tc>
          <w:tcPr>
            <w:tcW w:w="2126" w:type="dxa"/>
            <w:vAlign w:val="center"/>
          </w:tcPr>
          <w:p w14:paraId="4108CE64">
            <w:pPr>
              <w:widowControl/>
              <w:adjustRightInd w:val="0"/>
              <w:snapToGrid w:val="0"/>
              <w:jc w:val="center"/>
              <w:rPr>
                <w:rFonts w:ascii="Times New Roman" w:hAnsi="Times New Roman"/>
                <w:spacing w:val="-2"/>
                <w:kern w:val="0"/>
                <w:szCs w:val="21"/>
              </w:rPr>
            </w:pPr>
            <w:r>
              <w:rPr>
                <w:rFonts w:ascii="Times New Roman" w:hAnsi="Times New Roman"/>
                <w:spacing w:val="-2"/>
                <w:kern w:val="0"/>
                <w:szCs w:val="21"/>
              </w:rPr>
              <w:t>µg/L</w:t>
            </w:r>
          </w:p>
        </w:tc>
        <w:tc>
          <w:tcPr>
            <w:tcW w:w="3645" w:type="dxa"/>
            <w:vAlign w:val="center"/>
          </w:tcPr>
          <w:p w14:paraId="09E2A9A0">
            <w:pPr>
              <w:adjustRightInd w:val="0"/>
              <w:snapToGrid w:val="0"/>
              <w:jc w:val="center"/>
              <w:rPr>
                <w:rFonts w:ascii="Times New Roman" w:hAnsi="Times New Roman"/>
                <w:spacing w:val="-2"/>
                <w:kern w:val="0"/>
                <w:szCs w:val="21"/>
              </w:rPr>
            </w:pPr>
            <w:r>
              <w:rPr>
                <w:rFonts w:ascii="Times New Roman" w:hAnsi="Times New Roman"/>
                <w:spacing w:val="-2"/>
                <w:kern w:val="0"/>
                <w:szCs w:val="21"/>
              </w:rPr>
              <w:t>0.08-0.31</w:t>
            </w:r>
          </w:p>
        </w:tc>
      </w:tr>
      <w:tr w14:paraId="2C6E43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9" w:type="dxa"/>
            <w:vAlign w:val="center"/>
          </w:tcPr>
          <w:p w14:paraId="17A4695B">
            <w:pPr>
              <w:adjustRightInd w:val="0"/>
              <w:snapToGrid w:val="0"/>
              <w:jc w:val="center"/>
              <w:rPr>
                <w:rFonts w:ascii="Times New Roman" w:hAnsi="Times New Roman"/>
                <w:spacing w:val="-2"/>
                <w:kern w:val="0"/>
                <w:szCs w:val="21"/>
              </w:rPr>
            </w:pPr>
            <w:r>
              <w:rPr>
                <w:rFonts w:ascii="Times New Roman" w:hAnsi="Times New Roman"/>
                <w:spacing w:val="-2"/>
                <w:kern w:val="0"/>
                <w:szCs w:val="21"/>
              </w:rPr>
              <w:t>6</w:t>
            </w:r>
          </w:p>
        </w:tc>
        <w:tc>
          <w:tcPr>
            <w:tcW w:w="2127" w:type="dxa"/>
            <w:vAlign w:val="center"/>
          </w:tcPr>
          <w:p w14:paraId="196A898C">
            <w:pPr>
              <w:adjustRightInd w:val="0"/>
              <w:snapToGrid w:val="0"/>
              <w:jc w:val="center"/>
              <w:rPr>
                <w:rFonts w:ascii="Times New Roman" w:hAnsi="Times New Roman"/>
                <w:spacing w:val="-2"/>
                <w:kern w:val="0"/>
                <w:szCs w:val="21"/>
              </w:rPr>
            </w:pPr>
            <w:r>
              <w:rPr>
                <w:rFonts w:ascii="Times New Roman" w:hAnsi="Times New Roman"/>
                <w:spacing w:val="-2"/>
                <w:kern w:val="0"/>
                <w:szCs w:val="21"/>
              </w:rPr>
              <w:t>地表水Th</w:t>
            </w:r>
          </w:p>
        </w:tc>
        <w:tc>
          <w:tcPr>
            <w:tcW w:w="2126" w:type="dxa"/>
            <w:vAlign w:val="center"/>
          </w:tcPr>
          <w:p w14:paraId="272B9042">
            <w:pPr>
              <w:adjustRightInd w:val="0"/>
              <w:snapToGrid w:val="0"/>
              <w:jc w:val="center"/>
              <w:rPr>
                <w:rFonts w:ascii="Times New Roman" w:hAnsi="Times New Roman"/>
                <w:spacing w:val="-2"/>
                <w:kern w:val="0"/>
                <w:szCs w:val="21"/>
              </w:rPr>
            </w:pPr>
            <w:r>
              <w:rPr>
                <w:rFonts w:ascii="Times New Roman" w:hAnsi="Times New Roman"/>
                <w:spacing w:val="-2"/>
                <w:kern w:val="0"/>
                <w:szCs w:val="21"/>
              </w:rPr>
              <w:t>µg/L</w:t>
            </w:r>
          </w:p>
        </w:tc>
        <w:tc>
          <w:tcPr>
            <w:tcW w:w="3645" w:type="dxa"/>
            <w:vAlign w:val="center"/>
          </w:tcPr>
          <w:p w14:paraId="4D4A09FE">
            <w:pPr>
              <w:adjustRightInd w:val="0"/>
              <w:snapToGrid w:val="0"/>
              <w:jc w:val="center"/>
              <w:rPr>
                <w:rFonts w:ascii="Times New Roman" w:hAnsi="Times New Roman"/>
                <w:spacing w:val="-2"/>
                <w:kern w:val="0"/>
                <w:szCs w:val="21"/>
              </w:rPr>
            </w:pPr>
            <w:r>
              <w:rPr>
                <w:rFonts w:ascii="Times New Roman" w:hAnsi="Times New Roman"/>
                <w:spacing w:val="-2"/>
                <w:kern w:val="0"/>
                <w:szCs w:val="21"/>
              </w:rPr>
              <w:t>0.08-0.12</w:t>
            </w:r>
          </w:p>
        </w:tc>
      </w:tr>
      <w:tr w14:paraId="17BAE9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9" w:type="dxa"/>
            <w:vAlign w:val="center"/>
          </w:tcPr>
          <w:p w14:paraId="1D149A8D">
            <w:pPr>
              <w:adjustRightInd w:val="0"/>
              <w:snapToGrid w:val="0"/>
              <w:jc w:val="center"/>
              <w:rPr>
                <w:rFonts w:ascii="Times New Roman" w:hAnsi="Times New Roman"/>
                <w:spacing w:val="-2"/>
                <w:kern w:val="0"/>
                <w:szCs w:val="21"/>
              </w:rPr>
            </w:pPr>
            <w:r>
              <w:rPr>
                <w:rFonts w:ascii="Times New Roman" w:hAnsi="Times New Roman"/>
                <w:spacing w:val="-2"/>
                <w:kern w:val="0"/>
                <w:szCs w:val="21"/>
              </w:rPr>
              <w:t>7</w:t>
            </w:r>
          </w:p>
        </w:tc>
        <w:tc>
          <w:tcPr>
            <w:tcW w:w="2127" w:type="dxa"/>
            <w:vAlign w:val="center"/>
          </w:tcPr>
          <w:p w14:paraId="3A79CE57">
            <w:pPr>
              <w:adjustRightInd w:val="0"/>
              <w:snapToGrid w:val="0"/>
              <w:jc w:val="center"/>
              <w:rPr>
                <w:rFonts w:ascii="Times New Roman" w:hAnsi="Times New Roman"/>
                <w:spacing w:val="-2"/>
                <w:kern w:val="0"/>
                <w:szCs w:val="21"/>
              </w:rPr>
            </w:pPr>
            <w:r>
              <w:rPr>
                <w:rFonts w:ascii="Times New Roman" w:hAnsi="Times New Roman"/>
                <w:spacing w:val="-2"/>
                <w:kern w:val="0"/>
                <w:szCs w:val="21"/>
              </w:rPr>
              <w:t>地表水</w:t>
            </w:r>
            <w:r>
              <w:rPr>
                <w:rFonts w:ascii="Times New Roman" w:hAnsi="Times New Roman"/>
                <w:spacing w:val="-2"/>
                <w:kern w:val="0"/>
                <w:szCs w:val="21"/>
                <w:vertAlign w:val="superscript"/>
              </w:rPr>
              <w:t>226</w:t>
            </w:r>
            <w:r>
              <w:rPr>
                <w:rFonts w:ascii="Times New Roman" w:hAnsi="Times New Roman"/>
                <w:spacing w:val="-2"/>
                <w:kern w:val="0"/>
                <w:szCs w:val="21"/>
              </w:rPr>
              <w:t>Ra</w:t>
            </w:r>
          </w:p>
        </w:tc>
        <w:tc>
          <w:tcPr>
            <w:tcW w:w="2126" w:type="dxa"/>
            <w:vAlign w:val="center"/>
          </w:tcPr>
          <w:p w14:paraId="6DEDC581">
            <w:pPr>
              <w:widowControl/>
              <w:adjustRightInd w:val="0"/>
              <w:snapToGrid w:val="0"/>
              <w:jc w:val="center"/>
              <w:rPr>
                <w:rFonts w:ascii="Times New Roman" w:hAnsi="Times New Roman"/>
                <w:spacing w:val="-2"/>
                <w:kern w:val="0"/>
                <w:szCs w:val="21"/>
              </w:rPr>
            </w:pPr>
            <w:r>
              <w:rPr>
                <w:rFonts w:ascii="Times New Roman" w:hAnsi="Times New Roman"/>
                <w:spacing w:val="-2"/>
                <w:kern w:val="0"/>
                <w:szCs w:val="21"/>
              </w:rPr>
              <w:t>mBq/L</w:t>
            </w:r>
          </w:p>
        </w:tc>
        <w:tc>
          <w:tcPr>
            <w:tcW w:w="3645" w:type="dxa"/>
            <w:vAlign w:val="center"/>
          </w:tcPr>
          <w:p w14:paraId="55BEE743">
            <w:pPr>
              <w:adjustRightInd w:val="0"/>
              <w:snapToGrid w:val="0"/>
              <w:jc w:val="center"/>
              <w:rPr>
                <w:rFonts w:ascii="Times New Roman" w:hAnsi="Times New Roman"/>
                <w:spacing w:val="-2"/>
                <w:kern w:val="0"/>
                <w:szCs w:val="21"/>
              </w:rPr>
            </w:pPr>
            <w:r>
              <w:rPr>
                <w:rFonts w:ascii="Times New Roman" w:hAnsi="Times New Roman"/>
                <w:spacing w:val="-2"/>
                <w:kern w:val="0"/>
                <w:szCs w:val="21"/>
              </w:rPr>
              <w:t>1.70-6.40</w:t>
            </w:r>
          </w:p>
        </w:tc>
      </w:tr>
      <w:tr w14:paraId="2132FF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9" w:type="dxa"/>
            <w:vAlign w:val="center"/>
          </w:tcPr>
          <w:p w14:paraId="78AA3B57">
            <w:pPr>
              <w:adjustRightInd w:val="0"/>
              <w:snapToGrid w:val="0"/>
              <w:jc w:val="center"/>
              <w:rPr>
                <w:rFonts w:ascii="Times New Roman" w:hAnsi="Times New Roman"/>
                <w:spacing w:val="-2"/>
                <w:kern w:val="0"/>
                <w:szCs w:val="21"/>
              </w:rPr>
            </w:pPr>
            <w:r>
              <w:rPr>
                <w:rFonts w:ascii="Times New Roman" w:hAnsi="Times New Roman"/>
                <w:spacing w:val="-2"/>
                <w:kern w:val="0"/>
                <w:szCs w:val="21"/>
              </w:rPr>
              <w:t>8</w:t>
            </w:r>
          </w:p>
        </w:tc>
        <w:tc>
          <w:tcPr>
            <w:tcW w:w="2127" w:type="dxa"/>
            <w:vAlign w:val="center"/>
          </w:tcPr>
          <w:p w14:paraId="35B36F11">
            <w:pPr>
              <w:adjustRightInd w:val="0"/>
              <w:snapToGrid w:val="0"/>
              <w:jc w:val="center"/>
              <w:rPr>
                <w:rFonts w:ascii="Times New Roman" w:hAnsi="Times New Roman"/>
                <w:spacing w:val="-2"/>
                <w:kern w:val="0"/>
                <w:szCs w:val="21"/>
              </w:rPr>
            </w:pPr>
            <w:r>
              <w:rPr>
                <w:rFonts w:ascii="Times New Roman" w:hAnsi="Times New Roman"/>
                <w:spacing w:val="-2"/>
                <w:kern w:val="0"/>
                <w:szCs w:val="21"/>
              </w:rPr>
              <w:t>地下水U</w:t>
            </w:r>
            <w:r>
              <w:rPr>
                <w:rFonts w:ascii="Times New Roman" w:hAnsi="Times New Roman"/>
                <w:spacing w:val="-2"/>
                <w:kern w:val="0"/>
                <w:szCs w:val="21"/>
                <w:vertAlign w:val="subscript"/>
              </w:rPr>
              <w:t>天然</w:t>
            </w:r>
          </w:p>
        </w:tc>
        <w:tc>
          <w:tcPr>
            <w:tcW w:w="2126" w:type="dxa"/>
            <w:vAlign w:val="center"/>
          </w:tcPr>
          <w:p w14:paraId="3FB8BFC2">
            <w:pPr>
              <w:widowControl/>
              <w:adjustRightInd w:val="0"/>
              <w:snapToGrid w:val="0"/>
              <w:jc w:val="center"/>
              <w:rPr>
                <w:rFonts w:ascii="Times New Roman" w:hAnsi="Times New Roman"/>
                <w:spacing w:val="-2"/>
                <w:kern w:val="0"/>
                <w:szCs w:val="21"/>
              </w:rPr>
            </w:pPr>
            <w:r>
              <w:rPr>
                <w:rFonts w:ascii="Times New Roman" w:hAnsi="Times New Roman"/>
                <w:spacing w:val="-2"/>
                <w:kern w:val="0"/>
                <w:szCs w:val="21"/>
              </w:rPr>
              <w:t>µg/L</w:t>
            </w:r>
          </w:p>
        </w:tc>
        <w:tc>
          <w:tcPr>
            <w:tcW w:w="3645" w:type="dxa"/>
            <w:vAlign w:val="center"/>
          </w:tcPr>
          <w:p w14:paraId="2DA1547D">
            <w:pPr>
              <w:widowControl/>
              <w:adjustRightInd w:val="0"/>
              <w:snapToGrid w:val="0"/>
              <w:jc w:val="center"/>
              <w:rPr>
                <w:rFonts w:ascii="Times New Roman" w:hAnsi="Times New Roman"/>
                <w:spacing w:val="-2"/>
                <w:kern w:val="0"/>
                <w:szCs w:val="21"/>
              </w:rPr>
            </w:pPr>
            <w:r>
              <w:rPr>
                <w:rFonts w:ascii="Times New Roman" w:hAnsi="Times New Roman"/>
                <w:spacing w:val="-2"/>
                <w:kern w:val="0"/>
                <w:szCs w:val="21"/>
              </w:rPr>
              <w:t>0.02-0.83</w:t>
            </w:r>
          </w:p>
        </w:tc>
      </w:tr>
      <w:tr w14:paraId="1EB261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9" w:type="dxa"/>
            <w:vAlign w:val="center"/>
          </w:tcPr>
          <w:p w14:paraId="3C742AEE">
            <w:pPr>
              <w:adjustRightInd w:val="0"/>
              <w:snapToGrid w:val="0"/>
              <w:jc w:val="center"/>
              <w:rPr>
                <w:rFonts w:ascii="Times New Roman" w:hAnsi="Times New Roman"/>
                <w:spacing w:val="-2"/>
                <w:kern w:val="0"/>
                <w:szCs w:val="21"/>
              </w:rPr>
            </w:pPr>
            <w:r>
              <w:rPr>
                <w:rFonts w:ascii="Times New Roman" w:hAnsi="Times New Roman"/>
                <w:spacing w:val="-2"/>
                <w:kern w:val="0"/>
                <w:szCs w:val="21"/>
              </w:rPr>
              <w:t>9</w:t>
            </w:r>
          </w:p>
        </w:tc>
        <w:tc>
          <w:tcPr>
            <w:tcW w:w="2127" w:type="dxa"/>
            <w:vAlign w:val="center"/>
          </w:tcPr>
          <w:p w14:paraId="4F9FAE2C">
            <w:pPr>
              <w:adjustRightInd w:val="0"/>
              <w:snapToGrid w:val="0"/>
              <w:jc w:val="center"/>
              <w:rPr>
                <w:rFonts w:ascii="Times New Roman" w:hAnsi="Times New Roman"/>
                <w:spacing w:val="-2"/>
                <w:kern w:val="0"/>
                <w:szCs w:val="21"/>
              </w:rPr>
            </w:pPr>
            <w:r>
              <w:rPr>
                <w:rFonts w:ascii="Times New Roman" w:hAnsi="Times New Roman"/>
                <w:spacing w:val="-2"/>
                <w:kern w:val="0"/>
                <w:szCs w:val="21"/>
              </w:rPr>
              <w:t>地下水Th</w:t>
            </w:r>
          </w:p>
        </w:tc>
        <w:tc>
          <w:tcPr>
            <w:tcW w:w="2126" w:type="dxa"/>
            <w:vAlign w:val="center"/>
          </w:tcPr>
          <w:p w14:paraId="3BE9B34A">
            <w:pPr>
              <w:adjustRightInd w:val="0"/>
              <w:snapToGrid w:val="0"/>
              <w:jc w:val="center"/>
              <w:rPr>
                <w:rFonts w:ascii="Times New Roman" w:hAnsi="Times New Roman"/>
                <w:spacing w:val="-2"/>
                <w:kern w:val="0"/>
                <w:szCs w:val="21"/>
              </w:rPr>
            </w:pPr>
            <w:r>
              <w:rPr>
                <w:rFonts w:ascii="Times New Roman" w:hAnsi="Times New Roman"/>
                <w:spacing w:val="-2"/>
                <w:kern w:val="0"/>
                <w:szCs w:val="21"/>
              </w:rPr>
              <w:t>µg/L</w:t>
            </w:r>
          </w:p>
        </w:tc>
        <w:tc>
          <w:tcPr>
            <w:tcW w:w="3645" w:type="dxa"/>
            <w:vAlign w:val="center"/>
          </w:tcPr>
          <w:p w14:paraId="0F8FE78A">
            <w:pPr>
              <w:widowControl/>
              <w:adjustRightInd w:val="0"/>
              <w:snapToGrid w:val="0"/>
              <w:jc w:val="center"/>
              <w:rPr>
                <w:rFonts w:ascii="Times New Roman" w:hAnsi="Times New Roman"/>
                <w:spacing w:val="-2"/>
                <w:kern w:val="0"/>
                <w:szCs w:val="21"/>
              </w:rPr>
            </w:pPr>
            <w:r>
              <w:rPr>
                <w:rFonts w:ascii="Times New Roman" w:hAnsi="Times New Roman"/>
                <w:spacing w:val="-2"/>
                <w:kern w:val="0"/>
                <w:szCs w:val="21"/>
              </w:rPr>
              <w:t>1.10-80.3</w:t>
            </w:r>
          </w:p>
        </w:tc>
      </w:tr>
      <w:tr w14:paraId="6FC367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9" w:type="dxa"/>
            <w:vAlign w:val="center"/>
          </w:tcPr>
          <w:p w14:paraId="3C5F49BF">
            <w:pPr>
              <w:adjustRightInd w:val="0"/>
              <w:snapToGrid w:val="0"/>
              <w:jc w:val="center"/>
              <w:rPr>
                <w:rFonts w:ascii="Times New Roman" w:hAnsi="Times New Roman"/>
                <w:spacing w:val="-2"/>
                <w:kern w:val="0"/>
                <w:szCs w:val="21"/>
              </w:rPr>
            </w:pPr>
            <w:r>
              <w:rPr>
                <w:rFonts w:ascii="Times New Roman" w:hAnsi="Times New Roman"/>
                <w:spacing w:val="-2"/>
                <w:kern w:val="0"/>
                <w:szCs w:val="21"/>
              </w:rPr>
              <w:t>10</w:t>
            </w:r>
          </w:p>
        </w:tc>
        <w:tc>
          <w:tcPr>
            <w:tcW w:w="2127" w:type="dxa"/>
            <w:vAlign w:val="center"/>
          </w:tcPr>
          <w:p w14:paraId="2E9CEE6B">
            <w:pPr>
              <w:adjustRightInd w:val="0"/>
              <w:snapToGrid w:val="0"/>
              <w:jc w:val="center"/>
              <w:rPr>
                <w:rFonts w:ascii="Times New Roman" w:hAnsi="Times New Roman"/>
                <w:spacing w:val="-2"/>
                <w:kern w:val="0"/>
                <w:szCs w:val="21"/>
              </w:rPr>
            </w:pPr>
            <w:r>
              <w:rPr>
                <w:rFonts w:ascii="Times New Roman" w:hAnsi="Times New Roman"/>
                <w:spacing w:val="-2"/>
                <w:kern w:val="0"/>
                <w:szCs w:val="21"/>
              </w:rPr>
              <w:t>地下水</w:t>
            </w:r>
            <w:r>
              <w:rPr>
                <w:rFonts w:ascii="Times New Roman" w:hAnsi="Times New Roman"/>
                <w:spacing w:val="-2"/>
                <w:kern w:val="0"/>
                <w:szCs w:val="21"/>
                <w:vertAlign w:val="superscript"/>
              </w:rPr>
              <w:t>226</w:t>
            </w:r>
            <w:r>
              <w:rPr>
                <w:rFonts w:ascii="Times New Roman" w:hAnsi="Times New Roman"/>
                <w:spacing w:val="-2"/>
                <w:kern w:val="0"/>
                <w:szCs w:val="21"/>
              </w:rPr>
              <w:t>Ra</w:t>
            </w:r>
          </w:p>
        </w:tc>
        <w:tc>
          <w:tcPr>
            <w:tcW w:w="2126" w:type="dxa"/>
            <w:vAlign w:val="center"/>
          </w:tcPr>
          <w:p w14:paraId="55734407">
            <w:pPr>
              <w:widowControl/>
              <w:adjustRightInd w:val="0"/>
              <w:snapToGrid w:val="0"/>
              <w:jc w:val="center"/>
              <w:rPr>
                <w:rFonts w:ascii="Times New Roman" w:hAnsi="Times New Roman"/>
                <w:spacing w:val="-2"/>
                <w:kern w:val="0"/>
                <w:szCs w:val="21"/>
              </w:rPr>
            </w:pPr>
            <w:r>
              <w:rPr>
                <w:rFonts w:ascii="Times New Roman" w:hAnsi="Times New Roman"/>
                <w:spacing w:val="-2"/>
                <w:kern w:val="0"/>
                <w:szCs w:val="21"/>
              </w:rPr>
              <w:t>mBq/L</w:t>
            </w:r>
          </w:p>
        </w:tc>
        <w:tc>
          <w:tcPr>
            <w:tcW w:w="3645" w:type="dxa"/>
            <w:vAlign w:val="center"/>
          </w:tcPr>
          <w:p w14:paraId="4205B37C">
            <w:pPr>
              <w:widowControl/>
              <w:adjustRightInd w:val="0"/>
              <w:snapToGrid w:val="0"/>
              <w:jc w:val="center"/>
              <w:rPr>
                <w:rFonts w:ascii="Times New Roman" w:hAnsi="Times New Roman"/>
                <w:spacing w:val="-2"/>
                <w:kern w:val="0"/>
                <w:szCs w:val="21"/>
              </w:rPr>
            </w:pPr>
            <w:r>
              <w:rPr>
                <w:rFonts w:ascii="Times New Roman" w:hAnsi="Times New Roman"/>
                <w:spacing w:val="-2"/>
                <w:kern w:val="0"/>
                <w:szCs w:val="21"/>
              </w:rPr>
              <w:t>0.02-0.14</w:t>
            </w:r>
          </w:p>
        </w:tc>
      </w:tr>
    </w:tbl>
    <w:p w14:paraId="3677AF31">
      <w:pPr>
        <w:widowControl/>
        <w:spacing w:line="360" w:lineRule="auto"/>
        <w:ind w:firstLine="420" w:firstLineChars="200"/>
        <w:jc w:val="left"/>
        <w:rPr>
          <w:rFonts w:ascii="Times New Roman" w:hAnsi="Times New Roman"/>
        </w:rPr>
      </w:pPr>
      <w:bookmarkStart w:id="61" w:name="_Hlk37960427"/>
      <w:r>
        <w:rPr>
          <w:rFonts w:ascii="Times New Roman" w:hAnsi="Times New Roman"/>
        </w:rPr>
        <w:t>氡浓度：由于《中国环境天然放射性水平》中无广西地区的室外空气中氡浓度限值，故本专篇参照《中国环境天然放射性水平》中广东广州地区室外空气中氡浓度范围值（6.8-26.5</w:t>
      </w:r>
      <w:r>
        <w:rPr>
          <w:rFonts w:ascii="Times New Roman" w:hAnsi="Times New Roman"/>
          <w:bCs/>
        </w:rPr>
        <w:t>Bq/m</w:t>
      </w:r>
      <w:r>
        <w:rPr>
          <w:rFonts w:ascii="Times New Roman" w:hAnsi="Times New Roman"/>
          <w:bCs/>
          <w:vertAlign w:val="superscript"/>
        </w:rPr>
        <w:t>3</w:t>
      </w:r>
      <w:r>
        <w:rPr>
          <w:rFonts w:ascii="Times New Roman" w:hAnsi="Times New Roman"/>
        </w:rPr>
        <w:t>）及《中国环境天然放射性水平》中全国城市空气中氡平均浓度变化范围值（3.3-40.6</w:t>
      </w:r>
      <w:r>
        <w:rPr>
          <w:rFonts w:ascii="Times New Roman" w:hAnsi="Times New Roman"/>
          <w:bCs/>
        </w:rPr>
        <w:t xml:space="preserve"> Bq/m</w:t>
      </w:r>
      <w:r>
        <w:rPr>
          <w:rFonts w:ascii="Times New Roman" w:hAnsi="Times New Roman"/>
          <w:bCs/>
          <w:vertAlign w:val="superscript"/>
        </w:rPr>
        <w:t>3</w:t>
      </w:r>
      <w:r>
        <w:rPr>
          <w:rFonts w:ascii="Times New Roman" w:hAnsi="Times New Roman"/>
        </w:rPr>
        <w:t>）控制</w:t>
      </w:r>
      <w:bookmarkEnd w:id="61"/>
      <w:r>
        <w:rPr>
          <w:rFonts w:ascii="Times New Roman" w:hAnsi="Times New Roman"/>
        </w:rPr>
        <w:t>。</w:t>
      </w:r>
    </w:p>
    <w:bookmarkEnd w:id="60"/>
    <w:p w14:paraId="2888C371">
      <w:pPr>
        <w:widowControl/>
        <w:spacing w:line="360" w:lineRule="auto"/>
        <w:ind w:firstLine="472" w:firstLineChars="200"/>
        <w:jc w:val="left"/>
        <w:rPr>
          <w:rFonts w:ascii="Times New Roman" w:hAnsi="Times New Roman"/>
          <w:spacing w:val="-2"/>
          <w:kern w:val="0"/>
          <w:sz w:val="24"/>
          <w:szCs w:val="24"/>
        </w:rPr>
      </w:pPr>
    </w:p>
    <w:p w14:paraId="21BE9B52">
      <w:pPr>
        <w:pStyle w:val="6"/>
      </w:pPr>
      <w:r>
        <w:t>污染物排放标准</w:t>
      </w:r>
    </w:p>
    <w:p w14:paraId="28596764">
      <w:pPr>
        <w:widowControl/>
        <w:spacing w:line="360" w:lineRule="auto"/>
        <w:ind w:firstLine="472" w:firstLineChars="200"/>
        <w:jc w:val="left"/>
        <w:rPr>
          <w:rFonts w:ascii="Times New Roman" w:hAnsi="Times New Roman"/>
          <w:spacing w:val="-2"/>
          <w:kern w:val="0"/>
          <w:sz w:val="24"/>
          <w:szCs w:val="24"/>
        </w:rPr>
      </w:pPr>
      <w:r>
        <w:rPr>
          <w:rFonts w:ascii="Times New Roman" w:hAnsi="Times New Roman"/>
          <w:spacing w:val="-2"/>
          <w:kern w:val="0"/>
          <w:sz w:val="24"/>
          <w:szCs w:val="24"/>
        </w:rPr>
        <w:t>（1）营运期</w:t>
      </w:r>
      <w:r>
        <w:rPr>
          <w:rFonts w:hint="eastAsia" w:ascii="Times New Roman" w:hAnsi="Times New Roman"/>
          <w:spacing w:val="-2"/>
          <w:kern w:val="0"/>
          <w:sz w:val="24"/>
          <w:szCs w:val="24"/>
        </w:rPr>
        <w:t>大气污染物排放标准</w:t>
      </w:r>
    </w:p>
    <w:p w14:paraId="08E02F90">
      <w:pPr>
        <w:widowControl/>
        <w:spacing w:line="360" w:lineRule="auto"/>
        <w:ind w:firstLine="472" w:firstLineChars="200"/>
        <w:jc w:val="left"/>
        <w:rPr>
          <w:rFonts w:ascii="Times New Roman" w:hAnsi="Times New Roman"/>
          <w:spacing w:val="-2"/>
          <w:kern w:val="0"/>
          <w:sz w:val="24"/>
          <w:szCs w:val="24"/>
        </w:rPr>
      </w:pPr>
      <w:r>
        <w:rPr>
          <w:rFonts w:ascii="Times New Roman" w:hAnsi="Times New Roman"/>
          <w:spacing w:val="-2"/>
          <w:kern w:val="0"/>
          <w:sz w:val="24"/>
          <w:szCs w:val="24"/>
        </w:rPr>
        <w:t>营运期烘干炉烟气有组织排放的颗粒物、二氧化硫执行《工业炉窑大气污染物排放标准》（GB9078-1996）表2干燥炉、窑的排放限值，氮氧化物排放浓度</w:t>
      </w:r>
      <w:r>
        <w:rPr>
          <w:rFonts w:hint="eastAsia" w:ascii="Times New Roman" w:hAnsi="Times New Roman"/>
          <w:spacing w:val="-2"/>
          <w:kern w:val="0"/>
          <w:sz w:val="24"/>
          <w:szCs w:val="24"/>
        </w:rPr>
        <w:t>及排放速率标准</w:t>
      </w:r>
      <w:r>
        <w:rPr>
          <w:rFonts w:ascii="Times New Roman" w:hAnsi="Times New Roman"/>
          <w:spacing w:val="-2"/>
          <w:kern w:val="0"/>
          <w:sz w:val="24"/>
          <w:szCs w:val="24"/>
        </w:rPr>
        <w:t>参照《大气污染物综合排放标准（GB16297-1996）》二级标准执行。</w:t>
      </w:r>
    </w:p>
    <w:p w14:paraId="1B8D5EB0">
      <w:pPr>
        <w:widowControl/>
        <w:spacing w:line="360" w:lineRule="auto"/>
        <w:ind w:firstLine="472" w:firstLineChars="200"/>
        <w:jc w:val="left"/>
        <w:rPr>
          <w:rFonts w:ascii="Times New Roman" w:hAnsi="Times New Roman"/>
          <w:spacing w:val="-2"/>
          <w:kern w:val="0"/>
          <w:sz w:val="24"/>
          <w:szCs w:val="24"/>
          <w:u w:val="single"/>
        </w:rPr>
      </w:pPr>
      <w:r>
        <w:rPr>
          <w:rFonts w:ascii="Times New Roman" w:hAnsi="Times New Roman"/>
          <w:spacing w:val="-2"/>
          <w:kern w:val="0"/>
          <w:sz w:val="24"/>
          <w:szCs w:val="24"/>
          <w:u w:val="single"/>
        </w:rPr>
        <w:t>生产车间有组织排放的颗粒物</w:t>
      </w:r>
      <w:r>
        <w:rPr>
          <w:rFonts w:hint="eastAsia" w:ascii="Times New Roman" w:hAnsi="Times New Roman"/>
          <w:spacing w:val="-2"/>
          <w:kern w:val="0"/>
          <w:sz w:val="24"/>
          <w:szCs w:val="24"/>
          <w:u w:val="single"/>
        </w:rPr>
        <w:t>执行《大气污染物综合排放标准》（GB16297-1996）。</w:t>
      </w:r>
    </w:p>
    <w:p w14:paraId="19764255">
      <w:pPr>
        <w:widowControl/>
        <w:spacing w:line="360" w:lineRule="auto"/>
        <w:ind w:firstLine="472" w:firstLineChars="200"/>
        <w:jc w:val="left"/>
        <w:rPr>
          <w:rFonts w:ascii="Times New Roman" w:hAnsi="Times New Roman"/>
          <w:spacing w:val="-2"/>
          <w:kern w:val="0"/>
          <w:sz w:val="24"/>
          <w:szCs w:val="24"/>
          <w:u w:val="single"/>
        </w:rPr>
      </w:pPr>
      <w:r>
        <w:rPr>
          <w:rFonts w:ascii="Times New Roman" w:hAnsi="Times New Roman"/>
          <w:spacing w:val="-2"/>
          <w:kern w:val="0"/>
          <w:sz w:val="24"/>
          <w:szCs w:val="24"/>
          <w:u w:val="single"/>
        </w:rPr>
        <w:t>项目无组织排放颗粒物的厂界浓度执行</w:t>
      </w:r>
      <w:r>
        <w:rPr>
          <w:rFonts w:hint="eastAsia" w:ascii="Times New Roman" w:hAnsi="Times New Roman"/>
          <w:spacing w:val="-2"/>
          <w:kern w:val="0"/>
          <w:sz w:val="24"/>
          <w:szCs w:val="24"/>
          <w:u w:val="single"/>
        </w:rPr>
        <w:t>《大气污染物综合排放标准》（GB16297-1996）周界外浓度限值</w:t>
      </w:r>
      <w:r>
        <w:rPr>
          <w:rFonts w:ascii="Times New Roman" w:hAnsi="Times New Roman"/>
          <w:spacing w:val="-2"/>
          <w:kern w:val="0"/>
          <w:sz w:val="24"/>
          <w:szCs w:val="24"/>
          <w:u w:val="single"/>
        </w:rPr>
        <w:t>。</w:t>
      </w:r>
    </w:p>
    <w:p w14:paraId="68DB79CA">
      <w:pPr>
        <w:widowControl/>
        <w:spacing w:line="360" w:lineRule="auto"/>
        <w:ind w:firstLine="472" w:firstLineChars="200"/>
        <w:jc w:val="left"/>
        <w:rPr>
          <w:rFonts w:ascii="Times New Roman" w:hAnsi="Times New Roman"/>
          <w:spacing w:val="-2"/>
          <w:kern w:val="0"/>
          <w:sz w:val="24"/>
          <w:szCs w:val="24"/>
        </w:rPr>
      </w:pPr>
      <w:r>
        <w:rPr>
          <w:rFonts w:ascii="Times New Roman" w:hAnsi="Times New Roman"/>
          <w:spacing w:val="-2"/>
          <w:kern w:val="0"/>
          <w:sz w:val="24"/>
          <w:szCs w:val="24"/>
        </w:rPr>
        <w:t>营运期废气排放标准详见表 1.4-</w:t>
      </w:r>
      <w:r>
        <w:rPr>
          <w:rFonts w:hint="eastAsia" w:ascii="Times New Roman" w:hAnsi="Times New Roman"/>
          <w:spacing w:val="-2"/>
          <w:kern w:val="0"/>
          <w:sz w:val="24"/>
          <w:szCs w:val="24"/>
        </w:rPr>
        <w:t>6</w:t>
      </w:r>
      <w:r>
        <w:rPr>
          <w:rFonts w:ascii="Times New Roman" w:hAnsi="Times New Roman"/>
          <w:spacing w:val="-2"/>
          <w:kern w:val="0"/>
          <w:sz w:val="24"/>
          <w:szCs w:val="24"/>
        </w:rPr>
        <w:t>。</w:t>
      </w:r>
    </w:p>
    <w:p w14:paraId="46DC1C17">
      <w:pPr>
        <w:pStyle w:val="8"/>
        <w:rPr>
          <w:sz w:val="24"/>
          <w:szCs w:val="24"/>
        </w:rPr>
      </w:pPr>
      <w:r>
        <w:rPr>
          <w:sz w:val="24"/>
          <w:szCs w:val="24"/>
        </w:rPr>
        <w:t>项目废气排放标准限值一览表</w:t>
      </w:r>
    </w:p>
    <w:tbl>
      <w:tblPr>
        <w:tblStyle w:val="88"/>
        <w:tblW w:w="9183"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78"/>
        <w:gridCol w:w="992"/>
        <w:gridCol w:w="850"/>
        <w:gridCol w:w="1276"/>
        <w:gridCol w:w="851"/>
        <w:gridCol w:w="850"/>
        <w:gridCol w:w="1276"/>
        <w:gridCol w:w="2110"/>
      </w:tblGrid>
      <w:tr w14:paraId="3F7CBE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978" w:type="dxa"/>
            <w:vMerge w:val="restart"/>
            <w:vAlign w:val="center"/>
          </w:tcPr>
          <w:p w14:paraId="052E72CE">
            <w:pPr>
              <w:jc w:val="center"/>
              <w:rPr>
                <w:rFonts w:ascii="Times New Roman" w:hAnsi="Times New Roman"/>
                <w:b/>
                <w:bCs/>
                <w:spacing w:val="-2"/>
                <w:kern w:val="0"/>
                <w:szCs w:val="21"/>
              </w:rPr>
            </w:pPr>
            <w:r>
              <w:rPr>
                <w:rFonts w:ascii="Times New Roman" w:hAnsi="Times New Roman"/>
                <w:b/>
                <w:bCs/>
                <w:spacing w:val="-2"/>
                <w:kern w:val="0"/>
                <w:szCs w:val="21"/>
              </w:rPr>
              <w:t>污染源</w:t>
            </w:r>
          </w:p>
        </w:tc>
        <w:tc>
          <w:tcPr>
            <w:tcW w:w="992" w:type="dxa"/>
            <w:vMerge w:val="restart"/>
            <w:vAlign w:val="center"/>
          </w:tcPr>
          <w:p w14:paraId="61F6F125">
            <w:pPr>
              <w:jc w:val="center"/>
              <w:rPr>
                <w:rFonts w:ascii="Times New Roman" w:hAnsi="Times New Roman"/>
                <w:b/>
                <w:bCs/>
                <w:spacing w:val="-2"/>
                <w:kern w:val="0"/>
                <w:szCs w:val="21"/>
              </w:rPr>
            </w:pPr>
            <w:r>
              <w:rPr>
                <w:rFonts w:ascii="Times New Roman" w:hAnsi="Times New Roman"/>
                <w:b/>
                <w:bCs/>
                <w:spacing w:val="-2"/>
                <w:kern w:val="0"/>
                <w:szCs w:val="21"/>
              </w:rPr>
              <w:t>污染物</w:t>
            </w:r>
          </w:p>
        </w:tc>
        <w:tc>
          <w:tcPr>
            <w:tcW w:w="850" w:type="dxa"/>
            <w:vMerge w:val="restart"/>
            <w:vAlign w:val="center"/>
          </w:tcPr>
          <w:p w14:paraId="598E0E01">
            <w:pPr>
              <w:jc w:val="center"/>
              <w:rPr>
                <w:rFonts w:ascii="Times New Roman" w:hAnsi="Times New Roman"/>
                <w:b/>
                <w:bCs/>
                <w:spacing w:val="-2"/>
                <w:kern w:val="0"/>
                <w:szCs w:val="21"/>
              </w:rPr>
            </w:pPr>
            <w:r>
              <w:rPr>
                <w:rFonts w:ascii="Times New Roman" w:hAnsi="Times New Roman"/>
                <w:b/>
                <w:bCs/>
                <w:spacing w:val="-2"/>
                <w:kern w:val="0"/>
                <w:szCs w:val="21"/>
              </w:rPr>
              <w:t>炉窑</w:t>
            </w:r>
          </w:p>
          <w:p w14:paraId="39BC15FA">
            <w:pPr>
              <w:jc w:val="center"/>
              <w:rPr>
                <w:rFonts w:ascii="Times New Roman" w:hAnsi="Times New Roman"/>
                <w:b/>
                <w:bCs/>
                <w:spacing w:val="-2"/>
                <w:kern w:val="0"/>
                <w:szCs w:val="21"/>
              </w:rPr>
            </w:pPr>
            <w:r>
              <w:rPr>
                <w:rFonts w:ascii="Times New Roman" w:hAnsi="Times New Roman"/>
                <w:b/>
                <w:bCs/>
                <w:spacing w:val="-2"/>
                <w:kern w:val="0"/>
                <w:szCs w:val="21"/>
              </w:rPr>
              <w:t>类别</w:t>
            </w:r>
          </w:p>
        </w:tc>
        <w:tc>
          <w:tcPr>
            <w:tcW w:w="1276" w:type="dxa"/>
            <w:vMerge w:val="restart"/>
            <w:vAlign w:val="center"/>
          </w:tcPr>
          <w:p w14:paraId="7FA3FAF2">
            <w:pPr>
              <w:jc w:val="center"/>
              <w:rPr>
                <w:rFonts w:ascii="Times New Roman" w:hAnsi="Times New Roman"/>
                <w:b/>
                <w:bCs/>
                <w:spacing w:val="-2"/>
                <w:kern w:val="0"/>
                <w:szCs w:val="21"/>
              </w:rPr>
            </w:pPr>
            <w:r>
              <w:rPr>
                <w:rFonts w:ascii="Times New Roman" w:hAnsi="Times New Roman"/>
                <w:b/>
                <w:bCs/>
                <w:spacing w:val="-2"/>
                <w:kern w:val="0"/>
                <w:szCs w:val="21"/>
              </w:rPr>
              <w:t>排放限值（mg/m</w:t>
            </w:r>
            <w:r>
              <w:rPr>
                <w:rFonts w:ascii="Times New Roman" w:hAnsi="Times New Roman"/>
                <w:b/>
                <w:bCs/>
                <w:spacing w:val="-2"/>
                <w:kern w:val="0"/>
                <w:szCs w:val="21"/>
                <w:vertAlign w:val="superscript"/>
              </w:rPr>
              <w:t>3</w:t>
            </w:r>
            <w:r>
              <w:rPr>
                <w:rFonts w:ascii="Times New Roman" w:hAnsi="Times New Roman"/>
                <w:b/>
                <w:bCs/>
                <w:spacing w:val="-2"/>
                <w:kern w:val="0"/>
                <w:szCs w:val="21"/>
              </w:rPr>
              <w:t>）</w:t>
            </w:r>
          </w:p>
        </w:tc>
        <w:tc>
          <w:tcPr>
            <w:tcW w:w="1701" w:type="dxa"/>
            <w:gridSpan w:val="2"/>
            <w:vAlign w:val="center"/>
          </w:tcPr>
          <w:p w14:paraId="50DF2207">
            <w:pPr>
              <w:jc w:val="center"/>
              <w:rPr>
                <w:rFonts w:ascii="Times New Roman" w:hAnsi="Times New Roman"/>
                <w:b/>
                <w:bCs/>
                <w:spacing w:val="-2"/>
                <w:kern w:val="0"/>
                <w:szCs w:val="21"/>
              </w:rPr>
            </w:pPr>
            <w:r>
              <w:rPr>
                <w:rFonts w:ascii="Times New Roman" w:hAnsi="Times New Roman"/>
                <w:b/>
                <w:bCs/>
                <w:spacing w:val="-2"/>
                <w:kern w:val="0"/>
                <w:szCs w:val="21"/>
              </w:rPr>
              <w:t>最高允许排放速率（kg/h）</w:t>
            </w:r>
          </w:p>
        </w:tc>
        <w:tc>
          <w:tcPr>
            <w:tcW w:w="1276" w:type="dxa"/>
            <w:vMerge w:val="restart"/>
            <w:vAlign w:val="center"/>
          </w:tcPr>
          <w:p w14:paraId="1B295A29">
            <w:pPr>
              <w:jc w:val="center"/>
              <w:rPr>
                <w:rFonts w:ascii="Times New Roman" w:hAnsi="Times New Roman"/>
                <w:b/>
                <w:bCs/>
                <w:spacing w:val="-2"/>
                <w:kern w:val="0"/>
                <w:szCs w:val="21"/>
              </w:rPr>
            </w:pPr>
            <w:r>
              <w:rPr>
                <w:rFonts w:ascii="Times New Roman" w:hAnsi="Times New Roman"/>
                <w:b/>
                <w:bCs/>
                <w:spacing w:val="-2"/>
                <w:kern w:val="0"/>
                <w:szCs w:val="21"/>
              </w:rPr>
              <w:t>无组织排放限值（mg/m</w:t>
            </w:r>
            <w:r>
              <w:rPr>
                <w:rFonts w:ascii="Times New Roman" w:hAnsi="Times New Roman"/>
                <w:b/>
                <w:bCs/>
                <w:spacing w:val="-2"/>
                <w:kern w:val="0"/>
                <w:szCs w:val="21"/>
                <w:vertAlign w:val="superscript"/>
              </w:rPr>
              <w:t>3</w:t>
            </w:r>
            <w:r>
              <w:rPr>
                <w:rFonts w:ascii="Times New Roman" w:hAnsi="Times New Roman"/>
                <w:b/>
                <w:bCs/>
                <w:spacing w:val="-2"/>
                <w:kern w:val="0"/>
                <w:szCs w:val="21"/>
              </w:rPr>
              <w:t>）</w:t>
            </w:r>
          </w:p>
        </w:tc>
        <w:tc>
          <w:tcPr>
            <w:tcW w:w="2110" w:type="dxa"/>
            <w:vMerge w:val="restart"/>
            <w:vAlign w:val="center"/>
          </w:tcPr>
          <w:p w14:paraId="1C7494CA">
            <w:pPr>
              <w:jc w:val="center"/>
              <w:rPr>
                <w:rFonts w:ascii="Times New Roman" w:hAnsi="Times New Roman"/>
                <w:b/>
                <w:bCs/>
                <w:spacing w:val="-2"/>
                <w:kern w:val="0"/>
                <w:szCs w:val="21"/>
              </w:rPr>
            </w:pPr>
            <w:r>
              <w:rPr>
                <w:rFonts w:ascii="Times New Roman" w:hAnsi="Times New Roman"/>
                <w:b/>
                <w:bCs/>
                <w:spacing w:val="-2"/>
                <w:kern w:val="0"/>
                <w:szCs w:val="21"/>
              </w:rPr>
              <w:t>执行标准</w:t>
            </w:r>
          </w:p>
        </w:tc>
      </w:tr>
      <w:tr w14:paraId="02118C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978" w:type="dxa"/>
            <w:vMerge w:val="continue"/>
            <w:vAlign w:val="center"/>
          </w:tcPr>
          <w:p w14:paraId="2F99D344">
            <w:pPr>
              <w:jc w:val="center"/>
              <w:rPr>
                <w:rFonts w:ascii="Times New Roman" w:hAnsi="Times New Roman"/>
                <w:b/>
                <w:bCs/>
                <w:spacing w:val="-2"/>
                <w:kern w:val="0"/>
                <w:szCs w:val="21"/>
              </w:rPr>
            </w:pPr>
          </w:p>
        </w:tc>
        <w:tc>
          <w:tcPr>
            <w:tcW w:w="992" w:type="dxa"/>
            <w:vMerge w:val="continue"/>
            <w:vAlign w:val="center"/>
          </w:tcPr>
          <w:p w14:paraId="3B4AB3A4">
            <w:pPr>
              <w:jc w:val="center"/>
              <w:rPr>
                <w:rFonts w:ascii="Times New Roman" w:hAnsi="Times New Roman"/>
                <w:b/>
                <w:bCs/>
                <w:spacing w:val="-2"/>
                <w:kern w:val="0"/>
                <w:szCs w:val="21"/>
              </w:rPr>
            </w:pPr>
          </w:p>
        </w:tc>
        <w:tc>
          <w:tcPr>
            <w:tcW w:w="850" w:type="dxa"/>
            <w:vMerge w:val="continue"/>
            <w:vAlign w:val="center"/>
          </w:tcPr>
          <w:p w14:paraId="3BDA6F8C">
            <w:pPr>
              <w:jc w:val="center"/>
              <w:rPr>
                <w:rFonts w:ascii="Times New Roman" w:hAnsi="Times New Roman"/>
                <w:b/>
                <w:bCs/>
                <w:spacing w:val="-2"/>
                <w:kern w:val="0"/>
                <w:szCs w:val="21"/>
              </w:rPr>
            </w:pPr>
          </w:p>
        </w:tc>
        <w:tc>
          <w:tcPr>
            <w:tcW w:w="1276" w:type="dxa"/>
            <w:vMerge w:val="continue"/>
            <w:vAlign w:val="center"/>
          </w:tcPr>
          <w:p w14:paraId="45F626F3">
            <w:pPr>
              <w:jc w:val="center"/>
              <w:rPr>
                <w:rFonts w:ascii="Times New Roman" w:hAnsi="Times New Roman"/>
                <w:b/>
                <w:bCs/>
                <w:spacing w:val="-2"/>
                <w:kern w:val="0"/>
                <w:szCs w:val="21"/>
              </w:rPr>
            </w:pPr>
          </w:p>
        </w:tc>
        <w:tc>
          <w:tcPr>
            <w:tcW w:w="851" w:type="dxa"/>
            <w:vAlign w:val="center"/>
          </w:tcPr>
          <w:p w14:paraId="0F4110FF">
            <w:pPr>
              <w:jc w:val="center"/>
              <w:rPr>
                <w:rFonts w:ascii="Times New Roman" w:hAnsi="Times New Roman"/>
                <w:b/>
                <w:bCs/>
                <w:spacing w:val="-2"/>
                <w:kern w:val="0"/>
                <w:szCs w:val="21"/>
              </w:rPr>
            </w:pPr>
            <w:r>
              <w:rPr>
                <w:rFonts w:ascii="Times New Roman" w:hAnsi="Times New Roman"/>
                <w:b/>
                <w:bCs/>
                <w:spacing w:val="-2"/>
                <w:kern w:val="0"/>
                <w:szCs w:val="21"/>
              </w:rPr>
              <w:t>排气筒（m）</w:t>
            </w:r>
          </w:p>
        </w:tc>
        <w:tc>
          <w:tcPr>
            <w:tcW w:w="850" w:type="dxa"/>
            <w:vAlign w:val="center"/>
          </w:tcPr>
          <w:p w14:paraId="4E35BC82">
            <w:pPr>
              <w:jc w:val="center"/>
              <w:rPr>
                <w:rFonts w:ascii="Times New Roman" w:hAnsi="Times New Roman"/>
                <w:b/>
                <w:bCs/>
                <w:spacing w:val="-2"/>
                <w:kern w:val="0"/>
                <w:szCs w:val="21"/>
              </w:rPr>
            </w:pPr>
            <w:r>
              <w:rPr>
                <w:rFonts w:ascii="Times New Roman" w:hAnsi="Times New Roman"/>
                <w:b/>
                <w:bCs/>
                <w:spacing w:val="-2"/>
                <w:kern w:val="0"/>
                <w:szCs w:val="21"/>
              </w:rPr>
              <w:t>二级</w:t>
            </w:r>
          </w:p>
        </w:tc>
        <w:tc>
          <w:tcPr>
            <w:tcW w:w="1276" w:type="dxa"/>
            <w:vMerge w:val="continue"/>
            <w:vAlign w:val="center"/>
          </w:tcPr>
          <w:p w14:paraId="7E8DB811">
            <w:pPr>
              <w:jc w:val="center"/>
              <w:rPr>
                <w:rFonts w:ascii="Times New Roman" w:hAnsi="Times New Roman"/>
                <w:b/>
                <w:bCs/>
                <w:spacing w:val="-2"/>
                <w:kern w:val="0"/>
                <w:szCs w:val="21"/>
              </w:rPr>
            </w:pPr>
          </w:p>
        </w:tc>
        <w:tc>
          <w:tcPr>
            <w:tcW w:w="2110" w:type="dxa"/>
            <w:vMerge w:val="continue"/>
            <w:vAlign w:val="center"/>
          </w:tcPr>
          <w:p w14:paraId="1DDB5326">
            <w:pPr>
              <w:jc w:val="center"/>
              <w:rPr>
                <w:rFonts w:ascii="Times New Roman" w:hAnsi="Times New Roman"/>
                <w:b/>
                <w:bCs/>
                <w:spacing w:val="-2"/>
                <w:kern w:val="0"/>
                <w:szCs w:val="21"/>
              </w:rPr>
            </w:pPr>
          </w:p>
        </w:tc>
      </w:tr>
      <w:tr w14:paraId="55681E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78" w:type="dxa"/>
            <w:vMerge w:val="restart"/>
            <w:vAlign w:val="center"/>
          </w:tcPr>
          <w:p w14:paraId="7650B70D">
            <w:pPr>
              <w:jc w:val="center"/>
              <w:rPr>
                <w:rFonts w:ascii="Times New Roman" w:hAnsi="Times New Roman"/>
                <w:spacing w:val="-2"/>
                <w:kern w:val="0"/>
                <w:szCs w:val="21"/>
              </w:rPr>
            </w:pPr>
            <w:r>
              <w:rPr>
                <w:rFonts w:ascii="Times New Roman" w:hAnsi="Times New Roman"/>
                <w:spacing w:val="-2"/>
                <w:kern w:val="0"/>
                <w:szCs w:val="21"/>
              </w:rPr>
              <w:t>烘干炉烟气</w:t>
            </w:r>
          </w:p>
        </w:tc>
        <w:tc>
          <w:tcPr>
            <w:tcW w:w="992" w:type="dxa"/>
            <w:vAlign w:val="center"/>
          </w:tcPr>
          <w:p w14:paraId="118B54C1">
            <w:pPr>
              <w:jc w:val="center"/>
              <w:rPr>
                <w:rFonts w:ascii="Times New Roman" w:hAnsi="Times New Roman"/>
                <w:spacing w:val="-2"/>
                <w:kern w:val="0"/>
                <w:szCs w:val="21"/>
              </w:rPr>
            </w:pPr>
            <w:r>
              <w:rPr>
                <w:rFonts w:ascii="Times New Roman" w:hAnsi="Times New Roman"/>
                <w:spacing w:val="-2"/>
                <w:kern w:val="0"/>
                <w:szCs w:val="21"/>
              </w:rPr>
              <w:t>烟（粉）尘</w:t>
            </w:r>
          </w:p>
        </w:tc>
        <w:tc>
          <w:tcPr>
            <w:tcW w:w="850" w:type="dxa"/>
            <w:vAlign w:val="center"/>
          </w:tcPr>
          <w:p w14:paraId="293F313A">
            <w:pPr>
              <w:jc w:val="center"/>
              <w:rPr>
                <w:rFonts w:ascii="Times New Roman" w:hAnsi="Times New Roman"/>
                <w:spacing w:val="-2"/>
                <w:kern w:val="0"/>
                <w:szCs w:val="21"/>
              </w:rPr>
            </w:pPr>
            <w:r>
              <w:rPr>
                <w:rFonts w:ascii="Times New Roman" w:hAnsi="Times New Roman"/>
                <w:spacing w:val="-2"/>
                <w:kern w:val="0"/>
                <w:szCs w:val="21"/>
              </w:rPr>
              <w:t>干燥炉、窑</w:t>
            </w:r>
          </w:p>
        </w:tc>
        <w:tc>
          <w:tcPr>
            <w:tcW w:w="1276" w:type="dxa"/>
            <w:vAlign w:val="center"/>
          </w:tcPr>
          <w:p w14:paraId="785051FD">
            <w:pPr>
              <w:jc w:val="center"/>
              <w:rPr>
                <w:rFonts w:ascii="Times New Roman" w:hAnsi="Times New Roman"/>
                <w:spacing w:val="-2"/>
                <w:kern w:val="0"/>
                <w:szCs w:val="21"/>
              </w:rPr>
            </w:pPr>
            <w:r>
              <w:rPr>
                <w:rFonts w:ascii="Times New Roman" w:hAnsi="Times New Roman"/>
                <w:spacing w:val="-2"/>
                <w:kern w:val="0"/>
                <w:szCs w:val="21"/>
              </w:rPr>
              <w:t>200</w:t>
            </w:r>
          </w:p>
        </w:tc>
        <w:tc>
          <w:tcPr>
            <w:tcW w:w="851" w:type="dxa"/>
            <w:vAlign w:val="center"/>
          </w:tcPr>
          <w:p w14:paraId="3C664189">
            <w:pPr>
              <w:jc w:val="center"/>
              <w:rPr>
                <w:rFonts w:ascii="Times New Roman" w:hAnsi="Times New Roman"/>
                <w:spacing w:val="-2"/>
                <w:kern w:val="0"/>
                <w:szCs w:val="21"/>
              </w:rPr>
            </w:pPr>
            <w:r>
              <w:rPr>
                <w:rFonts w:ascii="Times New Roman" w:hAnsi="Times New Roman"/>
                <w:spacing w:val="-2"/>
                <w:kern w:val="0"/>
                <w:szCs w:val="21"/>
              </w:rPr>
              <w:t>/</w:t>
            </w:r>
          </w:p>
        </w:tc>
        <w:tc>
          <w:tcPr>
            <w:tcW w:w="850" w:type="dxa"/>
            <w:vAlign w:val="center"/>
          </w:tcPr>
          <w:p w14:paraId="39ECEA87">
            <w:pPr>
              <w:jc w:val="center"/>
              <w:rPr>
                <w:rFonts w:ascii="Times New Roman" w:hAnsi="Times New Roman"/>
                <w:spacing w:val="-2"/>
                <w:kern w:val="0"/>
                <w:szCs w:val="21"/>
              </w:rPr>
            </w:pPr>
            <w:r>
              <w:rPr>
                <w:rFonts w:ascii="Times New Roman" w:hAnsi="Times New Roman"/>
                <w:spacing w:val="-2"/>
                <w:kern w:val="0"/>
                <w:szCs w:val="21"/>
              </w:rPr>
              <w:t>/</w:t>
            </w:r>
          </w:p>
        </w:tc>
        <w:tc>
          <w:tcPr>
            <w:tcW w:w="1276" w:type="dxa"/>
            <w:vAlign w:val="center"/>
          </w:tcPr>
          <w:p w14:paraId="50EE1B01">
            <w:pPr>
              <w:jc w:val="center"/>
              <w:rPr>
                <w:rFonts w:ascii="Times New Roman" w:hAnsi="Times New Roman"/>
                <w:spacing w:val="-2"/>
                <w:kern w:val="0"/>
                <w:szCs w:val="21"/>
              </w:rPr>
            </w:pPr>
            <w:r>
              <w:rPr>
                <w:rFonts w:ascii="Times New Roman" w:hAnsi="Times New Roman"/>
                <w:spacing w:val="-2"/>
                <w:kern w:val="0"/>
                <w:szCs w:val="21"/>
              </w:rPr>
              <w:t>/</w:t>
            </w:r>
          </w:p>
        </w:tc>
        <w:tc>
          <w:tcPr>
            <w:tcW w:w="2110" w:type="dxa"/>
            <w:vMerge w:val="restart"/>
            <w:vAlign w:val="center"/>
          </w:tcPr>
          <w:p w14:paraId="598EC6A9">
            <w:pPr>
              <w:jc w:val="center"/>
              <w:rPr>
                <w:rFonts w:ascii="Times New Roman" w:hAnsi="Times New Roman"/>
                <w:spacing w:val="-2"/>
                <w:kern w:val="0"/>
                <w:szCs w:val="21"/>
              </w:rPr>
            </w:pPr>
            <w:r>
              <w:rPr>
                <w:rFonts w:ascii="Times New Roman" w:hAnsi="Times New Roman"/>
                <w:spacing w:val="-2"/>
                <w:kern w:val="0"/>
                <w:szCs w:val="21"/>
              </w:rPr>
              <w:t>《工业炉窑大气污染物排放标准》（GB9078-1996）</w:t>
            </w:r>
          </w:p>
        </w:tc>
      </w:tr>
      <w:tr w14:paraId="0C81BC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78" w:type="dxa"/>
            <w:vMerge w:val="continue"/>
            <w:vAlign w:val="center"/>
          </w:tcPr>
          <w:p w14:paraId="165F792B">
            <w:pPr>
              <w:jc w:val="center"/>
              <w:rPr>
                <w:rFonts w:ascii="Times New Roman" w:hAnsi="Times New Roman"/>
                <w:spacing w:val="-2"/>
                <w:kern w:val="0"/>
                <w:szCs w:val="21"/>
              </w:rPr>
            </w:pPr>
          </w:p>
        </w:tc>
        <w:tc>
          <w:tcPr>
            <w:tcW w:w="1842" w:type="dxa"/>
            <w:gridSpan w:val="2"/>
            <w:vAlign w:val="center"/>
          </w:tcPr>
          <w:p w14:paraId="67B83080">
            <w:pPr>
              <w:widowControl/>
              <w:adjustRightInd w:val="0"/>
              <w:snapToGrid w:val="0"/>
              <w:spacing w:line="240" w:lineRule="atLeast"/>
              <w:jc w:val="center"/>
              <w:rPr>
                <w:rFonts w:ascii="Times New Roman" w:hAnsi="Times New Roman"/>
                <w:spacing w:val="-2"/>
                <w:kern w:val="0"/>
                <w:szCs w:val="21"/>
              </w:rPr>
            </w:pPr>
            <w:r>
              <w:rPr>
                <w:rFonts w:ascii="Times New Roman" w:hAnsi="Times New Roman"/>
                <w:spacing w:val="-2"/>
                <w:kern w:val="0"/>
                <w:szCs w:val="21"/>
              </w:rPr>
              <w:t>二氧化硫</w:t>
            </w:r>
          </w:p>
        </w:tc>
        <w:tc>
          <w:tcPr>
            <w:tcW w:w="1276" w:type="dxa"/>
            <w:vAlign w:val="center"/>
          </w:tcPr>
          <w:p w14:paraId="20297C16">
            <w:pPr>
              <w:widowControl/>
              <w:adjustRightInd w:val="0"/>
              <w:snapToGrid w:val="0"/>
              <w:spacing w:line="240" w:lineRule="atLeast"/>
              <w:jc w:val="center"/>
              <w:rPr>
                <w:rFonts w:ascii="Times New Roman" w:hAnsi="Times New Roman"/>
                <w:spacing w:val="-2"/>
                <w:kern w:val="0"/>
                <w:szCs w:val="21"/>
              </w:rPr>
            </w:pPr>
            <w:r>
              <w:rPr>
                <w:rFonts w:ascii="Times New Roman" w:hAnsi="Times New Roman"/>
                <w:spacing w:val="-2"/>
                <w:kern w:val="0"/>
                <w:szCs w:val="21"/>
              </w:rPr>
              <w:t>850</w:t>
            </w:r>
          </w:p>
        </w:tc>
        <w:tc>
          <w:tcPr>
            <w:tcW w:w="851" w:type="dxa"/>
            <w:vAlign w:val="center"/>
          </w:tcPr>
          <w:p w14:paraId="728A2CCF">
            <w:pPr>
              <w:jc w:val="center"/>
              <w:rPr>
                <w:rFonts w:ascii="Times New Roman" w:hAnsi="Times New Roman"/>
                <w:spacing w:val="-2"/>
                <w:kern w:val="0"/>
                <w:szCs w:val="21"/>
              </w:rPr>
            </w:pPr>
            <w:r>
              <w:rPr>
                <w:rFonts w:ascii="Times New Roman" w:hAnsi="Times New Roman"/>
                <w:spacing w:val="-2"/>
                <w:kern w:val="0"/>
                <w:szCs w:val="21"/>
              </w:rPr>
              <w:t>/</w:t>
            </w:r>
          </w:p>
        </w:tc>
        <w:tc>
          <w:tcPr>
            <w:tcW w:w="850" w:type="dxa"/>
            <w:vAlign w:val="center"/>
          </w:tcPr>
          <w:p w14:paraId="39E5F2B7">
            <w:pPr>
              <w:jc w:val="center"/>
              <w:rPr>
                <w:rFonts w:ascii="Times New Roman" w:hAnsi="Times New Roman"/>
                <w:spacing w:val="-2"/>
                <w:kern w:val="0"/>
                <w:szCs w:val="21"/>
              </w:rPr>
            </w:pPr>
            <w:r>
              <w:rPr>
                <w:rFonts w:ascii="Times New Roman" w:hAnsi="Times New Roman"/>
                <w:spacing w:val="-2"/>
                <w:kern w:val="0"/>
                <w:szCs w:val="21"/>
              </w:rPr>
              <w:t>/</w:t>
            </w:r>
          </w:p>
        </w:tc>
        <w:tc>
          <w:tcPr>
            <w:tcW w:w="1276" w:type="dxa"/>
            <w:vAlign w:val="center"/>
          </w:tcPr>
          <w:p w14:paraId="459D3783">
            <w:pPr>
              <w:jc w:val="center"/>
              <w:rPr>
                <w:rFonts w:ascii="Times New Roman" w:hAnsi="Times New Roman"/>
                <w:spacing w:val="-2"/>
                <w:kern w:val="0"/>
                <w:szCs w:val="21"/>
              </w:rPr>
            </w:pPr>
            <w:r>
              <w:rPr>
                <w:rFonts w:ascii="Times New Roman" w:hAnsi="Times New Roman"/>
                <w:spacing w:val="-2"/>
                <w:kern w:val="0"/>
                <w:szCs w:val="21"/>
              </w:rPr>
              <w:t>/</w:t>
            </w:r>
          </w:p>
        </w:tc>
        <w:tc>
          <w:tcPr>
            <w:tcW w:w="2110" w:type="dxa"/>
            <w:vMerge w:val="continue"/>
            <w:vAlign w:val="center"/>
          </w:tcPr>
          <w:p w14:paraId="3B677F0C">
            <w:pPr>
              <w:jc w:val="center"/>
              <w:rPr>
                <w:rFonts w:ascii="Times New Roman" w:hAnsi="Times New Roman"/>
                <w:spacing w:val="-2"/>
                <w:kern w:val="0"/>
                <w:szCs w:val="21"/>
              </w:rPr>
            </w:pPr>
          </w:p>
        </w:tc>
      </w:tr>
      <w:tr w14:paraId="0F9A5D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78" w:type="dxa"/>
            <w:vMerge w:val="continue"/>
            <w:vAlign w:val="center"/>
          </w:tcPr>
          <w:p w14:paraId="0250BBF6">
            <w:pPr>
              <w:jc w:val="center"/>
              <w:rPr>
                <w:rFonts w:ascii="Times New Roman" w:hAnsi="Times New Roman"/>
                <w:spacing w:val="-2"/>
                <w:kern w:val="0"/>
                <w:szCs w:val="21"/>
              </w:rPr>
            </w:pPr>
          </w:p>
        </w:tc>
        <w:tc>
          <w:tcPr>
            <w:tcW w:w="1842" w:type="dxa"/>
            <w:gridSpan w:val="2"/>
            <w:vAlign w:val="center"/>
          </w:tcPr>
          <w:p w14:paraId="6E477F2B">
            <w:pPr>
              <w:adjustRightInd w:val="0"/>
              <w:snapToGrid w:val="0"/>
              <w:spacing w:line="240" w:lineRule="atLeast"/>
              <w:jc w:val="center"/>
              <w:rPr>
                <w:rFonts w:ascii="Times New Roman" w:hAnsi="Times New Roman"/>
                <w:spacing w:val="-2"/>
                <w:kern w:val="0"/>
                <w:szCs w:val="21"/>
              </w:rPr>
            </w:pPr>
            <w:r>
              <w:rPr>
                <w:rFonts w:ascii="Times New Roman" w:hAnsi="Times New Roman"/>
                <w:spacing w:val="-2"/>
                <w:kern w:val="0"/>
                <w:szCs w:val="21"/>
              </w:rPr>
              <w:t>氮氧化物</w:t>
            </w:r>
          </w:p>
        </w:tc>
        <w:tc>
          <w:tcPr>
            <w:tcW w:w="1276" w:type="dxa"/>
            <w:vAlign w:val="center"/>
          </w:tcPr>
          <w:p w14:paraId="47E6744F">
            <w:pPr>
              <w:adjustRightInd w:val="0"/>
              <w:snapToGrid w:val="0"/>
              <w:spacing w:line="240" w:lineRule="atLeast"/>
              <w:jc w:val="center"/>
              <w:rPr>
                <w:rFonts w:ascii="Times New Roman" w:hAnsi="Times New Roman"/>
                <w:spacing w:val="-2"/>
                <w:kern w:val="0"/>
                <w:szCs w:val="21"/>
              </w:rPr>
            </w:pPr>
            <w:r>
              <w:rPr>
                <w:rFonts w:ascii="Times New Roman" w:hAnsi="Times New Roman"/>
                <w:spacing w:val="-2"/>
                <w:kern w:val="0"/>
                <w:szCs w:val="21"/>
              </w:rPr>
              <w:t>240</w:t>
            </w:r>
          </w:p>
        </w:tc>
        <w:tc>
          <w:tcPr>
            <w:tcW w:w="851" w:type="dxa"/>
            <w:vAlign w:val="center"/>
          </w:tcPr>
          <w:p w14:paraId="6F08C374">
            <w:pPr>
              <w:jc w:val="center"/>
              <w:rPr>
                <w:rFonts w:ascii="Times New Roman" w:hAnsi="Times New Roman"/>
                <w:spacing w:val="-2"/>
                <w:kern w:val="0"/>
                <w:szCs w:val="21"/>
              </w:rPr>
            </w:pPr>
            <w:r>
              <w:rPr>
                <w:rFonts w:hint="eastAsia" w:ascii="Times New Roman" w:hAnsi="Times New Roman"/>
                <w:spacing w:val="-2"/>
                <w:kern w:val="0"/>
                <w:szCs w:val="21"/>
              </w:rPr>
              <w:t>19</w:t>
            </w:r>
          </w:p>
        </w:tc>
        <w:tc>
          <w:tcPr>
            <w:tcW w:w="850" w:type="dxa"/>
            <w:vAlign w:val="center"/>
          </w:tcPr>
          <w:p w14:paraId="3E3F214B">
            <w:pPr>
              <w:jc w:val="center"/>
              <w:rPr>
                <w:rFonts w:ascii="Times New Roman" w:hAnsi="Times New Roman"/>
                <w:spacing w:val="-2"/>
                <w:kern w:val="0"/>
                <w:szCs w:val="21"/>
              </w:rPr>
            </w:pPr>
            <w:r>
              <w:rPr>
                <w:rFonts w:hint="eastAsia" w:ascii="Times New Roman" w:hAnsi="Times New Roman"/>
                <w:spacing w:val="-2"/>
                <w:kern w:val="0"/>
                <w:szCs w:val="21"/>
              </w:rPr>
              <w:t>1.194</w:t>
            </w:r>
          </w:p>
        </w:tc>
        <w:tc>
          <w:tcPr>
            <w:tcW w:w="1276" w:type="dxa"/>
            <w:vAlign w:val="center"/>
          </w:tcPr>
          <w:p w14:paraId="16ED004F">
            <w:pPr>
              <w:jc w:val="center"/>
              <w:rPr>
                <w:rFonts w:ascii="Times New Roman" w:hAnsi="Times New Roman"/>
                <w:spacing w:val="-2"/>
                <w:kern w:val="0"/>
                <w:szCs w:val="21"/>
              </w:rPr>
            </w:pPr>
            <w:r>
              <w:rPr>
                <w:rFonts w:ascii="Times New Roman" w:hAnsi="Times New Roman"/>
                <w:spacing w:val="-2"/>
                <w:kern w:val="0"/>
                <w:szCs w:val="21"/>
              </w:rPr>
              <w:t>/</w:t>
            </w:r>
          </w:p>
        </w:tc>
        <w:tc>
          <w:tcPr>
            <w:tcW w:w="2110" w:type="dxa"/>
            <w:vMerge w:val="restart"/>
            <w:vAlign w:val="center"/>
          </w:tcPr>
          <w:p w14:paraId="1D3183CF">
            <w:pPr>
              <w:jc w:val="center"/>
              <w:rPr>
                <w:rFonts w:ascii="Times New Roman" w:hAnsi="Times New Roman"/>
                <w:spacing w:val="-2"/>
                <w:kern w:val="0"/>
                <w:szCs w:val="21"/>
                <w:u w:val="single"/>
              </w:rPr>
            </w:pPr>
            <w:r>
              <w:rPr>
                <w:rFonts w:ascii="Times New Roman" w:hAnsi="Times New Roman"/>
                <w:spacing w:val="-2"/>
                <w:kern w:val="0"/>
                <w:szCs w:val="21"/>
                <w:u w:val="single"/>
              </w:rPr>
              <w:t>《大气污染物综合排放标准》（GB16297-1996）</w:t>
            </w:r>
          </w:p>
        </w:tc>
      </w:tr>
      <w:tr w14:paraId="7C91CE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78" w:type="dxa"/>
            <w:vAlign w:val="center"/>
          </w:tcPr>
          <w:p w14:paraId="2FEF1A80">
            <w:pPr>
              <w:jc w:val="center"/>
              <w:rPr>
                <w:rFonts w:ascii="Times New Roman" w:hAnsi="Times New Roman"/>
                <w:spacing w:val="-2"/>
                <w:kern w:val="0"/>
                <w:szCs w:val="21"/>
              </w:rPr>
            </w:pPr>
            <w:r>
              <w:rPr>
                <w:rFonts w:ascii="Times New Roman" w:hAnsi="Times New Roman"/>
                <w:spacing w:val="-2"/>
                <w:kern w:val="0"/>
                <w:szCs w:val="21"/>
              </w:rPr>
              <w:t>生产车间粉尘</w:t>
            </w:r>
          </w:p>
        </w:tc>
        <w:tc>
          <w:tcPr>
            <w:tcW w:w="1842" w:type="dxa"/>
            <w:gridSpan w:val="2"/>
            <w:vAlign w:val="center"/>
          </w:tcPr>
          <w:p w14:paraId="02D8753F">
            <w:pPr>
              <w:jc w:val="center"/>
              <w:rPr>
                <w:rFonts w:ascii="Times New Roman" w:hAnsi="Times New Roman"/>
                <w:spacing w:val="-2"/>
                <w:kern w:val="0"/>
                <w:szCs w:val="21"/>
              </w:rPr>
            </w:pPr>
            <w:r>
              <w:rPr>
                <w:rFonts w:ascii="Times New Roman" w:hAnsi="Times New Roman"/>
                <w:spacing w:val="-2"/>
                <w:kern w:val="0"/>
                <w:szCs w:val="21"/>
              </w:rPr>
              <w:t>颗粒物</w:t>
            </w:r>
          </w:p>
        </w:tc>
        <w:tc>
          <w:tcPr>
            <w:tcW w:w="1276" w:type="dxa"/>
            <w:vAlign w:val="center"/>
          </w:tcPr>
          <w:p w14:paraId="4516B612">
            <w:pPr>
              <w:jc w:val="center"/>
              <w:rPr>
                <w:rFonts w:ascii="Times New Roman" w:hAnsi="Times New Roman"/>
                <w:spacing w:val="-2"/>
                <w:kern w:val="0"/>
                <w:szCs w:val="21"/>
                <w:u w:val="single"/>
              </w:rPr>
            </w:pPr>
            <w:r>
              <w:rPr>
                <w:rFonts w:hint="eastAsia" w:ascii="Times New Roman" w:hAnsi="Times New Roman"/>
                <w:spacing w:val="-2"/>
                <w:kern w:val="0"/>
                <w:szCs w:val="21"/>
                <w:u w:val="single"/>
              </w:rPr>
              <w:t>120</w:t>
            </w:r>
          </w:p>
        </w:tc>
        <w:tc>
          <w:tcPr>
            <w:tcW w:w="851" w:type="dxa"/>
            <w:vAlign w:val="center"/>
          </w:tcPr>
          <w:p w14:paraId="1353B59F">
            <w:pPr>
              <w:jc w:val="center"/>
              <w:rPr>
                <w:rFonts w:ascii="Times New Roman" w:hAnsi="Times New Roman"/>
                <w:spacing w:val="-2"/>
                <w:kern w:val="0"/>
                <w:szCs w:val="21"/>
                <w:u w:val="single"/>
              </w:rPr>
            </w:pPr>
            <w:r>
              <w:rPr>
                <w:rFonts w:hint="eastAsia" w:ascii="Times New Roman" w:hAnsi="Times New Roman"/>
                <w:spacing w:val="-2"/>
                <w:kern w:val="0"/>
                <w:szCs w:val="21"/>
                <w:u w:val="single"/>
              </w:rPr>
              <w:t>17</w:t>
            </w:r>
          </w:p>
        </w:tc>
        <w:tc>
          <w:tcPr>
            <w:tcW w:w="850" w:type="dxa"/>
            <w:vAlign w:val="center"/>
          </w:tcPr>
          <w:p w14:paraId="0D6B6085">
            <w:pPr>
              <w:jc w:val="center"/>
              <w:rPr>
                <w:rFonts w:ascii="Times New Roman" w:hAnsi="Times New Roman"/>
                <w:spacing w:val="-2"/>
                <w:kern w:val="0"/>
                <w:szCs w:val="21"/>
                <w:u w:val="single"/>
              </w:rPr>
            </w:pPr>
            <w:r>
              <w:rPr>
                <w:rFonts w:hint="eastAsia" w:ascii="Times New Roman" w:hAnsi="Times New Roman"/>
                <w:spacing w:val="-2"/>
                <w:kern w:val="0"/>
                <w:szCs w:val="21"/>
                <w:u w:val="single"/>
              </w:rPr>
              <w:t>4.460</w:t>
            </w:r>
          </w:p>
        </w:tc>
        <w:tc>
          <w:tcPr>
            <w:tcW w:w="1276" w:type="dxa"/>
            <w:vAlign w:val="center"/>
          </w:tcPr>
          <w:p w14:paraId="6B6273EE">
            <w:pPr>
              <w:jc w:val="center"/>
              <w:rPr>
                <w:rFonts w:ascii="Times New Roman" w:hAnsi="Times New Roman"/>
                <w:spacing w:val="-2"/>
                <w:kern w:val="0"/>
                <w:szCs w:val="21"/>
              </w:rPr>
            </w:pPr>
            <w:r>
              <w:rPr>
                <w:rFonts w:ascii="Times New Roman" w:hAnsi="Times New Roman"/>
                <w:spacing w:val="-2"/>
                <w:kern w:val="0"/>
                <w:szCs w:val="21"/>
              </w:rPr>
              <w:t>1.0</w:t>
            </w:r>
          </w:p>
        </w:tc>
        <w:tc>
          <w:tcPr>
            <w:tcW w:w="2110" w:type="dxa"/>
            <w:vMerge w:val="continue"/>
            <w:vAlign w:val="center"/>
          </w:tcPr>
          <w:p w14:paraId="3B065258">
            <w:pPr>
              <w:jc w:val="center"/>
              <w:rPr>
                <w:rFonts w:ascii="Times New Roman" w:hAnsi="Times New Roman"/>
                <w:spacing w:val="-2"/>
                <w:kern w:val="0"/>
                <w:szCs w:val="21"/>
              </w:rPr>
            </w:pPr>
          </w:p>
        </w:tc>
      </w:tr>
      <w:tr w14:paraId="3F6EED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78" w:type="dxa"/>
            <w:vAlign w:val="center"/>
          </w:tcPr>
          <w:p w14:paraId="00AE46EE">
            <w:pPr>
              <w:jc w:val="center"/>
              <w:rPr>
                <w:rFonts w:ascii="Times New Roman" w:hAnsi="Times New Roman"/>
                <w:spacing w:val="-2"/>
                <w:kern w:val="0"/>
                <w:szCs w:val="21"/>
              </w:rPr>
            </w:pPr>
            <w:r>
              <w:rPr>
                <w:rFonts w:ascii="Times New Roman" w:hAnsi="Times New Roman"/>
                <w:spacing w:val="-2"/>
                <w:kern w:val="0"/>
                <w:szCs w:val="21"/>
              </w:rPr>
              <w:t>物料运输扬尘</w:t>
            </w:r>
          </w:p>
        </w:tc>
        <w:tc>
          <w:tcPr>
            <w:tcW w:w="1842" w:type="dxa"/>
            <w:gridSpan w:val="2"/>
            <w:vAlign w:val="center"/>
          </w:tcPr>
          <w:p w14:paraId="38E3B90E">
            <w:pPr>
              <w:jc w:val="center"/>
              <w:rPr>
                <w:rFonts w:ascii="Times New Roman" w:hAnsi="Times New Roman"/>
                <w:spacing w:val="-2"/>
                <w:kern w:val="0"/>
                <w:szCs w:val="21"/>
              </w:rPr>
            </w:pPr>
            <w:r>
              <w:rPr>
                <w:rFonts w:ascii="Times New Roman" w:hAnsi="Times New Roman"/>
                <w:spacing w:val="-2"/>
                <w:kern w:val="0"/>
                <w:szCs w:val="21"/>
              </w:rPr>
              <w:t>颗粒物</w:t>
            </w:r>
          </w:p>
        </w:tc>
        <w:tc>
          <w:tcPr>
            <w:tcW w:w="1276" w:type="dxa"/>
            <w:vAlign w:val="center"/>
          </w:tcPr>
          <w:p w14:paraId="133F2874">
            <w:pPr>
              <w:jc w:val="center"/>
              <w:rPr>
                <w:rFonts w:ascii="Times New Roman" w:hAnsi="Times New Roman"/>
                <w:spacing w:val="-2"/>
                <w:kern w:val="0"/>
                <w:szCs w:val="21"/>
              </w:rPr>
            </w:pPr>
            <w:r>
              <w:rPr>
                <w:rFonts w:ascii="Times New Roman" w:hAnsi="Times New Roman"/>
                <w:spacing w:val="-2"/>
                <w:kern w:val="0"/>
                <w:szCs w:val="21"/>
              </w:rPr>
              <w:t>/</w:t>
            </w:r>
          </w:p>
        </w:tc>
        <w:tc>
          <w:tcPr>
            <w:tcW w:w="851" w:type="dxa"/>
            <w:vAlign w:val="center"/>
          </w:tcPr>
          <w:p w14:paraId="78FFAB53">
            <w:pPr>
              <w:jc w:val="center"/>
              <w:rPr>
                <w:rFonts w:ascii="Times New Roman" w:hAnsi="Times New Roman"/>
                <w:spacing w:val="-2"/>
                <w:kern w:val="0"/>
                <w:szCs w:val="21"/>
              </w:rPr>
            </w:pPr>
            <w:r>
              <w:rPr>
                <w:rFonts w:ascii="Times New Roman" w:hAnsi="Times New Roman"/>
                <w:spacing w:val="-2"/>
                <w:kern w:val="0"/>
                <w:szCs w:val="21"/>
              </w:rPr>
              <w:t>/</w:t>
            </w:r>
          </w:p>
        </w:tc>
        <w:tc>
          <w:tcPr>
            <w:tcW w:w="850" w:type="dxa"/>
            <w:vAlign w:val="center"/>
          </w:tcPr>
          <w:p w14:paraId="035C9068">
            <w:pPr>
              <w:jc w:val="center"/>
              <w:rPr>
                <w:rFonts w:ascii="Times New Roman" w:hAnsi="Times New Roman"/>
                <w:spacing w:val="-2"/>
                <w:kern w:val="0"/>
                <w:szCs w:val="21"/>
              </w:rPr>
            </w:pPr>
            <w:r>
              <w:rPr>
                <w:rFonts w:ascii="Times New Roman" w:hAnsi="Times New Roman"/>
                <w:spacing w:val="-2"/>
                <w:kern w:val="0"/>
                <w:szCs w:val="21"/>
              </w:rPr>
              <w:t>/</w:t>
            </w:r>
          </w:p>
        </w:tc>
        <w:tc>
          <w:tcPr>
            <w:tcW w:w="1276" w:type="dxa"/>
            <w:vAlign w:val="center"/>
          </w:tcPr>
          <w:p w14:paraId="111CA5FF">
            <w:pPr>
              <w:jc w:val="center"/>
              <w:rPr>
                <w:rFonts w:ascii="Times New Roman" w:hAnsi="Times New Roman"/>
                <w:spacing w:val="-2"/>
                <w:kern w:val="0"/>
                <w:szCs w:val="21"/>
              </w:rPr>
            </w:pPr>
            <w:r>
              <w:rPr>
                <w:rFonts w:ascii="Times New Roman" w:hAnsi="Times New Roman"/>
                <w:spacing w:val="-2"/>
                <w:kern w:val="0"/>
                <w:szCs w:val="21"/>
              </w:rPr>
              <w:t>1.0</w:t>
            </w:r>
          </w:p>
        </w:tc>
        <w:tc>
          <w:tcPr>
            <w:tcW w:w="2110" w:type="dxa"/>
            <w:vMerge w:val="continue"/>
            <w:vAlign w:val="center"/>
          </w:tcPr>
          <w:p w14:paraId="1318F4AB">
            <w:pPr>
              <w:jc w:val="center"/>
              <w:rPr>
                <w:rFonts w:ascii="Times New Roman" w:hAnsi="Times New Roman"/>
                <w:spacing w:val="-2"/>
                <w:kern w:val="0"/>
                <w:szCs w:val="21"/>
              </w:rPr>
            </w:pPr>
          </w:p>
        </w:tc>
      </w:tr>
    </w:tbl>
    <w:p w14:paraId="1D8B0C5D">
      <w:pPr>
        <w:spacing w:line="360" w:lineRule="auto"/>
        <w:ind w:firstLine="472" w:firstLineChars="200"/>
        <w:rPr>
          <w:rFonts w:ascii="Times New Roman" w:hAnsi="Times New Roman"/>
          <w:spacing w:val="-2"/>
          <w:kern w:val="0"/>
          <w:sz w:val="24"/>
          <w:szCs w:val="24"/>
        </w:rPr>
      </w:pPr>
    </w:p>
    <w:p w14:paraId="7A66004F">
      <w:pPr>
        <w:spacing w:line="360" w:lineRule="auto"/>
        <w:ind w:firstLine="472" w:firstLineChars="200"/>
        <w:rPr>
          <w:rFonts w:ascii="Times New Roman" w:hAnsi="Times New Roman"/>
          <w:sz w:val="24"/>
          <w:szCs w:val="20"/>
        </w:rPr>
      </w:pPr>
      <w:r>
        <w:rPr>
          <w:rFonts w:ascii="Times New Roman" w:hAnsi="Times New Roman"/>
          <w:spacing w:val="-2"/>
          <w:kern w:val="0"/>
          <w:sz w:val="24"/>
          <w:szCs w:val="24"/>
        </w:rPr>
        <w:t>（2）本项目营运期不产生生产废水，生活污水经</w:t>
      </w:r>
      <w:r>
        <w:rPr>
          <w:rFonts w:ascii="Times New Roman" w:hAnsi="Times New Roman"/>
          <w:spacing w:val="-2"/>
          <w:kern w:val="0"/>
          <w:sz w:val="24"/>
          <w:szCs w:val="20"/>
        </w:rPr>
        <w:t>化粪池</w:t>
      </w:r>
      <w:r>
        <w:rPr>
          <w:rFonts w:ascii="Times New Roman" w:hAnsi="Times New Roman"/>
          <w:spacing w:val="-2"/>
          <w:kern w:val="0"/>
          <w:sz w:val="24"/>
          <w:szCs w:val="24"/>
        </w:rPr>
        <w:t>处理后达到《污水综合排放标准》（GB8978-1996）三级标准后，通过管网送至钦州港大榄坪污水处理厂集中处理。</w:t>
      </w:r>
      <w:r>
        <w:rPr>
          <w:rFonts w:hint="eastAsia" w:ascii="Times New Roman" w:hAnsi="Times New Roman"/>
          <w:spacing w:val="-2"/>
          <w:kern w:val="0"/>
          <w:sz w:val="24"/>
          <w:szCs w:val="24"/>
          <w:u w:val="single"/>
        </w:rPr>
        <w:t>项目废水排放标准根据大榄坪污水处理厂的进水水质指标，对比</w:t>
      </w:r>
      <w:r>
        <w:rPr>
          <w:rFonts w:ascii="Times New Roman" w:hAnsi="Times New Roman"/>
          <w:spacing w:val="-2"/>
          <w:kern w:val="0"/>
          <w:sz w:val="24"/>
          <w:szCs w:val="24"/>
          <w:u w:val="single"/>
        </w:rPr>
        <w:t>《污水综合排放标准》（GB8978-1996）三级标准</w:t>
      </w:r>
      <w:r>
        <w:rPr>
          <w:rFonts w:hint="eastAsia" w:ascii="Times New Roman" w:hAnsi="Times New Roman"/>
          <w:spacing w:val="-2"/>
          <w:kern w:val="0"/>
          <w:sz w:val="24"/>
          <w:szCs w:val="24"/>
          <w:u w:val="single"/>
        </w:rPr>
        <w:t>从严执行，</w:t>
      </w:r>
      <w:r>
        <w:rPr>
          <w:rFonts w:hint="eastAsia" w:ascii="Times New Roman" w:hAnsi="Times New Roman"/>
          <w:spacing w:val="-2"/>
          <w:kern w:val="0"/>
          <w:sz w:val="24"/>
          <w:szCs w:val="24"/>
        </w:rPr>
        <w:t>具体标准见表1.4-7。</w:t>
      </w:r>
    </w:p>
    <w:p w14:paraId="3626BD34">
      <w:pPr>
        <w:pStyle w:val="8"/>
        <w:rPr>
          <w:sz w:val="24"/>
          <w:szCs w:val="24"/>
        </w:rPr>
      </w:pPr>
      <w:r>
        <w:rPr>
          <w:rFonts w:hint="eastAsia"/>
          <w:sz w:val="24"/>
          <w:szCs w:val="24"/>
        </w:rPr>
        <w:t xml:space="preserve"> 项目废水排放标准</w:t>
      </w:r>
      <w:r>
        <w:rPr>
          <w:sz w:val="24"/>
          <w:szCs w:val="24"/>
        </w:rPr>
        <w:t xml:space="preserve">   单位：mg/L（除pH外）</w:t>
      </w:r>
    </w:p>
    <w:tbl>
      <w:tblPr>
        <w:tblStyle w:val="88"/>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3556"/>
        <w:gridCol w:w="1117"/>
        <w:gridCol w:w="1117"/>
        <w:gridCol w:w="1016"/>
        <w:gridCol w:w="1187"/>
        <w:gridCol w:w="1107"/>
      </w:tblGrid>
      <w:tr w14:paraId="27F066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1954" w:type="pct"/>
            <w:vAlign w:val="center"/>
          </w:tcPr>
          <w:p w14:paraId="073539F4">
            <w:pPr>
              <w:autoSpaceDE w:val="0"/>
              <w:autoSpaceDN w:val="0"/>
              <w:snapToGrid w:val="0"/>
              <w:jc w:val="center"/>
              <w:rPr>
                <w:rFonts w:ascii="Times New Roman" w:hAnsi="Times New Roman"/>
                <w:b/>
                <w:kern w:val="0"/>
                <w:szCs w:val="21"/>
              </w:rPr>
            </w:pPr>
            <w:r>
              <w:rPr>
                <w:rFonts w:ascii="Times New Roman" w:hAnsi="Times New Roman"/>
                <w:b/>
                <w:kern w:val="0"/>
                <w:szCs w:val="21"/>
              </w:rPr>
              <w:t>污染物标准</w:t>
            </w:r>
          </w:p>
        </w:tc>
        <w:tc>
          <w:tcPr>
            <w:tcW w:w="614" w:type="pct"/>
            <w:vAlign w:val="center"/>
          </w:tcPr>
          <w:p w14:paraId="1FFCF2C0">
            <w:pPr>
              <w:autoSpaceDE w:val="0"/>
              <w:autoSpaceDN w:val="0"/>
              <w:snapToGrid w:val="0"/>
              <w:jc w:val="center"/>
              <w:rPr>
                <w:rFonts w:ascii="Times New Roman" w:hAnsi="Times New Roman"/>
                <w:b/>
                <w:kern w:val="0"/>
                <w:szCs w:val="21"/>
              </w:rPr>
            </w:pPr>
            <w:r>
              <w:rPr>
                <w:rFonts w:ascii="Times New Roman" w:hAnsi="Times New Roman"/>
                <w:b/>
                <w:kern w:val="0"/>
                <w:szCs w:val="21"/>
              </w:rPr>
              <w:t>pH值</w:t>
            </w:r>
          </w:p>
        </w:tc>
        <w:tc>
          <w:tcPr>
            <w:tcW w:w="614" w:type="pct"/>
            <w:vAlign w:val="center"/>
          </w:tcPr>
          <w:p w14:paraId="45F97090">
            <w:pPr>
              <w:autoSpaceDE w:val="0"/>
              <w:autoSpaceDN w:val="0"/>
              <w:snapToGrid w:val="0"/>
              <w:jc w:val="center"/>
              <w:rPr>
                <w:rFonts w:ascii="Times New Roman" w:hAnsi="Times New Roman"/>
                <w:b/>
                <w:kern w:val="0"/>
                <w:szCs w:val="21"/>
              </w:rPr>
            </w:pPr>
            <w:r>
              <w:rPr>
                <w:rFonts w:ascii="Times New Roman" w:hAnsi="Times New Roman"/>
                <w:b/>
                <w:kern w:val="0"/>
                <w:szCs w:val="21"/>
              </w:rPr>
              <w:t>CODcr</w:t>
            </w:r>
          </w:p>
        </w:tc>
        <w:tc>
          <w:tcPr>
            <w:tcW w:w="558" w:type="pct"/>
            <w:vAlign w:val="center"/>
          </w:tcPr>
          <w:p w14:paraId="0D6022BA">
            <w:pPr>
              <w:autoSpaceDE w:val="0"/>
              <w:autoSpaceDN w:val="0"/>
              <w:snapToGrid w:val="0"/>
              <w:jc w:val="center"/>
              <w:rPr>
                <w:rFonts w:ascii="Times New Roman" w:hAnsi="Times New Roman"/>
                <w:b/>
                <w:kern w:val="0"/>
                <w:szCs w:val="21"/>
              </w:rPr>
            </w:pPr>
            <w:r>
              <w:rPr>
                <w:rFonts w:ascii="Times New Roman" w:hAnsi="Times New Roman"/>
                <w:b/>
                <w:kern w:val="0"/>
                <w:szCs w:val="21"/>
              </w:rPr>
              <w:t>BOD5</w:t>
            </w:r>
          </w:p>
        </w:tc>
        <w:tc>
          <w:tcPr>
            <w:tcW w:w="652" w:type="pct"/>
            <w:vAlign w:val="center"/>
          </w:tcPr>
          <w:p w14:paraId="3C20E7F4">
            <w:pPr>
              <w:autoSpaceDE w:val="0"/>
              <w:autoSpaceDN w:val="0"/>
              <w:snapToGrid w:val="0"/>
              <w:jc w:val="center"/>
              <w:rPr>
                <w:rFonts w:ascii="Times New Roman" w:hAnsi="Times New Roman"/>
                <w:b/>
                <w:kern w:val="0"/>
                <w:szCs w:val="21"/>
              </w:rPr>
            </w:pPr>
            <w:r>
              <w:rPr>
                <w:rFonts w:ascii="Times New Roman" w:hAnsi="Times New Roman"/>
                <w:b/>
                <w:kern w:val="0"/>
                <w:szCs w:val="21"/>
              </w:rPr>
              <w:t>悬浮物</w:t>
            </w:r>
          </w:p>
        </w:tc>
        <w:tc>
          <w:tcPr>
            <w:tcW w:w="608" w:type="pct"/>
            <w:vAlign w:val="center"/>
          </w:tcPr>
          <w:p w14:paraId="556F3FD3">
            <w:pPr>
              <w:autoSpaceDE w:val="0"/>
              <w:autoSpaceDN w:val="0"/>
              <w:snapToGrid w:val="0"/>
              <w:jc w:val="center"/>
              <w:rPr>
                <w:rFonts w:ascii="Times New Roman" w:hAnsi="Times New Roman"/>
                <w:b/>
                <w:kern w:val="0"/>
                <w:szCs w:val="21"/>
              </w:rPr>
            </w:pPr>
            <w:r>
              <w:rPr>
                <w:rFonts w:ascii="Times New Roman" w:hAnsi="Times New Roman"/>
                <w:b/>
                <w:kern w:val="0"/>
                <w:szCs w:val="21"/>
              </w:rPr>
              <w:t>氨氮</w:t>
            </w:r>
          </w:p>
        </w:tc>
      </w:tr>
      <w:tr w14:paraId="3BAB83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1954" w:type="pct"/>
            <w:vAlign w:val="center"/>
          </w:tcPr>
          <w:p w14:paraId="4CA1EF0C">
            <w:pPr>
              <w:jc w:val="center"/>
              <w:rPr>
                <w:rFonts w:ascii="Times New Roman" w:hAnsi="Times New Roman"/>
                <w:szCs w:val="21"/>
              </w:rPr>
            </w:pPr>
            <w:r>
              <w:rPr>
                <w:rFonts w:ascii="Times New Roman" w:hAnsi="Times New Roman"/>
                <w:szCs w:val="21"/>
              </w:rPr>
              <w:t>《污水综合排放标准》（GB8978-1996）三级标准</w:t>
            </w:r>
          </w:p>
        </w:tc>
        <w:tc>
          <w:tcPr>
            <w:tcW w:w="614" w:type="pct"/>
            <w:vAlign w:val="center"/>
          </w:tcPr>
          <w:p w14:paraId="7B5C7466">
            <w:pPr>
              <w:jc w:val="center"/>
              <w:rPr>
                <w:rFonts w:ascii="Times New Roman" w:hAnsi="Times New Roman"/>
                <w:szCs w:val="21"/>
              </w:rPr>
            </w:pPr>
            <w:r>
              <w:rPr>
                <w:rFonts w:ascii="Times New Roman" w:hAnsi="Times New Roman"/>
                <w:szCs w:val="21"/>
              </w:rPr>
              <w:t>6.0~9.0</w:t>
            </w:r>
          </w:p>
        </w:tc>
        <w:tc>
          <w:tcPr>
            <w:tcW w:w="614" w:type="pct"/>
            <w:vAlign w:val="center"/>
          </w:tcPr>
          <w:p w14:paraId="24EA737A">
            <w:pPr>
              <w:jc w:val="center"/>
              <w:rPr>
                <w:rFonts w:ascii="Times New Roman" w:hAnsi="Times New Roman"/>
                <w:szCs w:val="21"/>
              </w:rPr>
            </w:pPr>
            <w:r>
              <w:rPr>
                <w:rFonts w:ascii="Times New Roman" w:hAnsi="Times New Roman"/>
                <w:szCs w:val="21"/>
              </w:rPr>
              <w:t>500</w:t>
            </w:r>
          </w:p>
        </w:tc>
        <w:tc>
          <w:tcPr>
            <w:tcW w:w="558" w:type="pct"/>
            <w:vAlign w:val="center"/>
          </w:tcPr>
          <w:p w14:paraId="515CE410">
            <w:pPr>
              <w:jc w:val="center"/>
              <w:rPr>
                <w:rFonts w:ascii="Times New Roman" w:hAnsi="Times New Roman"/>
                <w:szCs w:val="21"/>
              </w:rPr>
            </w:pPr>
            <w:r>
              <w:rPr>
                <w:rFonts w:ascii="Times New Roman" w:hAnsi="Times New Roman"/>
                <w:szCs w:val="21"/>
              </w:rPr>
              <w:t>300</w:t>
            </w:r>
          </w:p>
        </w:tc>
        <w:tc>
          <w:tcPr>
            <w:tcW w:w="652" w:type="pct"/>
            <w:vAlign w:val="center"/>
          </w:tcPr>
          <w:p w14:paraId="73A6245C">
            <w:pPr>
              <w:jc w:val="center"/>
              <w:rPr>
                <w:rFonts w:ascii="Times New Roman" w:hAnsi="Times New Roman"/>
                <w:szCs w:val="21"/>
              </w:rPr>
            </w:pPr>
            <w:r>
              <w:rPr>
                <w:rFonts w:ascii="Times New Roman" w:hAnsi="Times New Roman"/>
                <w:szCs w:val="21"/>
              </w:rPr>
              <w:t>400</w:t>
            </w:r>
          </w:p>
        </w:tc>
        <w:tc>
          <w:tcPr>
            <w:tcW w:w="608" w:type="pct"/>
            <w:vAlign w:val="center"/>
          </w:tcPr>
          <w:p w14:paraId="47CDC280">
            <w:pPr>
              <w:jc w:val="center"/>
              <w:rPr>
                <w:rFonts w:ascii="Times New Roman" w:hAnsi="Times New Roman"/>
                <w:szCs w:val="21"/>
              </w:rPr>
            </w:pPr>
            <w:r>
              <w:rPr>
                <w:rFonts w:hint="eastAsia" w:ascii="Times New Roman" w:hAnsi="Times New Roman"/>
                <w:szCs w:val="21"/>
              </w:rPr>
              <w:t>/</w:t>
            </w:r>
          </w:p>
        </w:tc>
      </w:tr>
      <w:tr w14:paraId="75ED09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1954" w:type="pct"/>
            <w:vAlign w:val="center"/>
          </w:tcPr>
          <w:p w14:paraId="3DE7D2F3">
            <w:pPr>
              <w:jc w:val="center"/>
              <w:rPr>
                <w:rFonts w:ascii="Times New Roman" w:hAnsi="Times New Roman"/>
                <w:szCs w:val="21"/>
                <w:u w:val="single"/>
              </w:rPr>
            </w:pPr>
            <w:r>
              <w:rPr>
                <w:rFonts w:hint="eastAsia" w:ascii="Times New Roman" w:hAnsi="Times New Roman"/>
                <w:szCs w:val="21"/>
                <w:u w:val="single"/>
              </w:rPr>
              <w:t>钦州港大榄坪污水处理厂进水</w:t>
            </w:r>
            <w:r>
              <w:rPr>
                <w:rFonts w:ascii="Times New Roman" w:hAnsi="Times New Roman"/>
                <w:szCs w:val="21"/>
                <w:u w:val="single"/>
              </w:rPr>
              <w:t>标准</w:t>
            </w:r>
          </w:p>
        </w:tc>
        <w:tc>
          <w:tcPr>
            <w:tcW w:w="614" w:type="pct"/>
            <w:vAlign w:val="center"/>
          </w:tcPr>
          <w:p w14:paraId="01949038">
            <w:pPr>
              <w:jc w:val="center"/>
              <w:rPr>
                <w:rFonts w:ascii="Times New Roman" w:hAnsi="Times New Roman"/>
                <w:szCs w:val="21"/>
                <w:u w:val="single"/>
              </w:rPr>
            </w:pPr>
            <w:r>
              <w:rPr>
                <w:rFonts w:hint="eastAsia" w:ascii="Times New Roman" w:hAnsi="Times New Roman"/>
                <w:szCs w:val="21"/>
                <w:u w:val="single"/>
              </w:rPr>
              <w:t>/</w:t>
            </w:r>
          </w:p>
        </w:tc>
        <w:tc>
          <w:tcPr>
            <w:tcW w:w="614" w:type="pct"/>
            <w:vAlign w:val="center"/>
          </w:tcPr>
          <w:p w14:paraId="3B6D62F3">
            <w:pPr>
              <w:jc w:val="center"/>
              <w:rPr>
                <w:rFonts w:ascii="Times New Roman" w:hAnsi="Times New Roman"/>
                <w:szCs w:val="21"/>
                <w:u w:val="single"/>
              </w:rPr>
            </w:pPr>
            <w:r>
              <w:rPr>
                <w:rFonts w:hint="eastAsia" w:ascii="Times New Roman" w:hAnsi="Times New Roman"/>
                <w:szCs w:val="21"/>
                <w:u w:val="single"/>
              </w:rPr>
              <w:t>450</w:t>
            </w:r>
          </w:p>
        </w:tc>
        <w:tc>
          <w:tcPr>
            <w:tcW w:w="558" w:type="pct"/>
            <w:vAlign w:val="center"/>
          </w:tcPr>
          <w:p w14:paraId="6E79DD5E">
            <w:pPr>
              <w:jc w:val="center"/>
              <w:rPr>
                <w:rFonts w:ascii="Times New Roman" w:hAnsi="Times New Roman"/>
                <w:szCs w:val="21"/>
                <w:u w:val="single"/>
              </w:rPr>
            </w:pPr>
            <w:r>
              <w:rPr>
                <w:rFonts w:hint="eastAsia" w:ascii="Times New Roman" w:hAnsi="Times New Roman"/>
                <w:szCs w:val="21"/>
                <w:u w:val="single"/>
              </w:rPr>
              <w:t>200</w:t>
            </w:r>
          </w:p>
        </w:tc>
        <w:tc>
          <w:tcPr>
            <w:tcW w:w="652" w:type="pct"/>
            <w:vAlign w:val="center"/>
          </w:tcPr>
          <w:p w14:paraId="542E4354">
            <w:pPr>
              <w:jc w:val="center"/>
              <w:rPr>
                <w:rFonts w:ascii="Times New Roman" w:hAnsi="Times New Roman"/>
                <w:szCs w:val="21"/>
                <w:u w:val="single"/>
              </w:rPr>
            </w:pPr>
            <w:r>
              <w:rPr>
                <w:rFonts w:hint="eastAsia" w:ascii="Times New Roman" w:hAnsi="Times New Roman"/>
                <w:szCs w:val="21"/>
                <w:u w:val="single"/>
              </w:rPr>
              <w:t>300</w:t>
            </w:r>
          </w:p>
        </w:tc>
        <w:tc>
          <w:tcPr>
            <w:tcW w:w="608" w:type="pct"/>
            <w:vAlign w:val="center"/>
          </w:tcPr>
          <w:p w14:paraId="0DD9C1D0">
            <w:pPr>
              <w:jc w:val="center"/>
              <w:rPr>
                <w:rFonts w:ascii="Times New Roman" w:hAnsi="Times New Roman"/>
                <w:szCs w:val="21"/>
                <w:u w:val="single"/>
              </w:rPr>
            </w:pPr>
            <w:r>
              <w:rPr>
                <w:rFonts w:hint="eastAsia" w:ascii="Times New Roman" w:hAnsi="Times New Roman"/>
                <w:szCs w:val="21"/>
                <w:u w:val="single"/>
              </w:rPr>
              <w:t>35</w:t>
            </w:r>
          </w:p>
        </w:tc>
      </w:tr>
      <w:tr w14:paraId="7564C2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1954" w:type="pct"/>
            <w:vAlign w:val="center"/>
          </w:tcPr>
          <w:p w14:paraId="218AA66B">
            <w:pPr>
              <w:jc w:val="center"/>
              <w:rPr>
                <w:rFonts w:ascii="Times New Roman" w:hAnsi="Times New Roman"/>
                <w:szCs w:val="21"/>
                <w:u w:val="single"/>
              </w:rPr>
            </w:pPr>
            <w:r>
              <w:rPr>
                <w:rFonts w:hint="eastAsia" w:ascii="Times New Roman" w:hAnsi="Times New Roman"/>
                <w:szCs w:val="21"/>
                <w:u w:val="single"/>
              </w:rPr>
              <w:t>本项目废水排放标准</w:t>
            </w:r>
          </w:p>
        </w:tc>
        <w:tc>
          <w:tcPr>
            <w:tcW w:w="614" w:type="pct"/>
            <w:vAlign w:val="center"/>
          </w:tcPr>
          <w:p w14:paraId="5F1F0972">
            <w:pPr>
              <w:jc w:val="center"/>
              <w:rPr>
                <w:rFonts w:ascii="Times New Roman" w:hAnsi="Times New Roman"/>
                <w:szCs w:val="21"/>
                <w:u w:val="single"/>
              </w:rPr>
            </w:pPr>
            <w:r>
              <w:rPr>
                <w:rFonts w:ascii="Times New Roman" w:hAnsi="Times New Roman"/>
                <w:szCs w:val="21"/>
                <w:u w:val="single"/>
              </w:rPr>
              <w:t>6.0~9.0</w:t>
            </w:r>
          </w:p>
        </w:tc>
        <w:tc>
          <w:tcPr>
            <w:tcW w:w="614" w:type="pct"/>
            <w:vAlign w:val="center"/>
          </w:tcPr>
          <w:p w14:paraId="44BA4B8E">
            <w:pPr>
              <w:jc w:val="center"/>
              <w:rPr>
                <w:rFonts w:ascii="Times New Roman" w:hAnsi="Times New Roman"/>
                <w:szCs w:val="21"/>
                <w:u w:val="single"/>
              </w:rPr>
            </w:pPr>
            <w:r>
              <w:rPr>
                <w:rFonts w:hint="eastAsia" w:ascii="Times New Roman" w:hAnsi="Times New Roman"/>
                <w:szCs w:val="21"/>
                <w:u w:val="single"/>
              </w:rPr>
              <w:t>450</w:t>
            </w:r>
          </w:p>
        </w:tc>
        <w:tc>
          <w:tcPr>
            <w:tcW w:w="558" w:type="pct"/>
            <w:vAlign w:val="center"/>
          </w:tcPr>
          <w:p w14:paraId="39F16B11">
            <w:pPr>
              <w:jc w:val="center"/>
              <w:rPr>
                <w:rFonts w:ascii="Times New Roman" w:hAnsi="Times New Roman"/>
                <w:szCs w:val="21"/>
                <w:u w:val="single"/>
              </w:rPr>
            </w:pPr>
            <w:r>
              <w:rPr>
                <w:rFonts w:hint="eastAsia" w:ascii="Times New Roman" w:hAnsi="Times New Roman"/>
                <w:szCs w:val="21"/>
                <w:u w:val="single"/>
              </w:rPr>
              <w:t>200</w:t>
            </w:r>
          </w:p>
        </w:tc>
        <w:tc>
          <w:tcPr>
            <w:tcW w:w="652" w:type="pct"/>
            <w:vAlign w:val="center"/>
          </w:tcPr>
          <w:p w14:paraId="7DA534E7">
            <w:pPr>
              <w:jc w:val="center"/>
              <w:rPr>
                <w:rFonts w:ascii="Times New Roman" w:hAnsi="Times New Roman"/>
                <w:szCs w:val="21"/>
                <w:u w:val="single"/>
              </w:rPr>
            </w:pPr>
            <w:r>
              <w:rPr>
                <w:rFonts w:hint="eastAsia" w:ascii="Times New Roman" w:hAnsi="Times New Roman"/>
                <w:szCs w:val="21"/>
                <w:u w:val="single"/>
              </w:rPr>
              <w:t>300</w:t>
            </w:r>
          </w:p>
        </w:tc>
        <w:tc>
          <w:tcPr>
            <w:tcW w:w="608" w:type="pct"/>
            <w:vAlign w:val="center"/>
          </w:tcPr>
          <w:p w14:paraId="45EB77EE">
            <w:pPr>
              <w:jc w:val="center"/>
              <w:rPr>
                <w:rFonts w:ascii="Times New Roman" w:hAnsi="Times New Roman"/>
                <w:szCs w:val="21"/>
                <w:u w:val="single"/>
              </w:rPr>
            </w:pPr>
            <w:r>
              <w:rPr>
                <w:rFonts w:hint="eastAsia" w:ascii="Times New Roman" w:hAnsi="Times New Roman"/>
                <w:szCs w:val="21"/>
                <w:u w:val="single"/>
              </w:rPr>
              <w:t>35</w:t>
            </w:r>
          </w:p>
        </w:tc>
      </w:tr>
    </w:tbl>
    <w:p w14:paraId="358A38F5">
      <w:pPr>
        <w:spacing w:line="360" w:lineRule="auto"/>
        <w:ind w:firstLine="437"/>
        <w:rPr>
          <w:rFonts w:ascii="Times New Roman" w:hAnsi="Times New Roman"/>
          <w:spacing w:val="-2"/>
          <w:kern w:val="0"/>
          <w:sz w:val="24"/>
          <w:szCs w:val="24"/>
        </w:rPr>
      </w:pPr>
    </w:p>
    <w:p w14:paraId="12B7CCAC">
      <w:pPr>
        <w:spacing w:line="360" w:lineRule="auto"/>
        <w:ind w:firstLine="437"/>
        <w:rPr>
          <w:rFonts w:ascii="Times New Roman" w:hAnsi="Times New Roman"/>
          <w:spacing w:val="-2"/>
          <w:kern w:val="0"/>
          <w:sz w:val="24"/>
          <w:szCs w:val="24"/>
        </w:rPr>
      </w:pPr>
      <w:r>
        <w:rPr>
          <w:rFonts w:ascii="Times New Roman" w:hAnsi="Times New Roman"/>
          <w:spacing w:val="-2"/>
          <w:kern w:val="0"/>
          <w:sz w:val="24"/>
          <w:szCs w:val="24"/>
        </w:rPr>
        <w:t>（3）施工期噪声执行《建筑施工场界环境噪声排放标准》（GB12523-2011），具体见表1.4-</w:t>
      </w:r>
      <w:r>
        <w:rPr>
          <w:rFonts w:hint="eastAsia" w:ascii="Times New Roman" w:hAnsi="Times New Roman"/>
          <w:spacing w:val="-2"/>
          <w:kern w:val="0"/>
          <w:sz w:val="24"/>
          <w:szCs w:val="24"/>
        </w:rPr>
        <w:t>8</w:t>
      </w:r>
      <w:r>
        <w:rPr>
          <w:rFonts w:ascii="Times New Roman" w:hAnsi="Times New Roman"/>
          <w:spacing w:val="-2"/>
          <w:kern w:val="0"/>
          <w:sz w:val="24"/>
          <w:szCs w:val="24"/>
        </w:rPr>
        <w:t>。</w:t>
      </w:r>
    </w:p>
    <w:p w14:paraId="3033A8C5">
      <w:pPr>
        <w:pStyle w:val="8"/>
        <w:rPr>
          <w:sz w:val="24"/>
          <w:szCs w:val="24"/>
        </w:rPr>
      </w:pPr>
      <w:r>
        <w:rPr>
          <w:sz w:val="24"/>
          <w:szCs w:val="24"/>
        </w:rPr>
        <w:t>建筑施工场界环境噪声排放标准   等效声级Leq[dB(A)]</w:t>
      </w:r>
    </w:p>
    <w:tbl>
      <w:tblPr>
        <w:tblStyle w:val="88"/>
        <w:tblW w:w="904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611"/>
        <w:gridCol w:w="3216"/>
        <w:gridCol w:w="3213"/>
      </w:tblGrid>
      <w:tr w14:paraId="053AE0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2611" w:type="dxa"/>
            <w:vAlign w:val="center"/>
          </w:tcPr>
          <w:p w14:paraId="48DE4F94">
            <w:pPr>
              <w:jc w:val="center"/>
              <w:rPr>
                <w:rFonts w:ascii="Times New Roman" w:hAnsi="Times New Roman"/>
                <w:b/>
                <w:bCs/>
                <w:spacing w:val="-2"/>
                <w:kern w:val="0"/>
                <w:szCs w:val="21"/>
              </w:rPr>
            </w:pPr>
            <w:r>
              <w:rPr>
                <w:rFonts w:ascii="Times New Roman" w:hAnsi="Times New Roman"/>
                <w:b/>
                <w:bCs/>
                <w:spacing w:val="-2"/>
                <w:kern w:val="0"/>
                <w:szCs w:val="21"/>
              </w:rPr>
              <w:t>时段</w:t>
            </w:r>
          </w:p>
        </w:tc>
        <w:tc>
          <w:tcPr>
            <w:tcW w:w="3216" w:type="dxa"/>
            <w:vAlign w:val="center"/>
          </w:tcPr>
          <w:p w14:paraId="139FBB95">
            <w:pPr>
              <w:jc w:val="center"/>
              <w:rPr>
                <w:rFonts w:ascii="Times New Roman" w:hAnsi="Times New Roman"/>
                <w:b/>
                <w:bCs/>
                <w:spacing w:val="-2"/>
                <w:kern w:val="0"/>
                <w:szCs w:val="21"/>
              </w:rPr>
            </w:pPr>
            <w:r>
              <w:rPr>
                <w:rFonts w:ascii="Times New Roman" w:hAnsi="Times New Roman"/>
                <w:b/>
                <w:bCs/>
                <w:spacing w:val="-2"/>
                <w:kern w:val="0"/>
                <w:szCs w:val="21"/>
              </w:rPr>
              <w:t>昼间</w:t>
            </w:r>
          </w:p>
        </w:tc>
        <w:tc>
          <w:tcPr>
            <w:tcW w:w="3213" w:type="dxa"/>
            <w:vAlign w:val="center"/>
          </w:tcPr>
          <w:p w14:paraId="71EBFC4C">
            <w:pPr>
              <w:jc w:val="center"/>
              <w:rPr>
                <w:rFonts w:ascii="Times New Roman" w:hAnsi="Times New Roman"/>
                <w:b/>
                <w:bCs/>
                <w:spacing w:val="-2"/>
                <w:kern w:val="0"/>
                <w:szCs w:val="21"/>
              </w:rPr>
            </w:pPr>
            <w:r>
              <w:rPr>
                <w:rFonts w:ascii="Times New Roman" w:hAnsi="Times New Roman"/>
                <w:b/>
                <w:bCs/>
                <w:spacing w:val="-2"/>
                <w:kern w:val="0"/>
                <w:szCs w:val="21"/>
              </w:rPr>
              <w:t>夜间</w:t>
            </w:r>
          </w:p>
        </w:tc>
      </w:tr>
      <w:tr w14:paraId="1B3793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2611" w:type="dxa"/>
            <w:vAlign w:val="center"/>
          </w:tcPr>
          <w:p w14:paraId="3EB60B6A">
            <w:pPr>
              <w:jc w:val="center"/>
              <w:rPr>
                <w:rFonts w:ascii="Times New Roman" w:hAnsi="Times New Roman"/>
                <w:spacing w:val="-2"/>
                <w:kern w:val="0"/>
                <w:szCs w:val="21"/>
              </w:rPr>
            </w:pPr>
            <w:r>
              <w:rPr>
                <w:rFonts w:ascii="Times New Roman" w:hAnsi="Times New Roman"/>
                <w:spacing w:val="-2"/>
                <w:kern w:val="0"/>
                <w:szCs w:val="21"/>
              </w:rPr>
              <w:t>标准限值</w:t>
            </w:r>
          </w:p>
        </w:tc>
        <w:tc>
          <w:tcPr>
            <w:tcW w:w="3216" w:type="dxa"/>
            <w:vAlign w:val="center"/>
          </w:tcPr>
          <w:p w14:paraId="68E0B3C7">
            <w:pPr>
              <w:jc w:val="center"/>
              <w:rPr>
                <w:rFonts w:ascii="Times New Roman" w:hAnsi="Times New Roman"/>
                <w:spacing w:val="-2"/>
                <w:kern w:val="0"/>
                <w:szCs w:val="21"/>
              </w:rPr>
            </w:pPr>
            <w:r>
              <w:rPr>
                <w:rFonts w:ascii="Times New Roman" w:hAnsi="Times New Roman"/>
                <w:spacing w:val="-2"/>
                <w:kern w:val="0"/>
                <w:szCs w:val="21"/>
              </w:rPr>
              <w:t>70</w:t>
            </w:r>
          </w:p>
        </w:tc>
        <w:tc>
          <w:tcPr>
            <w:tcW w:w="3213" w:type="dxa"/>
            <w:vAlign w:val="center"/>
          </w:tcPr>
          <w:p w14:paraId="0F5DC412">
            <w:pPr>
              <w:jc w:val="center"/>
              <w:rPr>
                <w:rFonts w:ascii="Times New Roman" w:hAnsi="Times New Roman"/>
                <w:spacing w:val="-2"/>
                <w:kern w:val="0"/>
                <w:szCs w:val="21"/>
              </w:rPr>
            </w:pPr>
            <w:r>
              <w:rPr>
                <w:rFonts w:ascii="Times New Roman" w:hAnsi="Times New Roman"/>
                <w:spacing w:val="-2"/>
                <w:kern w:val="0"/>
                <w:szCs w:val="21"/>
              </w:rPr>
              <w:t>55</w:t>
            </w:r>
          </w:p>
        </w:tc>
      </w:tr>
    </w:tbl>
    <w:p w14:paraId="3E2DC7DC">
      <w:pPr>
        <w:spacing w:line="360" w:lineRule="auto"/>
        <w:ind w:firstLine="437"/>
        <w:rPr>
          <w:rFonts w:ascii="Times New Roman" w:hAnsi="Times New Roman"/>
          <w:spacing w:val="-2"/>
          <w:kern w:val="0"/>
          <w:sz w:val="24"/>
          <w:szCs w:val="24"/>
        </w:rPr>
      </w:pPr>
    </w:p>
    <w:p w14:paraId="4DD97DC4">
      <w:pPr>
        <w:spacing w:line="360" w:lineRule="auto"/>
        <w:ind w:firstLine="437"/>
        <w:rPr>
          <w:rFonts w:ascii="Times New Roman" w:hAnsi="Times New Roman"/>
          <w:spacing w:val="-2"/>
          <w:kern w:val="0"/>
          <w:sz w:val="24"/>
          <w:szCs w:val="24"/>
        </w:rPr>
      </w:pPr>
      <w:r>
        <w:rPr>
          <w:rFonts w:ascii="Times New Roman" w:hAnsi="Times New Roman"/>
          <w:spacing w:val="-2"/>
          <w:kern w:val="0"/>
          <w:sz w:val="24"/>
          <w:szCs w:val="24"/>
        </w:rPr>
        <w:t>（4）运营期噪声</w:t>
      </w:r>
      <w:r>
        <w:rPr>
          <w:rFonts w:hint="eastAsia" w:ascii="Times New Roman" w:hAnsi="Times New Roman"/>
          <w:spacing w:val="-2"/>
          <w:kern w:val="0"/>
          <w:sz w:val="24"/>
          <w:szCs w:val="24"/>
        </w:rPr>
        <w:t>：</w:t>
      </w:r>
      <w:r>
        <w:rPr>
          <w:rFonts w:ascii="Times New Roman" w:hAnsi="Times New Roman"/>
          <w:spacing w:val="-2"/>
          <w:kern w:val="0"/>
          <w:sz w:val="24"/>
          <w:szCs w:val="24"/>
        </w:rPr>
        <w:t>厂界噪声执行《工业企业厂界环境噪声排放标准》（GB12348-2008）3类区限值，具体见表1.4-</w:t>
      </w:r>
      <w:r>
        <w:rPr>
          <w:rFonts w:hint="eastAsia" w:ascii="Times New Roman" w:hAnsi="Times New Roman"/>
          <w:spacing w:val="-2"/>
          <w:kern w:val="0"/>
          <w:sz w:val="24"/>
          <w:szCs w:val="24"/>
        </w:rPr>
        <w:t>9</w:t>
      </w:r>
      <w:r>
        <w:rPr>
          <w:rFonts w:ascii="Times New Roman" w:hAnsi="Times New Roman"/>
          <w:spacing w:val="-2"/>
          <w:kern w:val="0"/>
          <w:sz w:val="24"/>
          <w:szCs w:val="24"/>
        </w:rPr>
        <w:t>。</w:t>
      </w:r>
    </w:p>
    <w:p w14:paraId="31B953BD">
      <w:pPr>
        <w:spacing w:line="360" w:lineRule="auto"/>
        <w:ind w:firstLine="437"/>
        <w:rPr>
          <w:rFonts w:ascii="Times New Roman" w:hAnsi="Times New Roman"/>
          <w:spacing w:val="-2"/>
          <w:kern w:val="0"/>
          <w:sz w:val="24"/>
          <w:szCs w:val="24"/>
        </w:rPr>
      </w:pPr>
    </w:p>
    <w:p w14:paraId="7D591916">
      <w:pPr>
        <w:spacing w:line="360" w:lineRule="auto"/>
        <w:ind w:firstLine="437"/>
        <w:rPr>
          <w:rFonts w:ascii="Times New Roman" w:hAnsi="Times New Roman"/>
          <w:spacing w:val="-2"/>
          <w:kern w:val="0"/>
          <w:sz w:val="28"/>
          <w:szCs w:val="20"/>
        </w:rPr>
      </w:pPr>
    </w:p>
    <w:p w14:paraId="5E245CD9">
      <w:pPr>
        <w:pStyle w:val="8"/>
        <w:rPr>
          <w:sz w:val="24"/>
          <w:szCs w:val="24"/>
        </w:rPr>
      </w:pPr>
      <w:r>
        <w:rPr>
          <w:sz w:val="24"/>
          <w:szCs w:val="24"/>
        </w:rPr>
        <w:t>工业企业厂界环境噪声排放标准（摘录）       单位：dB(A)</w:t>
      </w:r>
    </w:p>
    <w:tbl>
      <w:tblPr>
        <w:tblStyle w:val="88"/>
        <w:tblW w:w="904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207"/>
        <w:gridCol w:w="2208"/>
        <w:gridCol w:w="2208"/>
        <w:gridCol w:w="2417"/>
      </w:tblGrid>
      <w:tr w14:paraId="1DDC57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2207" w:type="dxa"/>
            <w:vAlign w:val="center"/>
          </w:tcPr>
          <w:p w14:paraId="340AD46A">
            <w:pPr>
              <w:jc w:val="center"/>
              <w:rPr>
                <w:rFonts w:ascii="Times New Roman" w:hAnsi="Times New Roman"/>
                <w:b/>
                <w:bCs/>
                <w:spacing w:val="-2"/>
                <w:kern w:val="0"/>
                <w:szCs w:val="21"/>
              </w:rPr>
            </w:pPr>
            <w:r>
              <w:rPr>
                <w:rFonts w:ascii="Times New Roman" w:hAnsi="Times New Roman"/>
                <w:b/>
                <w:bCs/>
                <w:spacing w:val="-2"/>
                <w:kern w:val="0"/>
                <w:szCs w:val="21"/>
              </w:rPr>
              <w:t>时段</w:t>
            </w:r>
          </w:p>
        </w:tc>
        <w:tc>
          <w:tcPr>
            <w:tcW w:w="2208" w:type="dxa"/>
            <w:vAlign w:val="center"/>
          </w:tcPr>
          <w:p w14:paraId="1E83A959">
            <w:pPr>
              <w:jc w:val="center"/>
              <w:rPr>
                <w:rFonts w:ascii="Times New Roman" w:hAnsi="Times New Roman"/>
                <w:b/>
                <w:bCs/>
                <w:spacing w:val="-2"/>
                <w:kern w:val="0"/>
                <w:szCs w:val="21"/>
              </w:rPr>
            </w:pPr>
            <w:r>
              <w:rPr>
                <w:rFonts w:ascii="Times New Roman" w:hAnsi="Times New Roman"/>
                <w:b/>
                <w:bCs/>
                <w:spacing w:val="-2"/>
                <w:kern w:val="0"/>
                <w:szCs w:val="21"/>
              </w:rPr>
              <w:t>昼间</w:t>
            </w:r>
          </w:p>
        </w:tc>
        <w:tc>
          <w:tcPr>
            <w:tcW w:w="2208" w:type="dxa"/>
            <w:vAlign w:val="center"/>
          </w:tcPr>
          <w:p w14:paraId="3C046FB5">
            <w:pPr>
              <w:jc w:val="center"/>
              <w:rPr>
                <w:rFonts w:ascii="Times New Roman" w:hAnsi="Times New Roman"/>
                <w:b/>
                <w:bCs/>
                <w:spacing w:val="-2"/>
                <w:kern w:val="0"/>
                <w:szCs w:val="21"/>
              </w:rPr>
            </w:pPr>
            <w:r>
              <w:rPr>
                <w:rFonts w:ascii="Times New Roman" w:hAnsi="Times New Roman"/>
                <w:b/>
                <w:bCs/>
                <w:spacing w:val="-2"/>
                <w:kern w:val="0"/>
                <w:szCs w:val="21"/>
              </w:rPr>
              <w:t>夜间</w:t>
            </w:r>
          </w:p>
        </w:tc>
        <w:tc>
          <w:tcPr>
            <w:tcW w:w="2417" w:type="dxa"/>
            <w:vAlign w:val="center"/>
          </w:tcPr>
          <w:p w14:paraId="113E4B53">
            <w:pPr>
              <w:jc w:val="center"/>
              <w:rPr>
                <w:rFonts w:ascii="Times New Roman" w:hAnsi="Times New Roman"/>
                <w:b/>
                <w:bCs/>
                <w:spacing w:val="-2"/>
                <w:kern w:val="0"/>
                <w:szCs w:val="21"/>
              </w:rPr>
            </w:pPr>
            <w:r>
              <w:rPr>
                <w:rFonts w:ascii="Times New Roman" w:hAnsi="Times New Roman"/>
                <w:b/>
                <w:bCs/>
                <w:spacing w:val="-2"/>
                <w:kern w:val="0"/>
                <w:szCs w:val="21"/>
              </w:rPr>
              <w:t>备注</w:t>
            </w:r>
          </w:p>
        </w:tc>
      </w:tr>
      <w:tr w14:paraId="37BB40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2207" w:type="dxa"/>
            <w:vAlign w:val="center"/>
          </w:tcPr>
          <w:p w14:paraId="2905E014">
            <w:pPr>
              <w:jc w:val="center"/>
              <w:rPr>
                <w:rFonts w:ascii="Times New Roman" w:hAnsi="Times New Roman"/>
                <w:spacing w:val="-2"/>
                <w:kern w:val="0"/>
                <w:szCs w:val="21"/>
              </w:rPr>
            </w:pPr>
            <w:r>
              <w:rPr>
                <w:rFonts w:ascii="Times New Roman" w:hAnsi="Times New Roman"/>
                <w:spacing w:val="-2"/>
                <w:kern w:val="0"/>
                <w:szCs w:val="21"/>
              </w:rPr>
              <w:t>标准限值</w:t>
            </w:r>
          </w:p>
        </w:tc>
        <w:tc>
          <w:tcPr>
            <w:tcW w:w="2208" w:type="dxa"/>
            <w:vAlign w:val="center"/>
          </w:tcPr>
          <w:p w14:paraId="6172271F">
            <w:pPr>
              <w:jc w:val="center"/>
              <w:rPr>
                <w:rFonts w:ascii="Times New Roman" w:hAnsi="Times New Roman"/>
                <w:spacing w:val="-2"/>
                <w:kern w:val="0"/>
                <w:szCs w:val="21"/>
              </w:rPr>
            </w:pPr>
            <w:r>
              <w:rPr>
                <w:rFonts w:ascii="Times New Roman" w:hAnsi="Times New Roman"/>
                <w:spacing w:val="-2"/>
                <w:kern w:val="0"/>
                <w:szCs w:val="21"/>
              </w:rPr>
              <w:t>65</w:t>
            </w:r>
          </w:p>
        </w:tc>
        <w:tc>
          <w:tcPr>
            <w:tcW w:w="2208" w:type="dxa"/>
            <w:vAlign w:val="center"/>
          </w:tcPr>
          <w:p w14:paraId="7353B184">
            <w:pPr>
              <w:jc w:val="center"/>
              <w:rPr>
                <w:rFonts w:ascii="Times New Roman" w:hAnsi="Times New Roman"/>
                <w:spacing w:val="-2"/>
                <w:kern w:val="0"/>
                <w:szCs w:val="21"/>
              </w:rPr>
            </w:pPr>
            <w:r>
              <w:rPr>
                <w:rFonts w:ascii="Times New Roman" w:hAnsi="Times New Roman"/>
                <w:spacing w:val="-2"/>
                <w:kern w:val="0"/>
                <w:szCs w:val="21"/>
              </w:rPr>
              <w:t>55</w:t>
            </w:r>
          </w:p>
        </w:tc>
        <w:tc>
          <w:tcPr>
            <w:tcW w:w="2417" w:type="dxa"/>
            <w:vAlign w:val="center"/>
          </w:tcPr>
          <w:p w14:paraId="6CCE0C50">
            <w:pPr>
              <w:jc w:val="center"/>
              <w:rPr>
                <w:rFonts w:ascii="Times New Roman" w:hAnsi="Times New Roman"/>
                <w:spacing w:val="-2"/>
                <w:kern w:val="0"/>
                <w:szCs w:val="21"/>
              </w:rPr>
            </w:pPr>
            <w:r>
              <w:rPr>
                <w:rFonts w:ascii="Times New Roman" w:hAnsi="Times New Roman"/>
                <w:spacing w:val="-2"/>
                <w:kern w:val="0"/>
                <w:szCs w:val="21"/>
              </w:rPr>
              <w:t>3类区限值</w:t>
            </w:r>
          </w:p>
        </w:tc>
      </w:tr>
    </w:tbl>
    <w:p w14:paraId="25A7C221">
      <w:pPr>
        <w:spacing w:line="360" w:lineRule="auto"/>
        <w:ind w:firstLine="472" w:firstLineChars="200"/>
        <w:rPr>
          <w:rFonts w:ascii="Times New Roman" w:hAnsi="Times New Roman"/>
          <w:spacing w:val="-2"/>
          <w:kern w:val="0"/>
          <w:sz w:val="24"/>
          <w:szCs w:val="24"/>
        </w:rPr>
      </w:pPr>
    </w:p>
    <w:p w14:paraId="2FCF3738">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（5）生产固废贮存、处置执行《一般工业固体废物贮存和填埋污染控制标准》（GB 18599-2020）的要求，</w:t>
      </w:r>
      <w:r>
        <w:rPr>
          <w:rFonts w:ascii="Times New Roman" w:hAnsi="Times New Roman"/>
          <w:bCs/>
          <w:sz w:val="24"/>
          <w:szCs w:val="24"/>
        </w:rPr>
        <w:t>危险废物贮存执行《危险废物贮存污染控制标准》（GB18597-20</w:t>
      </w:r>
      <w:r>
        <w:rPr>
          <w:rFonts w:hint="eastAsia" w:ascii="Times New Roman" w:hAnsi="Times New Roman"/>
          <w:bCs/>
          <w:sz w:val="24"/>
          <w:szCs w:val="24"/>
        </w:rPr>
        <w:t>23</w:t>
      </w:r>
      <w:r>
        <w:rPr>
          <w:rFonts w:ascii="Times New Roman" w:hAnsi="Times New Roman"/>
          <w:bCs/>
          <w:sz w:val="24"/>
          <w:szCs w:val="24"/>
        </w:rPr>
        <w:t>）</w:t>
      </w:r>
      <w:r>
        <w:rPr>
          <w:rFonts w:hint="eastAsia" w:ascii="Times New Roman" w:hAnsi="Times New Roman"/>
          <w:bCs/>
          <w:sz w:val="24"/>
          <w:szCs w:val="24"/>
        </w:rPr>
        <w:t>的</w:t>
      </w:r>
      <w:r>
        <w:rPr>
          <w:rFonts w:ascii="Times New Roman" w:hAnsi="Times New Roman"/>
          <w:bCs/>
          <w:sz w:val="24"/>
          <w:szCs w:val="24"/>
        </w:rPr>
        <w:t>要求</w:t>
      </w:r>
      <w:r>
        <w:rPr>
          <w:rFonts w:ascii="Times New Roman" w:hAnsi="Times New Roman"/>
          <w:spacing w:val="-2"/>
          <w:kern w:val="0"/>
          <w:sz w:val="24"/>
          <w:szCs w:val="24"/>
        </w:rPr>
        <w:t>。</w:t>
      </w:r>
    </w:p>
    <w:p w14:paraId="3B8620E8">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（6）放射性排放标准</w:t>
      </w:r>
    </w:p>
    <w:p w14:paraId="23A93BA6">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① 剂量限值</w:t>
      </w:r>
    </w:p>
    <w:p w14:paraId="2E622134">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A</w:t>
      </w:r>
      <w:r>
        <w:rPr>
          <w:rFonts w:hint="eastAsia" w:ascii="Times New Roman" w:hAnsi="Times New Roman"/>
          <w:spacing w:val="-2"/>
          <w:kern w:val="0"/>
          <w:sz w:val="24"/>
          <w:szCs w:val="24"/>
        </w:rPr>
        <w:t>、公众剂量约束值</w:t>
      </w:r>
    </w:p>
    <w:p w14:paraId="05A08FD3">
      <w:pPr>
        <w:spacing w:line="360" w:lineRule="auto"/>
        <w:ind w:firstLine="472" w:firstLineChars="200"/>
        <w:rPr>
          <w:rFonts w:ascii="Times New Roman" w:hAnsi="Times New Roman"/>
          <w:spacing w:val="-2"/>
          <w:sz w:val="24"/>
          <w:szCs w:val="20"/>
        </w:rPr>
      </w:pPr>
      <w:r>
        <w:rPr>
          <w:rFonts w:ascii="Times New Roman" w:hAnsi="Times New Roman"/>
          <w:spacing w:val="-2"/>
          <w:sz w:val="24"/>
          <w:szCs w:val="20"/>
        </w:rPr>
        <w:t>依据《电离辐射防护与辐射源安全基本标准》</w:t>
      </w:r>
      <w:r>
        <w:rPr>
          <w:rFonts w:hint="eastAsia" w:ascii="Times New Roman" w:hAnsi="Times New Roman"/>
          <w:spacing w:val="-2"/>
          <w:sz w:val="24"/>
          <w:szCs w:val="20"/>
        </w:rPr>
        <w:t>（</w:t>
      </w:r>
      <w:r>
        <w:rPr>
          <w:rFonts w:ascii="Times New Roman" w:hAnsi="Times New Roman"/>
          <w:spacing w:val="-2"/>
          <w:sz w:val="24"/>
          <w:szCs w:val="20"/>
        </w:rPr>
        <w:t>GB18871-2002</w:t>
      </w:r>
      <w:r>
        <w:rPr>
          <w:rFonts w:hint="eastAsia" w:ascii="Times New Roman" w:hAnsi="Times New Roman"/>
          <w:spacing w:val="-2"/>
          <w:sz w:val="24"/>
          <w:szCs w:val="20"/>
        </w:rPr>
        <w:t>）</w:t>
      </w:r>
      <w:r>
        <w:rPr>
          <w:rFonts w:ascii="Times New Roman" w:hAnsi="Times New Roman"/>
          <w:spacing w:val="-2"/>
          <w:sz w:val="24"/>
          <w:szCs w:val="20"/>
        </w:rPr>
        <w:t>中 11.4.3.2 款规定：</w:t>
      </w:r>
      <w:r>
        <w:rPr>
          <w:rFonts w:ascii="宋体" w:hAnsi="宋体"/>
          <w:spacing w:val="-2"/>
          <w:sz w:val="24"/>
          <w:szCs w:val="20"/>
        </w:rPr>
        <w:t>“剂量约束</w:t>
      </w:r>
      <w:r>
        <w:rPr>
          <w:rFonts w:ascii="Times New Roman" w:hAnsi="Times New Roman"/>
          <w:spacing w:val="-2"/>
          <w:sz w:val="24"/>
          <w:szCs w:val="20"/>
        </w:rPr>
        <w:t>值通常应在公众照射剂量限值10%～30%</w:t>
      </w:r>
      <w:r>
        <w:rPr>
          <w:rFonts w:hint="eastAsia" w:ascii="Times New Roman" w:hAnsi="Times New Roman"/>
          <w:spacing w:val="-2"/>
          <w:sz w:val="24"/>
          <w:szCs w:val="20"/>
        </w:rPr>
        <w:t>（</w:t>
      </w:r>
      <w:r>
        <w:rPr>
          <w:rFonts w:ascii="Times New Roman" w:hAnsi="Times New Roman"/>
          <w:spacing w:val="-2"/>
          <w:sz w:val="24"/>
          <w:szCs w:val="20"/>
        </w:rPr>
        <w:t>即0.1mSv/a～0.30mSv/a</w:t>
      </w:r>
      <w:r>
        <w:rPr>
          <w:rFonts w:hint="eastAsia" w:ascii="Times New Roman" w:hAnsi="Times New Roman"/>
          <w:spacing w:val="-2"/>
          <w:sz w:val="24"/>
          <w:szCs w:val="20"/>
        </w:rPr>
        <w:t>）</w:t>
      </w:r>
      <w:r>
        <w:rPr>
          <w:rFonts w:ascii="Times New Roman" w:hAnsi="Times New Roman"/>
          <w:spacing w:val="-2"/>
          <w:sz w:val="24"/>
          <w:szCs w:val="20"/>
        </w:rPr>
        <w:t>的范围之内</w:t>
      </w:r>
      <w:r>
        <w:rPr>
          <w:rFonts w:ascii="宋体" w:hAnsi="宋体"/>
          <w:spacing w:val="-2"/>
          <w:sz w:val="24"/>
          <w:szCs w:val="20"/>
        </w:rPr>
        <w:t>”。</w:t>
      </w:r>
      <w:r>
        <w:rPr>
          <w:rFonts w:ascii="Times New Roman" w:hAnsi="Times New Roman"/>
          <w:spacing w:val="-2"/>
          <w:sz w:val="24"/>
          <w:szCs w:val="20"/>
        </w:rPr>
        <w:t>该项目企业属于伴生放射性矿资源开发利用企业，依据《电离辐射防护与辐射源安全基本标准》</w:t>
      </w:r>
      <w:r>
        <w:rPr>
          <w:rFonts w:hint="eastAsia" w:ascii="Times New Roman" w:hAnsi="Times New Roman"/>
          <w:spacing w:val="-2"/>
          <w:sz w:val="24"/>
          <w:szCs w:val="20"/>
        </w:rPr>
        <w:t>（</w:t>
      </w:r>
      <w:r>
        <w:rPr>
          <w:rFonts w:ascii="Times New Roman" w:hAnsi="Times New Roman"/>
          <w:spacing w:val="-2"/>
          <w:sz w:val="24"/>
          <w:szCs w:val="20"/>
        </w:rPr>
        <w:t>GB18871-2002</w:t>
      </w:r>
      <w:r>
        <w:rPr>
          <w:rFonts w:hint="eastAsia" w:ascii="Times New Roman" w:hAnsi="Times New Roman"/>
          <w:spacing w:val="-2"/>
          <w:sz w:val="24"/>
          <w:szCs w:val="20"/>
        </w:rPr>
        <w:t>）</w:t>
      </w:r>
      <w:r>
        <w:rPr>
          <w:rFonts w:ascii="Times New Roman" w:hAnsi="Times New Roman"/>
          <w:spacing w:val="-2"/>
          <w:sz w:val="24"/>
          <w:szCs w:val="20"/>
        </w:rPr>
        <w:t>、参照《铀矿冶辐射防护和辐射环境保护规定》</w:t>
      </w:r>
      <w:r>
        <w:rPr>
          <w:rFonts w:hint="eastAsia" w:ascii="Times New Roman" w:hAnsi="Times New Roman"/>
          <w:spacing w:val="-2"/>
          <w:sz w:val="24"/>
          <w:szCs w:val="20"/>
        </w:rPr>
        <w:t>5.1.2中的剂量限值：“辐射实践累计所致公众年有效剂量限值不超过1mSv”。</w:t>
      </w:r>
      <w:r>
        <w:rPr>
          <w:rFonts w:ascii="Times New Roman" w:hAnsi="Times New Roman"/>
          <w:spacing w:val="-2"/>
          <w:sz w:val="24"/>
          <w:szCs w:val="20"/>
        </w:rPr>
        <w:t>确定企业周围公众成员年有效剂量管理目标值</w:t>
      </w:r>
      <w:r>
        <w:rPr>
          <w:rFonts w:hint="eastAsia" w:ascii="Times New Roman" w:hAnsi="Times New Roman"/>
          <w:spacing w:val="-2"/>
          <w:sz w:val="24"/>
          <w:szCs w:val="20"/>
        </w:rPr>
        <w:t>：</w:t>
      </w:r>
    </w:p>
    <w:p w14:paraId="7BBA5383">
      <w:pPr>
        <w:spacing w:line="360" w:lineRule="auto"/>
        <w:ind w:firstLine="472" w:firstLineChars="200"/>
        <w:rPr>
          <w:rFonts w:ascii="Times New Roman" w:hAnsi="Times New Roman"/>
          <w:spacing w:val="-2"/>
          <w:sz w:val="24"/>
          <w:szCs w:val="20"/>
        </w:rPr>
      </w:pPr>
      <w:r>
        <w:rPr>
          <w:rFonts w:ascii="Times New Roman" w:hAnsi="Times New Roman"/>
          <w:spacing w:val="-2"/>
          <w:sz w:val="24"/>
          <w:szCs w:val="20"/>
        </w:rPr>
        <w:t>正常工况</w:t>
      </w:r>
      <w:r>
        <w:rPr>
          <w:rFonts w:hint="eastAsia" w:ascii="Times New Roman" w:hAnsi="Times New Roman"/>
          <w:spacing w:val="-2"/>
          <w:sz w:val="24"/>
          <w:szCs w:val="20"/>
        </w:rPr>
        <w:t>：</w:t>
      </w:r>
      <w:r>
        <w:rPr>
          <w:rFonts w:ascii="Times New Roman" w:hAnsi="Times New Roman"/>
          <w:spacing w:val="-2"/>
          <w:sz w:val="24"/>
          <w:szCs w:val="20"/>
        </w:rPr>
        <w:t>运行期公众照射的剂量约束值取连续5年的平均有效剂量不超过0.3 mSv/a；</w:t>
      </w:r>
    </w:p>
    <w:p w14:paraId="3622BBD5">
      <w:pPr>
        <w:spacing w:line="360" w:lineRule="auto"/>
        <w:ind w:firstLine="472" w:firstLineChars="200"/>
        <w:rPr>
          <w:rFonts w:ascii="Times New Roman" w:hAnsi="Times New Roman"/>
          <w:spacing w:val="-2"/>
          <w:kern w:val="0"/>
          <w:sz w:val="24"/>
          <w:szCs w:val="24"/>
        </w:rPr>
      </w:pPr>
      <w:r>
        <w:rPr>
          <w:rFonts w:ascii="Times New Roman" w:hAnsi="Times New Roman"/>
          <w:spacing w:val="-2"/>
          <w:sz w:val="24"/>
          <w:szCs w:val="20"/>
        </w:rPr>
        <w:t>非正常工况</w:t>
      </w:r>
      <w:r>
        <w:rPr>
          <w:rFonts w:hint="eastAsia" w:ascii="Times New Roman" w:hAnsi="Times New Roman"/>
          <w:spacing w:val="-2"/>
          <w:sz w:val="24"/>
          <w:szCs w:val="20"/>
        </w:rPr>
        <w:t>：</w:t>
      </w:r>
      <w:r>
        <w:rPr>
          <w:rFonts w:ascii="Times New Roman" w:hAnsi="Times New Roman"/>
          <w:spacing w:val="-2"/>
          <w:sz w:val="24"/>
          <w:szCs w:val="20"/>
        </w:rPr>
        <w:t>公众照射的剂量约束值可以大于0.3 mSv/a，但不得超过1mSv/a</w:t>
      </w:r>
      <w:r>
        <w:rPr>
          <w:rFonts w:hint="eastAsia" w:ascii="Times New Roman" w:hAnsi="Times New Roman"/>
          <w:spacing w:val="-2"/>
          <w:sz w:val="24"/>
          <w:szCs w:val="20"/>
        </w:rPr>
        <w:t>。</w:t>
      </w:r>
    </w:p>
    <w:p w14:paraId="6D8C9BF0">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B</w:t>
      </w:r>
      <w:r>
        <w:rPr>
          <w:rFonts w:hint="eastAsia" w:ascii="Times New Roman" w:hAnsi="Times New Roman"/>
          <w:spacing w:val="-2"/>
          <w:kern w:val="0"/>
          <w:sz w:val="24"/>
          <w:szCs w:val="24"/>
        </w:rPr>
        <w:t>、工作人员剂量约束值</w:t>
      </w:r>
    </w:p>
    <w:p w14:paraId="464743EB">
      <w:pPr>
        <w:spacing w:line="360" w:lineRule="auto"/>
        <w:ind w:firstLine="472" w:firstLineChars="200"/>
        <w:rPr>
          <w:rFonts w:ascii="Times New Roman" w:hAnsi="Times New Roman"/>
          <w:spacing w:val="-2"/>
          <w:sz w:val="24"/>
          <w:szCs w:val="20"/>
        </w:rPr>
      </w:pPr>
      <w:r>
        <w:rPr>
          <w:rFonts w:hint="eastAsia" w:ascii="Times New Roman" w:hAnsi="Times New Roman"/>
          <w:spacing w:val="-2"/>
          <w:sz w:val="24"/>
          <w:szCs w:val="20"/>
        </w:rPr>
        <w:t>工作人员所致年附加有效附加剂量：依据《电离辐射防护与辐射源安全基本标准》 （GB18871-2002）中“由审管部门决定的连续5 年的年平均有效剂量（但不可作任何追溯性平均），20mSv/a”，本项目取其四分之一即5.0mSv/a作为工作人员年有效剂量管理目标值。</w:t>
      </w:r>
    </w:p>
    <w:p w14:paraId="3705606B">
      <w:pPr>
        <w:spacing w:line="360" w:lineRule="auto"/>
        <w:ind w:firstLine="472" w:firstLineChars="200"/>
        <w:rPr>
          <w:rFonts w:ascii="Times New Roman" w:hAnsi="Times New Roman"/>
          <w:spacing w:val="-2"/>
          <w:sz w:val="24"/>
          <w:szCs w:val="20"/>
        </w:rPr>
      </w:pPr>
      <w:r>
        <w:rPr>
          <w:rFonts w:hint="eastAsia" w:ascii="Times New Roman" w:hAnsi="Times New Roman"/>
          <w:spacing w:val="-2"/>
          <w:sz w:val="24"/>
          <w:szCs w:val="20"/>
        </w:rPr>
        <w:t>② 气载流出物排放标准</w:t>
      </w:r>
    </w:p>
    <w:p w14:paraId="6450BEBD">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A</w:t>
      </w:r>
      <w:r>
        <w:rPr>
          <w:rFonts w:hint="eastAsia" w:ascii="Times New Roman" w:hAnsi="Times New Roman"/>
          <w:spacing w:val="-2"/>
          <w:kern w:val="0"/>
          <w:sz w:val="24"/>
          <w:szCs w:val="24"/>
        </w:rPr>
        <w:t>、企业边界大气污染物浓度限值</w:t>
      </w:r>
    </w:p>
    <w:p w14:paraId="08B238A6">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气载流出物的控制标准参照执行《稀土工业污染物排放标准》（GB26451-2011），具体标准值如下：</w:t>
      </w:r>
    </w:p>
    <w:p w14:paraId="3833DF91">
      <w:pPr>
        <w:spacing w:line="360" w:lineRule="auto"/>
        <w:ind w:firstLine="480"/>
        <w:rPr>
          <w:rFonts w:ascii="Times New Roman" w:hAnsi="Times New Roman"/>
          <w:sz w:val="24"/>
          <w:szCs w:val="24"/>
        </w:rPr>
      </w:pPr>
      <w:r>
        <w:rPr>
          <w:rFonts w:hint="eastAsia" w:ascii="宋体" w:hAnsi="宋体" w:cs="Cambria Math"/>
          <w:sz w:val="24"/>
          <w:szCs w:val="24"/>
        </w:rPr>
        <w:t>a、</w:t>
      </w:r>
      <w:r>
        <w:rPr>
          <w:rFonts w:ascii="Times New Roman" w:hAnsi="Times New Roman"/>
          <w:sz w:val="24"/>
          <w:szCs w:val="24"/>
        </w:rPr>
        <w:t>现有企业和新建企业边界大气污染物浓度限值，边界任何1h铀钍总量的平均浓度不超过0.0025mg/m</w:t>
      </w:r>
      <w:r>
        <w:rPr>
          <w:rFonts w:ascii="Times New Roman" w:hAnsi="Times New Roman"/>
          <w:sz w:val="24"/>
          <w:szCs w:val="24"/>
          <w:vertAlign w:val="superscript"/>
        </w:rPr>
        <w:t>3</w:t>
      </w:r>
      <w:r>
        <w:rPr>
          <w:rFonts w:ascii="Times New Roman" w:hAnsi="Times New Roman"/>
          <w:sz w:val="24"/>
          <w:szCs w:val="24"/>
        </w:rPr>
        <w:t>。</w:t>
      </w:r>
    </w:p>
    <w:p w14:paraId="39149E69">
      <w:pPr>
        <w:spacing w:line="360" w:lineRule="auto"/>
        <w:ind w:firstLine="480" w:firstLineChars="200"/>
        <w:rPr>
          <w:rFonts w:ascii="Times New Roman" w:hAnsi="Times New Roman"/>
          <w:kern w:val="0"/>
          <w:sz w:val="24"/>
          <w:szCs w:val="24"/>
        </w:rPr>
      </w:pPr>
      <w:r>
        <w:rPr>
          <w:rFonts w:hint="eastAsia" w:ascii="宋体" w:hAnsi="宋体" w:cs="Cambria Math"/>
          <w:sz w:val="24"/>
          <w:szCs w:val="24"/>
        </w:rPr>
        <w:t>b、</w:t>
      </w:r>
      <w:r>
        <w:rPr>
          <w:rFonts w:ascii="Times New Roman" w:hAnsi="Times New Roman"/>
          <w:sz w:val="24"/>
          <w:szCs w:val="24"/>
        </w:rPr>
        <w:t>新建企业大气污染物排放浓度限值，排放铀钍粉尘废气的排气筒不超过0.1mg/m</w:t>
      </w:r>
      <w:r>
        <w:rPr>
          <w:rFonts w:ascii="Times New Roman" w:hAnsi="Times New Roman"/>
          <w:sz w:val="24"/>
          <w:szCs w:val="24"/>
          <w:vertAlign w:val="superscript"/>
        </w:rPr>
        <w:t>3</w:t>
      </w:r>
      <w:r>
        <w:rPr>
          <w:rFonts w:ascii="Times New Roman" w:hAnsi="Times New Roman"/>
          <w:sz w:val="24"/>
          <w:szCs w:val="24"/>
        </w:rPr>
        <w:t>。</w:t>
      </w:r>
    </w:p>
    <w:p w14:paraId="670DE8BA">
      <w:pPr>
        <w:spacing w:line="360" w:lineRule="auto"/>
        <w:ind w:firstLine="482"/>
        <w:rPr>
          <w:rFonts w:ascii="Times New Roman" w:hAnsi="Times New Roman"/>
          <w:sz w:val="24"/>
          <w:szCs w:val="24"/>
        </w:rPr>
      </w:pPr>
      <w:r>
        <w:rPr>
          <w:rFonts w:hint="eastAsia" w:ascii="Times New Roman" w:hAnsi="Times New Roman"/>
          <w:sz w:val="24"/>
          <w:szCs w:val="24"/>
        </w:rPr>
        <w:t>B、工作场所</w:t>
      </w:r>
      <w:r>
        <w:rPr>
          <w:rFonts w:ascii="Times New Roman" w:hAnsi="Times New Roman"/>
          <w:sz w:val="24"/>
          <w:szCs w:val="24"/>
        </w:rPr>
        <w:t>氡气浓度</w:t>
      </w:r>
    </w:p>
    <w:p w14:paraId="1BA60575">
      <w:pPr>
        <w:spacing w:line="360" w:lineRule="auto"/>
        <w:ind w:firstLine="472" w:firstLineChars="200"/>
        <w:rPr>
          <w:rFonts w:ascii="Times New Roman" w:hAnsi="Times New Roman"/>
          <w:sz w:val="24"/>
          <w:szCs w:val="24"/>
        </w:rPr>
      </w:pPr>
      <w:r>
        <w:rPr>
          <w:rFonts w:ascii="Times New Roman" w:hAnsi="Times New Roman"/>
          <w:spacing w:val="-2"/>
          <w:sz w:val="24"/>
          <w:szCs w:val="20"/>
        </w:rPr>
        <w:t>参照《电离辐射防护与辐射源安全基本标准》（GB18871-2002）中附录H.2，工作场所中氡浓度控制浓度取500Bq</w:t>
      </w:r>
      <w:r>
        <w:rPr>
          <w:rFonts w:ascii="Times New Roman" w:hAnsi="Times New Roman"/>
          <w:spacing w:val="-2"/>
          <w:sz w:val="24"/>
          <w:szCs w:val="20"/>
          <w:vertAlign w:val="superscript"/>
        </w:rPr>
        <w:t>222</w:t>
      </w:r>
      <w:r>
        <w:rPr>
          <w:rFonts w:ascii="Times New Roman" w:hAnsi="Times New Roman"/>
          <w:spacing w:val="-2"/>
          <w:sz w:val="24"/>
          <w:szCs w:val="20"/>
        </w:rPr>
        <w:t>Rn/m</w:t>
      </w:r>
      <w:r>
        <w:rPr>
          <w:rFonts w:ascii="Times New Roman" w:hAnsi="Times New Roman"/>
          <w:spacing w:val="-2"/>
          <w:sz w:val="24"/>
          <w:szCs w:val="20"/>
          <w:vertAlign w:val="superscript"/>
        </w:rPr>
        <w:t>3</w:t>
      </w:r>
      <w:r>
        <w:rPr>
          <w:rFonts w:ascii="Times New Roman" w:hAnsi="Times New Roman"/>
          <w:spacing w:val="-2"/>
          <w:sz w:val="24"/>
          <w:szCs w:val="20"/>
        </w:rPr>
        <w:t>。</w:t>
      </w:r>
    </w:p>
    <w:p w14:paraId="4B2C23D5">
      <w:pPr>
        <w:pStyle w:val="5"/>
      </w:pPr>
      <w:bookmarkStart w:id="62" w:name="_Toc221206707"/>
      <w:bookmarkStart w:id="63" w:name="_Toc16364"/>
      <w:r>
        <w:t>评价等级</w:t>
      </w:r>
      <w:bookmarkEnd w:id="62"/>
      <w:r>
        <w:t>及评价范围</w:t>
      </w:r>
      <w:bookmarkEnd w:id="63"/>
    </w:p>
    <w:p w14:paraId="77678368">
      <w:pPr>
        <w:pStyle w:val="6"/>
      </w:pPr>
      <w:r>
        <w:t>评价工作等级</w:t>
      </w:r>
    </w:p>
    <w:p w14:paraId="59293599">
      <w:pPr>
        <w:pStyle w:val="7"/>
      </w:pPr>
      <w:bookmarkStart w:id="64" w:name="_Toc252741825"/>
      <w:bookmarkStart w:id="65" w:name="_Toc232280158"/>
      <w:bookmarkStart w:id="66" w:name="_Toc228717433"/>
      <w:r>
        <w:t>大气评价工作等级</w:t>
      </w:r>
    </w:p>
    <w:p w14:paraId="1CFA2280">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根据《环境影响评价技术导则 大气环境》（HJ2.2-2018），选择推荐模型中的估算模型对项目的大气环境影响评价工作进行分级。估算模型参数表见表1.5-1。</w:t>
      </w:r>
    </w:p>
    <w:p w14:paraId="430A3BE7">
      <w:pPr>
        <w:pStyle w:val="8"/>
        <w:rPr>
          <w:sz w:val="24"/>
          <w:szCs w:val="24"/>
        </w:rPr>
      </w:pPr>
      <w:r>
        <w:rPr>
          <w:sz w:val="24"/>
          <w:szCs w:val="24"/>
        </w:rPr>
        <w:t>估算模型参数表</w:t>
      </w:r>
    </w:p>
    <w:tbl>
      <w:tblPr>
        <w:tblStyle w:val="88"/>
        <w:tblW w:w="904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309"/>
        <w:gridCol w:w="3238"/>
        <w:gridCol w:w="3493"/>
      </w:tblGrid>
      <w:tr w14:paraId="47FD67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5547" w:type="dxa"/>
            <w:gridSpan w:val="2"/>
            <w:vAlign w:val="center"/>
          </w:tcPr>
          <w:p w14:paraId="7AA8D79E">
            <w:pPr>
              <w:snapToGrid w:val="0"/>
              <w:jc w:val="center"/>
              <w:rPr>
                <w:rFonts w:ascii="Times New Roman" w:hAnsi="Times New Roman"/>
                <w:b/>
                <w:bCs/>
                <w:spacing w:val="-2"/>
                <w:kern w:val="0"/>
                <w:szCs w:val="21"/>
              </w:rPr>
            </w:pPr>
            <w:r>
              <w:rPr>
                <w:rFonts w:ascii="Times New Roman" w:hAnsi="Times New Roman"/>
                <w:b/>
                <w:bCs/>
                <w:spacing w:val="-2"/>
                <w:kern w:val="0"/>
                <w:szCs w:val="21"/>
              </w:rPr>
              <w:t>参数</w:t>
            </w:r>
          </w:p>
        </w:tc>
        <w:tc>
          <w:tcPr>
            <w:tcW w:w="3493" w:type="dxa"/>
            <w:vAlign w:val="center"/>
          </w:tcPr>
          <w:p w14:paraId="3A64CC46">
            <w:pPr>
              <w:jc w:val="center"/>
              <w:rPr>
                <w:rFonts w:ascii="Times New Roman" w:hAnsi="Times New Roman"/>
                <w:b/>
                <w:bCs/>
                <w:spacing w:val="-2"/>
                <w:kern w:val="0"/>
                <w:szCs w:val="21"/>
              </w:rPr>
            </w:pPr>
            <w:r>
              <w:rPr>
                <w:rFonts w:ascii="Times New Roman" w:hAnsi="Times New Roman"/>
                <w:b/>
                <w:bCs/>
                <w:spacing w:val="-2"/>
                <w:kern w:val="0"/>
                <w:szCs w:val="21"/>
              </w:rPr>
              <w:t>取值</w:t>
            </w:r>
          </w:p>
        </w:tc>
      </w:tr>
      <w:tr w14:paraId="3E3991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09" w:type="dxa"/>
            <w:vMerge w:val="restart"/>
            <w:vAlign w:val="center"/>
          </w:tcPr>
          <w:p w14:paraId="5F70046E">
            <w:pPr>
              <w:snapToGrid w:val="0"/>
              <w:jc w:val="center"/>
              <w:rPr>
                <w:rFonts w:ascii="Times New Roman" w:hAnsi="Times New Roman"/>
                <w:spacing w:val="-2"/>
                <w:kern w:val="0"/>
                <w:szCs w:val="21"/>
              </w:rPr>
            </w:pPr>
            <w:r>
              <w:rPr>
                <w:rFonts w:ascii="Times New Roman" w:hAnsi="Times New Roman"/>
                <w:spacing w:val="-2"/>
                <w:kern w:val="0"/>
                <w:szCs w:val="21"/>
              </w:rPr>
              <w:t>城市/农村选项</w:t>
            </w:r>
          </w:p>
        </w:tc>
        <w:tc>
          <w:tcPr>
            <w:tcW w:w="3238" w:type="dxa"/>
            <w:vAlign w:val="center"/>
          </w:tcPr>
          <w:p w14:paraId="6766D08B">
            <w:pPr>
              <w:jc w:val="center"/>
              <w:rPr>
                <w:rFonts w:ascii="Times New Roman" w:hAnsi="Times New Roman"/>
                <w:spacing w:val="-2"/>
                <w:kern w:val="0"/>
                <w:szCs w:val="21"/>
              </w:rPr>
            </w:pPr>
            <w:r>
              <w:rPr>
                <w:rFonts w:ascii="Times New Roman" w:hAnsi="Times New Roman"/>
                <w:spacing w:val="-2"/>
                <w:kern w:val="0"/>
                <w:szCs w:val="21"/>
              </w:rPr>
              <w:t>城市/农村</w:t>
            </w:r>
          </w:p>
        </w:tc>
        <w:tc>
          <w:tcPr>
            <w:tcW w:w="3493" w:type="dxa"/>
            <w:vAlign w:val="center"/>
          </w:tcPr>
          <w:p w14:paraId="6E5B4381">
            <w:pPr>
              <w:jc w:val="center"/>
              <w:rPr>
                <w:rFonts w:ascii="Times New Roman" w:hAnsi="Times New Roman"/>
                <w:spacing w:val="-2"/>
                <w:kern w:val="0"/>
                <w:szCs w:val="21"/>
              </w:rPr>
            </w:pPr>
            <w:r>
              <w:rPr>
                <w:rFonts w:ascii="Times New Roman" w:hAnsi="Times New Roman"/>
                <w:spacing w:val="-2"/>
                <w:kern w:val="0"/>
                <w:szCs w:val="21"/>
              </w:rPr>
              <w:t>城市</w:t>
            </w:r>
          </w:p>
        </w:tc>
      </w:tr>
      <w:tr w14:paraId="44EC2B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09" w:type="dxa"/>
            <w:vMerge w:val="continue"/>
            <w:vAlign w:val="center"/>
          </w:tcPr>
          <w:p w14:paraId="41A286EE">
            <w:pPr>
              <w:snapToGrid w:val="0"/>
              <w:jc w:val="center"/>
              <w:rPr>
                <w:rFonts w:ascii="Times New Roman" w:hAnsi="Times New Roman"/>
                <w:spacing w:val="-2"/>
                <w:kern w:val="0"/>
                <w:szCs w:val="21"/>
              </w:rPr>
            </w:pPr>
          </w:p>
        </w:tc>
        <w:tc>
          <w:tcPr>
            <w:tcW w:w="3238" w:type="dxa"/>
            <w:vAlign w:val="center"/>
          </w:tcPr>
          <w:p w14:paraId="131F2125">
            <w:pPr>
              <w:jc w:val="center"/>
              <w:rPr>
                <w:rFonts w:ascii="Times New Roman" w:hAnsi="Times New Roman"/>
                <w:spacing w:val="-2"/>
                <w:kern w:val="0"/>
                <w:szCs w:val="21"/>
              </w:rPr>
            </w:pPr>
            <w:r>
              <w:rPr>
                <w:rFonts w:ascii="Times New Roman" w:hAnsi="Times New Roman"/>
                <w:spacing w:val="-2"/>
                <w:kern w:val="0"/>
                <w:szCs w:val="21"/>
              </w:rPr>
              <w:t>人口数（城市选项时）</w:t>
            </w:r>
          </w:p>
        </w:tc>
        <w:tc>
          <w:tcPr>
            <w:tcW w:w="3493" w:type="dxa"/>
            <w:vAlign w:val="center"/>
          </w:tcPr>
          <w:p w14:paraId="2C474343">
            <w:pPr>
              <w:snapToGrid w:val="0"/>
              <w:jc w:val="center"/>
              <w:rPr>
                <w:rFonts w:ascii="Times New Roman" w:hAnsi="Times New Roman"/>
                <w:spacing w:val="-2"/>
                <w:kern w:val="0"/>
                <w:szCs w:val="21"/>
              </w:rPr>
            </w:pPr>
            <w:r>
              <w:rPr>
                <w:rFonts w:hint="eastAsia" w:ascii="Times New Roman" w:hAnsi="Times New Roman"/>
                <w:spacing w:val="-2"/>
                <w:kern w:val="0"/>
                <w:szCs w:val="21"/>
              </w:rPr>
              <w:t>1</w:t>
            </w:r>
            <w:r>
              <w:rPr>
                <w:rFonts w:ascii="Times New Roman" w:hAnsi="Times New Roman"/>
                <w:spacing w:val="-2"/>
                <w:kern w:val="0"/>
                <w:szCs w:val="21"/>
              </w:rPr>
              <w:t>700</w:t>
            </w:r>
            <w:r>
              <w:rPr>
                <w:rFonts w:hint="eastAsia" w:ascii="Times New Roman" w:hAnsi="Times New Roman"/>
                <w:spacing w:val="-2"/>
                <w:kern w:val="0"/>
                <w:szCs w:val="21"/>
              </w:rPr>
              <w:t>00</w:t>
            </w:r>
          </w:p>
        </w:tc>
      </w:tr>
      <w:tr w14:paraId="740A38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47" w:type="dxa"/>
            <w:gridSpan w:val="2"/>
            <w:vAlign w:val="center"/>
          </w:tcPr>
          <w:p w14:paraId="3348A0AC">
            <w:pPr>
              <w:snapToGrid w:val="0"/>
              <w:jc w:val="center"/>
              <w:rPr>
                <w:rFonts w:ascii="Times New Roman" w:hAnsi="Times New Roman"/>
                <w:spacing w:val="-2"/>
                <w:kern w:val="0"/>
                <w:szCs w:val="21"/>
              </w:rPr>
            </w:pPr>
            <w:r>
              <w:rPr>
                <w:rFonts w:ascii="Times New Roman" w:hAnsi="Times New Roman"/>
                <w:spacing w:val="-2"/>
                <w:kern w:val="0"/>
                <w:szCs w:val="21"/>
              </w:rPr>
              <w:t>最高环境温度/℃</w:t>
            </w:r>
          </w:p>
        </w:tc>
        <w:tc>
          <w:tcPr>
            <w:tcW w:w="3493" w:type="dxa"/>
            <w:vAlign w:val="center"/>
          </w:tcPr>
          <w:p w14:paraId="0448B311">
            <w:pPr>
              <w:snapToGrid w:val="0"/>
              <w:jc w:val="center"/>
              <w:rPr>
                <w:rFonts w:ascii="Times New Roman" w:hAnsi="Times New Roman"/>
                <w:spacing w:val="-2"/>
                <w:kern w:val="0"/>
                <w:szCs w:val="21"/>
              </w:rPr>
            </w:pPr>
            <w:r>
              <w:rPr>
                <w:rFonts w:hint="eastAsia" w:ascii="Times New Roman" w:hAnsi="Times New Roman"/>
                <w:spacing w:val="-2"/>
                <w:kern w:val="0"/>
                <w:szCs w:val="21"/>
              </w:rPr>
              <w:t>36.9</w:t>
            </w:r>
          </w:p>
        </w:tc>
      </w:tr>
      <w:tr w14:paraId="4BC5CF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47" w:type="dxa"/>
            <w:gridSpan w:val="2"/>
            <w:vAlign w:val="center"/>
          </w:tcPr>
          <w:p w14:paraId="472E9E65">
            <w:pPr>
              <w:snapToGrid w:val="0"/>
              <w:jc w:val="center"/>
              <w:rPr>
                <w:rFonts w:ascii="Times New Roman" w:hAnsi="Times New Roman"/>
                <w:spacing w:val="-2"/>
                <w:kern w:val="0"/>
                <w:szCs w:val="21"/>
              </w:rPr>
            </w:pPr>
            <w:r>
              <w:rPr>
                <w:rFonts w:ascii="Times New Roman" w:hAnsi="Times New Roman"/>
                <w:spacing w:val="-2"/>
                <w:kern w:val="0"/>
                <w:szCs w:val="21"/>
              </w:rPr>
              <w:t>最低环境温度/℃</w:t>
            </w:r>
          </w:p>
        </w:tc>
        <w:tc>
          <w:tcPr>
            <w:tcW w:w="3493" w:type="dxa"/>
            <w:vAlign w:val="center"/>
          </w:tcPr>
          <w:p w14:paraId="627F6154">
            <w:pPr>
              <w:snapToGrid w:val="0"/>
              <w:jc w:val="center"/>
              <w:rPr>
                <w:rFonts w:ascii="Times New Roman" w:hAnsi="Times New Roman"/>
                <w:spacing w:val="-2"/>
                <w:kern w:val="0"/>
                <w:szCs w:val="21"/>
              </w:rPr>
            </w:pPr>
            <w:r>
              <w:rPr>
                <w:rFonts w:hint="eastAsia" w:ascii="Times New Roman" w:hAnsi="Times New Roman"/>
                <w:spacing w:val="-2"/>
                <w:kern w:val="0"/>
                <w:szCs w:val="21"/>
              </w:rPr>
              <w:t>5.1</w:t>
            </w:r>
          </w:p>
        </w:tc>
      </w:tr>
      <w:tr w14:paraId="35EB01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47" w:type="dxa"/>
            <w:gridSpan w:val="2"/>
            <w:vAlign w:val="center"/>
          </w:tcPr>
          <w:p w14:paraId="7EA8B367">
            <w:pPr>
              <w:snapToGrid w:val="0"/>
              <w:jc w:val="center"/>
              <w:rPr>
                <w:rFonts w:ascii="Times New Roman" w:hAnsi="Times New Roman"/>
                <w:spacing w:val="-2"/>
                <w:kern w:val="0"/>
                <w:szCs w:val="21"/>
              </w:rPr>
            </w:pPr>
            <w:r>
              <w:rPr>
                <w:rFonts w:ascii="Times New Roman" w:hAnsi="Times New Roman"/>
                <w:spacing w:val="-2"/>
                <w:kern w:val="0"/>
                <w:szCs w:val="21"/>
              </w:rPr>
              <w:t>土地利用类型</w:t>
            </w:r>
          </w:p>
        </w:tc>
        <w:tc>
          <w:tcPr>
            <w:tcW w:w="3493" w:type="dxa"/>
            <w:vAlign w:val="center"/>
          </w:tcPr>
          <w:p w14:paraId="28F76504">
            <w:pPr>
              <w:snapToGrid w:val="0"/>
              <w:jc w:val="center"/>
              <w:rPr>
                <w:rFonts w:ascii="Times New Roman" w:hAnsi="Times New Roman"/>
                <w:spacing w:val="-2"/>
                <w:kern w:val="0"/>
                <w:szCs w:val="21"/>
              </w:rPr>
            </w:pPr>
            <w:r>
              <w:rPr>
                <w:rFonts w:ascii="Times New Roman" w:hAnsi="Times New Roman"/>
                <w:spacing w:val="-2"/>
                <w:kern w:val="0"/>
                <w:szCs w:val="21"/>
              </w:rPr>
              <w:t>城市</w:t>
            </w:r>
          </w:p>
        </w:tc>
      </w:tr>
      <w:tr w14:paraId="18D06B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47" w:type="dxa"/>
            <w:gridSpan w:val="2"/>
            <w:vAlign w:val="center"/>
          </w:tcPr>
          <w:p w14:paraId="13B1DE69">
            <w:pPr>
              <w:snapToGrid w:val="0"/>
              <w:jc w:val="center"/>
              <w:rPr>
                <w:rFonts w:ascii="Times New Roman" w:hAnsi="Times New Roman"/>
                <w:spacing w:val="-2"/>
                <w:kern w:val="0"/>
                <w:szCs w:val="21"/>
              </w:rPr>
            </w:pPr>
            <w:r>
              <w:rPr>
                <w:rFonts w:ascii="Times New Roman" w:hAnsi="Times New Roman"/>
                <w:spacing w:val="-2"/>
                <w:kern w:val="0"/>
                <w:szCs w:val="21"/>
              </w:rPr>
              <w:t>区域湿度条件</w:t>
            </w:r>
          </w:p>
        </w:tc>
        <w:tc>
          <w:tcPr>
            <w:tcW w:w="3493" w:type="dxa"/>
            <w:vAlign w:val="center"/>
          </w:tcPr>
          <w:p w14:paraId="29AE250F">
            <w:pPr>
              <w:snapToGrid w:val="0"/>
              <w:jc w:val="center"/>
              <w:rPr>
                <w:rFonts w:ascii="Times New Roman" w:hAnsi="Times New Roman"/>
                <w:spacing w:val="-2"/>
                <w:kern w:val="0"/>
                <w:szCs w:val="21"/>
              </w:rPr>
            </w:pPr>
            <w:r>
              <w:rPr>
                <w:rFonts w:ascii="Times New Roman" w:hAnsi="Times New Roman"/>
                <w:spacing w:val="-2"/>
                <w:kern w:val="0"/>
                <w:szCs w:val="21"/>
              </w:rPr>
              <w:t>潮湿</w:t>
            </w:r>
          </w:p>
        </w:tc>
      </w:tr>
      <w:tr w14:paraId="1EC293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09" w:type="dxa"/>
            <w:vMerge w:val="restart"/>
            <w:vAlign w:val="center"/>
          </w:tcPr>
          <w:p w14:paraId="0EC41F32">
            <w:pPr>
              <w:snapToGrid w:val="0"/>
              <w:jc w:val="center"/>
              <w:rPr>
                <w:rFonts w:ascii="Times New Roman" w:hAnsi="Times New Roman"/>
                <w:spacing w:val="-2"/>
                <w:kern w:val="0"/>
                <w:szCs w:val="21"/>
              </w:rPr>
            </w:pPr>
            <w:r>
              <w:rPr>
                <w:rFonts w:ascii="Times New Roman" w:hAnsi="Times New Roman"/>
                <w:spacing w:val="-2"/>
                <w:kern w:val="0"/>
                <w:szCs w:val="21"/>
              </w:rPr>
              <w:t>是否考虑地形</w:t>
            </w:r>
          </w:p>
        </w:tc>
        <w:tc>
          <w:tcPr>
            <w:tcW w:w="3238" w:type="dxa"/>
            <w:vAlign w:val="center"/>
          </w:tcPr>
          <w:p w14:paraId="14ED697A">
            <w:pPr>
              <w:jc w:val="center"/>
              <w:rPr>
                <w:rFonts w:ascii="Times New Roman" w:hAnsi="Times New Roman"/>
                <w:spacing w:val="-2"/>
                <w:kern w:val="0"/>
                <w:szCs w:val="21"/>
              </w:rPr>
            </w:pPr>
            <w:r>
              <w:rPr>
                <w:rFonts w:ascii="Times New Roman" w:hAnsi="Times New Roman"/>
                <w:spacing w:val="-2"/>
                <w:kern w:val="0"/>
                <w:szCs w:val="21"/>
              </w:rPr>
              <w:t>考虑地形</w:t>
            </w:r>
          </w:p>
        </w:tc>
        <w:tc>
          <w:tcPr>
            <w:tcW w:w="3493" w:type="dxa"/>
            <w:vAlign w:val="center"/>
          </w:tcPr>
          <w:p w14:paraId="72F43C84">
            <w:pPr>
              <w:snapToGrid w:val="0"/>
              <w:jc w:val="center"/>
              <w:rPr>
                <w:rFonts w:ascii="Times New Roman" w:hAnsi="Times New Roman"/>
                <w:spacing w:val="-2"/>
                <w:kern w:val="0"/>
                <w:szCs w:val="21"/>
              </w:rPr>
            </w:pPr>
            <w:r>
              <w:rPr>
                <w:rFonts w:ascii="Times New Roman" w:hAnsi="Times New Roman"/>
                <w:spacing w:val="-2"/>
                <w:kern w:val="0"/>
                <w:szCs w:val="21"/>
              </w:rPr>
              <w:sym w:font="Wingdings 2" w:char="0052"/>
            </w:r>
            <w:r>
              <w:rPr>
                <w:rFonts w:ascii="Times New Roman" w:hAnsi="Times New Roman"/>
                <w:spacing w:val="-2"/>
                <w:kern w:val="0"/>
                <w:szCs w:val="21"/>
              </w:rPr>
              <w:t xml:space="preserve">是   </w:t>
            </w:r>
            <w:r>
              <w:rPr>
                <w:rFonts w:ascii="Times New Roman" w:hAnsi="Times New Roman"/>
                <w:spacing w:val="-2"/>
                <w:kern w:val="0"/>
                <w:szCs w:val="21"/>
              </w:rPr>
              <w:sym w:font="Wingdings 2" w:char="00A3"/>
            </w:r>
            <w:r>
              <w:rPr>
                <w:rFonts w:ascii="Times New Roman" w:hAnsi="Times New Roman"/>
                <w:spacing w:val="-2"/>
                <w:kern w:val="0"/>
                <w:szCs w:val="21"/>
              </w:rPr>
              <w:t>否</w:t>
            </w:r>
          </w:p>
        </w:tc>
      </w:tr>
      <w:tr w14:paraId="4BE8D5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09" w:type="dxa"/>
            <w:vMerge w:val="continue"/>
            <w:vAlign w:val="center"/>
          </w:tcPr>
          <w:p w14:paraId="29B1F498">
            <w:pPr>
              <w:snapToGrid w:val="0"/>
              <w:jc w:val="center"/>
              <w:rPr>
                <w:rFonts w:ascii="Times New Roman" w:hAnsi="Times New Roman"/>
                <w:spacing w:val="-2"/>
                <w:kern w:val="0"/>
                <w:szCs w:val="21"/>
              </w:rPr>
            </w:pPr>
          </w:p>
        </w:tc>
        <w:tc>
          <w:tcPr>
            <w:tcW w:w="3238" w:type="dxa"/>
            <w:vAlign w:val="center"/>
          </w:tcPr>
          <w:p w14:paraId="2B012A9C">
            <w:pPr>
              <w:jc w:val="center"/>
              <w:rPr>
                <w:rFonts w:ascii="Times New Roman" w:hAnsi="Times New Roman"/>
                <w:spacing w:val="-2"/>
                <w:kern w:val="0"/>
                <w:szCs w:val="21"/>
              </w:rPr>
            </w:pPr>
            <w:r>
              <w:rPr>
                <w:rFonts w:ascii="Times New Roman" w:hAnsi="Times New Roman"/>
                <w:spacing w:val="-2"/>
                <w:kern w:val="0"/>
                <w:szCs w:val="21"/>
              </w:rPr>
              <w:t>地形数据分辨率/m</w:t>
            </w:r>
          </w:p>
        </w:tc>
        <w:tc>
          <w:tcPr>
            <w:tcW w:w="3493" w:type="dxa"/>
            <w:vAlign w:val="center"/>
          </w:tcPr>
          <w:p w14:paraId="66CC6FC5">
            <w:pPr>
              <w:snapToGrid w:val="0"/>
              <w:jc w:val="center"/>
              <w:rPr>
                <w:rFonts w:ascii="Times New Roman" w:hAnsi="Times New Roman"/>
                <w:spacing w:val="-2"/>
                <w:kern w:val="0"/>
                <w:szCs w:val="21"/>
              </w:rPr>
            </w:pPr>
            <w:r>
              <w:rPr>
                <w:rFonts w:hint="eastAsia" w:ascii="Times New Roman" w:hAnsi="Times New Roman"/>
                <w:spacing w:val="-2"/>
                <w:kern w:val="0"/>
                <w:szCs w:val="21"/>
              </w:rPr>
              <w:t>90</w:t>
            </w:r>
          </w:p>
        </w:tc>
      </w:tr>
      <w:tr w14:paraId="043D00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09" w:type="dxa"/>
            <w:vMerge w:val="restart"/>
            <w:vAlign w:val="center"/>
          </w:tcPr>
          <w:p w14:paraId="3E49B551">
            <w:pPr>
              <w:snapToGrid w:val="0"/>
              <w:jc w:val="center"/>
              <w:rPr>
                <w:rFonts w:ascii="Times New Roman" w:hAnsi="Times New Roman"/>
                <w:spacing w:val="-2"/>
                <w:kern w:val="0"/>
                <w:szCs w:val="21"/>
              </w:rPr>
            </w:pPr>
            <w:r>
              <w:rPr>
                <w:rFonts w:ascii="Times New Roman" w:hAnsi="Times New Roman"/>
                <w:spacing w:val="-2"/>
                <w:kern w:val="0"/>
                <w:szCs w:val="21"/>
              </w:rPr>
              <w:t>是否考虑岸线熏烟</w:t>
            </w:r>
          </w:p>
        </w:tc>
        <w:tc>
          <w:tcPr>
            <w:tcW w:w="3238" w:type="dxa"/>
            <w:vAlign w:val="center"/>
          </w:tcPr>
          <w:p w14:paraId="2CBDBFB1">
            <w:pPr>
              <w:jc w:val="center"/>
              <w:rPr>
                <w:rFonts w:ascii="Times New Roman" w:hAnsi="Times New Roman"/>
                <w:spacing w:val="-2"/>
                <w:kern w:val="0"/>
                <w:szCs w:val="21"/>
              </w:rPr>
            </w:pPr>
            <w:r>
              <w:rPr>
                <w:rFonts w:ascii="Times New Roman" w:hAnsi="Times New Roman"/>
                <w:spacing w:val="-2"/>
                <w:kern w:val="0"/>
                <w:szCs w:val="21"/>
              </w:rPr>
              <w:t>考虑岸线熏烟</w:t>
            </w:r>
          </w:p>
        </w:tc>
        <w:tc>
          <w:tcPr>
            <w:tcW w:w="3493" w:type="dxa"/>
            <w:vAlign w:val="center"/>
          </w:tcPr>
          <w:p w14:paraId="066FA5EC">
            <w:pPr>
              <w:snapToGrid w:val="0"/>
              <w:jc w:val="center"/>
              <w:rPr>
                <w:rFonts w:ascii="Times New Roman" w:hAnsi="Times New Roman"/>
                <w:spacing w:val="-2"/>
                <w:kern w:val="0"/>
                <w:szCs w:val="21"/>
              </w:rPr>
            </w:pPr>
            <w:r>
              <w:rPr>
                <w:rFonts w:ascii="Times New Roman" w:hAnsi="Times New Roman"/>
                <w:spacing w:val="-2"/>
                <w:kern w:val="0"/>
                <w:szCs w:val="21"/>
              </w:rPr>
              <w:sym w:font="Wingdings 2" w:char="00A3"/>
            </w:r>
            <w:r>
              <w:rPr>
                <w:rFonts w:ascii="Times New Roman" w:hAnsi="Times New Roman"/>
                <w:spacing w:val="-2"/>
                <w:kern w:val="0"/>
                <w:szCs w:val="21"/>
              </w:rPr>
              <w:t xml:space="preserve">是 </w:t>
            </w:r>
            <w:r>
              <w:rPr>
                <w:rFonts w:hint="eastAsia" w:ascii="Times New Roman" w:hAnsi="Times New Roman"/>
                <w:spacing w:val="-2"/>
                <w:kern w:val="0"/>
                <w:szCs w:val="21"/>
              </w:rPr>
              <w:t xml:space="preserve"> </w:t>
            </w:r>
            <w:r>
              <w:rPr>
                <w:rFonts w:ascii="Times New Roman" w:hAnsi="Times New Roman"/>
                <w:spacing w:val="-2"/>
                <w:kern w:val="0"/>
                <w:szCs w:val="21"/>
              </w:rPr>
              <w:t xml:space="preserve"> </w:t>
            </w:r>
            <w:r>
              <w:rPr>
                <w:rFonts w:ascii="Times New Roman" w:hAnsi="Times New Roman"/>
                <w:spacing w:val="-2"/>
                <w:kern w:val="0"/>
                <w:szCs w:val="21"/>
              </w:rPr>
              <w:sym w:font="Wingdings 2" w:char="0052"/>
            </w:r>
            <w:r>
              <w:rPr>
                <w:rFonts w:ascii="Times New Roman" w:hAnsi="Times New Roman"/>
                <w:spacing w:val="-2"/>
                <w:kern w:val="0"/>
                <w:szCs w:val="21"/>
              </w:rPr>
              <w:t>否</w:t>
            </w:r>
          </w:p>
        </w:tc>
      </w:tr>
      <w:tr w14:paraId="60D01F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09" w:type="dxa"/>
            <w:vMerge w:val="continue"/>
            <w:vAlign w:val="center"/>
          </w:tcPr>
          <w:p w14:paraId="333D06C8">
            <w:pPr>
              <w:snapToGrid w:val="0"/>
              <w:jc w:val="center"/>
              <w:rPr>
                <w:rFonts w:ascii="Times New Roman" w:hAnsi="Times New Roman"/>
                <w:spacing w:val="-2"/>
                <w:kern w:val="0"/>
                <w:szCs w:val="21"/>
              </w:rPr>
            </w:pPr>
          </w:p>
        </w:tc>
        <w:tc>
          <w:tcPr>
            <w:tcW w:w="3238" w:type="dxa"/>
            <w:vAlign w:val="center"/>
          </w:tcPr>
          <w:p w14:paraId="4739FC39">
            <w:pPr>
              <w:jc w:val="center"/>
              <w:rPr>
                <w:rFonts w:ascii="Times New Roman" w:hAnsi="Times New Roman"/>
                <w:spacing w:val="-2"/>
                <w:kern w:val="0"/>
                <w:szCs w:val="21"/>
              </w:rPr>
            </w:pPr>
            <w:r>
              <w:rPr>
                <w:rFonts w:ascii="Times New Roman" w:hAnsi="Times New Roman"/>
                <w:spacing w:val="-2"/>
                <w:kern w:val="0"/>
                <w:szCs w:val="21"/>
              </w:rPr>
              <w:t>岸线距离/km</w:t>
            </w:r>
          </w:p>
        </w:tc>
        <w:tc>
          <w:tcPr>
            <w:tcW w:w="3493" w:type="dxa"/>
            <w:vAlign w:val="center"/>
          </w:tcPr>
          <w:p w14:paraId="168E012F">
            <w:pPr>
              <w:snapToGrid w:val="0"/>
              <w:jc w:val="center"/>
              <w:rPr>
                <w:rFonts w:ascii="Times New Roman" w:hAnsi="Times New Roman"/>
                <w:spacing w:val="-2"/>
                <w:kern w:val="0"/>
                <w:szCs w:val="21"/>
              </w:rPr>
            </w:pPr>
            <w:r>
              <w:rPr>
                <w:rFonts w:hint="eastAsia" w:ascii="Times New Roman" w:hAnsi="Times New Roman"/>
                <w:spacing w:val="-2"/>
                <w:kern w:val="0"/>
                <w:szCs w:val="21"/>
              </w:rPr>
              <w:t>/</w:t>
            </w:r>
          </w:p>
        </w:tc>
      </w:tr>
      <w:tr w14:paraId="4F407B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09" w:type="dxa"/>
            <w:vMerge w:val="continue"/>
            <w:vAlign w:val="center"/>
          </w:tcPr>
          <w:p w14:paraId="2B619A86">
            <w:pPr>
              <w:snapToGrid w:val="0"/>
              <w:jc w:val="center"/>
              <w:rPr>
                <w:rFonts w:ascii="Times New Roman" w:hAnsi="Times New Roman"/>
                <w:spacing w:val="-2"/>
                <w:kern w:val="0"/>
                <w:szCs w:val="21"/>
              </w:rPr>
            </w:pPr>
          </w:p>
        </w:tc>
        <w:tc>
          <w:tcPr>
            <w:tcW w:w="3238" w:type="dxa"/>
            <w:vAlign w:val="center"/>
          </w:tcPr>
          <w:p w14:paraId="5A71DB59">
            <w:pPr>
              <w:jc w:val="center"/>
              <w:rPr>
                <w:rFonts w:ascii="Times New Roman" w:hAnsi="Times New Roman"/>
                <w:spacing w:val="-2"/>
                <w:kern w:val="0"/>
                <w:szCs w:val="21"/>
              </w:rPr>
            </w:pPr>
            <w:r>
              <w:rPr>
                <w:rFonts w:ascii="Times New Roman" w:hAnsi="Times New Roman"/>
                <w:spacing w:val="-2"/>
                <w:kern w:val="0"/>
                <w:szCs w:val="21"/>
              </w:rPr>
              <w:t>岸线方向/°</w:t>
            </w:r>
          </w:p>
        </w:tc>
        <w:tc>
          <w:tcPr>
            <w:tcW w:w="3493" w:type="dxa"/>
            <w:vAlign w:val="center"/>
          </w:tcPr>
          <w:p w14:paraId="5CF8C8E9">
            <w:pPr>
              <w:snapToGrid w:val="0"/>
              <w:jc w:val="center"/>
              <w:rPr>
                <w:rFonts w:ascii="Times New Roman" w:hAnsi="Times New Roman"/>
                <w:spacing w:val="-2"/>
                <w:kern w:val="0"/>
                <w:szCs w:val="21"/>
              </w:rPr>
            </w:pPr>
            <w:r>
              <w:rPr>
                <w:rFonts w:hint="eastAsia" w:ascii="Times New Roman" w:hAnsi="Times New Roman"/>
                <w:spacing w:val="-2"/>
                <w:kern w:val="0"/>
                <w:szCs w:val="21"/>
              </w:rPr>
              <w:t>/</w:t>
            </w:r>
          </w:p>
        </w:tc>
      </w:tr>
    </w:tbl>
    <w:p w14:paraId="77DBE834">
      <w:pPr>
        <w:tabs>
          <w:tab w:val="left" w:pos="1418"/>
        </w:tabs>
        <w:spacing w:line="360" w:lineRule="auto"/>
        <w:ind w:firstLine="590" w:firstLineChars="250"/>
        <w:rPr>
          <w:rFonts w:ascii="Times New Roman" w:hAnsi="Times New Roman"/>
          <w:spacing w:val="-2"/>
          <w:kern w:val="0"/>
          <w:sz w:val="24"/>
          <w:szCs w:val="24"/>
        </w:rPr>
      </w:pPr>
    </w:p>
    <w:p w14:paraId="4A6811D2">
      <w:pPr>
        <w:tabs>
          <w:tab w:val="left" w:pos="1418"/>
        </w:tabs>
        <w:spacing w:line="360" w:lineRule="auto"/>
        <w:ind w:firstLine="590" w:firstLineChars="250"/>
        <w:rPr>
          <w:rFonts w:ascii="Times New Roman" w:hAnsi="Times New Roman"/>
          <w:sz w:val="24"/>
          <w:szCs w:val="24"/>
        </w:rPr>
      </w:pPr>
      <w:r>
        <w:rPr>
          <w:rFonts w:ascii="Times New Roman" w:hAnsi="Times New Roman"/>
          <w:spacing w:val="-2"/>
          <w:kern w:val="0"/>
          <w:sz w:val="24"/>
          <w:szCs w:val="24"/>
        </w:rPr>
        <w:t>项目生产过程中排放的大气污染物主要为烘干机烟气、</w:t>
      </w:r>
      <w:r>
        <w:rPr>
          <w:rFonts w:hint="eastAsia" w:ascii="Times New Roman" w:hAnsi="Times New Roman"/>
          <w:spacing w:val="-2"/>
          <w:kern w:val="0"/>
          <w:sz w:val="24"/>
          <w:szCs w:val="24"/>
        </w:rPr>
        <w:t>生产</w:t>
      </w:r>
      <w:r>
        <w:rPr>
          <w:rFonts w:ascii="Times New Roman" w:hAnsi="Times New Roman"/>
          <w:spacing w:val="-2"/>
          <w:kern w:val="0"/>
          <w:sz w:val="24"/>
          <w:szCs w:val="24"/>
        </w:rPr>
        <w:t>车间粉尘、物料运输扬尘等废气，经计算得该污染源的最大地面浓度占标率Pi（第i个污染物）及第i个污染物的地面空气质量浓度达标准值的10%时所对应的最远距离D</w:t>
      </w:r>
      <w:r>
        <w:rPr>
          <w:rFonts w:ascii="Times New Roman" w:hAnsi="Times New Roman"/>
          <w:spacing w:val="-2"/>
          <w:kern w:val="0"/>
          <w:sz w:val="24"/>
          <w:szCs w:val="24"/>
          <w:vertAlign w:val="subscript"/>
        </w:rPr>
        <w:t>10%</w:t>
      </w:r>
      <w:r>
        <w:rPr>
          <w:rFonts w:ascii="Times New Roman" w:hAnsi="Times New Roman"/>
          <w:spacing w:val="-2"/>
          <w:kern w:val="0"/>
          <w:sz w:val="24"/>
          <w:szCs w:val="24"/>
        </w:rPr>
        <w:t>。评价工作等级划分见表1.5-2；</w:t>
      </w:r>
      <w:r>
        <w:rPr>
          <w:rFonts w:ascii="Times New Roman" w:hAnsi="Times New Roman"/>
          <w:sz w:val="24"/>
          <w:szCs w:val="24"/>
        </w:rPr>
        <w:t>各污染源参数情况见表1.5-3</w:t>
      </w:r>
      <w:r>
        <w:rPr>
          <w:rFonts w:hint="eastAsia" w:ascii="Times New Roman" w:hAnsi="Times New Roman"/>
          <w:sz w:val="24"/>
          <w:szCs w:val="24"/>
        </w:rPr>
        <w:t>～</w:t>
      </w:r>
      <w:r>
        <w:rPr>
          <w:rFonts w:ascii="Times New Roman" w:hAnsi="Times New Roman"/>
          <w:sz w:val="24"/>
          <w:szCs w:val="24"/>
        </w:rPr>
        <w:t>4；项目各大气污染源排放的污染物最大地面浓度占标率计算结果见表1.5-5。</w:t>
      </w:r>
    </w:p>
    <w:p w14:paraId="158073BE">
      <w:pPr>
        <w:pStyle w:val="8"/>
        <w:rPr>
          <w:sz w:val="24"/>
          <w:szCs w:val="24"/>
        </w:rPr>
      </w:pPr>
      <w:r>
        <w:rPr>
          <w:sz w:val="24"/>
          <w:szCs w:val="24"/>
        </w:rPr>
        <w:t>环境空气评价等级划分表</w:t>
      </w:r>
    </w:p>
    <w:tbl>
      <w:tblPr>
        <w:tblStyle w:val="88"/>
        <w:tblW w:w="8913"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250"/>
        <w:gridCol w:w="5663"/>
      </w:tblGrid>
      <w:tr w14:paraId="03E4E0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3250" w:type="dxa"/>
            <w:vAlign w:val="center"/>
          </w:tcPr>
          <w:p w14:paraId="7BE4FA50">
            <w:pPr>
              <w:jc w:val="center"/>
              <w:rPr>
                <w:rFonts w:ascii="Times New Roman" w:hAnsi="Times New Roman"/>
                <w:b/>
                <w:bCs/>
                <w:spacing w:val="-2"/>
                <w:kern w:val="0"/>
                <w:szCs w:val="21"/>
              </w:rPr>
            </w:pPr>
            <w:r>
              <w:rPr>
                <w:rFonts w:ascii="Times New Roman" w:hAnsi="Times New Roman"/>
                <w:b/>
                <w:bCs/>
                <w:spacing w:val="-2"/>
                <w:kern w:val="0"/>
                <w:szCs w:val="21"/>
              </w:rPr>
              <w:t>评价工作等级</w:t>
            </w:r>
          </w:p>
        </w:tc>
        <w:tc>
          <w:tcPr>
            <w:tcW w:w="5663" w:type="dxa"/>
            <w:vAlign w:val="center"/>
          </w:tcPr>
          <w:p w14:paraId="1A63DB68">
            <w:pPr>
              <w:jc w:val="center"/>
              <w:rPr>
                <w:rFonts w:ascii="Times New Roman" w:hAnsi="Times New Roman"/>
                <w:b/>
                <w:bCs/>
                <w:spacing w:val="-2"/>
                <w:kern w:val="0"/>
                <w:szCs w:val="21"/>
              </w:rPr>
            </w:pPr>
            <w:r>
              <w:rPr>
                <w:rFonts w:ascii="Times New Roman" w:hAnsi="Times New Roman"/>
                <w:b/>
                <w:bCs/>
                <w:spacing w:val="-2"/>
                <w:kern w:val="0"/>
                <w:szCs w:val="21"/>
              </w:rPr>
              <w:t>评价工作分级判据</w:t>
            </w:r>
          </w:p>
        </w:tc>
      </w:tr>
      <w:tr w14:paraId="73C97B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250" w:type="dxa"/>
            <w:vAlign w:val="center"/>
          </w:tcPr>
          <w:p w14:paraId="7E855F6B">
            <w:pPr>
              <w:jc w:val="center"/>
              <w:rPr>
                <w:rFonts w:ascii="Times New Roman" w:hAnsi="Times New Roman"/>
                <w:spacing w:val="-2"/>
                <w:kern w:val="0"/>
                <w:szCs w:val="21"/>
              </w:rPr>
            </w:pPr>
            <w:r>
              <w:rPr>
                <w:rFonts w:ascii="Times New Roman" w:hAnsi="Times New Roman"/>
                <w:spacing w:val="-2"/>
                <w:kern w:val="0"/>
                <w:szCs w:val="21"/>
              </w:rPr>
              <w:t>一级评价</w:t>
            </w:r>
          </w:p>
        </w:tc>
        <w:tc>
          <w:tcPr>
            <w:tcW w:w="5663" w:type="dxa"/>
            <w:vAlign w:val="center"/>
          </w:tcPr>
          <w:p w14:paraId="5DAA92AA">
            <w:pPr>
              <w:jc w:val="center"/>
              <w:rPr>
                <w:rFonts w:ascii="Times New Roman" w:hAnsi="Times New Roman"/>
                <w:spacing w:val="-2"/>
                <w:kern w:val="0"/>
                <w:szCs w:val="21"/>
              </w:rPr>
            </w:pPr>
            <w:r>
              <w:rPr>
                <w:rFonts w:ascii="Times New Roman" w:hAnsi="Times New Roman"/>
                <w:spacing w:val="-2"/>
                <w:kern w:val="0"/>
                <w:szCs w:val="21"/>
              </w:rPr>
              <w:t>Pmax≥10%</w:t>
            </w:r>
          </w:p>
        </w:tc>
      </w:tr>
      <w:tr w14:paraId="556867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250" w:type="dxa"/>
            <w:vAlign w:val="center"/>
          </w:tcPr>
          <w:p w14:paraId="138AD50B">
            <w:pPr>
              <w:jc w:val="center"/>
              <w:rPr>
                <w:rFonts w:ascii="Times New Roman" w:hAnsi="Times New Roman"/>
                <w:spacing w:val="-2"/>
                <w:kern w:val="0"/>
                <w:szCs w:val="21"/>
              </w:rPr>
            </w:pPr>
            <w:r>
              <w:rPr>
                <w:rFonts w:ascii="Times New Roman" w:hAnsi="Times New Roman"/>
                <w:spacing w:val="-2"/>
                <w:kern w:val="0"/>
                <w:szCs w:val="21"/>
              </w:rPr>
              <w:t>二级评价</w:t>
            </w:r>
          </w:p>
        </w:tc>
        <w:tc>
          <w:tcPr>
            <w:tcW w:w="5663" w:type="dxa"/>
            <w:vAlign w:val="center"/>
          </w:tcPr>
          <w:p w14:paraId="501BCBDB">
            <w:pPr>
              <w:jc w:val="center"/>
              <w:rPr>
                <w:rFonts w:ascii="Times New Roman" w:hAnsi="Times New Roman"/>
                <w:spacing w:val="-2"/>
                <w:kern w:val="0"/>
                <w:szCs w:val="21"/>
              </w:rPr>
            </w:pPr>
            <w:r>
              <w:rPr>
                <w:rFonts w:ascii="Times New Roman" w:hAnsi="Times New Roman"/>
                <w:spacing w:val="-2"/>
                <w:kern w:val="0"/>
                <w:szCs w:val="21"/>
              </w:rPr>
              <w:t>1%≤Pmax＜10%</w:t>
            </w:r>
          </w:p>
        </w:tc>
      </w:tr>
      <w:tr w14:paraId="146168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250" w:type="dxa"/>
            <w:vAlign w:val="center"/>
          </w:tcPr>
          <w:p w14:paraId="215C4184">
            <w:pPr>
              <w:jc w:val="center"/>
              <w:rPr>
                <w:rFonts w:ascii="Times New Roman" w:hAnsi="Times New Roman"/>
                <w:spacing w:val="-2"/>
                <w:kern w:val="0"/>
                <w:szCs w:val="21"/>
              </w:rPr>
            </w:pPr>
            <w:r>
              <w:rPr>
                <w:rFonts w:ascii="Times New Roman" w:hAnsi="Times New Roman"/>
                <w:spacing w:val="-2"/>
                <w:kern w:val="0"/>
                <w:szCs w:val="21"/>
              </w:rPr>
              <w:t>三级评价</w:t>
            </w:r>
          </w:p>
        </w:tc>
        <w:tc>
          <w:tcPr>
            <w:tcW w:w="5663" w:type="dxa"/>
            <w:vAlign w:val="center"/>
          </w:tcPr>
          <w:p w14:paraId="6B4A1701">
            <w:pPr>
              <w:jc w:val="center"/>
              <w:rPr>
                <w:rFonts w:ascii="Times New Roman" w:hAnsi="Times New Roman"/>
                <w:spacing w:val="-2"/>
                <w:kern w:val="0"/>
                <w:szCs w:val="21"/>
              </w:rPr>
            </w:pPr>
            <w:r>
              <w:rPr>
                <w:rFonts w:ascii="Times New Roman" w:hAnsi="Times New Roman"/>
                <w:spacing w:val="-2"/>
                <w:kern w:val="0"/>
                <w:szCs w:val="21"/>
              </w:rPr>
              <w:t>Pmax＜1%</w:t>
            </w:r>
          </w:p>
        </w:tc>
      </w:tr>
    </w:tbl>
    <w:p w14:paraId="6B471904">
      <w:pPr>
        <w:spacing w:line="360" w:lineRule="auto"/>
        <w:ind w:firstLine="480" w:firstLineChars="200"/>
        <w:rPr>
          <w:rFonts w:ascii="Times New Roman" w:hAnsi="Times New Roman"/>
          <w:sz w:val="24"/>
          <w:szCs w:val="24"/>
        </w:rPr>
      </w:pPr>
    </w:p>
    <w:p w14:paraId="77E31564">
      <w:pPr>
        <w:spacing w:line="360" w:lineRule="auto"/>
        <w:ind w:firstLine="480" w:firstLineChars="200"/>
        <w:rPr>
          <w:rFonts w:ascii="Times New Roman" w:hAnsi="Times New Roman"/>
          <w:sz w:val="24"/>
          <w:szCs w:val="24"/>
        </w:rPr>
      </w:pPr>
    </w:p>
    <w:p w14:paraId="5DB891C4">
      <w:pPr>
        <w:pStyle w:val="8"/>
        <w:rPr>
          <w:sz w:val="24"/>
          <w:szCs w:val="24"/>
        </w:rPr>
      </w:pPr>
      <w:r>
        <w:rPr>
          <w:sz w:val="24"/>
          <w:szCs w:val="24"/>
        </w:rPr>
        <w:t>项目污染源（点源）参数一览表</w:t>
      </w:r>
    </w:p>
    <w:tbl>
      <w:tblPr>
        <w:tblStyle w:val="88"/>
        <w:tblW w:w="893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567"/>
        <w:gridCol w:w="992"/>
        <w:gridCol w:w="1134"/>
        <w:gridCol w:w="1134"/>
        <w:gridCol w:w="993"/>
        <w:gridCol w:w="567"/>
        <w:gridCol w:w="567"/>
        <w:gridCol w:w="567"/>
        <w:gridCol w:w="567"/>
        <w:gridCol w:w="850"/>
        <w:gridCol w:w="992"/>
      </w:tblGrid>
      <w:tr w14:paraId="0584C2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blHeader/>
          <w:jc w:val="center"/>
        </w:trPr>
        <w:tc>
          <w:tcPr>
            <w:tcW w:w="567" w:type="dxa"/>
            <w:vMerge w:val="restart"/>
            <w:vAlign w:val="center"/>
          </w:tcPr>
          <w:p w14:paraId="0CBCF089">
            <w:pPr>
              <w:jc w:val="center"/>
              <w:rPr>
                <w:rFonts w:ascii="Times New Roman" w:hAnsi="Times New Roman"/>
                <w:b/>
                <w:szCs w:val="21"/>
              </w:rPr>
            </w:pPr>
            <w:r>
              <w:rPr>
                <w:rFonts w:ascii="Times New Roman" w:hAnsi="Times New Roman"/>
                <w:b/>
                <w:szCs w:val="21"/>
              </w:rPr>
              <w:t>排放情景</w:t>
            </w:r>
          </w:p>
        </w:tc>
        <w:tc>
          <w:tcPr>
            <w:tcW w:w="992" w:type="dxa"/>
            <w:vMerge w:val="restart"/>
            <w:vAlign w:val="center"/>
          </w:tcPr>
          <w:p w14:paraId="47647390">
            <w:pPr>
              <w:jc w:val="center"/>
              <w:rPr>
                <w:rFonts w:ascii="Times New Roman" w:hAnsi="Times New Roman"/>
                <w:b/>
                <w:szCs w:val="21"/>
              </w:rPr>
            </w:pPr>
            <w:r>
              <w:rPr>
                <w:rFonts w:ascii="Times New Roman" w:hAnsi="Times New Roman"/>
                <w:b/>
                <w:szCs w:val="21"/>
              </w:rPr>
              <w:t>污染源名称</w:t>
            </w:r>
          </w:p>
        </w:tc>
        <w:tc>
          <w:tcPr>
            <w:tcW w:w="2268" w:type="dxa"/>
            <w:gridSpan w:val="2"/>
            <w:vAlign w:val="center"/>
          </w:tcPr>
          <w:p w14:paraId="73B23333">
            <w:pPr>
              <w:snapToGrid w:val="0"/>
              <w:jc w:val="center"/>
              <w:rPr>
                <w:rFonts w:ascii="Times New Roman" w:hAnsi="Times New Roman"/>
                <w:b/>
                <w:szCs w:val="21"/>
              </w:rPr>
            </w:pPr>
            <w:r>
              <w:rPr>
                <w:rFonts w:ascii="Times New Roman" w:hAnsi="Times New Roman"/>
                <w:b/>
                <w:szCs w:val="21"/>
              </w:rPr>
              <w:t>排气筒底部中心坐标</w:t>
            </w:r>
          </w:p>
        </w:tc>
        <w:tc>
          <w:tcPr>
            <w:tcW w:w="993" w:type="dxa"/>
            <w:vMerge w:val="restart"/>
            <w:vAlign w:val="center"/>
          </w:tcPr>
          <w:p w14:paraId="16632E35">
            <w:pPr>
              <w:snapToGrid w:val="0"/>
              <w:jc w:val="center"/>
              <w:rPr>
                <w:rFonts w:ascii="Times New Roman" w:hAnsi="Times New Roman"/>
                <w:b/>
                <w:szCs w:val="21"/>
              </w:rPr>
            </w:pPr>
            <w:r>
              <w:rPr>
                <w:rFonts w:ascii="Times New Roman" w:hAnsi="Times New Roman"/>
                <w:b/>
                <w:szCs w:val="21"/>
              </w:rPr>
              <w:t>排气筒底部海拔高度(m)</w:t>
            </w:r>
          </w:p>
        </w:tc>
        <w:tc>
          <w:tcPr>
            <w:tcW w:w="2268" w:type="dxa"/>
            <w:gridSpan w:val="4"/>
            <w:vAlign w:val="center"/>
          </w:tcPr>
          <w:p w14:paraId="75F05256">
            <w:pPr>
              <w:snapToGrid w:val="0"/>
              <w:jc w:val="center"/>
              <w:rPr>
                <w:rFonts w:ascii="Times New Roman" w:hAnsi="Times New Roman"/>
                <w:b/>
                <w:szCs w:val="21"/>
              </w:rPr>
            </w:pPr>
            <w:r>
              <w:rPr>
                <w:rFonts w:ascii="Times New Roman" w:hAnsi="Times New Roman"/>
                <w:b/>
                <w:szCs w:val="21"/>
              </w:rPr>
              <w:t>排气筒参数</w:t>
            </w:r>
          </w:p>
        </w:tc>
        <w:tc>
          <w:tcPr>
            <w:tcW w:w="850" w:type="dxa"/>
            <w:vMerge w:val="restart"/>
            <w:vAlign w:val="center"/>
          </w:tcPr>
          <w:p w14:paraId="1F939818">
            <w:pPr>
              <w:snapToGrid w:val="0"/>
              <w:jc w:val="center"/>
              <w:rPr>
                <w:rFonts w:ascii="Times New Roman" w:hAnsi="Times New Roman"/>
                <w:b/>
                <w:szCs w:val="21"/>
              </w:rPr>
            </w:pPr>
            <w:r>
              <w:rPr>
                <w:rFonts w:ascii="Times New Roman" w:hAnsi="Times New Roman"/>
                <w:b/>
                <w:szCs w:val="21"/>
              </w:rPr>
              <w:t>污染物名称</w:t>
            </w:r>
          </w:p>
        </w:tc>
        <w:tc>
          <w:tcPr>
            <w:tcW w:w="992" w:type="dxa"/>
            <w:vMerge w:val="restart"/>
            <w:vAlign w:val="center"/>
          </w:tcPr>
          <w:p w14:paraId="7C3E8517">
            <w:pPr>
              <w:snapToGrid w:val="0"/>
              <w:jc w:val="center"/>
              <w:rPr>
                <w:rFonts w:ascii="Times New Roman" w:hAnsi="Times New Roman"/>
                <w:b/>
                <w:szCs w:val="21"/>
              </w:rPr>
            </w:pPr>
            <w:r>
              <w:rPr>
                <w:rFonts w:ascii="Times New Roman" w:hAnsi="Times New Roman"/>
                <w:b/>
                <w:szCs w:val="21"/>
              </w:rPr>
              <w:t>排放速率（kg/h）</w:t>
            </w:r>
          </w:p>
        </w:tc>
      </w:tr>
      <w:tr w14:paraId="3776A6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blHeader/>
          <w:jc w:val="center"/>
        </w:trPr>
        <w:tc>
          <w:tcPr>
            <w:tcW w:w="567" w:type="dxa"/>
            <w:vMerge w:val="continue"/>
            <w:vAlign w:val="center"/>
          </w:tcPr>
          <w:p w14:paraId="511E38F8">
            <w:pPr>
              <w:snapToGrid w:val="0"/>
              <w:jc w:val="center"/>
              <w:rPr>
                <w:rFonts w:ascii="Times New Roman" w:hAnsi="Times New Roman"/>
                <w:b/>
                <w:szCs w:val="21"/>
              </w:rPr>
            </w:pPr>
          </w:p>
        </w:tc>
        <w:tc>
          <w:tcPr>
            <w:tcW w:w="992" w:type="dxa"/>
            <w:vMerge w:val="continue"/>
            <w:vAlign w:val="center"/>
          </w:tcPr>
          <w:p w14:paraId="0F7C62C1">
            <w:pPr>
              <w:snapToGrid w:val="0"/>
              <w:jc w:val="center"/>
              <w:rPr>
                <w:rFonts w:ascii="Times New Roman" w:hAnsi="Times New Roman"/>
                <w:b/>
                <w:szCs w:val="21"/>
              </w:rPr>
            </w:pPr>
          </w:p>
        </w:tc>
        <w:tc>
          <w:tcPr>
            <w:tcW w:w="1134" w:type="dxa"/>
            <w:vAlign w:val="center"/>
          </w:tcPr>
          <w:p w14:paraId="31E545BB">
            <w:pPr>
              <w:adjustRightInd w:val="0"/>
              <w:snapToGrid w:val="0"/>
              <w:jc w:val="center"/>
              <w:rPr>
                <w:rFonts w:ascii="Times New Roman" w:hAnsi="Times New Roman"/>
                <w:b/>
                <w:szCs w:val="21"/>
              </w:rPr>
            </w:pPr>
            <w:r>
              <w:rPr>
                <w:rFonts w:ascii="Times New Roman" w:hAnsi="Times New Roman"/>
                <w:b/>
                <w:szCs w:val="21"/>
              </w:rPr>
              <w:t>经度</w:t>
            </w:r>
          </w:p>
        </w:tc>
        <w:tc>
          <w:tcPr>
            <w:tcW w:w="1134" w:type="dxa"/>
            <w:vAlign w:val="center"/>
          </w:tcPr>
          <w:p w14:paraId="43B0D294">
            <w:pPr>
              <w:adjustRightInd w:val="0"/>
              <w:snapToGrid w:val="0"/>
              <w:jc w:val="center"/>
              <w:rPr>
                <w:rFonts w:ascii="Times New Roman" w:hAnsi="Times New Roman"/>
                <w:b/>
                <w:szCs w:val="21"/>
              </w:rPr>
            </w:pPr>
            <w:r>
              <w:rPr>
                <w:rFonts w:ascii="Times New Roman" w:hAnsi="Times New Roman"/>
                <w:b/>
                <w:szCs w:val="21"/>
              </w:rPr>
              <w:t>维度</w:t>
            </w:r>
          </w:p>
        </w:tc>
        <w:tc>
          <w:tcPr>
            <w:tcW w:w="993" w:type="dxa"/>
            <w:vMerge w:val="continue"/>
            <w:vAlign w:val="center"/>
          </w:tcPr>
          <w:p w14:paraId="718B41B8">
            <w:pPr>
              <w:snapToGrid w:val="0"/>
              <w:jc w:val="center"/>
              <w:rPr>
                <w:rFonts w:ascii="Times New Roman" w:hAnsi="Times New Roman"/>
                <w:b/>
                <w:szCs w:val="21"/>
              </w:rPr>
            </w:pPr>
          </w:p>
        </w:tc>
        <w:tc>
          <w:tcPr>
            <w:tcW w:w="567" w:type="dxa"/>
            <w:vAlign w:val="center"/>
          </w:tcPr>
          <w:p w14:paraId="06651467">
            <w:pPr>
              <w:snapToGrid w:val="0"/>
              <w:jc w:val="center"/>
              <w:rPr>
                <w:rFonts w:ascii="Times New Roman" w:hAnsi="Times New Roman"/>
                <w:b/>
                <w:szCs w:val="21"/>
              </w:rPr>
            </w:pPr>
            <w:r>
              <w:rPr>
                <w:rFonts w:ascii="Times New Roman" w:hAnsi="Times New Roman"/>
                <w:b/>
                <w:szCs w:val="21"/>
              </w:rPr>
              <w:t>高度(m)</w:t>
            </w:r>
          </w:p>
        </w:tc>
        <w:tc>
          <w:tcPr>
            <w:tcW w:w="567" w:type="dxa"/>
            <w:vAlign w:val="center"/>
          </w:tcPr>
          <w:p w14:paraId="6ECC5DE6">
            <w:pPr>
              <w:snapToGrid w:val="0"/>
              <w:jc w:val="center"/>
              <w:rPr>
                <w:rFonts w:ascii="Times New Roman" w:hAnsi="Times New Roman"/>
                <w:b/>
                <w:szCs w:val="21"/>
              </w:rPr>
            </w:pPr>
            <w:r>
              <w:rPr>
                <w:rFonts w:ascii="Times New Roman" w:hAnsi="Times New Roman"/>
                <w:b/>
                <w:szCs w:val="21"/>
              </w:rPr>
              <w:t>内径(m)</w:t>
            </w:r>
          </w:p>
        </w:tc>
        <w:tc>
          <w:tcPr>
            <w:tcW w:w="567" w:type="dxa"/>
            <w:vAlign w:val="center"/>
          </w:tcPr>
          <w:p w14:paraId="313B4062">
            <w:pPr>
              <w:snapToGrid w:val="0"/>
              <w:jc w:val="center"/>
              <w:rPr>
                <w:rFonts w:ascii="Times New Roman" w:hAnsi="Times New Roman"/>
                <w:b/>
                <w:szCs w:val="21"/>
              </w:rPr>
            </w:pPr>
            <w:r>
              <w:rPr>
                <w:rFonts w:ascii="Times New Roman" w:hAnsi="Times New Roman"/>
                <w:b/>
                <w:szCs w:val="21"/>
              </w:rPr>
              <w:t>温度(℃)</w:t>
            </w:r>
          </w:p>
        </w:tc>
        <w:tc>
          <w:tcPr>
            <w:tcW w:w="567" w:type="dxa"/>
            <w:vAlign w:val="center"/>
          </w:tcPr>
          <w:p w14:paraId="4921C4F2">
            <w:pPr>
              <w:snapToGrid w:val="0"/>
              <w:jc w:val="center"/>
              <w:rPr>
                <w:rFonts w:ascii="Times New Roman" w:hAnsi="Times New Roman"/>
                <w:b/>
                <w:szCs w:val="21"/>
              </w:rPr>
            </w:pPr>
            <w:r>
              <w:rPr>
                <w:rFonts w:ascii="Times New Roman" w:hAnsi="Times New Roman"/>
                <w:b/>
                <w:szCs w:val="21"/>
              </w:rPr>
              <w:t>流速(</w:t>
            </w:r>
            <w:r>
              <w:rPr>
                <w:rFonts w:ascii="Times New Roman" w:hAnsi="Times New Roman"/>
                <w:b/>
                <w:spacing w:val="-2"/>
                <w:kern w:val="0"/>
                <w:szCs w:val="21"/>
              </w:rPr>
              <w:t>m/s</w:t>
            </w:r>
            <w:r>
              <w:rPr>
                <w:rFonts w:ascii="Times New Roman" w:hAnsi="Times New Roman"/>
                <w:b/>
                <w:szCs w:val="21"/>
              </w:rPr>
              <w:t>)</w:t>
            </w:r>
          </w:p>
        </w:tc>
        <w:tc>
          <w:tcPr>
            <w:tcW w:w="850" w:type="dxa"/>
            <w:vMerge w:val="continue"/>
            <w:vAlign w:val="center"/>
          </w:tcPr>
          <w:p w14:paraId="2F8D4D7C">
            <w:pPr>
              <w:snapToGrid w:val="0"/>
              <w:jc w:val="center"/>
              <w:rPr>
                <w:rFonts w:ascii="Times New Roman" w:hAnsi="Times New Roman"/>
                <w:b/>
                <w:szCs w:val="21"/>
              </w:rPr>
            </w:pPr>
          </w:p>
        </w:tc>
        <w:tc>
          <w:tcPr>
            <w:tcW w:w="992" w:type="dxa"/>
            <w:vMerge w:val="continue"/>
            <w:vAlign w:val="center"/>
          </w:tcPr>
          <w:p w14:paraId="5AE25228">
            <w:pPr>
              <w:snapToGrid w:val="0"/>
              <w:jc w:val="center"/>
              <w:rPr>
                <w:rFonts w:ascii="Times New Roman" w:hAnsi="Times New Roman"/>
                <w:b/>
                <w:szCs w:val="21"/>
              </w:rPr>
            </w:pPr>
          </w:p>
        </w:tc>
      </w:tr>
      <w:tr w14:paraId="617600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jc w:val="center"/>
        </w:trPr>
        <w:tc>
          <w:tcPr>
            <w:tcW w:w="567" w:type="dxa"/>
            <w:vMerge w:val="restart"/>
            <w:vAlign w:val="center"/>
          </w:tcPr>
          <w:p w14:paraId="5DE3C0CF">
            <w:pPr>
              <w:jc w:val="center"/>
              <w:rPr>
                <w:rFonts w:ascii="Times New Roman" w:hAnsi="Times New Roman"/>
                <w:szCs w:val="21"/>
              </w:rPr>
            </w:pPr>
            <w:r>
              <w:rPr>
                <w:rFonts w:ascii="Times New Roman" w:hAnsi="Times New Roman"/>
                <w:szCs w:val="21"/>
              </w:rPr>
              <w:t>正常排放</w:t>
            </w:r>
          </w:p>
        </w:tc>
        <w:tc>
          <w:tcPr>
            <w:tcW w:w="992" w:type="dxa"/>
            <w:vMerge w:val="restart"/>
            <w:vAlign w:val="center"/>
          </w:tcPr>
          <w:p w14:paraId="0568C03C">
            <w:pPr>
              <w:jc w:val="center"/>
              <w:rPr>
                <w:rFonts w:ascii="Times New Roman" w:hAnsi="Times New Roman"/>
                <w:szCs w:val="21"/>
              </w:rPr>
            </w:pPr>
            <w:r>
              <w:rPr>
                <w:rFonts w:ascii="Times New Roman" w:hAnsi="Times New Roman"/>
                <w:szCs w:val="21"/>
              </w:rPr>
              <w:t>烘干炉排气筒</w:t>
            </w:r>
          </w:p>
        </w:tc>
        <w:tc>
          <w:tcPr>
            <w:tcW w:w="1134" w:type="dxa"/>
            <w:vMerge w:val="restart"/>
            <w:vAlign w:val="center"/>
          </w:tcPr>
          <w:p w14:paraId="1EA37B04">
            <w:pPr>
              <w:jc w:val="center"/>
              <w:rPr>
                <w:rFonts w:ascii="Times New Roman" w:hAnsi="Times New Roman"/>
                <w:szCs w:val="21"/>
              </w:rPr>
            </w:pPr>
            <w:r>
              <w:rPr>
                <w:rFonts w:ascii="Times New Roman" w:hAnsi="Times New Roman"/>
                <w:szCs w:val="21"/>
              </w:rPr>
              <w:t>108.667620</w:t>
            </w:r>
          </w:p>
        </w:tc>
        <w:tc>
          <w:tcPr>
            <w:tcW w:w="1134" w:type="dxa"/>
            <w:vMerge w:val="restart"/>
            <w:vAlign w:val="center"/>
          </w:tcPr>
          <w:p w14:paraId="00B30B4B">
            <w:pPr>
              <w:jc w:val="center"/>
              <w:rPr>
                <w:rFonts w:ascii="Times New Roman" w:hAnsi="Times New Roman"/>
                <w:szCs w:val="21"/>
              </w:rPr>
            </w:pPr>
            <w:r>
              <w:rPr>
                <w:rFonts w:ascii="Times New Roman" w:hAnsi="Times New Roman"/>
                <w:szCs w:val="21"/>
              </w:rPr>
              <w:t>21.672537</w:t>
            </w:r>
          </w:p>
        </w:tc>
        <w:tc>
          <w:tcPr>
            <w:tcW w:w="993" w:type="dxa"/>
            <w:vMerge w:val="restart"/>
            <w:vAlign w:val="center"/>
          </w:tcPr>
          <w:p w14:paraId="6FC4F09E">
            <w:pPr>
              <w:jc w:val="center"/>
              <w:rPr>
                <w:rFonts w:ascii="Times New Roman" w:hAnsi="Times New Roman"/>
                <w:szCs w:val="21"/>
              </w:rPr>
            </w:pPr>
            <w:r>
              <w:rPr>
                <w:rFonts w:ascii="Times New Roman" w:hAnsi="Times New Roman"/>
                <w:szCs w:val="21"/>
              </w:rPr>
              <w:t>0</w:t>
            </w:r>
          </w:p>
        </w:tc>
        <w:tc>
          <w:tcPr>
            <w:tcW w:w="567" w:type="dxa"/>
            <w:vMerge w:val="restart"/>
            <w:vAlign w:val="center"/>
          </w:tcPr>
          <w:p w14:paraId="714FDC53">
            <w:pPr>
              <w:adjustRightInd w:val="0"/>
              <w:snapToGrid w:val="0"/>
              <w:jc w:val="center"/>
              <w:rPr>
                <w:rFonts w:ascii="Times New Roman" w:hAnsi="Times New Roman"/>
                <w:szCs w:val="21"/>
              </w:rPr>
            </w:pPr>
            <w:r>
              <w:rPr>
                <w:rFonts w:ascii="Times New Roman" w:hAnsi="Times New Roman"/>
                <w:szCs w:val="21"/>
              </w:rPr>
              <w:t>1</w:t>
            </w:r>
            <w:r>
              <w:rPr>
                <w:rFonts w:hint="eastAsia" w:ascii="Times New Roman" w:hAnsi="Times New Roman"/>
                <w:szCs w:val="21"/>
              </w:rPr>
              <w:t>9</w:t>
            </w:r>
          </w:p>
        </w:tc>
        <w:tc>
          <w:tcPr>
            <w:tcW w:w="567" w:type="dxa"/>
            <w:vMerge w:val="restart"/>
            <w:vAlign w:val="center"/>
          </w:tcPr>
          <w:p w14:paraId="1FC45C5B">
            <w:pPr>
              <w:adjustRightInd w:val="0"/>
              <w:snapToGrid w:val="0"/>
              <w:jc w:val="center"/>
              <w:rPr>
                <w:rFonts w:ascii="Times New Roman" w:hAnsi="Times New Roman"/>
                <w:szCs w:val="21"/>
              </w:rPr>
            </w:pPr>
            <w:r>
              <w:rPr>
                <w:rFonts w:ascii="Times New Roman" w:hAnsi="Times New Roman"/>
                <w:szCs w:val="21"/>
              </w:rPr>
              <w:t>0.</w:t>
            </w:r>
            <w:r>
              <w:rPr>
                <w:rFonts w:hint="eastAsia" w:ascii="Times New Roman" w:hAnsi="Times New Roman"/>
                <w:szCs w:val="21"/>
              </w:rPr>
              <w:t>3</w:t>
            </w:r>
          </w:p>
        </w:tc>
        <w:tc>
          <w:tcPr>
            <w:tcW w:w="567" w:type="dxa"/>
            <w:vMerge w:val="restart"/>
            <w:vAlign w:val="center"/>
          </w:tcPr>
          <w:p w14:paraId="4B17E0CE">
            <w:pPr>
              <w:adjustRightInd w:val="0"/>
              <w:snapToGrid w:val="0"/>
              <w:jc w:val="center"/>
              <w:rPr>
                <w:rFonts w:ascii="Times New Roman" w:hAnsi="Times New Roman"/>
                <w:szCs w:val="21"/>
              </w:rPr>
            </w:pPr>
            <w:r>
              <w:rPr>
                <w:rFonts w:ascii="Times New Roman" w:hAnsi="Times New Roman"/>
                <w:szCs w:val="21"/>
              </w:rPr>
              <w:t>80</w:t>
            </w:r>
          </w:p>
        </w:tc>
        <w:tc>
          <w:tcPr>
            <w:tcW w:w="567" w:type="dxa"/>
            <w:vMerge w:val="restart"/>
            <w:vAlign w:val="center"/>
          </w:tcPr>
          <w:p w14:paraId="6E181F31">
            <w:pPr>
              <w:jc w:val="center"/>
              <w:rPr>
                <w:rFonts w:ascii="Times New Roman" w:hAnsi="Times New Roman"/>
                <w:szCs w:val="21"/>
              </w:rPr>
            </w:pPr>
            <w:r>
              <w:rPr>
                <w:rFonts w:hint="eastAsia" w:ascii="Times New Roman" w:hAnsi="Times New Roman"/>
                <w:szCs w:val="21"/>
              </w:rPr>
              <w:t>19.65</w:t>
            </w:r>
          </w:p>
        </w:tc>
        <w:tc>
          <w:tcPr>
            <w:tcW w:w="850" w:type="dxa"/>
            <w:vAlign w:val="center"/>
          </w:tcPr>
          <w:p w14:paraId="2E718B45">
            <w:pPr>
              <w:tabs>
                <w:tab w:val="left" w:pos="624"/>
              </w:tabs>
              <w:jc w:val="center"/>
              <w:rPr>
                <w:rFonts w:ascii="Times New Roman" w:hAnsi="Times New Roman"/>
                <w:szCs w:val="21"/>
              </w:rPr>
            </w:pPr>
            <w:r>
              <w:rPr>
                <w:rFonts w:ascii="Times New Roman" w:hAnsi="Times New Roman"/>
                <w:szCs w:val="21"/>
              </w:rPr>
              <w:t>PM</w:t>
            </w:r>
            <w:r>
              <w:rPr>
                <w:rFonts w:ascii="Times New Roman" w:hAnsi="Times New Roman"/>
                <w:szCs w:val="21"/>
                <w:vertAlign w:val="subscript"/>
              </w:rPr>
              <w:t>10</w:t>
            </w:r>
          </w:p>
        </w:tc>
        <w:tc>
          <w:tcPr>
            <w:tcW w:w="992" w:type="dxa"/>
            <w:vAlign w:val="center"/>
          </w:tcPr>
          <w:p w14:paraId="54F8A244">
            <w:pPr>
              <w:adjustRightInd w:val="0"/>
              <w:snapToGrid w:val="0"/>
              <w:jc w:val="center"/>
              <w:rPr>
                <w:rFonts w:ascii="Times New Roman" w:hAnsi="Times New Roman"/>
                <w:kern w:val="0"/>
                <w:szCs w:val="21"/>
                <w:u w:val="single"/>
              </w:rPr>
            </w:pPr>
            <w:r>
              <w:rPr>
                <w:rFonts w:ascii="Times New Roman" w:hAnsi="Times New Roman"/>
                <w:kern w:val="0"/>
                <w:szCs w:val="21"/>
                <w:u w:val="single"/>
              </w:rPr>
              <w:t>0.0175</w:t>
            </w:r>
          </w:p>
        </w:tc>
      </w:tr>
      <w:tr w14:paraId="4E883B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jc w:val="center"/>
        </w:trPr>
        <w:tc>
          <w:tcPr>
            <w:tcW w:w="567" w:type="dxa"/>
            <w:vMerge w:val="continue"/>
            <w:vAlign w:val="center"/>
          </w:tcPr>
          <w:p w14:paraId="06FDA9EF">
            <w:pPr>
              <w:jc w:val="center"/>
              <w:rPr>
                <w:rFonts w:ascii="Times New Roman" w:hAnsi="Times New Roman"/>
                <w:szCs w:val="21"/>
              </w:rPr>
            </w:pPr>
          </w:p>
        </w:tc>
        <w:tc>
          <w:tcPr>
            <w:tcW w:w="992" w:type="dxa"/>
            <w:vMerge w:val="continue"/>
            <w:vAlign w:val="center"/>
          </w:tcPr>
          <w:p w14:paraId="4C6CE63A">
            <w:pPr>
              <w:jc w:val="center"/>
              <w:rPr>
                <w:rFonts w:ascii="Times New Roman" w:hAnsi="Times New Roman"/>
                <w:szCs w:val="21"/>
              </w:rPr>
            </w:pPr>
          </w:p>
        </w:tc>
        <w:tc>
          <w:tcPr>
            <w:tcW w:w="1134" w:type="dxa"/>
            <w:vMerge w:val="continue"/>
            <w:vAlign w:val="center"/>
          </w:tcPr>
          <w:p w14:paraId="08C925F3">
            <w:pPr>
              <w:jc w:val="center"/>
              <w:rPr>
                <w:rFonts w:ascii="Times New Roman" w:hAnsi="Times New Roman"/>
                <w:szCs w:val="21"/>
              </w:rPr>
            </w:pPr>
          </w:p>
        </w:tc>
        <w:tc>
          <w:tcPr>
            <w:tcW w:w="1134" w:type="dxa"/>
            <w:vMerge w:val="continue"/>
            <w:vAlign w:val="center"/>
          </w:tcPr>
          <w:p w14:paraId="27C19DD1">
            <w:pPr>
              <w:jc w:val="center"/>
              <w:rPr>
                <w:rFonts w:ascii="Times New Roman" w:hAnsi="Times New Roman"/>
                <w:szCs w:val="21"/>
              </w:rPr>
            </w:pPr>
          </w:p>
        </w:tc>
        <w:tc>
          <w:tcPr>
            <w:tcW w:w="993" w:type="dxa"/>
            <w:vMerge w:val="continue"/>
            <w:vAlign w:val="center"/>
          </w:tcPr>
          <w:p w14:paraId="49D019CA">
            <w:pPr>
              <w:jc w:val="center"/>
              <w:rPr>
                <w:rFonts w:ascii="Times New Roman" w:hAnsi="Times New Roman"/>
                <w:szCs w:val="21"/>
              </w:rPr>
            </w:pPr>
          </w:p>
        </w:tc>
        <w:tc>
          <w:tcPr>
            <w:tcW w:w="567" w:type="dxa"/>
            <w:vMerge w:val="continue"/>
            <w:vAlign w:val="center"/>
          </w:tcPr>
          <w:p w14:paraId="4F7A436F">
            <w:pPr>
              <w:adjustRightInd w:val="0"/>
              <w:snapToGrid w:val="0"/>
              <w:jc w:val="center"/>
              <w:rPr>
                <w:rFonts w:ascii="Times New Roman" w:hAnsi="Times New Roman"/>
                <w:szCs w:val="21"/>
              </w:rPr>
            </w:pPr>
          </w:p>
        </w:tc>
        <w:tc>
          <w:tcPr>
            <w:tcW w:w="567" w:type="dxa"/>
            <w:vMerge w:val="continue"/>
            <w:vAlign w:val="center"/>
          </w:tcPr>
          <w:p w14:paraId="2079C621">
            <w:pPr>
              <w:adjustRightInd w:val="0"/>
              <w:snapToGrid w:val="0"/>
              <w:jc w:val="center"/>
              <w:rPr>
                <w:rFonts w:ascii="Times New Roman" w:hAnsi="Times New Roman"/>
                <w:szCs w:val="21"/>
              </w:rPr>
            </w:pPr>
          </w:p>
        </w:tc>
        <w:tc>
          <w:tcPr>
            <w:tcW w:w="567" w:type="dxa"/>
            <w:vMerge w:val="continue"/>
            <w:vAlign w:val="center"/>
          </w:tcPr>
          <w:p w14:paraId="7AB29A6E">
            <w:pPr>
              <w:adjustRightInd w:val="0"/>
              <w:snapToGrid w:val="0"/>
              <w:jc w:val="center"/>
              <w:rPr>
                <w:rFonts w:ascii="Times New Roman" w:hAnsi="Times New Roman"/>
                <w:szCs w:val="21"/>
              </w:rPr>
            </w:pPr>
          </w:p>
        </w:tc>
        <w:tc>
          <w:tcPr>
            <w:tcW w:w="567" w:type="dxa"/>
            <w:vMerge w:val="continue"/>
            <w:vAlign w:val="center"/>
          </w:tcPr>
          <w:p w14:paraId="30DB61E0">
            <w:pPr>
              <w:jc w:val="center"/>
              <w:rPr>
                <w:rFonts w:ascii="Times New Roman" w:hAnsi="Times New Roman"/>
                <w:szCs w:val="21"/>
              </w:rPr>
            </w:pPr>
          </w:p>
        </w:tc>
        <w:tc>
          <w:tcPr>
            <w:tcW w:w="850" w:type="dxa"/>
            <w:vAlign w:val="center"/>
          </w:tcPr>
          <w:p w14:paraId="6B46A836">
            <w:pPr>
              <w:tabs>
                <w:tab w:val="left" w:pos="624"/>
              </w:tabs>
              <w:jc w:val="center"/>
              <w:rPr>
                <w:rFonts w:ascii="Times New Roman" w:hAnsi="Times New Roman"/>
                <w:szCs w:val="21"/>
              </w:rPr>
            </w:pPr>
            <w:r>
              <w:rPr>
                <w:rFonts w:ascii="Times New Roman" w:hAnsi="Times New Roman"/>
                <w:spacing w:val="-2"/>
                <w:kern w:val="0"/>
                <w:szCs w:val="21"/>
              </w:rPr>
              <w:t>SO</w:t>
            </w:r>
            <w:r>
              <w:rPr>
                <w:rFonts w:ascii="Times New Roman" w:hAnsi="Times New Roman"/>
                <w:spacing w:val="-2"/>
                <w:kern w:val="0"/>
                <w:szCs w:val="21"/>
                <w:vertAlign w:val="subscript"/>
              </w:rPr>
              <w:t>2</w:t>
            </w:r>
          </w:p>
        </w:tc>
        <w:tc>
          <w:tcPr>
            <w:tcW w:w="992" w:type="dxa"/>
            <w:vAlign w:val="center"/>
          </w:tcPr>
          <w:p w14:paraId="10B017A8">
            <w:pPr>
              <w:adjustRightInd w:val="0"/>
              <w:snapToGrid w:val="0"/>
              <w:jc w:val="center"/>
              <w:rPr>
                <w:rFonts w:ascii="Times New Roman" w:hAnsi="Times New Roman"/>
                <w:kern w:val="0"/>
                <w:szCs w:val="21"/>
                <w:u w:val="single"/>
              </w:rPr>
            </w:pPr>
            <w:r>
              <w:rPr>
                <w:rFonts w:ascii="Times New Roman" w:hAnsi="Times New Roman"/>
                <w:kern w:val="0"/>
                <w:szCs w:val="21"/>
                <w:u w:val="single"/>
              </w:rPr>
              <w:t>0.0921</w:t>
            </w:r>
          </w:p>
        </w:tc>
      </w:tr>
      <w:tr w14:paraId="2B461C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jc w:val="center"/>
        </w:trPr>
        <w:tc>
          <w:tcPr>
            <w:tcW w:w="567" w:type="dxa"/>
            <w:vMerge w:val="continue"/>
            <w:vAlign w:val="center"/>
          </w:tcPr>
          <w:p w14:paraId="5B543C6A">
            <w:pPr>
              <w:jc w:val="center"/>
              <w:rPr>
                <w:rFonts w:ascii="Times New Roman" w:hAnsi="Times New Roman"/>
                <w:szCs w:val="21"/>
              </w:rPr>
            </w:pPr>
          </w:p>
        </w:tc>
        <w:tc>
          <w:tcPr>
            <w:tcW w:w="992" w:type="dxa"/>
            <w:vMerge w:val="continue"/>
            <w:vAlign w:val="center"/>
          </w:tcPr>
          <w:p w14:paraId="499E9862">
            <w:pPr>
              <w:jc w:val="center"/>
              <w:rPr>
                <w:rFonts w:ascii="Times New Roman" w:hAnsi="Times New Roman"/>
                <w:szCs w:val="21"/>
              </w:rPr>
            </w:pPr>
          </w:p>
        </w:tc>
        <w:tc>
          <w:tcPr>
            <w:tcW w:w="1134" w:type="dxa"/>
            <w:vMerge w:val="continue"/>
            <w:vAlign w:val="center"/>
          </w:tcPr>
          <w:p w14:paraId="6448B454">
            <w:pPr>
              <w:jc w:val="center"/>
              <w:rPr>
                <w:rFonts w:ascii="Times New Roman" w:hAnsi="Times New Roman"/>
                <w:szCs w:val="21"/>
              </w:rPr>
            </w:pPr>
          </w:p>
        </w:tc>
        <w:tc>
          <w:tcPr>
            <w:tcW w:w="1134" w:type="dxa"/>
            <w:vMerge w:val="continue"/>
            <w:vAlign w:val="center"/>
          </w:tcPr>
          <w:p w14:paraId="543AD45B">
            <w:pPr>
              <w:jc w:val="center"/>
              <w:rPr>
                <w:rFonts w:ascii="Times New Roman" w:hAnsi="Times New Roman"/>
                <w:szCs w:val="21"/>
              </w:rPr>
            </w:pPr>
          </w:p>
        </w:tc>
        <w:tc>
          <w:tcPr>
            <w:tcW w:w="993" w:type="dxa"/>
            <w:vMerge w:val="continue"/>
            <w:vAlign w:val="center"/>
          </w:tcPr>
          <w:p w14:paraId="6FF178BA">
            <w:pPr>
              <w:jc w:val="center"/>
              <w:rPr>
                <w:rFonts w:ascii="Times New Roman" w:hAnsi="Times New Roman"/>
                <w:szCs w:val="21"/>
              </w:rPr>
            </w:pPr>
          </w:p>
        </w:tc>
        <w:tc>
          <w:tcPr>
            <w:tcW w:w="567" w:type="dxa"/>
            <w:vMerge w:val="continue"/>
            <w:vAlign w:val="center"/>
          </w:tcPr>
          <w:p w14:paraId="1DB17753">
            <w:pPr>
              <w:adjustRightInd w:val="0"/>
              <w:snapToGrid w:val="0"/>
              <w:jc w:val="center"/>
              <w:rPr>
                <w:rFonts w:ascii="Times New Roman" w:hAnsi="Times New Roman"/>
                <w:szCs w:val="21"/>
              </w:rPr>
            </w:pPr>
          </w:p>
        </w:tc>
        <w:tc>
          <w:tcPr>
            <w:tcW w:w="567" w:type="dxa"/>
            <w:vMerge w:val="continue"/>
            <w:vAlign w:val="center"/>
          </w:tcPr>
          <w:p w14:paraId="3C3B7974">
            <w:pPr>
              <w:adjustRightInd w:val="0"/>
              <w:snapToGrid w:val="0"/>
              <w:jc w:val="center"/>
              <w:rPr>
                <w:rFonts w:ascii="Times New Roman" w:hAnsi="Times New Roman"/>
                <w:szCs w:val="21"/>
              </w:rPr>
            </w:pPr>
          </w:p>
        </w:tc>
        <w:tc>
          <w:tcPr>
            <w:tcW w:w="567" w:type="dxa"/>
            <w:vMerge w:val="continue"/>
            <w:vAlign w:val="center"/>
          </w:tcPr>
          <w:p w14:paraId="50AF29DC">
            <w:pPr>
              <w:adjustRightInd w:val="0"/>
              <w:snapToGrid w:val="0"/>
              <w:jc w:val="center"/>
              <w:rPr>
                <w:rFonts w:ascii="Times New Roman" w:hAnsi="Times New Roman"/>
                <w:szCs w:val="21"/>
              </w:rPr>
            </w:pPr>
          </w:p>
        </w:tc>
        <w:tc>
          <w:tcPr>
            <w:tcW w:w="567" w:type="dxa"/>
            <w:vMerge w:val="continue"/>
            <w:vAlign w:val="center"/>
          </w:tcPr>
          <w:p w14:paraId="6AE5CB24">
            <w:pPr>
              <w:jc w:val="center"/>
              <w:rPr>
                <w:rFonts w:ascii="Times New Roman" w:hAnsi="Times New Roman"/>
                <w:szCs w:val="21"/>
              </w:rPr>
            </w:pPr>
          </w:p>
        </w:tc>
        <w:tc>
          <w:tcPr>
            <w:tcW w:w="850" w:type="dxa"/>
            <w:vAlign w:val="center"/>
          </w:tcPr>
          <w:p w14:paraId="0CAF0557">
            <w:pPr>
              <w:tabs>
                <w:tab w:val="left" w:pos="624"/>
              </w:tabs>
              <w:jc w:val="center"/>
              <w:rPr>
                <w:rFonts w:ascii="Times New Roman" w:hAnsi="Times New Roman"/>
                <w:szCs w:val="21"/>
              </w:rPr>
            </w:pPr>
            <w:r>
              <w:rPr>
                <w:rFonts w:ascii="Times New Roman" w:hAnsi="Times New Roman"/>
                <w:szCs w:val="21"/>
              </w:rPr>
              <w:t>NO</w:t>
            </w:r>
            <w:r>
              <w:rPr>
                <w:rFonts w:ascii="Times New Roman" w:hAnsi="Times New Roman"/>
                <w:szCs w:val="21"/>
                <w:vertAlign w:val="subscript"/>
              </w:rPr>
              <w:t>X</w:t>
            </w:r>
          </w:p>
        </w:tc>
        <w:tc>
          <w:tcPr>
            <w:tcW w:w="992" w:type="dxa"/>
            <w:vAlign w:val="center"/>
          </w:tcPr>
          <w:p w14:paraId="316C8564">
            <w:pPr>
              <w:adjustRightInd w:val="0"/>
              <w:snapToGrid w:val="0"/>
              <w:jc w:val="center"/>
              <w:rPr>
                <w:rFonts w:ascii="Times New Roman" w:hAnsi="Times New Roman"/>
                <w:kern w:val="0"/>
                <w:szCs w:val="21"/>
                <w:u w:val="single"/>
              </w:rPr>
            </w:pPr>
            <w:r>
              <w:rPr>
                <w:rFonts w:ascii="Times New Roman" w:hAnsi="Times New Roman"/>
                <w:kern w:val="0"/>
                <w:szCs w:val="21"/>
                <w:u w:val="single"/>
              </w:rPr>
              <w:t>0.5000</w:t>
            </w:r>
          </w:p>
        </w:tc>
      </w:tr>
      <w:tr w14:paraId="7221F8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jc w:val="center"/>
        </w:trPr>
        <w:tc>
          <w:tcPr>
            <w:tcW w:w="567" w:type="dxa"/>
            <w:vMerge w:val="continue"/>
            <w:vAlign w:val="center"/>
          </w:tcPr>
          <w:p w14:paraId="3BB8A10C">
            <w:pPr>
              <w:jc w:val="center"/>
              <w:rPr>
                <w:rFonts w:ascii="Times New Roman" w:hAnsi="Times New Roman"/>
                <w:szCs w:val="21"/>
              </w:rPr>
            </w:pPr>
          </w:p>
        </w:tc>
        <w:tc>
          <w:tcPr>
            <w:tcW w:w="992" w:type="dxa"/>
            <w:vAlign w:val="center"/>
          </w:tcPr>
          <w:p w14:paraId="3507127E">
            <w:pPr>
              <w:jc w:val="center"/>
              <w:rPr>
                <w:rFonts w:ascii="Times New Roman" w:hAnsi="Times New Roman"/>
                <w:szCs w:val="21"/>
              </w:rPr>
            </w:pPr>
            <w:r>
              <w:rPr>
                <w:rFonts w:hint="eastAsia" w:ascii="Times New Roman" w:hAnsi="Times New Roman"/>
                <w:szCs w:val="21"/>
              </w:rPr>
              <w:t>1#</w:t>
            </w:r>
            <w:r>
              <w:rPr>
                <w:rFonts w:ascii="Times New Roman" w:hAnsi="Times New Roman"/>
                <w:szCs w:val="21"/>
              </w:rPr>
              <w:t>车间粉尘排气筒</w:t>
            </w:r>
          </w:p>
        </w:tc>
        <w:tc>
          <w:tcPr>
            <w:tcW w:w="1134" w:type="dxa"/>
            <w:vAlign w:val="center"/>
          </w:tcPr>
          <w:p w14:paraId="6B5D2A09">
            <w:pPr>
              <w:jc w:val="center"/>
              <w:rPr>
                <w:rFonts w:ascii="Times New Roman" w:hAnsi="Times New Roman"/>
                <w:szCs w:val="21"/>
              </w:rPr>
            </w:pPr>
            <w:r>
              <w:rPr>
                <w:rFonts w:ascii="Times New Roman" w:hAnsi="Times New Roman"/>
                <w:szCs w:val="21"/>
              </w:rPr>
              <w:t>108.667</w:t>
            </w:r>
            <w:r>
              <w:rPr>
                <w:rFonts w:hint="eastAsia" w:ascii="Times New Roman" w:hAnsi="Times New Roman"/>
                <w:szCs w:val="21"/>
              </w:rPr>
              <w:t>696</w:t>
            </w:r>
          </w:p>
        </w:tc>
        <w:tc>
          <w:tcPr>
            <w:tcW w:w="1134" w:type="dxa"/>
            <w:vAlign w:val="center"/>
          </w:tcPr>
          <w:p w14:paraId="7022994C">
            <w:pPr>
              <w:jc w:val="center"/>
              <w:rPr>
                <w:rFonts w:ascii="Times New Roman" w:hAnsi="Times New Roman"/>
                <w:szCs w:val="21"/>
              </w:rPr>
            </w:pPr>
            <w:r>
              <w:rPr>
                <w:rFonts w:ascii="Times New Roman" w:hAnsi="Times New Roman"/>
                <w:szCs w:val="21"/>
              </w:rPr>
              <w:t>21.672</w:t>
            </w:r>
            <w:r>
              <w:rPr>
                <w:rFonts w:hint="eastAsia" w:ascii="Times New Roman" w:hAnsi="Times New Roman"/>
                <w:szCs w:val="21"/>
              </w:rPr>
              <w:t>580</w:t>
            </w:r>
          </w:p>
        </w:tc>
        <w:tc>
          <w:tcPr>
            <w:tcW w:w="993" w:type="dxa"/>
            <w:vAlign w:val="center"/>
          </w:tcPr>
          <w:p w14:paraId="7A5FE687">
            <w:pPr>
              <w:jc w:val="center"/>
              <w:rPr>
                <w:rFonts w:ascii="Times New Roman" w:hAnsi="Times New Roman"/>
                <w:szCs w:val="21"/>
              </w:rPr>
            </w:pPr>
            <w:r>
              <w:rPr>
                <w:rFonts w:ascii="Times New Roman" w:hAnsi="Times New Roman"/>
                <w:szCs w:val="21"/>
              </w:rPr>
              <w:t>0</w:t>
            </w:r>
          </w:p>
        </w:tc>
        <w:tc>
          <w:tcPr>
            <w:tcW w:w="567" w:type="dxa"/>
            <w:vAlign w:val="center"/>
          </w:tcPr>
          <w:p w14:paraId="4C1BB4DD">
            <w:pPr>
              <w:adjustRightInd w:val="0"/>
              <w:snapToGrid w:val="0"/>
              <w:jc w:val="center"/>
              <w:rPr>
                <w:rFonts w:ascii="Times New Roman" w:hAnsi="Times New Roman"/>
                <w:szCs w:val="21"/>
                <w:u w:val="single"/>
              </w:rPr>
            </w:pPr>
            <w:r>
              <w:rPr>
                <w:rFonts w:hint="eastAsia" w:ascii="Times New Roman" w:hAnsi="Times New Roman"/>
                <w:szCs w:val="21"/>
                <w:u w:val="single"/>
              </w:rPr>
              <w:t>19</w:t>
            </w:r>
          </w:p>
        </w:tc>
        <w:tc>
          <w:tcPr>
            <w:tcW w:w="567" w:type="dxa"/>
            <w:vAlign w:val="center"/>
          </w:tcPr>
          <w:p w14:paraId="5DF66ACF">
            <w:pPr>
              <w:adjustRightInd w:val="0"/>
              <w:snapToGrid w:val="0"/>
              <w:jc w:val="center"/>
              <w:rPr>
                <w:rFonts w:ascii="Times New Roman" w:hAnsi="Times New Roman"/>
                <w:szCs w:val="21"/>
                <w:u w:val="single"/>
              </w:rPr>
            </w:pPr>
            <w:r>
              <w:rPr>
                <w:rFonts w:ascii="Times New Roman" w:hAnsi="Times New Roman"/>
                <w:szCs w:val="21"/>
                <w:u w:val="single"/>
              </w:rPr>
              <w:t>0.</w:t>
            </w:r>
            <w:r>
              <w:rPr>
                <w:rFonts w:hint="eastAsia" w:ascii="Times New Roman" w:hAnsi="Times New Roman"/>
                <w:szCs w:val="21"/>
                <w:u w:val="single"/>
              </w:rPr>
              <w:t>4</w:t>
            </w:r>
          </w:p>
        </w:tc>
        <w:tc>
          <w:tcPr>
            <w:tcW w:w="567" w:type="dxa"/>
            <w:vAlign w:val="center"/>
          </w:tcPr>
          <w:p w14:paraId="516C6FF3">
            <w:pPr>
              <w:adjustRightInd w:val="0"/>
              <w:snapToGrid w:val="0"/>
              <w:jc w:val="center"/>
              <w:rPr>
                <w:rFonts w:ascii="Times New Roman" w:hAnsi="Times New Roman"/>
                <w:szCs w:val="21"/>
              </w:rPr>
            </w:pPr>
            <w:r>
              <w:rPr>
                <w:rFonts w:ascii="Times New Roman" w:hAnsi="Times New Roman"/>
                <w:szCs w:val="21"/>
              </w:rPr>
              <w:t>25</w:t>
            </w:r>
          </w:p>
        </w:tc>
        <w:tc>
          <w:tcPr>
            <w:tcW w:w="567" w:type="dxa"/>
            <w:vAlign w:val="center"/>
          </w:tcPr>
          <w:p w14:paraId="480F9492">
            <w:pPr>
              <w:jc w:val="center"/>
              <w:rPr>
                <w:rFonts w:ascii="Times New Roman" w:hAnsi="Times New Roman"/>
                <w:szCs w:val="21"/>
                <w:u w:val="single"/>
              </w:rPr>
            </w:pPr>
            <w:r>
              <w:rPr>
                <w:rFonts w:hint="eastAsia" w:ascii="Times New Roman" w:hAnsi="Times New Roman"/>
                <w:szCs w:val="21"/>
                <w:u w:val="single"/>
              </w:rPr>
              <w:t>17.68</w:t>
            </w:r>
          </w:p>
        </w:tc>
        <w:tc>
          <w:tcPr>
            <w:tcW w:w="850" w:type="dxa"/>
            <w:vAlign w:val="center"/>
          </w:tcPr>
          <w:p w14:paraId="18C36FF8">
            <w:pPr>
              <w:tabs>
                <w:tab w:val="left" w:pos="624"/>
              </w:tabs>
              <w:jc w:val="center"/>
              <w:rPr>
                <w:rFonts w:ascii="Times New Roman" w:hAnsi="Times New Roman"/>
                <w:szCs w:val="21"/>
              </w:rPr>
            </w:pPr>
            <w:r>
              <w:rPr>
                <w:rFonts w:ascii="Times New Roman" w:hAnsi="Times New Roman"/>
                <w:szCs w:val="21"/>
              </w:rPr>
              <w:t>PM</w:t>
            </w:r>
            <w:r>
              <w:rPr>
                <w:rFonts w:ascii="Times New Roman" w:hAnsi="Times New Roman"/>
                <w:szCs w:val="21"/>
                <w:vertAlign w:val="subscript"/>
              </w:rPr>
              <w:t>10</w:t>
            </w:r>
          </w:p>
        </w:tc>
        <w:tc>
          <w:tcPr>
            <w:tcW w:w="992" w:type="dxa"/>
            <w:vAlign w:val="center"/>
          </w:tcPr>
          <w:p w14:paraId="1CAB4926">
            <w:pPr>
              <w:adjustRightInd w:val="0"/>
              <w:snapToGrid w:val="0"/>
              <w:jc w:val="center"/>
              <w:rPr>
                <w:rFonts w:ascii="Times New Roman" w:hAnsi="Times New Roman"/>
                <w:kern w:val="0"/>
                <w:szCs w:val="21"/>
                <w:u w:val="single"/>
              </w:rPr>
            </w:pPr>
            <w:r>
              <w:rPr>
                <w:rFonts w:ascii="Times New Roman" w:hAnsi="Times New Roman"/>
                <w:kern w:val="0"/>
                <w:szCs w:val="21"/>
                <w:u w:val="single"/>
              </w:rPr>
              <w:t>0.0013</w:t>
            </w:r>
          </w:p>
        </w:tc>
      </w:tr>
      <w:tr w14:paraId="10AB63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784" w:hRule="atLeast"/>
          <w:jc w:val="center"/>
        </w:trPr>
        <w:tc>
          <w:tcPr>
            <w:tcW w:w="567" w:type="dxa"/>
            <w:vMerge w:val="continue"/>
            <w:vAlign w:val="center"/>
          </w:tcPr>
          <w:p w14:paraId="1C3F25A6">
            <w:pPr>
              <w:jc w:val="center"/>
              <w:rPr>
                <w:rFonts w:ascii="Times New Roman" w:hAnsi="Times New Roman"/>
                <w:szCs w:val="21"/>
              </w:rPr>
            </w:pPr>
          </w:p>
        </w:tc>
        <w:tc>
          <w:tcPr>
            <w:tcW w:w="992" w:type="dxa"/>
            <w:vAlign w:val="center"/>
          </w:tcPr>
          <w:p w14:paraId="3D940109">
            <w:pPr>
              <w:jc w:val="center"/>
              <w:rPr>
                <w:rFonts w:ascii="Times New Roman" w:hAnsi="Times New Roman"/>
                <w:szCs w:val="21"/>
              </w:rPr>
            </w:pPr>
            <w:r>
              <w:rPr>
                <w:rFonts w:hint="eastAsia" w:ascii="Times New Roman" w:hAnsi="Times New Roman"/>
                <w:szCs w:val="21"/>
              </w:rPr>
              <w:t>2#</w:t>
            </w:r>
            <w:r>
              <w:rPr>
                <w:rFonts w:ascii="Times New Roman" w:hAnsi="Times New Roman"/>
                <w:szCs w:val="21"/>
              </w:rPr>
              <w:t>车间粉尘排气筒</w:t>
            </w:r>
          </w:p>
        </w:tc>
        <w:tc>
          <w:tcPr>
            <w:tcW w:w="1134" w:type="dxa"/>
            <w:vAlign w:val="center"/>
          </w:tcPr>
          <w:p w14:paraId="71F884CB">
            <w:pPr>
              <w:jc w:val="center"/>
              <w:rPr>
                <w:rFonts w:ascii="Times New Roman" w:hAnsi="Times New Roman"/>
                <w:szCs w:val="21"/>
              </w:rPr>
            </w:pPr>
            <w:r>
              <w:rPr>
                <w:rFonts w:ascii="Times New Roman" w:hAnsi="Times New Roman"/>
                <w:szCs w:val="21"/>
              </w:rPr>
              <w:t>108.667904</w:t>
            </w:r>
          </w:p>
        </w:tc>
        <w:tc>
          <w:tcPr>
            <w:tcW w:w="1134" w:type="dxa"/>
            <w:vAlign w:val="center"/>
          </w:tcPr>
          <w:p w14:paraId="660B475F">
            <w:pPr>
              <w:jc w:val="center"/>
              <w:rPr>
                <w:rFonts w:ascii="Times New Roman" w:hAnsi="Times New Roman"/>
                <w:szCs w:val="21"/>
              </w:rPr>
            </w:pPr>
            <w:r>
              <w:rPr>
                <w:rFonts w:ascii="Times New Roman" w:hAnsi="Times New Roman"/>
                <w:szCs w:val="21"/>
              </w:rPr>
              <w:t>21.672726</w:t>
            </w:r>
          </w:p>
        </w:tc>
        <w:tc>
          <w:tcPr>
            <w:tcW w:w="993" w:type="dxa"/>
            <w:vAlign w:val="center"/>
          </w:tcPr>
          <w:p w14:paraId="59BDE971">
            <w:pPr>
              <w:jc w:val="center"/>
              <w:rPr>
                <w:rFonts w:ascii="Times New Roman" w:hAnsi="Times New Roman"/>
                <w:szCs w:val="21"/>
              </w:rPr>
            </w:pPr>
            <w:r>
              <w:rPr>
                <w:rFonts w:ascii="Times New Roman" w:hAnsi="Times New Roman"/>
                <w:szCs w:val="21"/>
              </w:rPr>
              <w:t>0</w:t>
            </w:r>
          </w:p>
        </w:tc>
        <w:tc>
          <w:tcPr>
            <w:tcW w:w="567" w:type="dxa"/>
            <w:vAlign w:val="center"/>
          </w:tcPr>
          <w:p w14:paraId="65B17D66">
            <w:pPr>
              <w:jc w:val="center"/>
              <w:rPr>
                <w:rFonts w:ascii="Times New Roman" w:hAnsi="Times New Roman"/>
                <w:szCs w:val="21"/>
                <w:u w:val="single"/>
              </w:rPr>
            </w:pPr>
            <w:r>
              <w:rPr>
                <w:rFonts w:hint="eastAsia" w:ascii="Times New Roman" w:hAnsi="Times New Roman"/>
                <w:szCs w:val="21"/>
                <w:u w:val="single"/>
              </w:rPr>
              <w:t>19</w:t>
            </w:r>
          </w:p>
        </w:tc>
        <w:tc>
          <w:tcPr>
            <w:tcW w:w="567" w:type="dxa"/>
            <w:vAlign w:val="center"/>
          </w:tcPr>
          <w:p w14:paraId="65249ABA">
            <w:pPr>
              <w:jc w:val="center"/>
              <w:rPr>
                <w:rFonts w:ascii="Times New Roman" w:hAnsi="Times New Roman"/>
                <w:szCs w:val="21"/>
                <w:u w:val="single"/>
              </w:rPr>
            </w:pPr>
            <w:r>
              <w:rPr>
                <w:rFonts w:ascii="Times New Roman" w:hAnsi="Times New Roman"/>
                <w:szCs w:val="21"/>
                <w:u w:val="single"/>
              </w:rPr>
              <w:t>0.</w:t>
            </w:r>
            <w:r>
              <w:rPr>
                <w:rFonts w:hint="eastAsia" w:ascii="Times New Roman" w:hAnsi="Times New Roman"/>
                <w:szCs w:val="21"/>
                <w:u w:val="single"/>
              </w:rPr>
              <w:t>4</w:t>
            </w:r>
          </w:p>
        </w:tc>
        <w:tc>
          <w:tcPr>
            <w:tcW w:w="567" w:type="dxa"/>
            <w:vAlign w:val="center"/>
          </w:tcPr>
          <w:p w14:paraId="4850C842">
            <w:pPr>
              <w:jc w:val="center"/>
              <w:rPr>
                <w:rFonts w:ascii="Times New Roman" w:hAnsi="Times New Roman"/>
                <w:szCs w:val="21"/>
              </w:rPr>
            </w:pPr>
            <w:r>
              <w:rPr>
                <w:rFonts w:ascii="Times New Roman" w:hAnsi="Times New Roman"/>
                <w:szCs w:val="21"/>
              </w:rPr>
              <w:t>25</w:t>
            </w:r>
          </w:p>
        </w:tc>
        <w:tc>
          <w:tcPr>
            <w:tcW w:w="567" w:type="dxa"/>
            <w:vAlign w:val="center"/>
          </w:tcPr>
          <w:p w14:paraId="5E1F5B06">
            <w:pPr>
              <w:jc w:val="center"/>
              <w:rPr>
                <w:rFonts w:ascii="Times New Roman" w:hAnsi="Times New Roman"/>
                <w:u w:val="single"/>
              </w:rPr>
            </w:pPr>
            <w:r>
              <w:rPr>
                <w:rFonts w:hint="eastAsia" w:ascii="Times New Roman" w:hAnsi="Times New Roman"/>
                <w:szCs w:val="21"/>
                <w:u w:val="single"/>
              </w:rPr>
              <w:t>17.68</w:t>
            </w:r>
          </w:p>
        </w:tc>
        <w:tc>
          <w:tcPr>
            <w:tcW w:w="850" w:type="dxa"/>
            <w:vAlign w:val="center"/>
          </w:tcPr>
          <w:p w14:paraId="73F3E738">
            <w:pPr>
              <w:tabs>
                <w:tab w:val="left" w:pos="624"/>
              </w:tabs>
              <w:jc w:val="center"/>
              <w:rPr>
                <w:rFonts w:ascii="Times New Roman" w:hAnsi="Times New Roman"/>
                <w:szCs w:val="21"/>
              </w:rPr>
            </w:pPr>
            <w:r>
              <w:rPr>
                <w:rFonts w:ascii="Times New Roman" w:hAnsi="Times New Roman"/>
                <w:szCs w:val="21"/>
              </w:rPr>
              <w:t>PM</w:t>
            </w:r>
            <w:r>
              <w:rPr>
                <w:rFonts w:ascii="Times New Roman" w:hAnsi="Times New Roman"/>
                <w:szCs w:val="21"/>
                <w:vertAlign w:val="subscript"/>
              </w:rPr>
              <w:t>10</w:t>
            </w:r>
          </w:p>
        </w:tc>
        <w:tc>
          <w:tcPr>
            <w:tcW w:w="992" w:type="dxa"/>
            <w:vAlign w:val="center"/>
          </w:tcPr>
          <w:p w14:paraId="6EFA3AB7">
            <w:pPr>
              <w:adjustRightInd w:val="0"/>
              <w:snapToGrid w:val="0"/>
              <w:jc w:val="center"/>
              <w:rPr>
                <w:rFonts w:ascii="Times New Roman" w:hAnsi="Times New Roman"/>
                <w:kern w:val="0"/>
                <w:szCs w:val="21"/>
                <w:u w:val="single"/>
              </w:rPr>
            </w:pPr>
            <w:r>
              <w:rPr>
                <w:rFonts w:ascii="Times New Roman" w:hAnsi="Times New Roman"/>
                <w:kern w:val="0"/>
                <w:szCs w:val="21"/>
                <w:u w:val="single"/>
              </w:rPr>
              <w:t>0.0017</w:t>
            </w:r>
          </w:p>
        </w:tc>
      </w:tr>
    </w:tbl>
    <w:p w14:paraId="1A174024">
      <w:pPr>
        <w:spacing w:line="360" w:lineRule="auto"/>
        <w:ind w:firstLine="480" w:firstLineChars="200"/>
        <w:rPr>
          <w:rFonts w:ascii="Times New Roman" w:hAnsi="Times New Roman"/>
          <w:sz w:val="24"/>
          <w:szCs w:val="24"/>
        </w:rPr>
      </w:pPr>
    </w:p>
    <w:p w14:paraId="09045ABB">
      <w:pPr>
        <w:pStyle w:val="8"/>
        <w:rPr>
          <w:sz w:val="24"/>
          <w:szCs w:val="24"/>
        </w:rPr>
      </w:pPr>
      <w:r>
        <w:rPr>
          <w:sz w:val="24"/>
          <w:szCs w:val="24"/>
        </w:rPr>
        <w:t>本项目污染源（矩形面源）参数一览表</w:t>
      </w:r>
    </w:p>
    <w:tbl>
      <w:tblPr>
        <w:tblStyle w:val="88"/>
        <w:tblW w:w="891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94"/>
        <w:gridCol w:w="1115"/>
        <w:gridCol w:w="1295"/>
        <w:gridCol w:w="1134"/>
        <w:gridCol w:w="709"/>
        <w:gridCol w:w="850"/>
        <w:gridCol w:w="709"/>
        <w:gridCol w:w="709"/>
        <w:gridCol w:w="850"/>
        <w:gridCol w:w="851"/>
      </w:tblGrid>
      <w:tr w14:paraId="0C4F75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jc w:val="center"/>
        </w:trPr>
        <w:tc>
          <w:tcPr>
            <w:tcW w:w="694" w:type="dxa"/>
            <w:vMerge w:val="restart"/>
            <w:vAlign w:val="center"/>
          </w:tcPr>
          <w:p w14:paraId="07196D83">
            <w:pPr>
              <w:jc w:val="center"/>
              <w:rPr>
                <w:rFonts w:ascii="Times New Roman" w:hAnsi="Times New Roman"/>
                <w:b/>
                <w:szCs w:val="21"/>
              </w:rPr>
            </w:pPr>
            <w:r>
              <w:rPr>
                <w:rFonts w:ascii="Times New Roman" w:hAnsi="Times New Roman"/>
                <w:b/>
                <w:szCs w:val="21"/>
              </w:rPr>
              <w:t>排放情景</w:t>
            </w:r>
          </w:p>
        </w:tc>
        <w:tc>
          <w:tcPr>
            <w:tcW w:w="1115" w:type="dxa"/>
            <w:vMerge w:val="restart"/>
            <w:vAlign w:val="center"/>
          </w:tcPr>
          <w:p w14:paraId="758AE931">
            <w:pPr>
              <w:jc w:val="center"/>
              <w:rPr>
                <w:rFonts w:ascii="Times New Roman" w:hAnsi="Times New Roman"/>
                <w:b/>
                <w:szCs w:val="21"/>
              </w:rPr>
            </w:pPr>
            <w:r>
              <w:rPr>
                <w:rFonts w:ascii="Times New Roman" w:hAnsi="Times New Roman"/>
                <w:b/>
                <w:szCs w:val="21"/>
              </w:rPr>
              <w:t>污染源名称</w:t>
            </w:r>
          </w:p>
        </w:tc>
        <w:tc>
          <w:tcPr>
            <w:tcW w:w="2429" w:type="dxa"/>
            <w:gridSpan w:val="2"/>
            <w:vAlign w:val="center"/>
          </w:tcPr>
          <w:p w14:paraId="6D20FC40">
            <w:pPr>
              <w:snapToGrid w:val="0"/>
              <w:jc w:val="center"/>
              <w:rPr>
                <w:rFonts w:ascii="Times New Roman" w:hAnsi="Times New Roman"/>
                <w:b/>
                <w:szCs w:val="21"/>
              </w:rPr>
            </w:pPr>
            <w:r>
              <w:rPr>
                <w:rFonts w:ascii="Times New Roman" w:hAnsi="Times New Roman"/>
                <w:b/>
                <w:szCs w:val="21"/>
              </w:rPr>
              <w:t>坐标</w:t>
            </w:r>
          </w:p>
        </w:tc>
        <w:tc>
          <w:tcPr>
            <w:tcW w:w="709" w:type="dxa"/>
            <w:vMerge w:val="restart"/>
            <w:vAlign w:val="center"/>
          </w:tcPr>
          <w:p w14:paraId="257A2268">
            <w:pPr>
              <w:snapToGrid w:val="0"/>
              <w:jc w:val="center"/>
              <w:rPr>
                <w:rFonts w:ascii="Times New Roman" w:hAnsi="Times New Roman"/>
                <w:b/>
                <w:szCs w:val="21"/>
              </w:rPr>
            </w:pPr>
            <w:r>
              <w:rPr>
                <w:rFonts w:ascii="Times New Roman" w:hAnsi="Times New Roman"/>
                <w:b/>
                <w:szCs w:val="21"/>
              </w:rPr>
              <w:t>海拔高度(m)</w:t>
            </w:r>
          </w:p>
        </w:tc>
        <w:tc>
          <w:tcPr>
            <w:tcW w:w="2268" w:type="dxa"/>
            <w:gridSpan w:val="3"/>
            <w:vAlign w:val="center"/>
          </w:tcPr>
          <w:p w14:paraId="5986ACB2">
            <w:pPr>
              <w:snapToGrid w:val="0"/>
              <w:jc w:val="center"/>
              <w:rPr>
                <w:rFonts w:ascii="Times New Roman" w:hAnsi="Times New Roman"/>
                <w:b/>
                <w:szCs w:val="21"/>
              </w:rPr>
            </w:pPr>
            <w:r>
              <w:rPr>
                <w:rFonts w:ascii="Times New Roman" w:hAnsi="Times New Roman"/>
                <w:b/>
                <w:szCs w:val="21"/>
              </w:rPr>
              <w:t>矩形面源（m）</w:t>
            </w:r>
          </w:p>
        </w:tc>
        <w:tc>
          <w:tcPr>
            <w:tcW w:w="850" w:type="dxa"/>
            <w:vMerge w:val="restart"/>
            <w:vAlign w:val="center"/>
          </w:tcPr>
          <w:p w14:paraId="1E9C1C5B">
            <w:pPr>
              <w:snapToGrid w:val="0"/>
              <w:jc w:val="center"/>
              <w:rPr>
                <w:rFonts w:ascii="Times New Roman" w:hAnsi="Times New Roman"/>
                <w:b/>
                <w:szCs w:val="21"/>
              </w:rPr>
            </w:pPr>
            <w:r>
              <w:rPr>
                <w:rFonts w:ascii="Times New Roman" w:hAnsi="Times New Roman"/>
                <w:b/>
                <w:szCs w:val="21"/>
              </w:rPr>
              <w:t>污染物</w:t>
            </w:r>
          </w:p>
        </w:tc>
        <w:tc>
          <w:tcPr>
            <w:tcW w:w="851" w:type="dxa"/>
            <w:vMerge w:val="restart"/>
            <w:vAlign w:val="center"/>
          </w:tcPr>
          <w:p w14:paraId="65F893EA">
            <w:pPr>
              <w:snapToGrid w:val="0"/>
              <w:jc w:val="center"/>
              <w:rPr>
                <w:rFonts w:ascii="Times New Roman" w:hAnsi="Times New Roman"/>
                <w:b/>
                <w:szCs w:val="21"/>
              </w:rPr>
            </w:pPr>
            <w:r>
              <w:rPr>
                <w:rFonts w:ascii="Times New Roman" w:hAnsi="Times New Roman"/>
                <w:b/>
                <w:szCs w:val="21"/>
              </w:rPr>
              <w:t>排放量(kg/h)</w:t>
            </w:r>
          </w:p>
        </w:tc>
      </w:tr>
      <w:tr w14:paraId="3E6FBD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jc w:val="center"/>
        </w:trPr>
        <w:tc>
          <w:tcPr>
            <w:tcW w:w="694" w:type="dxa"/>
            <w:vMerge w:val="continue"/>
            <w:vAlign w:val="center"/>
          </w:tcPr>
          <w:p w14:paraId="5F592613">
            <w:pPr>
              <w:snapToGrid w:val="0"/>
              <w:jc w:val="center"/>
              <w:rPr>
                <w:rFonts w:ascii="Times New Roman" w:hAnsi="Times New Roman"/>
                <w:b/>
                <w:szCs w:val="21"/>
              </w:rPr>
            </w:pPr>
          </w:p>
        </w:tc>
        <w:tc>
          <w:tcPr>
            <w:tcW w:w="1115" w:type="dxa"/>
            <w:vMerge w:val="continue"/>
            <w:vAlign w:val="center"/>
          </w:tcPr>
          <w:p w14:paraId="7A167F51">
            <w:pPr>
              <w:snapToGrid w:val="0"/>
              <w:jc w:val="center"/>
              <w:rPr>
                <w:rFonts w:ascii="Times New Roman" w:hAnsi="Times New Roman"/>
                <w:b/>
                <w:szCs w:val="21"/>
              </w:rPr>
            </w:pPr>
          </w:p>
        </w:tc>
        <w:tc>
          <w:tcPr>
            <w:tcW w:w="1295" w:type="dxa"/>
            <w:vAlign w:val="center"/>
          </w:tcPr>
          <w:p w14:paraId="4C1F2D27">
            <w:pPr>
              <w:adjustRightInd w:val="0"/>
              <w:snapToGrid w:val="0"/>
              <w:jc w:val="center"/>
              <w:rPr>
                <w:rFonts w:ascii="Times New Roman" w:hAnsi="Times New Roman"/>
                <w:b/>
                <w:szCs w:val="21"/>
              </w:rPr>
            </w:pPr>
            <w:r>
              <w:rPr>
                <w:rFonts w:ascii="Times New Roman" w:hAnsi="Times New Roman"/>
                <w:b/>
                <w:szCs w:val="21"/>
              </w:rPr>
              <w:t>经度</w:t>
            </w:r>
          </w:p>
        </w:tc>
        <w:tc>
          <w:tcPr>
            <w:tcW w:w="1134" w:type="dxa"/>
            <w:vAlign w:val="center"/>
          </w:tcPr>
          <w:p w14:paraId="63140C34">
            <w:pPr>
              <w:adjustRightInd w:val="0"/>
              <w:snapToGrid w:val="0"/>
              <w:jc w:val="center"/>
              <w:rPr>
                <w:rFonts w:ascii="Times New Roman" w:hAnsi="Times New Roman"/>
                <w:b/>
                <w:szCs w:val="21"/>
              </w:rPr>
            </w:pPr>
            <w:r>
              <w:rPr>
                <w:rFonts w:ascii="Times New Roman" w:hAnsi="Times New Roman"/>
                <w:b/>
                <w:szCs w:val="21"/>
              </w:rPr>
              <w:t>维度</w:t>
            </w:r>
          </w:p>
        </w:tc>
        <w:tc>
          <w:tcPr>
            <w:tcW w:w="709" w:type="dxa"/>
            <w:vMerge w:val="continue"/>
            <w:vAlign w:val="center"/>
          </w:tcPr>
          <w:p w14:paraId="13251B55">
            <w:pPr>
              <w:snapToGrid w:val="0"/>
              <w:jc w:val="center"/>
              <w:rPr>
                <w:rFonts w:ascii="Times New Roman" w:hAnsi="Times New Roman"/>
                <w:b/>
                <w:szCs w:val="21"/>
              </w:rPr>
            </w:pPr>
          </w:p>
        </w:tc>
        <w:tc>
          <w:tcPr>
            <w:tcW w:w="850" w:type="dxa"/>
            <w:vAlign w:val="center"/>
          </w:tcPr>
          <w:p w14:paraId="119649B3">
            <w:pPr>
              <w:snapToGrid w:val="0"/>
              <w:jc w:val="center"/>
              <w:rPr>
                <w:rFonts w:ascii="Times New Roman" w:hAnsi="Times New Roman"/>
                <w:b/>
                <w:szCs w:val="21"/>
              </w:rPr>
            </w:pPr>
            <w:r>
              <w:rPr>
                <w:rFonts w:ascii="Times New Roman" w:hAnsi="Times New Roman"/>
                <w:b/>
                <w:szCs w:val="21"/>
              </w:rPr>
              <w:t>长度</w:t>
            </w:r>
          </w:p>
        </w:tc>
        <w:tc>
          <w:tcPr>
            <w:tcW w:w="709" w:type="dxa"/>
            <w:vAlign w:val="center"/>
          </w:tcPr>
          <w:p w14:paraId="4D9605E2">
            <w:pPr>
              <w:snapToGrid w:val="0"/>
              <w:jc w:val="center"/>
              <w:rPr>
                <w:rFonts w:ascii="Times New Roman" w:hAnsi="Times New Roman"/>
                <w:b/>
                <w:szCs w:val="21"/>
              </w:rPr>
            </w:pPr>
            <w:r>
              <w:rPr>
                <w:rFonts w:ascii="Times New Roman" w:hAnsi="Times New Roman"/>
                <w:b/>
                <w:szCs w:val="21"/>
              </w:rPr>
              <w:t>宽度</w:t>
            </w:r>
          </w:p>
        </w:tc>
        <w:tc>
          <w:tcPr>
            <w:tcW w:w="709" w:type="dxa"/>
            <w:vAlign w:val="center"/>
          </w:tcPr>
          <w:p w14:paraId="0F6C8F3D">
            <w:pPr>
              <w:snapToGrid w:val="0"/>
              <w:jc w:val="center"/>
              <w:rPr>
                <w:rFonts w:ascii="Times New Roman" w:hAnsi="Times New Roman"/>
                <w:b/>
                <w:szCs w:val="21"/>
              </w:rPr>
            </w:pPr>
            <w:r>
              <w:rPr>
                <w:rFonts w:ascii="Times New Roman" w:hAnsi="Times New Roman"/>
                <w:b/>
                <w:szCs w:val="21"/>
              </w:rPr>
              <w:t>有效</w:t>
            </w:r>
          </w:p>
          <w:p w14:paraId="52BFCC5C">
            <w:pPr>
              <w:snapToGrid w:val="0"/>
              <w:jc w:val="center"/>
              <w:rPr>
                <w:rFonts w:ascii="Times New Roman" w:hAnsi="Times New Roman"/>
                <w:b/>
                <w:szCs w:val="21"/>
              </w:rPr>
            </w:pPr>
            <w:r>
              <w:rPr>
                <w:rFonts w:ascii="Times New Roman" w:hAnsi="Times New Roman"/>
                <w:b/>
                <w:szCs w:val="21"/>
              </w:rPr>
              <w:t>高度</w:t>
            </w:r>
          </w:p>
        </w:tc>
        <w:tc>
          <w:tcPr>
            <w:tcW w:w="850" w:type="dxa"/>
            <w:vMerge w:val="continue"/>
            <w:vAlign w:val="center"/>
          </w:tcPr>
          <w:p w14:paraId="230FBDEA">
            <w:pPr>
              <w:snapToGrid w:val="0"/>
              <w:jc w:val="center"/>
              <w:rPr>
                <w:rFonts w:ascii="Times New Roman" w:hAnsi="Times New Roman"/>
                <w:b/>
                <w:szCs w:val="21"/>
              </w:rPr>
            </w:pPr>
          </w:p>
        </w:tc>
        <w:tc>
          <w:tcPr>
            <w:tcW w:w="851" w:type="dxa"/>
            <w:vMerge w:val="continue"/>
            <w:vAlign w:val="center"/>
          </w:tcPr>
          <w:p w14:paraId="2DF58157">
            <w:pPr>
              <w:snapToGrid w:val="0"/>
              <w:jc w:val="center"/>
              <w:rPr>
                <w:rFonts w:ascii="Times New Roman" w:hAnsi="Times New Roman"/>
                <w:b/>
                <w:szCs w:val="21"/>
              </w:rPr>
            </w:pPr>
          </w:p>
        </w:tc>
      </w:tr>
      <w:tr w14:paraId="1E54CB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79" w:hRule="atLeast"/>
          <w:jc w:val="center"/>
        </w:trPr>
        <w:tc>
          <w:tcPr>
            <w:tcW w:w="694" w:type="dxa"/>
            <w:vMerge w:val="restart"/>
            <w:vAlign w:val="center"/>
          </w:tcPr>
          <w:p w14:paraId="5FC3AC42">
            <w:pPr>
              <w:jc w:val="center"/>
              <w:rPr>
                <w:rFonts w:ascii="Times New Roman" w:hAnsi="Times New Roman"/>
                <w:szCs w:val="21"/>
              </w:rPr>
            </w:pPr>
            <w:r>
              <w:rPr>
                <w:rFonts w:ascii="Times New Roman" w:hAnsi="Times New Roman"/>
                <w:szCs w:val="21"/>
              </w:rPr>
              <w:t>正常排放</w:t>
            </w:r>
          </w:p>
        </w:tc>
        <w:tc>
          <w:tcPr>
            <w:tcW w:w="1115" w:type="dxa"/>
            <w:vAlign w:val="center"/>
          </w:tcPr>
          <w:p w14:paraId="70B444C1">
            <w:pPr>
              <w:adjustRightInd w:val="0"/>
              <w:snapToGrid w:val="0"/>
              <w:jc w:val="center"/>
              <w:rPr>
                <w:rFonts w:ascii="Times New Roman" w:hAnsi="Times New Roman"/>
                <w:spacing w:val="-2"/>
                <w:kern w:val="0"/>
                <w:szCs w:val="21"/>
              </w:rPr>
            </w:pPr>
            <w:r>
              <w:rPr>
                <w:rFonts w:ascii="Times New Roman" w:hAnsi="Times New Roman"/>
                <w:spacing w:val="-2"/>
                <w:kern w:val="0"/>
                <w:szCs w:val="21"/>
              </w:rPr>
              <w:t>车间粉尘</w:t>
            </w:r>
          </w:p>
        </w:tc>
        <w:tc>
          <w:tcPr>
            <w:tcW w:w="1295" w:type="dxa"/>
            <w:vAlign w:val="center"/>
          </w:tcPr>
          <w:p w14:paraId="4EBE85B7">
            <w:pPr>
              <w:jc w:val="center"/>
              <w:rPr>
                <w:rFonts w:ascii="Times New Roman" w:hAnsi="Times New Roman"/>
                <w:szCs w:val="21"/>
              </w:rPr>
            </w:pPr>
            <w:r>
              <w:rPr>
                <w:rFonts w:ascii="Times New Roman" w:hAnsi="Times New Roman"/>
                <w:szCs w:val="21"/>
              </w:rPr>
              <w:t>108.667912</w:t>
            </w:r>
          </w:p>
        </w:tc>
        <w:tc>
          <w:tcPr>
            <w:tcW w:w="1134" w:type="dxa"/>
            <w:vAlign w:val="center"/>
          </w:tcPr>
          <w:p w14:paraId="7E1CA301">
            <w:pPr>
              <w:jc w:val="center"/>
              <w:rPr>
                <w:rFonts w:ascii="Times New Roman" w:hAnsi="Times New Roman"/>
                <w:szCs w:val="21"/>
              </w:rPr>
            </w:pPr>
            <w:r>
              <w:rPr>
                <w:rFonts w:ascii="Times New Roman" w:hAnsi="Times New Roman"/>
                <w:szCs w:val="21"/>
              </w:rPr>
              <w:t>21.672484</w:t>
            </w:r>
          </w:p>
        </w:tc>
        <w:tc>
          <w:tcPr>
            <w:tcW w:w="709" w:type="dxa"/>
            <w:vAlign w:val="center"/>
          </w:tcPr>
          <w:p w14:paraId="2BA6624A">
            <w:pPr>
              <w:jc w:val="center"/>
              <w:rPr>
                <w:rFonts w:ascii="Times New Roman" w:hAnsi="Times New Roman"/>
                <w:szCs w:val="21"/>
              </w:rPr>
            </w:pPr>
            <w:r>
              <w:rPr>
                <w:rFonts w:ascii="Times New Roman" w:hAnsi="Times New Roman"/>
                <w:szCs w:val="21"/>
              </w:rPr>
              <w:t>0</w:t>
            </w:r>
          </w:p>
        </w:tc>
        <w:tc>
          <w:tcPr>
            <w:tcW w:w="850" w:type="dxa"/>
            <w:vAlign w:val="center"/>
          </w:tcPr>
          <w:p w14:paraId="29156D5A">
            <w:pPr>
              <w:jc w:val="center"/>
              <w:rPr>
                <w:rFonts w:ascii="Times New Roman" w:hAnsi="Times New Roman"/>
                <w:szCs w:val="21"/>
              </w:rPr>
            </w:pPr>
            <w:r>
              <w:rPr>
                <w:rFonts w:hint="eastAsia" w:ascii="Times New Roman" w:hAnsi="Times New Roman"/>
                <w:szCs w:val="21"/>
              </w:rPr>
              <w:t>109.21</w:t>
            </w:r>
          </w:p>
        </w:tc>
        <w:tc>
          <w:tcPr>
            <w:tcW w:w="709" w:type="dxa"/>
            <w:vAlign w:val="center"/>
          </w:tcPr>
          <w:p w14:paraId="3610DF93">
            <w:pPr>
              <w:jc w:val="center"/>
              <w:rPr>
                <w:rFonts w:ascii="Times New Roman" w:hAnsi="Times New Roman"/>
                <w:szCs w:val="21"/>
              </w:rPr>
            </w:pPr>
            <w:r>
              <w:rPr>
                <w:rFonts w:hint="eastAsia" w:ascii="Times New Roman" w:hAnsi="Times New Roman"/>
                <w:szCs w:val="21"/>
              </w:rPr>
              <w:t>21.6</w:t>
            </w:r>
          </w:p>
        </w:tc>
        <w:tc>
          <w:tcPr>
            <w:tcW w:w="709" w:type="dxa"/>
            <w:vAlign w:val="center"/>
          </w:tcPr>
          <w:p w14:paraId="405DE7FD">
            <w:pPr>
              <w:jc w:val="center"/>
              <w:rPr>
                <w:rFonts w:ascii="Times New Roman" w:hAnsi="Times New Roman"/>
                <w:szCs w:val="21"/>
              </w:rPr>
            </w:pPr>
            <w:r>
              <w:rPr>
                <w:rFonts w:hint="eastAsia" w:ascii="Times New Roman" w:hAnsi="Times New Roman"/>
                <w:szCs w:val="21"/>
              </w:rPr>
              <w:t>9</w:t>
            </w:r>
          </w:p>
        </w:tc>
        <w:tc>
          <w:tcPr>
            <w:tcW w:w="850" w:type="dxa"/>
            <w:vAlign w:val="center"/>
          </w:tcPr>
          <w:p w14:paraId="6D99A9BA">
            <w:pPr>
              <w:adjustRightInd w:val="0"/>
              <w:snapToGrid w:val="0"/>
              <w:jc w:val="center"/>
              <w:rPr>
                <w:rFonts w:ascii="Times New Roman" w:hAnsi="Times New Roman"/>
                <w:szCs w:val="21"/>
              </w:rPr>
            </w:pPr>
            <w:r>
              <w:rPr>
                <w:rFonts w:hint="eastAsia" w:ascii="Times New Roman" w:hAnsi="Times New Roman"/>
                <w:szCs w:val="21"/>
              </w:rPr>
              <w:t>TSP</w:t>
            </w:r>
          </w:p>
        </w:tc>
        <w:tc>
          <w:tcPr>
            <w:tcW w:w="851" w:type="dxa"/>
            <w:vAlign w:val="center"/>
          </w:tcPr>
          <w:p w14:paraId="3B113616">
            <w:pPr>
              <w:adjustRightInd w:val="0"/>
              <w:snapToGrid w:val="0"/>
              <w:jc w:val="center"/>
              <w:rPr>
                <w:rFonts w:ascii="Times New Roman" w:hAnsi="Times New Roman"/>
                <w:kern w:val="0"/>
                <w:szCs w:val="21"/>
                <w:u w:val="single"/>
              </w:rPr>
            </w:pPr>
            <w:r>
              <w:rPr>
                <w:rFonts w:ascii="Times New Roman" w:hAnsi="Times New Roman"/>
                <w:kern w:val="0"/>
                <w:szCs w:val="21"/>
                <w:u w:val="single"/>
              </w:rPr>
              <w:t>0.</w:t>
            </w:r>
            <w:r>
              <w:rPr>
                <w:rFonts w:hint="eastAsia" w:ascii="Times New Roman" w:hAnsi="Times New Roman"/>
                <w:kern w:val="0"/>
                <w:szCs w:val="21"/>
                <w:u w:val="single"/>
              </w:rPr>
              <w:t>1054</w:t>
            </w:r>
          </w:p>
        </w:tc>
      </w:tr>
      <w:tr w14:paraId="3B371E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94" w:type="dxa"/>
            <w:vMerge w:val="continue"/>
            <w:vAlign w:val="center"/>
          </w:tcPr>
          <w:p w14:paraId="35FD87A3">
            <w:pPr>
              <w:jc w:val="center"/>
              <w:rPr>
                <w:rFonts w:ascii="Times New Roman" w:hAnsi="Times New Roman"/>
                <w:szCs w:val="21"/>
              </w:rPr>
            </w:pPr>
          </w:p>
        </w:tc>
        <w:tc>
          <w:tcPr>
            <w:tcW w:w="1115" w:type="dxa"/>
            <w:vAlign w:val="center"/>
          </w:tcPr>
          <w:p w14:paraId="5A49459D">
            <w:pPr>
              <w:jc w:val="center"/>
              <w:rPr>
                <w:rFonts w:ascii="Times New Roman" w:hAnsi="Times New Roman"/>
                <w:spacing w:val="-2"/>
                <w:kern w:val="0"/>
                <w:szCs w:val="21"/>
              </w:rPr>
            </w:pPr>
            <w:r>
              <w:rPr>
                <w:rFonts w:ascii="Times New Roman" w:hAnsi="Times New Roman"/>
                <w:spacing w:val="-2"/>
                <w:kern w:val="0"/>
                <w:szCs w:val="21"/>
              </w:rPr>
              <w:t>运输扬尘</w:t>
            </w:r>
          </w:p>
        </w:tc>
        <w:tc>
          <w:tcPr>
            <w:tcW w:w="1295" w:type="dxa"/>
            <w:vAlign w:val="center"/>
          </w:tcPr>
          <w:p w14:paraId="48008A3A">
            <w:pPr>
              <w:jc w:val="center"/>
              <w:rPr>
                <w:rFonts w:ascii="Times New Roman" w:hAnsi="Times New Roman"/>
                <w:szCs w:val="21"/>
              </w:rPr>
            </w:pPr>
            <w:r>
              <w:rPr>
                <w:rFonts w:ascii="Times New Roman" w:hAnsi="Times New Roman"/>
                <w:szCs w:val="21"/>
              </w:rPr>
              <w:t>108.667912</w:t>
            </w:r>
          </w:p>
        </w:tc>
        <w:tc>
          <w:tcPr>
            <w:tcW w:w="1134" w:type="dxa"/>
            <w:vAlign w:val="center"/>
          </w:tcPr>
          <w:p w14:paraId="57C3A604">
            <w:pPr>
              <w:jc w:val="center"/>
              <w:rPr>
                <w:rFonts w:ascii="Times New Roman" w:hAnsi="Times New Roman"/>
                <w:szCs w:val="21"/>
              </w:rPr>
            </w:pPr>
            <w:r>
              <w:rPr>
                <w:rFonts w:ascii="Times New Roman" w:hAnsi="Times New Roman"/>
                <w:szCs w:val="21"/>
              </w:rPr>
              <w:t>21.672484</w:t>
            </w:r>
          </w:p>
        </w:tc>
        <w:tc>
          <w:tcPr>
            <w:tcW w:w="709" w:type="dxa"/>
            <w:vAlign w:val="center"/>
          </w:tcPr>
          <w:p w14:paraId="07C4C438">
            <w:pPr>
              <w:jc w:val="center"/>
              <w:rPr>
                <w:rFonts w:ascii="Times New Roman" w:hAnsi="Times New Roman"/>
                <w:szCs w:val="21"/>
              </w:rPr>
            </w:pPr>
            <w:r>
              <w:rPr>
                <w:rFonts w:ascii="Times New Roman" w:hAnsi="Times New Roman"/>
                <w:szCs w:val="21"/>
              </w:rPr>
              <w:t>0</w:t>
            </w:r>
          </w:p>
        </w:tc>
        <w:tc>
          <w:tcPr>
            <w:tcW w:w="850" w:type="dxa"/>
            <w:vAlign w:val="center"/>
          </w:tcPr>
          <w:p w14:paraId="22A846E0">
            <w:pPr>
              <w:jc w:val="center"/>
              <w:rPr>
                <w:rFonts w:ascii="Times New Roman" w:hAnsi="Times New Roman"/>
                <w:szCs w:val="21"/>
              </w:rPr>
            </w:pPr>
            <w:r>
              <w:rPr>
                <w:rFonts w:hint="eastAsia" w:ascii="Times New Roman" w:hAnsi="Times New Roman"/>
                <w:szCs w:val="21"/>
              </w:rPr>
              <w:t>175</w:t>
            </w:r>
          </w:p>
        </w:tc>
        <w:tc>
          <w:tcPr>
            <w:tcW w:w="709" w:type="dxa"/>
            <w:vAlign w:val="center"/>
          </w:tcPr>
          <w:p w14:paraId="2CB3D17F">
            <w:pPr>
              <w:jc w:val="center"/>
              <w:rPr>
                <w:rFonts w:ascii="Times New Roman" w:hAnsi="Times New Roman"/>
                <w:szCs w:val="21"/>
              </w:rPr>
            </w:pPr>
            <w:r>
              <w:rPr>
                <w:rFonts w:hint="eastAsia" w:ascii="Times New Roman" w:hAnsi="Times New Roman"/>
                <w:szCs w:val="21"/>
              </w:rPr>
              <w:t>50</w:t>
            </w:r>
          </w:p>
        </w:tc>
        <w:tc>
          <w:tcPr>
            <w:tcW w:w="709" w:type="dxa"/>
            <w:vAlign w:val="center"/>
          </w:tcPr>
          <w:p w14:paraId="0978D1FA">
            <w:pPr>
              <w:jc w:val="center"/>
              <w:rPr>
                <w:rFonts w:ascii="Times New Roman" w:hAnsi="Times New Roman"/>
                <w:szCs w:val="21"/>
              </w:rPr>
            </w:pPr>
            <w:r>
              <w:rPr>
                <w:rFonts w:hint="eastAsia" w:ascii="Times New Roman" w:hAnsi="Times New Roman"/>
                <w:szCs w:val="21"/>
              </w:rPr>
              <w:t>2.5</w:t>
            </w:r>
          </w:p>
        </w:tc>
        <w:tc>
          <w:tcPr>
            <w:tcW w:w="850" w:type="dxa"/>
            <w:vAlign w:val="center"/>
          </w:tcPr>
          <w:p w14:paraId="7B1C1951">
            <w:pPr>
              <w:adjustRightInd w:val="0"/>
              <w:snapToGrid w:val="0"/>
              <w:jc w:val="center"/>
              <w:rPr>
                <w:rFonts w:ascii="Times New Roman" w:hAnsi="Times New Roman"/>
                <w:szCs w:val="21"/>
              </w:rPr>
            </w:pPr>
            <w:r>
              <w:rPr>
                <w:rFonts w:ascii="Times New Roman" w:hAnsi="Times New Roman"/>
                <w:szCs w:val="21"/>
              </w:rPr>
              <w:t>TSP</w:t>
            </w:r>
          </w:p>
        </w:tc>
        <w:tc>
          <w:tcPr>
            <w:tcW w:w="851" w:type="dxa"/>
            <w:vAlign w:val="center"/>
          </w:tcPr>
          <w:p w14:paraId="00042CCB">
            <w:pPr>
              <w:adjustRightInd w:val="0"/>
              <w:snapToGrid w:val="0"/>
              <w:jc w:val="center"/>
              <w:rPr>
                <w:rFonts w:ascii="Times New Roman" w:hAnsi="Times New Roman"/>
                <w:kern w:val="0"/>
                <w:szCs w:val="21"/>
                <w:u w:val="single"/>
              </w:rPr>
            </w:pPr>
            <w:r>
              <w:rPr>
                <w:rFonts w:ascii="Times New Roman" w:hAnsi="Times New Roman"/>
                <w:kern w:val="0"/>
                <w:szCs w:val="21"/>
                <w:u w:val="single"/>
              </w:rPr>
              <w:t>0.0</w:t>
            </w:r>
            <w:r>
              <w:rPr>
                <w:rFonts w:hint="eastAsia" w:ascii="Times New Roman" w:hAnsi="Times New Roman"/>
                <w:kern w:val="0"/>
                <w:szCs w:val="21"/>
                <w:u w:val="single"/>
              </w:rPr>
              <w:t>299</w:t>
            </w:r>
          </w:p>
        </w:tc>
      </w:tr>
    </w:tbl>
    <w:p w14:paraId="4CA0656E">
      <w:pPr>
        <w:spacing w:line="360" w:lineRule="auto"/>
        <w:ind w:firstLine="420" w:firstLineChars="200"/>
        <w:rPr>
          <w:rFonts w:ascii="Times New Roman" w:hAnsi="Times New Roman"/>
        </w:rPr>
      </w:pPr>
    </w:p>
    <w:p w14:paraId="40601676">
      <w:pPr>
        <w:pStyle w:val="8"/>
        <w:rPr>
          <w:sz w:val="24"/>
          <w:szCs w:val="24"/>
        </w:rPr>
      </w:pPr>
      <w:r>
        <w:rPr>
          <w:sz w:val="24"/>
          <w:szCs w:val="24"/>
        </w:rPr>
        <w:t>项目污染源排放最大地面浓度占标率情况估算结果表</w:t>
      </w:r>
    </w:p>
    <w:tbl>
      <w:tblPr>
        <w:tblStyle w:val="88"/>
        <w:tblW w:w="90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27"/>
        <w:gridCol w:w="1356"/>
        <w:gridCol w:w="2154"/>
        <w:gridCol w:w="1829"/>
        <w:gridCol w:w="1666"/>
      </w:tblGrid>
      <w:tr w14:paraId="5B2C22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2027" w:type="dxa"/>
            <w:vAlign w:val="center"/>
          </w:tcPr>
          <w:p w14:paraId="414A7D1E">
            <w:pPr>
              <w:jc w:val="center"/>
              <w:rPr>
                <w:rFonts w:ascii="Times New Roman" w:hAnsi="Times New Roman"/>
                <w:b/>
                <w:bCs/>
                <w:szCs w:val="21"/>
              </w:rPr>
            </w:pPr>
            <w:r>
              <w:rPr>
                <w:rFonts w:ascii="Times New Roman" w:hAnsi="Times New Roman"/>
                <w:b/>
                <w:bCs/>
                <w:szCs w:val="21"/>
              </w:rPr>
              <w:t>污染源名称</w:t>
            </w:r>
          </w:p>
        </w:tc>
        <w:tc>
          <w:tcPr>
            <w:tcW w:w="1356" w:type="dxa"/>
            <w:vAlign w:val="center"/>
          </w:tcPr>
          <w:p w14:paraId="61AEAFFA">
            <w:pPr>
              <w:jc w:val="center"/>
              <w:rPr>
                <w:rFonts w:ascii="Times New Roman" w:hAnsi="Times New Roman"/>
                <w:b/>
                <w:bCs/>
                <w:szCs w:val="21"/>
              </w:rPr>
            </w:pPr>
            <w:r>
              <w:rPr>
                <w:rFonts w:ascii="Times New Roman" w:hAnsi="Times New Roman"/>
                <w:b/>
                <w:bCs/>
                <w:szCs w:val="21"/>
              </w:rPr>
              <w:t>评价因子</w:t>
            </w:r>
          </w:p>
        </w:tc>
        <w:tc>
          <w:tcPr>
            <w:tcW w:w="2154" w:type="dxa"/>
            <w:vAlign w:val="center"/>
          </w:tcPr>
          <w:p w14:paraId="05A1FFFC">
            <w:pPr>
              <w:jc w:val="center"/>
              <w:rPr>
                <w:rFonts w:ascii="Times New Roman" w:hAnsi="Times New Roman"/>
                <w:b/>
                <w:bCs/>
                <w:szCs w:val="21"/>
              </w:rPr>
            </w:pPr>
            <w:r>
              <w:rPr>
                <w:rFonts w:ascii="Times New Roman" w:hAnsi="Times New Roman"/>
                <w:b/>
                <w:bCs/>
                <w:szCs w:val="21"/>
              </w:rPr>
              <w:t>评价标准(μg/m</w:t>
            </w:r>
            <w:r>
              <w:rPr>
                <w:rFonts w:ascii="Times New Roman" w:hAnsi="Times New Roman"/>
                <w:b/>
                <w:bCs/>
                <w:szCs w:val="21"/>
                <w:vertAlign w:val="superscript"/>
              </w:rPr>
              <w:t>3</w:t>
            </w:r>
            <w:r>
              <w:rPr>
                <w:rFonts w:ascii="Times New Roman" w:hAnsi="Times New Roman"/>
                <w:b/>
                <w:bCs/>
                <w:szCs w:val="21"/>
              </w:rPr>
              <w:t>)</w:t>
            </w:r>
          </w:p>
        </w:tc>
        <w:tc>
          <w:tcPr>
            <w:tcW w:w="1829" w:type="dxa"/>
            <w:vAlign w:val="center"/>
          </w:tcPr>
          <w:p w14:paraId="32E62B2F">
            <w:pPr>
              <w:jc w:val="center"/>
              <w:rPr>
                <w:rFonts w:ascii="Times New Roman" w:hAnsi="Times New Roman"/>
                <w:b/>
                <w:bCs/>
                <w:szCs w:val="21"/>
              </w:rPr>
            </w:pPr>
            <w:r>
              <w:rPr>
                <w:rFonts w:ascii="Times New Roman" w:hAnsi="Times New Roman"/>
                <w:b/>
                <w:bCs/>
                <w:szCs w:val="21"/>
              </w:rPr>
              <w:t>C</w:t>
            </w:r>
            <w:r>
              <w:rPr>
                <w:rFonts w:ascii="Times New Roman" w:hAnsi="Times New Roman"/>
                <w:b/>
                <w:bCs/>
                <w:szCs w:val="21"/>
                <w:vertAlign w:val="subscript"/>
              </w:rPr>
              <w:t>max</w:t>
            </w:r>
            <w:r>
              <w:rPr>
                <w:rFonts w:ascii="Times New Roman" w:hAnsi="Times New Roman"/>
                <w:b/>
                <w:bCs/>
                <w:szCs w:val="21"/>
              </w:rPr>
              <w:t>(μg/m</w:t>
            </w:r>
            <w:r>
              <w:rPr>
                <w:rFonts w:ascii="Times New Roman" w:hAnsi="Times New Roman"/>
                <w:b/>
                <w:bCs/>
                <w:szCs w:val="21"/>
                <w:vertAlign w:val="superscript"/>
              </w:rPr>
              <w:t>3</w:t>
            </w:r>
            <w:r>
              <w:rPr>
                <w:rFonts w:ascii="Times New Roman" w:hAnsi="Times New Roman"/>
                <w:b/>
                <w:bCs/>
                <w:szCs w:val="21"/>
              </w:rPr>
              <w:t>)</w:t>
            </w:r>
          </w:p>
        </w:tc>
        <w:tc>
          <w:tcPr>
            <w:tcW w:w="1666" w:type="dxa"/>
            <w:vAlign w:val="center"/>
          </w:tcPr>
          <w:p w14:paraId="43136C3C">
            <w:pPr>
              <w:jc w:val="center"/>
              <w:rPr>
                <w:rFonts w:ascii="Times New Roman" w:hAnsi="Times New Roman"/>
                <w:b/>
                <w:bCs/>
                <w:szCs w:val="21"/>
              </w:rPr>
            </w:pPr>
            <w:r>
              <w:rPr>
                <w:rFonts w:ascii="Times New Roman" w:hAnsi="Times New Roman"/>
                <w:b/>
                <w:bCs/>
                <w:szCs w:val="21"/>
              </w:rPr>
              <w:t>P</w:t>
            </w:r>
            <w:r>
              <w:rPr>
                <w:rFonts w:ascii="Times New Roman" w:hAnsi="Times New Roman"/>
                <w:b/>
                <w:bCs/>
                <w:szCs w:val="21"/>
                <w:vertAlign w:val="subscript"/>
              </w:rPr>
              <w:t>max</w:t>
            </w:r>
            <w:r>
              <w:rPr>
                <w:rFonts w:ascii="Times New Roman" w:hAnsi="Times New Roman"/>
                <w:b/>
                <w:bCs/>
                <w:szCs w:val="21"/>
              </w:rPr>
              <w:t>(%)</w:t>
            </w:r>
          </w:p>
        </w:tc>
      </w:tr>
      <w:tr w14:paraId="27EB81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27" w:type="dxa"/>
            <w:vMerge w:val="restart"/>
            <w:vAlign w:val="center"/>
          </w:tcPr>
          <w:p w14:paraId="47362C27">
            <w:pPr>
              <w:jc w:val="center"/>
              <w:rPr>
                <w:rFonts w:ascii="Times New Roman" w:hAnsi="Times New Roman"/>
                <w:szCs w:val="21"/>
              </w:rPr>
            </w:pPr>
            <w:r>
              <w:rPr>
                <w:rFonts w:ascii="Times New Roman" w:hAnsi="Times New Roman"/>
                <w:szCs w:val="21"/>
              </w:rPr>
              <w:t>烘干炉排气筒</w:t>
            </w:r>
          </w:p>
        </w:tc>
        <w:tc>
          <w:tcPr>
            <w:tcW w:w="1356" w:type="dxa"/>
            <w:vAlign w:val="center"/>
          </w:tcPr>
          <w:p w14:paraId="04489F1A">
            <w:pPr>
              <w:jc w:val="center"/>
              <w:rPr>
                <w:rFonts w:ascii="Times New Roman" w:hAnsi="Times New Roman"/>
                <w:szCs w:val="21"/>
              </w:rPr>
            </w:pPr>
            <w:r>
              <w:rPr>
                <w:rFonts w:ascii="Times New Roman" w:hAnsi="Times New Roman"/>
                <w:szCs w:val="21"/>
              </w:rPr>
              <w:t>PM</w:t>
            </w:r>
            <w:r>
              <w:rPr>
                <w:rFonts w:ascii="Times New Roman" w:hAnsi="Times New Roman"/>
                <w:szCs w:val="21"/>
                <w:vertAlign w:val="subscript"/>
              </w:rPr>
              <w:t>10</w:t>
            </w:r>
          </w:p>
        </w:tc>
        <w:tc>
          <w:tcPr>
            <w:tcW w:w="2154" w:type="dxa"/>
            <w:vAlign w:val="center"/>
          </w:tcPr>
          <w:p w14:paraId="710C4E22">
            <w:pPr>
              <w:jc w:val="center"/>
              <w:rPr>
                <w:rFonts w:ascii="Times New Roman" w:hAnsi="Times New Roman"/>
                <w:szCs w:val="21"/>
              </w:rPr>
            </w:pPr>
            <w:r>
              <w:rPr>
                <w:rFonts w:ascii="Times New Roman" w:hAnsi="Times New Roman"/>
                <w:szCs w:val="21"/>
              </w:rPr>
              <w:t>450</w:t>
            </w:r>
          </w:p>
        </w:tc>
        <w:tc>
          <w:tcPr>
            <w:tcW w:w="1829" w:type="dxa"/>
            <w:vAlign w:val="center"/>
          </w:tcPr>
          <w:p w14:paraId="001E5635">
            <w:pPr>
              <w:jc w:val="center"/>
              <w:rPr>
                <w:rFonts w:ascii="Times New Roman" w:hAnsi="Times New Roman"/>
                <w:szCs w:val="21"/>
                <w:u w:val="single"/>
              </w:rPr>
            </w:pPr>
            <w:r>
              <w:rPr>
                <w:rFonts w:ascii="Times New Roman" w:hAnsi="Times New Roman" w:eastAsia="等线"/>
                <w:szCs w:val="21"/>
                <w:u w:val="single"/>
              </w:rPr>
              <w:t>0.5121</w:t>
            </w:r>
          </w:p>
        </w:tc>
        <w:tc>
          <w:tcPr>
            <w:tcW w:w="1666" w:type="dxa"/>
            <w:vAlign w:val="center"/>
          </w:tcPr>
          <w:p w14:paraId="26DDD971">
            <w:pPr>
              <w:jc w:val="center"/>
              <w:rPr>
                <w:rFonts w:ascii="Times New Roman" w:hAnsi="Times New Roman"/>
                <w:szCs w:val="21"/>
                <w:u w:val="single"/>
              </w:rPr>
            </w:pPr>
            <w:r>
              <w:rPr>
                <w:rFonts w:ascii="Times New Roman" w:hAnsi="Times New Roman" w:eastAsia="等线"/>
                <w:szCs w:val="21"/>
                <w:u w:val="single"/>
              </w:rPr>
              <w:t>0.1138</w:t>
            </w:r>
          </w:p>
        </w:tc>
      </w:tr>
      <w:tr w14:paraId="32FC51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27" w:type="dxa"/>
            <w:vMerge w:val="continue"/>
            <w:vAlign w:val="center"/>
          </w:tcPr>
          <w:p w14:paraId="10D964A5">
            <w:pPr>
              <w:jc w:val="center"/>
              <w:rPr>
                <w:rFonts w:ascii="Times New Roman" w:hAnsi="Times New Roman"/>
                <w:szCs w:val="21"/>
              </w:rPr>
            </w:pPr>
          </w:p>
        </w:tc>
        <w:tc>
          <w:tcPr>
            <w:tcW w:w="1356" w:type="dxa"/>
            <w:vAlign w:val="center"/>
          </w:tcPr>
          <w:p w14:paraId="7EF6CF46">
            <w:pPr>
              <w:jc w:val="center"/>
              <w:rPr>
                <w:rFonts w:ascii="Times New Roman" w:hAnsi="Times New Roman"/>
                <w:szCs w:val="21"/>
              </w:rPr>
            </w:pPr>
            <w:r>
              <w:rPr>
                <w:rFonts w:ascii="Times New Roman" w:hAnsi="Times New Roman"/>
                <w:spacing w:val="-2"/>
                <w:kern w:val="0"/>
                <w:szCs w:val="21"/>
              </w:rPr>
              <w:t>SO</w:t>
            </w:r>
            <w:r>
              <w:rPr>
                <w:rFonts w:ascii="Times New Roman" w:hAnsi="Times New Roman"/>
                <w:spacing w:val="-2"/>
                <w:kern w:val="0"/>
                <w:szCs w:val="21"/>
                <w:vertAlign w:val="subscript"/>
              </w:rPr>
              <w:t>2</w:t>
            </w:r>
          </w:p>
        </w:tc>
        <w:tc>
          <w:tcPr>
            <w:tcW w:w="2154" w:type="dxa"/>
            <w:vAlign w:val="center"/>
          </w:tcPr>
          <w:p w14:paraId="5D7ABF9E">
            <w:pPr>
              <w:jc w:val="center"/>
              <w:rPr>
                <w:rFonts w:ascii="Times New Roman" w:hAnsi="Times New Roman"/>
                <w:szCs w:val="21"/>
              </w:rPr>
            </w:pPr>
            <w:r>
              <w:rPr>
                <w:rFonts w:ascii="Times New Roman" w:hAnsi="Times New Roman"/>
                <w:szCs w:val="21"/>
              </w:rPr>
              <w:t>500</w:t>
            </w:r>
          </w:p>
        </w:tc>
        <w:tc>
          <w:tcPr>
            <w:tcW w:w="1829" w:type="dxa"/>
            <w:vAlign w:val="center"/>
          </w:tcPr>
          <w:p w14:paraId="4915EEBC">
            <w:pPr>
              <w:jc w:val="center"/>
              <w:rPr>
                <w:rFonts w:ascii="Times New Roman" w:hAnsi="Times New Roman"/>
                <w:szCs w:val="21"/>
                <w:u w:val="single"/>
              </w:rPr>
            </w:pPr>
            <w:r>
              <w:rPr>
                <w:rFonts w:ascii="Times New Roman" w:hAnsi="Times New Roman" w:eastAsia="等线"/>
                <w:szCs w:val="21"/>
                <w:u w:val="single"/>
              </w:rPr>
              <w:t>2.6952</w:t>
            </w:r>
          </w:p>
        </w:tc>
        <w:tc>
          <w:tcPr>
            <w:tcW w:w="1666" w:type="dxa"/>
            <w:vAlign w:val="center"/>
          </w:tcPr>
          <w:p w14:paraId="69747012">
            <w:pPr>
              <w:jc w:val="center"/>
              <w:rPr>
                <w:rFonts w:ascii="Times New Roman" w:hAnsi="Times New Roman"/>
                <w:szCs w:val="21"/>
                <w:u w:val="single"/>
              </w:rPr>
            </w:pPr>
            <w:r>
              <w:rPr>
                <w:rFonts w:ascii="Times New Roman" w:hAnsi="Times New Roman" w:eastAsia="等线"/>
                <w:szCs w:val="21"/>
                <w:u w:val="single"/>
              </w:rPr>
              <w:t>0.5390</w:t>
            </w:r>
          </w:p>
        </w:tc>
      </w:tr>
      <w:tr w14:paraId="6A7168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27" w:type="dxa"/>
            <w:vMerge w:val="continue"/>
            <w:vAlign w:val="center"/>
          </w:tcPr>
          <w:p w14:paraId="14C442F6">
            <w:pPr>
              <w:jc w:val="center"/>
              <w:rPr>
                <w:rFonts w:ascii="Times New Roman" w:hAnsi="Times New Roman"/>
                <w:szCs w:val="21"/>
              </w:rPr>
            </w:pPr>
          </w:p>
        </w:tc>
        <w:tc>
          <w:tcPr>
            <w:tcW w:w="1356" w:type="dxa"/>
            <w:vAlign w:val="center"/>
          </w:tcPr>
          <w:p w14:paraId="48498FA3">
            <w:pPr>
              <w:jc w:val="center"/>
              <w:rPr>
                <w:rFonts w:ascii="Times New Roman" w:hAnsi="Times New Roman"/>
                <w:szCs w:val="21"/>
              </w:rPr>
            </w:pPr>
            <w:r>
              <w:rPr>
                <w:rFonts w:ascii="Times New Roman" w:hAnsi="Times New Roman"/>
                <w:szCs w:val="21"/>
              </w:rPr>
              <w:t>NO</w:t>
            </w:r>
            <w:r>
              <w:rPr>
                <w:rFonts w:ascii="Times New Roman" w:hAnsi="Times New Roman"/>
                <w:szCs w:val="21"/>
                <w:vertAlign w:val="subscript"/>
              </w:rPr>
              <w:t>X</w:t>
            </w:r>
          </w:p>
        </w:tc>
        <w:tc>
          <w:tcPr>
            <w:tcW w:w="2154" w:type="dxa"/>
            <w:vAlign w:val="center"/>
          </w:tcPr>
          <w:p w14:paraId="491849DD">
            <w:pPr>
              <w:jc w:val="center"/>
              <w:rPr>
                <w:rFonts w:ascii="Times New Roman" w:hAnsi="Times New Roman"/>
                <w:szCs w:val="21"/>
              </w:rPr>
            </w:pPr>
            <w:r>
              <w:rPr>
                <w:rFonts w:ascii="Times New Roman" w:hAnsi="Times New Roman"/>
                <w:szCs w:val="21"/>
              </w:rPr>
              <w:t>250</w:t>
            </w:r>
          </w:p>
        </w:tc>
        <w:tc>
          <w:tcPr>
            <w:tcW w:w="1829" w:type="dxa"/>
            <w:vAlign w:val="center"/>
          </w:tcPr>
          <w:p w14:paraId="43D68178">
            <w:pPr>
              <w:jc w:val="center"/>
              <w:rPr>
                <w:rFonts w:ascii="Times New Roman" w:hAnsi="Times New Roman"/>
                <w:szCs w:val="21"/>
                <w:u w:val="single"/>
              </w:rPr>
            </w:pPr>
            <w:r>
              <w:rPr>
                <w:rFonts w:ascii="Times New Roman" w:hAnsi="Times New Roman" w:eastAsia="等线"/>
                <w:szCs w:val="21"/>
                <w:u w:val="single"/>
              </w:rPr>
              <w:t>14.6317</w:t>
            </w:r>
          </w:p>
        </w:tc>
        <w:tc>
          <w:tcPr>
            <w:tcW w:w="1666" w:type="dxa"/>
            <w:vAlign w:val="center"/>
          </w:tcPr>
          <w:p w14:paraId="1731BECC">
            <w:pPr>
              <w:jc w:val="center"/>
              <w:rPr>
                <w:rFonts w:ascii="Times New Roman" w:hAnsi="Times New Roman"/>
                <w:szCs w:val="21"/>
                <w:u w:val="single"/>
              </w:rPr>
            </w:pPr>
            <w:r>
              <w:rPr>
                <w:rFonts w:ascii="Times New Roman" w:hAnsi="Times New Roman" w:eastAsia="等线"/>
                <w:szCs w:val="21"/>
                <w:u w:val="single"/>
              </w:rPr>
              <w:t>5.8527</w:t>
            </w:r>
          </w:p>
        </w:tc>
      </w:tr>
      <w:tr w14:paraId="7A20FE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27" w:type="dxa"/>
            <w:vAlign w:val="center"/>
          </w:tcPr>
          <w:p w14:paraId="1BC8D8FD">
            <w:pPr>
              <w:jc w:val="center"/>
              <w:rPr>
                <w:rFonts w:ascii="Times New Roman" w:hAnsi="Times New Roman"/>
                <w:szCs w:val="21"/>
              </w:rPr>
            </w:pPr>
            <w:r>
              <w:rPr>
                <w:rFonts w:hint="eastAsia" w:ascii="Times New Roman" w:hAnsi="Times New Roman"/>
                <w:szCs w:val="21"/>
              </w:rPr>
              <w:t>1#</w:t>
            </w:r>
            <w:r>
              <w:rPr>
                <w:rFonts w:ascii="Times New Roman" w:hAnsi="Times New Roman"/>
                <w:szCs w:val="21"/>
              </w:rPr>
              <w:t>车间粉尘排气筒</w:t>
            </w:r>
          </w:p>
        </w:tc>
        <w:tc>
          <w:tcPr>
            <w:tcW w:w="1356" w:type="dxa"/>
            <w:vAlign w:val="center"/>
          </w:tcPr>
          <w:p w14:paraId="0339213B">
            <w:pPr>
              <w:jc w:val="center"/>
              <w:rPr>
                <w:rFonts w:ascii="Times New Roman" w:hAnsi="Times New Roman"/>
                <w:szCs w:val="21"/>
              </w:rPr>
            </w:pPr>
            <w:r>
              <w:rPr>
                <w:rFonts w:ascii="Times New Roman" w:hAnsi="Times New Roman"/>
                <w:szCs w:val="21"/>
              </w:rPr>
              <w:t>PM</w:t>
            </w:r>
            <w:r>
              <w:rPr>
                <w:rFonts w:ascii="Times New Roman" w:hAnsi="Times New Roman"/>
                <w:szCs w:val="21"/>
                <w:vertAlign w:val="subscript"/>
              </w:rPr>
              <w:t>10</w:t>
            </w:r>
          </w:p>
        </w:tc>
        <w:tc>
          <w:tcPr>
            <w:tcW w:w="2154" w:type="dxa"/>
            <w:vAlign w:val="center"/>
          </w:tcPr>
          <w:p w14:paraId="41BC7434">
            <w:pPr>
              <w:jc w:val="center"/>
              <w:rPr>
                <w:rFonts w:ascii="Times New Roman" w:hAnsi="Times New Roman"/>
                <w:szCs w:val="21"/>
              </w:rPr>
            </w:pPr>
            <w:r>
              <w:rPr>
                <w:rFonts w:ascii="Times New Roman" w:hAnsi="Times New Roman"/>
                <w:szCs w:val="21"/>
              </w:rPr>
              <w:t>450</w:t>
            </w:r>
          </w:p>
        </w:tc>
        <w:tc>
          <w:tcPr>
            <w:tcW w:w="1829" w:type="dxa"/>
            <w:vAlign w:val="center"/>
          </w:tcPr>
          <w:p w14:paraId="75C2C954">
            <w:pPr>
              <w:jc w:val="center"/>
              <w:rPr>
                <w:rFonts w:ascii="Times New Roman" w:hAnsi="Times New Roman"/>
                <w:szCs w:val="21"/>
                <w:u w:val="single"/>
              </w:rPr>
            </w:pPr>
            <w:r>
              <w:rPr>
                <w:rFonts w:ascii="Times New Roman" w:hAnsi="Times New Roman" w:eastAsia="等线"/>
                <w:szCs w:val="21"/>
                <w:u w:val="single"/>
              </w:rPr>
              <w:t>0.0953</w:t>
            </w:r>
          </w:p>
        </w:tc>
        <w:tc>
          <w:tcPr>
            <w:tcW w:w="1666" w:type="dxa"/>
            <w:vAlign w:val="center"/>
          </w:tcPr>
          <w:p w14:paraId="4CB29593">
            <w:pPr>
              <w:jc w:val="center"/>
              <w:rPr>
                <w:rFonts w:ascii="Times New Roman" w:hAnsi="Times New Roman"/>
                <w:szCs w:val="21"/>
                <w:u w:val="single"/>
              </w:rPr>
            </w:pPr>
            <w:r>
              <w:rPr>
                <w:rFonts w:ascii="Times New Roman" w:hAnsi="Times New Roman" w:eastAsia="等线"/>
                <w:szCs w:val="21"/>
                <w:u w:val="single"/>
              </w:rPr>
              <w:t>0.0212</w:t>
            </w:r>
          </w:p>
        </w:tc>
      </w:tr>
      <w:tr w14:paraId="06B417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27" w:type="dxa"/>
            <w:vAlign w:val="center"/>
          </w:tcPr>
          <w:p w14:paraId="5EC49D2D">
            <w:pPr>
              <w:jc w:val="center"/>
              <w:rPr>
                <w:rFonts w:ascii="Times New Roman" w:hAnsi="Times New Roman"/>
                <w:szCs w:val="21"/>
              </w:rPr>
            </w:pPr>
            <w:r>
              <w:rPr>
                <w:rFonts w:hint="eastAsia" w:ascii="Times New Roman" w:hAnsi="Times New Roman"/>
                <w:szCs w:val="21"/>
              </w:rPr>
              <w:t>2#</w:t>
            </w:r>
            <w:r>
              <w:rPr>
                <w:rFonts w:ascii="Times New Roman" w:hAnsi="Times New Roman"/>
                <w:szCs w:val="21"/>
              </w:rPr>
              <w:t>车间粉尘排气筒</w:t>
            </w:r>
          </w:p>
        </w:tc>
        <w:tc>
          <w:tcPr>
            <w:tcW w:w="1356" w:type="dxa"/>
            <w:vAlign w:val="center"/>
          </w:tcPr>
          <w:p w14:paraId="37CEBF75">
            <w:pPr>
              <w:jc w:val="center"/>
              <w:rPr>
                <w:rFonts w:ascii="Times New Roman" w:hAnsi="Times New Roman"/>
                <w:szCs w:val="21"/>
              </w:rPr>
            </w:pPr>
            <w:r>
              <w:rPr>
                <w:rFonts w:ascii="Times New Roman" w:hAnsi="Times New Roman"/>
                <w:szCs w:val="21"/>
              </w:rPr>
              <w:t>PM</w:t>
            </w:r>
            <w:r>
              <w:rPr>
                <w:rFonts w:ascii="Times New Roman" w:hAnsi="Times New Roman"/>
                <w:szCs w:val="21"/>
                <w:vertAlign w:val="subscript"/>
              </w:rPr>
              <w:t>10</w:t>
            </w:r>
          </w:p>
        </w:tc>
        <w:tc>
          <w:tcPr>
            <w:tcW w:w="2154" w:type="dxa"/>
            <w:vAlign w:val="center"/>
          </w:tcPr>
          <w:p w14:paraId="1193CBDD">
            <w:pPr>
              <w:jc w:val="center"/>
              <w:rPr>
                <w:rFonts w:ascii="Times New Roman" w:hAnsi="Times New Roman"/>
                <w:szCs w:val="21"/>
              </w:rPr>
            </w:pPr>
            <w:r>
              <w:rPr>
                <w:rFonts w:ascii="Times New Roman" w:hAnsi="Times New Roman"/>
                <w:szCs w:val="21"/>
              </w:rPr>
              <w:t>450</w:t>
            </w:r>
          </w:p>
        </w:tc>
        <w:tc>
          <w:tcPr>
            <w:tcW w:w="1829" w:type="dxa"/>
            <w:vAlign w:val="center"/>
          </w:tcPr>
          <w:p w14:paraId="6E00A763">
            <w:pPr>
              <w:jc w:val="center"/>
              <w:rPr>
                <w:rFonts w:ascii="Times New Roman" w:hAnsi="Times New Roman"/>
                <w:szCs w:val="21"/>
                <w:u w:val="single"/>
              </w:rPr>
            </w:pPr>
            <w:r>
              <w:rPr>
                <w:rFonts w:ascii="Times New Roman" w:hAnsi="Times New Roman" w:eastAsia="等线"/>
                <w:szCs w:val="21"/>
                <w:u w:val="single"/>
              </w:rPr>
              <w:t>0.1246</w:t>
            </w:r>
          </w:p>
        </w:tc>
        <w:tc>
          <w:tcPr>
            <w:tcW w:w="1666" w:type="dxa"/>
            <w:vAlign w:val="center"/>
          </w:tcPr>
          <w:p w14:paraId="2A227375">
            <w:pPr>
              <w:jc w:val="center"/>
              <w:rPr>
                <w:rFonts w:ascii="Times New Roman" w:hAnsi="Times New Roman"/>
                <w:szCs w:val="21"/>
                <w:u w:val="single"/>
              </w:rPr>
            </w:pPr>
            <w:r>
              <w:rPr>
                <w:rFonts w:ascii="Times New Roman" w:hAnsi="Times New Roman" w:eastAsia="等线"/>
                <w:szCs w:val="21"/>
                <w:u w:val="single"/>
              </w:rPr>
              <w:t>0.0277</w:t>
            </w:r>
          </w:p>
        </w:tc>
      </w:tr>
      <w:tr w14:paraId="44EF4D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27" w:type="dxa"/>
            <w:vAlign w:val="center"/>
          </w:tcPr>
          <w:p w14:paraId="460804A5">
            <w:pPr>
              <w:adjustRightInd w:val="0"/>
              <w:snapToGrid w:val="0"/>
              <w:jc w:val="center"/>
              <w:rPr>
                <w:rFonts w:ascii="Times New Roman" w:hAnsi="Times New Roman"/>
                <w:spacing w:val="-2"/>
                <w:kern w:val="0"/>
                <w:szCs w:val="21"/>
              </w:rPr>
            </w:pPr>
            <w:r>
              <w:rPr>
                <w:rFonts w:ascii="Times New Roman" w:hAnsi="Times New Roman"/>
                <w:spacing w:val="-2"/>
                <w:kern w:val="0"/>
                <w:szCs w:val="21"/>
              </w:rPr>
              <w:t>车间粉尘无组织排放</w:t>
            </w:r>
          </w:p>
        </w:tc>
        <w:tc>
          <w:tcPr>
            <w:tcW w:w="1356" w:type="dxa"/>
            <w:vAlign w:val="center"/>
          </w:tcPr>
          <w:p w14:paraId="3CA70456">
            <w:pPr>
              <w:jc w:val="center"/>
              <w:rPr>
                <w:rFonts w:ascii="Times New Roman" w:hAnsi="Times New Roman"/>
                <w:szCs w:val="21"/>
              </w:rPr>
            </w:pPr>
            <w:r>
              <w:rPr>
                <w:rFonts w:ascii="Times New Roman" w:hAnsi="Times New Roman"/>
                <w:szCs w:val="21"/>
              </w:rPr>
              <w:t>TSP</w:t>
            </w:r>
          </w:p>
        </w:tc>
        <w:tc>
          <w:tcPr>
            <w:tcW w:w="2154" w:type="dxa"/>
            <w:vAlign w:val="center"/>
          </w:tcPr>
          <w:p w14:paraId="6E5E1B46">
            <w:pPr>
              <w:jc w:val="center"/>
              <w:rPr>
                <w:rFonts w:ascii="Times New Roman" w:hAnsi="Times New Roman"/>
                <w:szCs w:val="21"/>
              </w:rPr>
            </w:pPr>
            <w:r>
              <w:rPr>
                <w:rFonts w:ascii="Times New Roman" w:hAnsi="Times New Roman"/>
                <w:szCs w:val="21"/>
              </w:rPr>
              <w:t>900</w:t>
            </w:r>
          </w:p>
        </w:tc>
        <w:tc>
          <w:tcPr>
            <w:tcW w:w="1829" w:type="dxa"/>
            <w:vAlign w:val="center"/>
          </w:tcPr>
          <w:p w14:paraId="2B4949F0">
            <w:pPr>
              <w:jc w:val="center"/>
              <w:rPr>
                <w:rFonts w:ascii="Times New Roman" w:hAnsi="Times New Roman"/>
                <w:szCs w:val="21"/>
                <w:u w:val="single"/>
              </w:rPr>
            </w:pPr>
            <w:r>
              <w:rPr>
                <w:rFonts w:ascii="Times New Roman" w:hAnsi="Times New Roman" w:eastAsia="等线"/>
                <w:szCs w:val="21"/>
                <w:u w:val="single"/>
              </w:rPr>
              <w:t>83.5240</w:t>
            </w:r>
          </w:p>
        </w:tc>
        <w:tc>
          <w:tcPr>
            <w:tcW w:w="1666" w:type="dxa"/>
            <w:vAlign w:val="center"/>
          </w:tcPr>
          <w:p w14:paraId="35A63941">
            <w:pPr>
              <w:jc w:val="center"/>
              <w:rPr>
                <w:rFonts w:ascii="Times New Roman" w:hAnsi="Times New Roman"/>
                <w:szCs w:val="21"/>
                <w:u w:val="single"/>
              </w:rPr>
            </w:pPr>
            <w:r>
              <w:rPr>
                <w:rFonts w:ascii="Times New Roman" w:hAnsi="Times New Roman" w:eastAsia="等线"/>
                <w:szCs w:val="21"/>
                <w:u w:val="single"/>
              </w:rPr>
              <w:t>9.2804</w:t>
            </w:r>
          </w:p>
        </w:tc>
      </w:tr>
      <w:tr w14:paraId="201E02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27" w:type="dxa"/>
            <w:vAlign w:val="center"/>
          </w:tcPr>
          <w:p w14:paraId="2B8B6D5B">
            <w:pPr>
              <w:jc w:val="center"/>
              <w:rPr>
                <w:rFonts w:ascii="Times New Roman" w:hAnsi="Times New Roman"/>
                <w:spacing w:val="-2"/>
                <w:kern w:val="0"/>
                <w:szCs w:val="21"/>
              </w:rPr>
            </w:pPr>
            <w:r>
              <w:rPr>
                <w:rFonts w:ascii="Times New Roman" w:hAnsi="Times New Roman"/>
                <w:spacing w:val="-2"/>
                <w:kern w:val="0"/>
                <w:szCs w:val="21"/>
              </w:rPr>
              <w:t>运输扬尘无组织排放</w:t>
            </w:r>
          </w:p>
        </w:tc>
        <w:tc>
          <w:tcPr>
            <w:tcW w:w="1356" w:type="dxa"/>
            <w:vAlign w:val="center"/>
          </w:tcPr>
          <w:p w14:paraId="1EEF13E0">
            <w:pPr>
              <w:jc w:val="center"/>
              <w:rPr>
                <w:rFonts w:ascii="Times New Roman" w:hAnsi="Times New Roman"/>
                <w:szCs w:val="21"/>
              </w:rPr>
            </w:pPr>
            <w:r>
              <w:rPr>
                <w:rFonts w:ascii="Times New Roman" w:hAnsi="Times New Roman"/>
                <w:szCs w:val="21"/>
              </w:rPr>
              <w:t>TSP</w:t>
            </w:r>
          </w:p>
        </w:tc>
        <w:tc>
          <w:tcPr>
            <w:tcW w:w="2154" w:type="dxa"/>
            <w:vAlign w:val="center"/>
          </w:tcPr>
          <w:p w14:paraId="54DA4DB8">
            <w:pPr>
              <w:jc w:val="center"/>
              <w:rPr>
                <w:rFonts w:ascii="Times New Roman" w:hAnsi="Times New Roman"/>
                <w:szCs w:val="21"/>
              </w:rPr>
            </w:pPr>
            <w:r>
              <w:rPr>
                <w:rFonts w:ascii="Times New Roman" w:hAnsi="Times New Roman"/>
                <w:szCs w:val="21"/>
              </w:rPr>
              <w:t>900</w:t>
            </w:r>
          </w:p>
        </w:tc>
        <w:tc>
          <w:tcPr>
            <w:tcW w:w="1829" w:type="dxa"/>
            <w:vAlign w:val="center"/>
          </w:tcPr>
          <w:p w14:paraId="55E46169">
            <w:pPr>
              <w:jc w:val="center"/>
              <w:rPr>
                <w:rFonts w:ascii="Times New Roman" w:hAnsi="Times New Roman"/>
                <w:szCs w:val="21"/>
                <w:u w:val="single"/>
              </w:rPr>
            </w:pPr>
            <w:r>
              <w:rPr>
                <w:rFonts w:ascii="Times New Roman" w:hAnsi="Times New Roman" w:eastAsia="等线"/>
                <w:szCs w:val="21"/>
                <w:u w:val="single"/>
              </w:rPr>
              <w:t>27.4120</w:t>
            </w:r>
          </w:p>
        </w:tc>
        <w:tc>
          <w:tcPr>
            <w:tcW w:w="1666" w:type="dxa"/>
            <w:vAlign w:val="center"/>
          </w:tcPr>
          <w:p w14:paraId="3579E39E">
            <w:pPr>
              <w:jc w:val="center"/>
              <w:rPr>
                <w:rFonts w:ascii="Times New Roman" w:hAnsi="Times New Roman"/>
                <w:szCs w:val="21"/>
                <w:u w:val="single"/>
              </w:rPr>
            </w:pPr>
            <w:r>
              <w:rPr>
                <w:rFonts w:ascii="Times New Roman" w:hAnsi="Times New Roman" w:eastAsia="等线"/>
                <w:szCs w:val="21"/>
                <w:u w:val="single"/>
              </w:rPr>
              <w:t>3.0458</w:t>
            </w:r>
          </w:p>
        </w:tc>
      </w:tr>
    </w:tbl>
    <w:p w14:paraId="3A531476">
      <w:pPr>
        <w:spacing w:line="360" w:lineRule="auto"/>
        <w:ind w:firstLine="480" w:firstLineChars="200"/>
        <w:rPr>
          <w:rFonts w:ascii="Times New Roman" w:hAnsi="Times New Roman"/>
          <w:sz w:val="24"/>
          <w:szCs w:val="24"/>
        </w:rPr>
      </w:pPr>
    </w:p>
    <w:p w14:paraId="2044C78A">
      <w:pPr>
        <w:spacing w:line="360" w:lineRule="auto"/>
        <w:ind w:firstLine="437"/>
        <w:rPr>
          <w:rFonts w:ascii="Times New Roman" w:hAnsi="Times New Roman"/>
          <w:spacing w:val="-2"/>
          <w:kern w:val="0"/>
          <w:sz w:val="24"/>
          <w:szCs w:val="24"/>
        </w:rPr>
      </w:pPr>
      <w:r>
        <w:rPr>
          <w:rFonts w:ascii="Times New Roman" w:hAnsi="Times New Roman"/>
          <w:sz w:val="24"/>
          <w:szCs w:val="24"/>
        </w:rPr>
        <w:t>主要污染源估算模型计算结果见表1.5-5所示，</w:t>
      </w:r>
      <w:r>
        <w:rPr>
          <w:rFonts w:ascii="Times New Roman" w:hAnsi="Times New Roman"/>
          <w:sz w:val="24"/>
          <w:szCs w:val="24"/>
          <w:u w:val="single"/>
        </w:rPr>
        <w:t>本项目P</w:t>
      </w:r>
      <w:r>
        <w:rPr>
          <w:rFonts w:ascii="Times New Roman" w:hAnsi="Times New Roman"/>
          <w:sz w:val="24"/>
          <w:szCs w:val="24"/>
          <w:u w:val="single"/>
          <w:vertAlign w:val="subscript"/>
        </w:rPr>
        <w:t>max</w:t>
      </w:r>
      <w:r>
        <w:rPr>
          <w:rFonts w:ascii="Times New Roman" w:hAnsi="Times New Roman"/>
          <w:sz w:val="24"/>
          <w:szCs w:val="24"/>
          <w:u w:val="single"/>
        </w:rPr>
        <w:t>最大值出现在</w:t>
      </w:r>
      <w:r>
        <w:rPr>
          <w:rFonts w:hint="eastAsia" w:ascii="Times New Roman" w:hAnsi="Times New Roman"/>
          <w:sz w:val="24"/>
          <w:szCs w:val="24"/>
          <w:u w:val="single"/>
        </w:rPr>
        <w:t>车间粉尘无组织排放</w:t>
      </w:r>
      <w:r>
        <w:rPr>
          <w:rFonts w:ascii="Times New Roman" w:hAnsi="Times New Roman"/>
          <w:sz w:val="24"/>
          <w:szCs w:val="24"/>
          <w:u w:val="single"/>
        </w:rPr>
        <w:t>的</w:t>
      </w:r>
      <w:r>
        <w:rPr>
          <w:rFonts w:hint="eastAsia" w:ascii="Times New Roman" w:hAnsi="Times New Roman"/>
          <w:sz w:val="24"/>
          <w:szCs w:val="24"/>
          <w:u w:val="single"/>
        </w:rPr>
        <w:t>TSP</w:t>
      </w:r>
      <w:r>
        <w:rPr>
          <w:rFonts w:ascii="Times New Roman" w:hAnsi="Times New Roman"/>
          <w:sz w:val="24"/>
          <w:szCs w:val="24"/>
          <w:u w:val="single"/>
        </w:rPr>
        <w:t>。项目大气污染物最大占标率P</w:t>
      </w:r>
      <w:r>
        <w:rPr>
          <w:rFonts w:ascii="Times New Roman" w:hAnsi="Times New Roman"/>
          <w:sz w:val="24"/>
          <w:szCs w:val="24"/>
          <w:u w:val="single"/>
          <w:vertAlign w:val="subscript"/>
        </w:rPr>
        <w:t>max</w:t>
      </w:r>
      <w:r>
        <w:rPr>
          <w:rFonts w:ascii="Times New Roman" w:hAnsi="Times New Roman"/>
          <w:sz w:val="24"/>
          <w:szCs w:val="24"/>
          <w:u w:val="single"/>
        </w:rPr>
        <w:t>为</w:t>
      </w:r>
      <w:r>
        <w:rPr>
          <w:rFonts w:hint="eastAsia" w:ascii="Times New Roman" w:hAnsi="Times New Roman"/>
          <w:sz w:val="24"/>
          <w:szCs w:val="24"/>
          <w:u w:val="single"/>
        </w:rPr>
        <w:t>9.2804</w:t>
      </w:r>
      <w:r>
        <w:rPr>
          <w:rFonts w:ascii="Times New Roman" w:hAnsi="Times New Roman"/>
          <w:sz w:val="24"/>
          <w:szCs w:val="24"/>
          <w:u w:val="single"/>
        </w:rPr>
        <w:t>%，</w:t>
      </w:r>
      <w:r>
        <w:rPr>
          <w:rFonts w:ascii="Times New Roman" w:hAnsi="Times New Roman"/>
          <w:sz w:val="24"/>
          <w:szCs w:val="24"/>
        </w:rPr>
        <w:t>根据《环境影响评价技术导则大气环境》（HJ2.2-2018）分级判据，确定本项目大气环境影响评价工作等级为二级。</w:t>
      </w:r>
    </w:p>
    <w:p w14:paraId="09A7B65A">
      <w:pPr>
        <w:pStyle w:val="7"/>
      </w:pPr>
      <w:r>
        <w:t>地表水环境评价工作等级</w:t>
      </w:r>
    </w:p>
    <w:p w14:paraId="020B5D89">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根据《环境影响评价技术导则 地表水环境》（HJ2.3-2018）中按照影响类型、排放方式、排放量或影响情况、受纳水体环境质量现状、水环境保护目标等综合确定本项目评价等级，分级判据见表1.5-</w:t>
      </w:r>
      <w:r>
        <w:rPr>
          <w:rFonts w:hint="eastAsia" w:ascii="Times New Roman" w:hAnsi="Times New Roman"/>
          <w:spacing w:val="-2"/>
          <w:kern w:val="0"/>
          <w:sz w:val="24"/>
          <w:szCs w:val="24"/>
        </w:rPr>
        <w:t>6</w:t>
      </w:r>
      <w:r>
        <w:rPr>
          <w:rFonts w:ascii="Times New Roman" w:hAnsi="Times New Roman"/>
          <w:spacing w:val="-2"/>
          <w:kern w:val="0"/>
          <w:sz w:val="24"/>
          <w:szCs w:val="24"/>
        </w:rPr>
        <w:t xml:space="preserve">。 </w:t>
      </w:r>
    </w:p>
    <w:p w14:paraId="09100526">
      <w:pPr>
        <w:pStyle w:val="8"/>
        <w:rPr>
          <w:sz w:val="24"/>
          <w:szCs w:val="24"/>
        </w:rPr>
      </w:pPr>
      <w:r>
        <w:rPr>
          <w:sz w:val="24"/>
          <w:szCs w:val="24"/>
        </w:rPr>
        <w:t>水污染影响型建设项目评价等级判定表</w:t>
      </w:r>
    </w:p>
    <w:tbl>
      <w:tblPr>
        <w:tblStyle w:val="88"/>
        <w:tblW w:w="9057"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09"/>
        <w:gridCol w:w="1410"/>
        <w:gridCol w:w="6238"/>
      </w:tblGrid>
      <w:tr w14:paraId="25C167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blHeader/>
        </w:trPr>
        <w:tc>
          <w:tcPr>
            <w:tcW w:w="1409" w:type="dxa"/>
            <w:vMerge w:val="restart"/>
            <w:vAlign w:val="center"/>
          </w:tcPr>
          <w:p w14:paraId="46A23502">
            <w:pPr>
              <w:jc w:val="center"/>
              <w:rPr>
                <w:rFonts w:ascii="Times New Roman" w:hAnsi="Times New Roman"/>
                <w:b/>
                <w:bCs/>
                <w:spacing w:val="-2"/>
                <w:kern w:val="0"/>
                <w:szCs w:val="21"/>
              </w:rPr>
            </w:pPr>
            <w:r>
              <w:rPr>
                <w:rFonts w:ascii="Times New Roman" w:hAnsi="Times New Roman"/>
                <w:b/>
                <w:bCs/>
                <w:spacing w:val="-2"/>
                <w:kern w:val="0"/>
                <w:szCs w:val="21"/>
              </w:rPr>
              <w:t>评价等级</w:t>
            </w:r>
          </w:p>
        </w:tc>
        <w:tc>
          <w:tcPr>
            <w:tcW w:w="7648" w:type="dxa"/>
            <w:gridSpan w:val="2"/>
            <w:vAlign w:val="center"/>
          </w:tcPr>
          <w:p w14:paraId="57D87305">
            <w:pPr>
              <w:jc w:val="center"/>
              <w:rPr>
                <w:rFonts w:ascii="Times New Roman" w:hAnsi="Times New Roman"/>
                <w:b/>
                <w:bCs/>
                <w:spacing w:val="-2"/>
                <w:kern w:val="0"/>
                <w:szCs w:val="21"/>
              </w:rPr>
            </w:pPr>
            <w:r>
              <w:rPr>
                <w:rFonts w:ascii="Times New Roman" w:hAnsi="Times New Roman"/>
                <w:b/>
                <w:bCs/>
                <w:spacing w:val="-2"/>
                <w:kern w:val="0"/>
                <w:szCs w:val="21"/>
              </w:rPr>
              <w:t>判定依据</w:t>
            </w:r>
          </w:p>
        </w:tc>
      </w:tr>
      <w:tr w14:paraId="4BE535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blHeader/>
        </w:trPr>
        <w:tc>
          <w:tcPr>
            <w:tcW w:w="1409" w:type="dxa"/>
            <w:vMerge w:val="continue"/>
            <w:vAlign w:val="center"/>
          </w:tcPr>
          <w:p w14:paraId="07AE52CF">
            <w:pPr>
              <w:jc w:val="center"/>
              <w:rPr>
                <w:rFonts w:ascii="Times New Roman" w:hAnsi="Times New Roman"/>
                <w:b/>
                <w:bCs/>
                <w:spacing w:val="-2"/>
                <w:kern w:val="0"/>
                <w:szCs w:val="21"/>
              </w:rPr>
            </w:pPr>
          </w:p>
        </w:tc>
        <w:tc>
          <w:tcPr>
            <w:tcW w:w="1410" w:type="dxa"/>
            <w:vAlign w:val="center"/>
          </w:tcPr>
          <w:p w14:paraId="45AB86B9">
            <w:pPr>
              <w:jc w:val="center"/>
              <w:rPr>
                <w:rFonts w:ascii="Times New Roman" w:hAnsi="Times New Roman"/>
                <w:b/>
                <w:bCs/>
                <w:spacing w:val="-2"/>
                <w:kern w:val="0"/>
                <w:szCs w:val="21"/>
              </w:rPr>
            </w:pPr>
            <w:r>
              <w:rPr>
                <w:rFonts w:ascii="Times New Roman" w:hAnsi="Times New Roman"/>
                <w:b/>
                <w:bCs/>
                <w:spacing w:val="-2"/>
                <w:kern w:val="0"/>
                <w:szCs w:val="21"/>
              </w:rPr>
              <w:t>排放方式</w:t>
            </w:r>
          </w:p>
        </w:tc>
        <w:tc>
          <w:tcPr>
            <w:tcW w:w="6238" w:type="dxa"/>
            <w:vAlign w:val="center"/>
          </w:tcPr>
          <w:p w14:paraId="605C3189">
            <w:pPr>
              <w:jc w:val="center"/>
              <w:rPr>
                <w:rFonts w:ascii="Times New Roman" w:hAnsi="Times New Roman"/>
                <w:b/>
                <w:bCs/>
                <w:spacing w:val="-2"/>
                <w:kern w:val="0"/>
                <w:szCs w:val="21"/>
              </w:rPr>
            </w:pPr>
            <w:r>
              <w:rPr>
                <w:rFonts w:ascii="Times New Roman" w:hAnsi="Times New Roman"/>
                <w:b/>
                <w:bCs/>
                <w:spacing w:val="-2"/>
                <w:kern w:val="0"/>
                <w:szCs w:val="21"/>
              </w:rPr>
              <w:t>废水排放量Q/（m</w:t>
            </w:r>
            <w:r>
              <w:rPr>
                <w:rFonts w:ascii="Times New Roman" w:hAnsi="Times New Roman"/>
                <w:b/>
                <w:bCs/>
                <w:spacing w:val="-2"/>
                <w:kern w:val="0"/>
                <w:szCs w:val="21"/>
                <w:vertAlign w:val="superscript"/>
              </w:rPr>
              <w:t>3</w:t>
            </w:r>
            <w:r>
              <w:rPr>
                <w:rFonts w:ascii="Times New Roman" w:hAnsi="Times New Roman"/>
                <w:b/>
                <w:bCs/>
                <w:spacing w:val="-2"/>
                <w:kern w:val="0"/>
                <w:szCs w:val="21"/>
              </w:rPr>
              <w:t>/d）；水污染物当量数W/（无量纲）</w:t>
            </w:r>
          </w:p>
        </w:tc>
      </w:tr>
      <w:tr w14:paraId="0A00E3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1409" w:type="dxa"/>
            <w:vAlign w:val="center"/>
          </w:tcPr>
          <w:p w14:paraId="334DDBEE">
            <w:pPr>
              <w:jc w:val="center"/>
              <w:rPr>
                <w:rFonts w:ascii="Times New Roman" w:hAnsi="Times New Roman"/>
                <w:spacing w:val="-2"/>
                <w:kern w:val="0"/>
                <w:szCs w:val="21"/>
              </w:rPr>
            </w:pPr>
            <w:r>
              <w:rPr>
                <w:rFonts w:ascii="Times New Roman" w:hAnsi="Times New Roman"/>
                <w:spacing w:val="-2"/>
                <w:kern w:val="0"/>
                <w:szCs w:val="21"/>
              </w:rPr>
              <w:t>一级</w:t>
            </w:r>
          </w:p>
        </w:tc>
        <w:tc>
          <w:tcPr>
            <w:tcW w:w="1410" w:type="dxa"/>
            <w:vAlign w:val="center"/>
          </w:tcPr>
          <w:p w14:paraId="4CFB06DD">
            <w:pPr>
              <w:jc w:val="center"/>
              <w:rPr>
                <w:rFonts w:ascii="Times New Roman" w:hAnsi="Times New Roman"/>
                <w:spacing w:val="-2"/>
                <w:kern w:val="0"/>
                <w:szCs w:val="21"/>
              </w:rPr>
            </w:pPr>
            <w:r>
              <w:rPr>
                <w:rFonts w:ascii="Times New Roman" w:hAnsi="Times New Roman"/>
                <w:spacing w:val="-2"/>
                <w:kern w:val="0"/>
                <w:szCs w:val="21"/>
              </w:rPr>
              <w:t>直接排放</w:t>
            </w:r>
          </w:p>
        </w:tc>
        <w:tc>
          <w:tcPr>
            <w:tcW w:w="6238" w:type="dxa"/>
            <w:vAlign w:val="center"/>
          </w:tcPr>
          <w:p w14:paraId="5543181D">
            <w:pPr>
              <w:jc w:val="center"/>
              <w:rPr>
                <w:rFonts w:ascii="Times New Roman" w:hAnsi="Times New Roman"/>
                <w:spacing w:val="-2"/>
                <w:kern w:val="0"/>
                <w:szCs w:val="21"/>
              </w:rPr>
            </w:pPr>
            <w:r>
              <w:rPr>
                <w:rFonts w:ascii="Times New Roman" w:hAnsi="Times New Roman"/>
                <w:spacing w:val="-2"/>
                <w:kern w:val="0"/>
                <w:szCs w:val="21"/>
              </w:rPr>
              <w:t>Q≥20000或W≥600000</w:t>
            </w:r>
          </w:p>
        </w:tc>
      </w:tr>
      <w:tr w14:paraId="4392E1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1409" w:type="dxa"/>
            <w:vAlign w:val="center"/>
          </w:tcPr>
          <w:p w14:paraId="5F23C271">
            <w:pPr>
              <w:jc w:val="center"/>
              <w:rPr>
                <w:rFonts w:ascii="Times New Roman" w:hAnsi="Times New Roman"/>
                <w:spacing w:val="-2"/>
                <w:kern w:val="0"/>
                <w:szCs w:val="21"/>
              </w:rPr>
            </w:pPr>
            <w:r>
              <w:rPr>
                <w:rFonts w:ascii="Times New Roman" w:hAnsi="Times New Roman"/>
                <w:spacing w:val="-2"/>
                <w:kern w:val="0"/>
                <w:szCs w:val="21"/>
              </w:rPr>
              <w:t>二级</w:t>
            </w:r>
          </w:p>
        </w:tc>
        <w:tc>
          <w:tcPr>
            <w:tcW w:w="1410" w:type="dxa"/>
            <w:vAlign w:val="center"/>
          </w:tcPr>
          <w:p w14:paraId="79E7644E">
            <w:pPr>
              <w:jc w:val="center"/>
              <w:rPr>
                <w:rFonts w:ascii="Times New Roman" w:hAnsi="Times New Roman"/>
                <w:spacing w:val="-2"/>
                <w:kern w:val="0"/>
                <w:szCs w:val="21"/>
              </w:rPr>
            </w:pPr>
            <w:r>
              <w:rPr>
                <w:rFonts w:ascii="Times New Roman" w:hAnsi="Times New Roman"/>
                <w:spacing w:val="-2"/>
                <w:kern w:val="0"/>
                <w:szCs w:val="21"/>
              </w:rPr>
              <w:t>直接排放</w:t>
            </w:r>
          </w:p>
        </w:tc>
        <w:tc>
          <w:tcPr>
            <w:tcW w:w="6238" w:type="dxa"/>
            <w:vAlign w:val="center"/>
          </w:tcPr>
          <w:p w14:paraId="3CFFFCD2">
            <w:pPr>
              <w:jc w:val="center"/>
              <w:rPr>
                <w:rFonts w:ascii="Times New Roman" w:hAnsi="Times New Roman"/>
                <w:spacing w:val="-2"/>
                <w:kern w:val="0"/>
                <w:szCs w:val="21"/>
              </w:rPr>
            </w:pPr>
            <w:r>
              <w:rPr>
                <w:rFonts w:ascii="Times New Roman" w:hAnsi="Times New Roman"/>
                <w:spacing w:val="-2"/>
                <w:kern w:val="0"/>
                <w:szCs w:val="21"/>
              </w:rPr>
              <w:t>其他</w:t>
            </w:r>
          </w:p>
        </w:tc>
      </w:tr>
      <w:tr w14:paraId="585F75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1409" w:type="dxa"/>
            <w:vAlign w:val="center"/>
          </w:tcPr>
          <w:p w14:paraId="74D3647C">
            <w:pPr>
              <w:jc w:val="center"/>
              <w:rPr>
                <w:rFonts w:ascii="Times New Roman" w:hAnsi="Times New Roman"/>
                <w:spacing w:val="-2"/>
                <w:kern w:val="0"/>
                <w:szCs w:val="21"/>
              </w:rPr>
            </w:pPr>
            <w:r>
              <w:rPr>
                <w:rFonts w:ascii="Times New Roman" w:hAnsi="Times New Roman"/>
                <w:spacing w:val="-2"/>
                <w:kern w:val="0"/>
                <w:szCs w:val="21"/>
              </w:rPr>
              <w:t>三级A</w:t>
            </w:r>
          </w:p>
        </w:tc>
        <w:tc>
          <w:tcPr>
            <w:tcW w:w="1410" w:type="dxa"/>
            <w:vAlign w:val="center"/>
          </w:tcPr>
          <w:p w14:paraId="6CC2DD68">
            <w:pPr>
              <w:jc w:val="center"/>
              <w:rPr>
                <w:rFonts w:ascii="Times New Roman" w:hAnsi="Times New Roman"/>
                <w:spacing w:val="-2"/>
                <w:kern w:val="0"/>
                <w:szCs w:val="21"/>
              </w:rPr>
            </w:pPr>
            <w:r>
              <w:rPr>
                <w:rFonts w:ascii="Times New Roman" w:hAnsi="Times New Roman"/>
                <w:spacing w:val="-2"/>
                <w:kern w:val="0"/>
                <w:szCs w:val="21"/>
              </w:rPr>
              <w:t>直接排放</w:t>
            </w:r>
          </w:p>
        </w:tc>
        <w:tc>
          <w:tcPr>
            <w:tcW w:w="6238" w:type="dxa"/>
            <w:vAlign w:val="center"/>
          </w:tcPr>
          <w:p w14:paraId="0AB4E26F">
            <w:pPr>
              <w:jc w:val="center"/>
              <w:rPr>
                <w:rFonts w:ascii="Times New Roman" w:hAnsi="Times New Roman"/>
                <w:spacing w:val="-2"/>
                <w:kern w:val="0"/>
                <w:szCs w:val="21"/>
              </w:rPr>
            </w:pPr>
            <w:r>
              <w:rPr>
                <w:rFonts w:ascii="Times New Roman" w:hAnsi="Times New Roman"/>
                <w:spacing w:val="-2"/>
                <w:kern w:val="0"/>
                <w:szCs w:val="21"/>
              </w:rPr>
              <w:t>Q＜200且W＜6000</w:t>
            </w:r>
          </w:p>
        </w:tc>
      </w:tr>
      <w:tr w14:paraId="2ED851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1409" w:type="dxa"/>
            <w:vAlign w:val="center"/>
          </w:tcPr>
          <w:p w14:paraId="61259393">
            <w:pPr>
              <w:jc w:val="center"/>
              <w:rPr>
                <w:rFonts w:ascii="Times New Roman" w:hAnsi="Times New Roman"/>
                <w:spacing w:val="-2"/>
                <w:kern w:val="0"/>
                <w:szCs w:val="21"/>
              </w:rPr>
            </w:pPr>
            <w:r>
              <w:rPr>
                <w:rFonts w:ascii="Times New Roman" w:hAnsi="Times New Roman"/>
                <w:spacing w:val="-2"/>
                <w:kern w:val="0"/>
                <w:szCs w:val="21"/>
              </w:rPr>
              <w:t>三级B</w:t>
            </w:r>
          </w:p>
        </w:tc>
        <w:tc>
          <w:tcPr>
            <w:tcW w:w="1410" w:type="dxa"/>
            <w:vAlign w:val="center"/>
          </w:tcPr>
          <w:p w14:paraId="799B49BD">
            <w:pPr>
              <w:jc w:val="center"/>
              <w:rPr>
                <w:rFonts w:ascii="Times New Roman" w:hAnsi="Times New Roman"/>
                <w:spacing w:val="-2"/>
                <w:kern w:val="0"/>
                <w:szCs w:val="21"/>
              </w:rPr>
            </w:pPr>
            <w:r>
              <w:rPr>
                <w:rFonts w:ascii="Times New Roman" w:hAnsi="Times New Roman"/>
                <w:spacing w:val="-2"/>
                <w:kern w:val="0"/>
                <w:szCs w:val="21"/>
              </w:rPr>
              <w:t>间接排放</w:t>
            </w:r>
          </w:p>
        </w:tc>
        <w:tc>
          <w:tcPr>
            <w:tcW w:w="6238" w:type="dxa"/>
            <w:vAlign w:val="center"/>
          </w:tcPr>
          <w:p w14:paraId="5568C19C">
            <w:pPr>
              <w:jc w:val="center"/>
              <w:rPr>
                <w:rFonts w:ascii="Times New Roman" w:hAnsi="Times New Roman"/>
                <w:spacing w:val="-2"/>
                <w:kern w:val="0"/>
                <w:szCs w:val="21"/>
              </w:rPr>
            </w:pPr>
            <w:r>
              <w:rPr>
                <w:rFonts w:ascii="Times New Roman" w:hAnsi="Times New Roman"/>
                <w:spacing w:val="-2"/>
                <w:kern w:val="0"/>
                <w:szCs w:val="21"/>
              </w:rPr>
              <w:t>—</w:t>
            </w:r>
          </w:p>
        </w:tc>
      </w:tr>
    </w:tbl>
    <w:p w14:paraId="3BBC189C">
      <w:pPr>
        <w:snapToGrid w:val="0"/>
        <w:spacing w:before="120" w:beforeLines="50"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本项目营运期不产生生产废水；本项目产生的生活污水经化粪池处理后通过管网送至钦州港大榄坪污水处理厂集中处理。对地表水的影响类型为水污染影响型，不涉及水文要素影响型，根据《环境影响评价技术导则 地表水环境》（HJ2.3-2018）确定项目评价等级为三级B。</w:t>
      </w:r>
    </w:p>
    <w:p w14:paraId="3A08E27A">
      <w:pPr>
        <w:pStyle w:val="7"/>
      </w:pPr>
      <w:r>
        <w:t>地下水环境影响评价工作等级</w:t>
      </w:r>
    </w:p>
    <w:p w14:paraId="01E538F1">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本项目为</w:t>
      </w:r>
      <w:r>
        <w:rPr>
          <w:rFonts w:hint="eastAsia" w:ascii="Times New Roman" w:hAnsi="Times New Roman"/>
          <w:spacing w:val="-2"/>
          <w:kern w:val="0"/>
          <w:sz w:val="24"/>
          <w:szCs w:val="24"/>
          <w:u w:val="single"/>
        </w:rPr>
        <w:t>锆钛矿石加工分选</w:t>
      </w:r>
      <w:r>
        <w:rPr>
          <w:rFonts w:ascii="Times New Roman" w:hAnsi="Times New Roman"/>
          <w:spacing w:val="-2"/>
          <w:kern w:val="0"/>
          <w:sz w:val="24"/>
          <w:szCs w:val="24"/>
        </w:rPr>
        <w:t>项目，根据《环境影响评价技术导则 地下水环境》（HJ610-2016）附录A，本项目属于</w:t>
      </w:r>
      <w:r>
        <w:rPr>
          <w:rFonts w:ascii="宋体" w:hAnsi="宋体"/>
          <w:spacing w:val="-2"/>
          <w:kern w:val="0"/>
          <w:sz w:val="24"/>
          <w:szCs w:val="24"/>
        </w:rPr>
        <w:t>“</w:t>
      </w:r>
      <w:r>
        <w:rPr>
          <w:rFonts w:ascii="Times New Roman" w:hAnsi="Times New Roman"/>
          <w:spacing w:val="-2"/>
          <w:kern w:val="0"/>
          <w:sz w:val="24"/>
          <w:szCs w:val="24"/>
        </w:rPr>
        <w:t>H 有色金属</w:t>
      </w:r>
      <w:r>
        <w:rPr>
          <w:rFonts w:ascii="宋体" w:hAnsi="宋体"/>
          <w:spacing w:val="-2"/>
          <w:kern w:val="0"/>
          <w:sz w:val="24"/>
          <w:szCs w:val="24"/>
        </w:rPr>
        <w:t>”中的“</w:t>
      </w:r>
      <w:r>
        <w:rPr>
          <w:rFonts w:ascii="Times New Roman" w:hAnsi="Times New Roman"/>
          <w:spacing w:val="-2"/>
          <w:kern w:val="0"/>
          <w:sz w:val="24"/>
          <w:szCs w:val="24"/>
        </w:rPr>
        <w:t>47、采选（含单独尾矿库）</w:t>
      </w:r>
      <w:r>
        <w:rPr>
          <w:rFonts w:ascii="宋体" w:hAnsi="宋体"/>
          <w:spacing w:val="-2"/>
          <w:kern w:val="0"/>
          <w:sz w:val="24"/>
          <w:szCs w:val="24"/>
        </w:rPr>
        <w:t>”</w:t>
      </w:r>
      <w:r>
        <w:rPr>
          <w:rFonts w:ascii="Times New Roman" w:hAnsi="Times New Roman"/>
          <w:spacing w:val="-2"/>
          <w:kern w:val="0"/>
          <w:sz w:val="24"/>
          <w:szCs w:val="24"/>
        </w:rPr>
        <w:t>，其中选矿厂为Ⅱ类项目。分级依据情况见表1.5-</w:t>
      </w:r>
      <w:r>
        <w:rPr>
          <w:rFonts w:hint="eastAsia" w:ascii="Times New Roman" w:hAnsi="Times New Roman"/>
          <w:spacing w:val="-2"/>
          <w:kern w:val="0"/>
          <w:sz w:val="24"/>
          <w:szCs w:val="24"/>
        </w:rPr>
        <w:t>7</w:t>
      </w:r>
      <w:r>
        <w:rPr>
          <w:rFonts w:ascii="Times New Roman" w:hAnsi="Times New Roman"/>
          <w:spacing w:val="-2"/>
          <w:kern w:val="0"/>
          <w:sz w:val="24"/>
          <w:szCs w:val="24"/>
        </w:rPr>
        <w:t>。</w:t>
      </w:r>
    </w:p>
    <w:p w14:paraId="51C62820">
      <w:pPr>
        <w:pStyle w:val="8"/>
        <w:rPr>
          <w:sz w:val="24"/>
          <w:szCs w:val="24"/>
        </w:rPr>
      </w:pPr>
      <w:r>
        <w:rPr>
          <w:sz w:val="24"/>
          <w:szCs w:val="24"/>
        </w:rPr>
        <w:t>项目地下水环境敏感程度分级表</w:t>
      </w:r>
    </w:p>
    <w:tbl>
      <w:tblPr>
        <w:tblStyle w:val="88"/>
        <w:tblW w:w="901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63"/>
        <w:gridCol w:w="934"/>
        <w:gridCol w:w="5612"/>
        <w:gridCol w:w="1408"/>
      </w:tblGrid>
      <w:tr w14:paraId="516C1F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1063" w:type="dxa"/>
            <w:vAlign w:val="center"/>
          </w:tcPr>
          <w:p w14:paraId="39FE44C5">
            <w:pPr>
              <w:jc w:val="center"/>
              <w:rPr>
                <w:rFonts w:ascii="Times New Roman" w:hAnsi="Times New Roman"/>
                <w:b/>
                <w:bCs/>
                <w:spacing w:val="-2"/>
                <w:kern w:val="0"/>
                <w:szCs w:val="21"/>
              </w:rPr>
            </w:pPr>
            <w:r>
              <w:rPr>
                <w:rFonts w:ascii="Times New Roman" w:hAnsi="Times New Roman"/>
                <w:b/>
                <w:bCs/>
                <w:spacing w:val="-2"/>
                <w:kern w:val="0"/>
                <w:szCs w:val="21"/>
              </w:rPr>
              <w:t>划分依据</w:t>
            </w:r>
          </w:p>
        </w:tc>
        <w:tc>
          <w:tcPr>
            <w:tcW w:w="934" w:type="dxa"/>
            <w:vAlign w:val="center"/>
          </w:tcPr>
          <w:p w14:paraId="6AA10EAF">
            <w:pPr>
              <w:jc w:val="center"/>
              <w:rPr>
                <w:rFonts w:ascii="Times New Roman" w:hAnsi="Times New Roman"/>
                <w:b/>
                <w:bCs/>
                <w:spacing w:val="-2"/>
                <w:kern w:val="0"/>
                <w:szCs w:val="21"/>
              </w:rPr>
            </w:pPr>
            <w:r>
              <w:rPr>
                <w:rFonts w:ascii="Times New Roman" w:hAnsi="Times New Roman"/>
                <w:b/>
                <w:bCs/>
                <w:spacing w:val="-2"/>
                <w:kern w:val="0"/>
                <w:szCs w:val="21"/>
              </w:rPr>
              <w:t>分级</w:t>
            </w:r>
          </w:p>
        </w:tc>
        <w:tc>
          <w:tcPr>
            <w:tcW w:w="5612" w:type="dxa"/>
            <w:vAlign w:val="center"/>
          </w:tcPr>
          <w:p w14:paraId="3FBD369A">
            <w:pPr>
              <w:jc w:val="center"/>
              <w:rPr>
                <w:rFonts w:ascii="Times New Roman" w:hAnsi="Times New Roman"/>
                <w:b/>
                <w:bCs/>
                <w:spacing w:val="-2"/>
                <w:kern w:val="0"/>
                <w:szCs w:val="21"/>
              </w:rPr>
            </w:pPr>
            <w:r>
              <w:rPr>
                <w:rFonts w:ascii="Times New Roman" w:hAnsi="Times New Roman"/>
                <w:b/>
                <w:bCs/>
                <w:spacing w:val="-2"/>
                <w:kern w:val="0"/>
                <w:szCs w:val="21"/>
              </w:rPr>
              <w:t>分级规定</w:t>
            </w:r>
          </w:p>
        </w:tc>
        <w:tc>
          <w:tcPr>
            <w:tcW w:w="1408" w:type="dxa"/>
            <w:vAlign w:val="center"/>
          </w:tcPr>
          <w:p w14:paraId="58E4826B">
            <w:pPr>
              <w:jc w:val="center"/>
              <w:rPr>
                <w:rFonts w:ascii="Times New Roman" w:hAnsi="Times New Roman"/>
                <w:b/>
                <w:bCs/>
                <w:spacing w:val="-2"/>
                <w:kern w:val="0"/>
                <w:szCs w:val="21"/>
              </w:rPr>
            </w:pPr>
            <w:r>
              <w:rPr>
                <w:rFonts w:ascii="Times New Roman" w:hAnsi="Times New Roman"/>
                <w:b/>
                <w:bCs/>
                <w:spacing w:val="-2"/>
                <w:kern w:val="0"/>
                <w:szCs w:val="21"/>
              </w:rPr>
              <w:t>本项目情况</w:t>
            </w:r>
          </w:p>
        </w:tc>
      </w:tr>
      <w:tr w14:paraId="3E032B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56" w:hRule="atLeast"/>
          <w:jc w:val="center"/>
        </w:trPr>
        <w:tc>
          <w:tcPr>
            <w:tcW w:w="1063" w:type="dxa"/>
            <w:vMerge w:val="restart"/>
            <w:tcBorders>
              <w:bottom w:val="single" w:color="auto" w:sz="6" w:space="0"/>
            </w:tcBorders>
            <w:vAlign w:val="center"/>
          </w:tcPr>
          <w:p w14:paraId="3C0EFE5C">
            <w:pPr>
              <w:jc w:val="center"/>
              <w:rPr>
                <w:rFonts w:ascii="Times New Roman" w:hAnsi="Times New Roman"/>
                <w:spacing w:val="-2"/>
                <w:kern w:val="0"/>
                <w:szCs w:val="21"/>
              </w:rPr>
            </w:pPr>
            <w:r>
              <w:rPr>
                <w:rFonts w:ascii="Times New Roman" w:hAnsi="Times New Roman"/>
                <w:spacing w:val="-2"/>
                <w:kern w:val="0"/>
                <w:szCs w:val="21"/>
              </w:rPr>
              <w:t>地下水环境敏感程度分级</w:t>
            </w:r>
          </w:p>
        </w:tc>
        <w:tc>
          <w:tcPr>
            <w:tcW w:w="934" w:type="dxa"/>
            <w:tcBorders>
              <w:bottom w:val="single" w:color="auto" w:sz="6" w:space="0"/>
            </w:tcBorders>
            <w:vAlign w:val="center"/>
          </w:tcPr>
          <w:p w14:paraId="2640D52F">
            <w:pPr>
              <w:jc w:val="center"/>
              <w:rPr>
                <w:rFonts w:ascii="Times New Roman" w:hAnsi="Times New Roman"/>
                <w:spacing w:val="-2"/>
                <w:kern w:val="0"/>
                <w:szCs w:val="21"/>
              </w:rPr>
            </w:pPr>
            <w:r>
              <w:rPr>
                <w:rFonts w:ascii="Times New Roman" w:hAnsi="Times New Roman"/>
                <w:spacing w:val="-2"/>
                <w:kern w:val="0"/>
                <w:szCs w:val="21"/>
              </w:rPr>
              <w:t>敏感</w:t>
            </w:r>
          </w:p>
        </w:tc>
        <w:tc>
          <w:tcPr>
            <w:tcW w:w="5612" w:type="dxa"/>
            <w:tcBorders>
              <w:bottom w:val="single" w:color="auto" w:sz="6" w:space="0"/>
            </w:tcBorders>
            <w:vAlign w:val="center"/>
          </w:tcPr>
          <w:p w14:paraId="203F23AC">
            <w:pPr>
              <w:rPr>
                <w:rFonts w:ascii="Times New Roman" w:hAnsi="Times New Roman"/>
                <w:spacing w:val="-2"/>
                <w:kern w:val="0"/>
                <w:szCs w:val="21"/>
              </w:rPr>
            </w:pPr>
            <w:r>
              <w:rPr>
                <w:rFonts w:ascii="Times New Roman" w:hAnsi="Times New Roman"/>
                <w:spacing w:val="-2"/>
                <w:kern w:val="0"/>
                <w:szCs w:val="21"/>
              </w:rPr>
              <w:t>集中式饮用水源地（包括已建成的在用、备用、应急水源地，在建和规划的水源地）准保护区；除集中式饮用水水源地以外的国家或地方政府设定的与地下水环境相关的其他保护区。如热水、矿泉水、温泉等特殊地下水资源保护区。</w:t>
            </w:r>
          </w:p>
        </w:tc>
        <w:tc>
          <w:tcPr>
            <w:tcW w:w="1408" w:type="dxa"/>
            <w:vMerge w:val="restart"/>
            <w:tcBorders>
              <w:bottom w:val="single" w:color="auto" w:sz="6" w:space="0"/>
            </w:tcBorders>
            <w:vAlign w:val="center"/>
          </w:tcPr>
          <w:p w14:paraId="31484EC8">
            <w:pPr>
              <w:rPr>
                <w:rFonts w:ascii="Times New Roman" w:hAnsi="Times New Roman"/>
                <w:spacing w:val="-2"/>
                <w:kern w:val="0"/>
                <w:szCs w:val="21"/>
              </w:rPr>
            </w:pPr>
            <w:r>
              <w:rPr>
                <w:rFonts w:ascii="Times New Roman" w:hAnsi="Times New Roman"/>
                <w:spacing w:val="-2"/>
                <w:kern w:val="0"/>
                <w:szCs w:val="21"/>
              </w:rPr>
              <w:t>项目</w:t>
            </w:r>
            <w:r>
              <w:rPr>
                <w:rFonts w:hint="eastAsia" w:ascii="Times New Roman" w:hAnsi="Times New Roman"/>
                <w:spacing w:val="-2"/>
                <w:kern w:val="0"/>
                <w:szCs w:val="21"/>
              </w:rPr>
              <w:t>位于广西钦州保税区，</w:t>
            </w:r>
            <w:r>
              <w:rPr>
                <w:rFonts w:ascii="Times New Roman" w:hAnsi="Times New Roman"/>
                <w:spacing w:val="-2"/>
                <w:kern w:val="0"/>
                <w:szCs w:val="21"/>
              </w:rPr>
              <w:t>周边无分散式地下水饮用水源，地下水环境敏感程度为不敏感。</w:t>
            </w:r>
          </w:p>
        </w:tc>
      </w:tr>
      <w:tr w14:paraId="75B86D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91" w:hRule="atLeast"/>
          <w:jc w:val="center"/>
        </w:trPr>
        <w:tc>
          <w:tcPr>
            <w:tcW w:w="1063" w:type="dxa"/>
            <w:vMerge w:val="continue"/>
            <w:vAlign w:val="center"/>
          </w:tcPr>
          <w:p w14:paraId="1AAB3C82">
            <w:pPr>
              <w:jc w:val="center"/>
              <w:rPr>
                <w:rFonts w:ascii="Times New Roman" w:hAnsi="Times New Roman"/>
                <w:spacing w:val="-2"/>
                <w:kern w:val="0"/>
                <w:szCs w:val="21"/>
              </w:rPr>
            </w:pPr>
          </w:p>
        </w:tc>
        <w:tc>
          <w:tcPr>
            <w:tcW w:w="934" w:type="dxa"/>
            <w:vAlign w:val="center"/>
          </w:tcPr>
          <w:p w14:paraId="363D111B">
            <w:pPr>
              <w:jc w:val="center"/>
              <w:rPr>
                <w:rFonts w:ascii="Times New Roman" w:hAnsi="Times New Roman"/>
                <w:spacing w:val="-2"/>
                <w:kern w:val="0"/>
                <w:szCs w:val="21"/>
              </w:rPr>
            </w:pPr>
            <w:r>
              <w:rPr>
                <w:rFonts w:ascii="Times New Roman" w:hAnsi="Times New Roman"/>
                <w:spacing w:val="-2"/>
                <w:kern w:val="0"/>
                <w:szCs w:val="21"/>
              </w:rPr>
              <w:t>较敏感</w:t>
            </w:r>
          </w:p>
        </w:tc>
        <w:tc>
          <w:tcPr>
            <w:tcW w:w="5612" w:type="dxa"/>
            <w:vAlign w:val="center"/>
          </w:tcPr>
          <w:p w14:paraId="5FC61664">
            <w:pPr>
              <w:rPr>
                <w:rFonts w:ascii="Times New Roman" w:hAnsi="Times New Roman"/>
                <w:spacing w:val="-2"/>
                <w:kern w:val="0"/>
                <w:szCs w:val="21"/>
              </w:rPr>
            </w:pPr>
            <w:r>
              <w:rPr>
                <w:rFonts w:ascii="Times New Roman" w:hAnsi="Times New Roman"/>
                <w:spacing w:val="-2"/>
                <w:kern w:val="0"/>
                <w:szCs w:val="21"/>
              </w:rPr>
              <w:t>集中式饮用水源地（包括已建成的在用、备用、应急水源地，在建和规划的水源地）准保护区以外的补给径流区；未划定准保护区的集中水式饮用水水源，其保护区以外的补给径流区；分散式饮用水水源地；特殊地下水资源（如矿泉水、温泉等）保护区以外的分布区等其他未列入上述敏感分级的环境敏感区</w:t>
            </w:r>
            <w:r>
              <w:rPr>
                <w:rFonts w:ascii="Times New Roman" w:hAnsi="Times New Roman"/>
                <w:spacing w:val="-2"/>
                <w:kern w:val="0"/>
                <w:szCs w:val="21"/>
                <w:vertAlign w:val="superscript"/>
              </w:rPr>
              <w:t>a</w:t>
            </w:r>
            <w:r>
              <w:rPr>
                <w:rFonts w:ascii="Times New Roman" w:hAnsi="Times New Roman"/>
                <w:spacing w:val="-2"/>
                <w:kern w:val="0"/>
                <w:szCs w:val="21"/>
              </w:rPr>
              <w:t>。</w:t>
            </w:r>
          </w:p>
        </w:tc>
        <w:tc>
          <w:tcPr>
            <w:tcW w:w="1408" w:type="dxa"/>
            <w:vMerge w:val="continue"/>
            <w:vAlign w:val="center"/>
          </w:tcPr>
          <w:p w14:paraId="4D55F582">
            <w:pPr>
              <w:jc w:val="center"/>
              <w:rPr>
                <w:rFonts w:ascii="Times New Roman" w:hAnsi="Times New Roman"/>
                <w:spacing w:val="-2"/>
                <w:kern w:val="0"/>
                <w:szCs w:val="21"/>
              </w:rPr>
            </w:pPr>
          </w:p>
        </w:tc>
      </w:tr>
      <w:tr w14:paraId="6D9955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1063" w:type="dxa"/>
            <w:vMerge w:val="continue"/>
            <w:vAlign w:val="center"/>
          </w:tcPr>
          <w:p w14:paraId="3F56F2FB">
            <w:pPr>
              <w:jc w:val="center"/>
              <w:rPr>
                <w:rFonts w:ascii="Times New Roman" w:hAnsi="Times New Roman"/>
                <w:spacing w:val="-2"/>
                <w:kern w:val="0"/>
                <w:szCs w:val="21"/>
              </w:rPr>
            </w:pPr>
          </w:p>
        </w:tc>
        <w:tc>
          <w:tcPr>
            <w:tcW w:w="934" w:type="dxa"/>
            <w:vAlign w:val="center"/>
          </w:tcPr>
          <w:p w14:paraId="05B462D3">
            <w:pPr>
              <w:jc w:val="center"/>
              <w:rPr>
                <w:rFonts w:ascii="Times New Roman" w:hAnsi="Times New Roman"/>
                <w:spacing w:val="-2"/>
                <w:kern w:val="0"/>
                <w:szCs w:val="21"/>
              </w:rPr>
            </w:pPr>
            <w:r>
              <w:rPr>
                <w:rFonts w:ascii="Times New Roman" w:hAnsi="Times New Roman"/>
                <w:spacing w:val="-2"/>
                <w:kern w:val="0"/>
                <w:szCs w:val="21"/>
              </w:rPr>
              <w:t>不敏感</w:t>
            </w:r>
          </w:p>
        </w:tc>
        <w:tc>
          <w:tcPr>
            <w:tcW w:w="5612" w:type="dxa"/>
            <w:vAlign w:val="center"/>
          </w:tcPr>
          <w:p w14:paraId="743FF1BF">
            <w:pPr>
              <w:jc w:val="center"/>
              <w:rPr>
                <w:rFonts w:ascii="Times New Roman" w:hAnsi="Times New Roman"/>
                <w:spacing w:val="-2"/>
                <w:kern w:val="0"/>
                <w:szCs w:val="21"/>
              </w:rPr>
            </w:pPr>
            <w:r>
              <w:rPr>
                <w:rFonts w:ascii="Times New Roman" w:hAnsi="Times New Roman"/>
                <w:spacing w:val="-2"/>
                <w:kern w:val="0"/>
                <w:szCs w:val="21"/>
              </w:rPr>
              <w:t>上述地区之外的其他地区。</w:t>
            </w:r>
          </w:p>
        </w:tc>
        <w:tc>
          <w:tcPr>
            <w:tcW w:w="1408" w:type="dxa"/>
            <w:vMerge w:val="continue"/>
            <w:vAlign w:val="center"/>
          </w:tcPr>
          <w:p w14:paraId="542A15F6">
            <w:pPr>
              <w:jc w:val="center"/>
              <w:rPr>
                <w:rFonts w:ascii="Times New Roman" w:hAnsi="Times New Roman"/>
                <w:spacing w:val="-2"/>
                <w:kern w:val="0"/>
                <w:szCs w:val="21"/>
              </w:rPr>
            </w:pPr>
          </w:p>
        </w:tc>
      </w:tr>
    </w:tbl>
    <w:p w14:paraId="2E77FF53">
      <w:pPr>
        <w:rPr>
          <w:rFonts w:ascii="Times New Roman" w:hAnsi="Times New Roman"/>
          <w:b/>
          <w:spacing w:val="-2"/>
          <w:kern w:val="0"/>
          <w:szCs w:val="21"/>
        </w:rPr>
      </w:pPr>
      <w:r>
        <w:rPr>
          <w:rFonts w:ascii="Times New Roman" w:hAnsi="Times New Roman"/>
          <w:b/>
          <w:spacing w:val="-2"/>
          <w:kern w:val="0"/>
          <w:szCs w:val="21"/>
        </w:rPr>
        <w:t>注：a“环境敏感区”是指《建设项目环境影响评价分类管理名录》中所界定的涉及地下水的环境敏感区。</w:t>
      </w:r>
    </w:p>
    <w:p w14:paraId="4C8ADF34">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项目周边无集中式饮用水源保护区以及热水、矿泉水、温泉等特殊地下水资源保护区；项目不涉及集中式饮用水水源准保护区、未划定准保护区的集中式饮用水水源，其他保护区以外的补给径流区</w:t>
      </w:r>
      <w:r>
        <w:rPr>
          <w:rFonts w:hint="eastAsia" w:ascii="Times New Roman" w:hAnsi="Times New Roman"/>
          <w:spacing w:val="-2"/>
          <w:kern w:val="0"/>
          <w:sz w:val="24"/>
          <w:szCs w:val="24"/>
          <w:lang w:eastAsia="zh-CN"/>
        </w:rPr>
        <w:t>，也</w:t>
      </w:r>
      <w:r>
        <w:rPr>
          <w:rFonts w:ascii="Times New Roman" w:hAnsi="Times New Roman"/>
          <w:spacing w:val="-2"/>
          <w:kern w:val="0"/>
          <w:sz w:val="24"/>
          <w:szCs w:val="24"/>
        </w:rPr>
        <w:t>无特殊地下水资源（如矿泉水、温泉等）保护区以外的分布区等其他未列入以上敏感分级的环境敏感区，项目区域周边以物流仓储用地、生产物流混合用地、工业用地为主，周边企业均使用自来水，区域的陆地主要是填海成</w:t>
      </w:r>
      <w:r>
        <w:rPr>
          <w:rFonts w:hint="eastAsia" w:ascii="Times New Roman" w:hAnsi="Times New Roman"/>
          <w:spacing w:val="-2"/>
          <w:kern w:val="0"/>
          <w:sz w:val="24"/>
          <w:szCs w:val="24"/>
          <w:lang w:eastAsia="zh-CN"/>
        </w:rPr>
        <w:t>陆的</w:t>
      </w:r>
      <w:r>
        <w:rPr>
          <w:rFonts w:ascii="Times New Roman" w:hAnsi="Times New Roman"/>
          <w:spacing w:val="-2"/>
          <w:kern w:val="0"/>
          <w:sz w:val="24"/>
          <w:szCs w:val="24"/>
        </w:rPr>
        <w:t>土地，周边无分散水井采水，因此，项目所在地下水环境敏感程度为</w:t>
      </w:r>
      <w:r>
        <w:rPr>
          <w:rFonts w:ascii="宋体" w:hAnsi="宋体"/>
          <w:spacing w:val="-2"/>
          <w:kern w:val="0"/>
          <w:sz w:val="24"/>
          <w:szCs w:val="24"/>
        </w:rPr>
        <w:t>“不敏感”</w:t>
      </w:r>
      <w:r>
        <w:rPr>
          <w:rFonts w:ascii="Times New Roman" w:hAnsi="Times New Roman"/>
          <w:spacing w:val="-2"/>
          <w:kern w:val="0"/>
          <w:sz w:val="24"/>
          <w:szCs w:val="24"/>
        </w:rPr>
        <w:t>。</w:t>
      </w:r>
    </w:p>
    <w:p w14:paraId="06A1B5BF">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建设项目地下水环境影响评价工作等级划分见表1.5-</w:t>
      </w:r>
      <w:r>
        <w:rPr>
          <w:rFonts w:hint="eastAsia" w:ascii="Times New Roman" w:hAnsi="Times New Roman"/>
          <w:spacing w:val="-2"/>
          <w:kern w:val="0"/>
          <w:sz w:val="24"/>
          <w:szCs w:val="24"/>
        </w:rPr>
        <w:t>8</w:t>
      </w:r>
      <w:r>
        <w:rPr>
          <w:rFonts w:ascii="Times New Roman" w:hAnsi="Times New Roman"/>
          <w:spacing w:val="-2"/>
          <w:kern w:val="0"/>
          <w:sz w:val="24"/>
          <w:szCs w:val="24"/>
        </w:rPr>
        <w:t>。</w:t>
      </w:r>
    </w:p>
    <w:p w14:paraId="04C60A6D">
      <w:pPr>
        <w:pStyle w:val="8"/>
        <w:rPr>
          <w:sz w:val="24"/>
          <w:szCs w:val="24"/>
        </w:rPr>
      </w:pPr>
      <w:r>
        <w:rPr>
          <w:sz w:val="24"/>
          <w:szCs w:val="24"/>
        </w:rPr>
        <w:t>评价工作等级分级表</w:t>
      </w:r>
    </w:p>
    <w:tbl>
      <w:tblPr>
        <w:tblStyle w:val="88"/>
        <w:tblW w:w="9057"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321"/>
        <w:gridCol w:w="2245"/>
        <w:gridCol w:w="2245"/>
        <w:gridCol w:w="2246"/>
      </w:tblGrid>
      <w:tr w14:paraId="6CE8F5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70" w:hRule="exact"/>
        </w:trPr>
        <w:tc>
          <w:tcPr>
            <w:tcW w:w="2321" w:type="dxa"/>
            <w:tcBorders>
              <w:tl2br w:val="single" w:color="auto" w:sz="8" w:space="0"/>
            </w:tcBorders>
            <w:vAlign w:val="center"/>
          </w:tcPr>
          <w:p w14:paraId="3C8AA741">
            <w:pPr>
              <w:jc w:val="center"/>
              <w:rPr>
                <w:rFonts w:ascii="Times New Roman" w:hAnsi="Times New Roman"/>
                <w:b/>
                <w:bCs/>
                <w:spacing w:val="-2"/>
                <w:kern w:val="0"/>
                <w:szCs w:val="21"/>
              </w:rPr>
            </w:pPr>
            <w:r>
              <w:rPr>
                <w:rFonts w:ascii="Times New Roman" w:hAnsi="Times New Roman"/>
                <w:b/>
                <w:bCs/>
                <w:spacing w:val="-2"/>
                <w:kern w:val="0"/>
                <w:szCs w:val="21"/>
              </w:rPr>
              <w:t xml:space="preserve">            项目类别</w:t>
            </w:r>
          </w:p>
          <w:p w14:paraId="2E3F302C">
            <w:pPr>
              <w:rPr>
                <w:rFonts w:ascii="Times New Roman" w:hAnsi="Times New Roman"/>
                <w:b/>
                <w:bCs/>
                <w:spacing w:val="-2"/>
                <w:kern w:val="0"/>
                <w:szCs w:val="21"/>
              </w:rPr>
            </w:pPr>
            <w:r>
              <w:rPr>
                <w:rFonts w:ascii="Times New Roman" w:hAnsi="Times New Roman"/>
                <w:b/>
                <w:bCs/>
                <w:spacing w:val="-2"/>
                <w:kern w:val="0"/>
                <w:szCs w:val="21"/>
              </w:rPr>
              <w:t>环境敏感程度</w:t>
            </w:r>
          </w:p>
        </w:tc>
        <w:tc>
          <w:tcPr>
            <w:tcW w:w="2245" w:type="dxa"/>
            <w:vAlign w:val="center"/>
          </w:tcPr>
          <w:p w14:paraId="4927CD5E">
            <w:pPr>
              <w:jc w:val="center"/>
              <w:rPr>
                <w:rFonts w:ascii="Times New Roman" w:hAnsi="Times New Roman"/>
                <w:b/>
                <w:bCs/>
                <w:spacing w:val="-2"/>
                <w:kern w:val="0"/>
                <w:szCs w:val="21"/>
              </w:rPr>
            </w:pPr>
            <w:r>
              <w:rPr>
                <w:rFonts w:ascii="Times New Roman" w:hAnsi="Times New Roman"/>
                <w:b/>
                <w:bCs/>
                <w:spacing w:val="-2"/>
                <w:kern w:val="0"/>
                <w:szCs w:val="21"/>
              </w:rPr>
              <w:t>Ⅰ类项目</w:t>
            </w:r>
          </w:p>
        </w:tc>
        <w:tc>
          <w:tcPr>
            <w:tcW w:w="2245" w:type="dxa"/>
            <w:vAlign w:val="center"/>
          </w:tcPr>
          <w:p w14:paraId="16FE70A2">
            <w:pPr>
              <w:jc w:val="center"/>
              <w:rPr>
                <w:rFonts w:ascii="Times New Roman" w:hAnsi="Times New Roman"/>
                <w:b/>
                <w:bCs/>
                <w:spacing w:val="-2"/>
                <w:kern w:val="0"/>
                <w:szCs w:val="21"/>
              </w:rPr>
            </w:pPr>
            <w:r>
              <w:rPr>
                <w:rFonts w:ascii="Times New Roman" w:hAnsi="Times New Roman"/>
                <w:b/>
                <w:bCs/>
                <w:spacing w:val="-2"/>
                <w:kern w:val="0"/>
                <w:szCs w:val="21"/>
              </w:rPr>
              <w:t>Ⅱ类项目</w:t>
            </w:r>
          </w:p>
        </w:tc>
        <w:tc>
          <w:tcPr>
            <w:tcW w:w="2246" w:type="dxa"/>
            <w:vAlign w:val="center"/>
          </w:tcPr>
          <w:p w14:paraId="3A33B664">
            <w:pPr>
              <w:jc w:val="center"/>
              <w:rPr>
                <w:rFonts w:ascii="Times New Roman" w:hAnsi="Times New Roman"/>
                <w:b/>
                <w:bCs/>
                <w:spacing w:val="-2"/>
                <w:kern w:val="0"/>
                <w:szCs w:val="21"/>
              </w:rPr>
            </w:pPr>
            <w:r>
              <w:rPr>
                <w:rFonts w:ascii="Times New Roman" w:hAnsi="Times New Roman"/>
                <w:b/>
                <w:bCs/>
                <w:spacing w:val="-2"/>
                <w:kern w:val="0"/>
                <w:szCs w:val="21"/>
              </w:rPr>
              <w:t>Ⅲ类项目</w:t>
            </w:r>
          </w:p>
        </w:tc>
      </w:tr>
      <w:tr w14:paraId="318C63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2321" w:type="dxa"/>
            <w:vAlign w:val="center"/>
          </w:tcPr>
          <w:p w14:paraId="4019E539">
            <w:pPr>
              <w:jc w:val="center"/>
              <w:rPr>
                <w:rFonts w:ascii="Times New Roman" w:hAnsi="Times New Roman"/>
                <w:spacing w:val="-2"/>
                <w:kern w:val="0"/>
                <w:szCs w:val="21"/>
              </w:rPr>
            </w:pPr>
            <w:r>
              <w:rPr>
                <w:rFonts w:ascii="Times New Roman" w:hAnsi="Times New Roman"/>
                <w:spacing w:val="-2"/>
                <w:kern w:val="0"/>
                <w:szCs w:val="21"/>
              </w:rPr>
              <w:t>敏感</w:t>
            </w:r>
          </w:p>
        </w:tc>
        <w:tc>
          <w:tcPr>
            <w:tcW w:w="2245" w:type="dxa"/>
            <w:vAlign w:val="center"/>
          </w:tcPr>
          <w:p w14:paraId="3C7BA009">
            <w:pPr>
              <w:jc w:val="center"/>
              <w:rPr>
                <w:rFonts w:ascii="Times New Roman" w:hAnsi="Times New Roman"/>
                <w:spacing w:val="-2"/>
                <w:kern w:val="0"/>
                <w:szCs w:val="21"/>
              </w:rPr>
            </w:pPr>
            <w:r>
              <w:rPr>
                <w:rFonts w:ascii="Times New Roman" w:hAnsi="Times New Roman"/>
                <w:spacing w:val="-2"/>
                <w:kern w:val="0"/>
                <w:szCs w:val="21"/>
              </w:rPr>
              <w:t>一</w:t>
            </w:r>
          </w:p>
        </w:tc>
        <w:tc>
          <w:tcPr>
            <w:tcW w:w="2245" w:type="dxa"/>
            <w:vAlign w:val="center"/>
          </w:tcPr>
          <w:p w14:paraId="6DB75B6C">
            <w:pPr>
              <w:jc w:val="center"/>
              <w:rPr>
                <w:rFonts w:ascii="Times New Roman" w:hAnsi="Times New Roman"/>
                <w:spacing w:val="-2"/>
                <w:kern w:val="0"/>
                <w:szCs w:val="21"/>
              </w:rPr>
            </w:pPr>
            <w:r>
              <w:rPr>
                <w:rFonts w:ascii="Times New Roman" w:hAnsi="Times New Roman"/>
                <w:spacing w:val="-2"/>
                <w:kern w:val="0"/>
                <w:szCs w:val="21"/>
              </w:rPr>
              <w:t>一</w:t>
            </w:r>
          </w:p>
        </w:tc>
        <w:tc>
          <w:tcPr>
            <w:tcW w:w="2246" w:type="dxa"/>
            <w:vAlign w:val="center"/>
          </w:tcPr>
          <w:p w14:paraId="2E3B3C7D">
            <w:pPr>
              <w:jc w:val="center"/>
              <w:rPr>
                <w:rFonts w:ascii="Times New Roman" w:hAnsi="Times New Roman"/>
                <w:spacing w:val="-2"/>
                <w:kern w:val="0"/>
                <w:szCs w:val="21"/>
              </w:rPr>
            </w:pPr>
            <w:r>
              <w:rPr>
                <w:rFonts w:ascii="Times New Roman" w:hAnsi="Times New Roman"/>
                <w:spacing w:val="-2"/>
                <w:kern w:val="0"/>
                <w:szCs w:val="21"/>
              </w:rPr>
              <w:t>二</w:t>
            </w:r>
          </w:p>
        </w:tc>
      </w:tr>
      <w:tr w14:paraId="391849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2321" w:type="dxa"/>
            <w:vAlign w:val="center"/>
          </w:tcPr>
          <w:p w14:paraId="71DD6186">
            <w:pPr>
              <w:jc w:val="center"/>
              <w:rPr>
                <w:rFonts w:ascii="Times New Roman" w:hAnsi="Times New Roman"/>
                <w:spacing w:val="-2"/>
                <w:kern w:val="0"/>
                <w:szCs w:val="21"/>
              </w:rPr>
            </w:pPr>
            <w:r>
              <w:rPr>
                <w:rFonts w:ascii="Times New Roman" w:hAnsi="Times New Roman"/>
                <w:spacing w:val="-2"/>
                <w:kern w:val="0"/>
                <w:szCs w:val="21"/>
              </w:rPr>
              <w:t>较敏感</w:t>
            </w:r>
          </w:p>
        </w:tc>
        <w:tc>
          <w:tcPr>
            <w:tcW w:w="2245" w:type="dxa"/>
            <w:vAlign w:val="center"/>
          </w:tcPr>
          <w:p w14:paraId="54F33868">
            <w:pPr>
              <w:jc w:val="center"/>
              <w:rPr>
                <w:rFonts w:ascii="Times New Roman" w:hAnsi="Times New Roman"/>
                <w:spacing w:val="-2"/>
                <w:kern w:val="0"/>
                <w:szCs w:val="21"/>
              </w:rPr>
            </w:pPr>
            <w:r>
              <w:rPr>
                <w:rFonts w:ascii="Times New Roman" w:hAnsi="Times New Roman"/>
                <w:spacing w:val="-2"/>
                <w:kern w:val="0"/>
                <w:szCs w:val="21"/>
              </w:rPr>
              <w:t>一</w:t>
            </w:r>
          </w:p>
        </w:tc>
        <w:tc>
          <w:tcPr>
            <w:tcW w:w="2245" w:type="dxa"/>
            <w:vAlign w:val="center"/>
          </w:tcPr>
          <w:p w14:paraId="11C7C8D3">
            <w:pPr>
              <w:jc w:val="center"/>
              <w:rPr>
                <w:rFonts w:ascii="Times New Roman" w:hAnsi="Times New Roman" w:eastAsia="黑体"/>
                <w:b/>
                <w:spacing w:val="-2"/>
                <w:kern w:val="0"/>
                <w:szCs w:val="21"/>
              </w:rPr>
            </w:pPr>
            <w:r>
              <w:rPr>
                <w:rFonts w:ascii="Times New Roman" w:hAnsi="Times New Roman" w:eastAsia="黑体"/>
                <w:b/>
                <w:spacing w:val="-2"/>
                <w:kern w:val="0"/>
                <w:szCs w:val="21"/>
              </w:rPr>
              <w:t>二</w:t>
            </w:r>
          </w:p>
        </w:tc>
        <w:tc>
          <w:tcPr>
            <w:tcW w:w="2246" w:type="dxa"/>
            <w:vAlign w:val="center"/>
          </w:tcPr>
          <w:p w14:paraId="386FEE5D">
            <w:pPr>
              <w:jc w:val="center"/>
              <w:rPr>
                <w:rFonts w:ascii="Times New Roman" w:hAnsi="Times New Roman"/>
                <w:spacing w:val="-2"/>
                <w:kern w:val="0"/>
                <w:szCs w:val="21"/>
              </w:rPr>
            </w:pPr>
            <w:r>
              <w:rPr>
                <w:rFonts w:ascii="Times New Roman" w:hAnsi="Times New Roman"/>
                <w:spacing w:val="-2"/>
                <w:kern w:val="0"/>
                <w:szCs w:val="21"/>
              </w:rPr>
              <w:t>三</w:t>
            </w:r>
          </w:p>
        </w:tc>
      </w:tr>
      <w:tr w14:paraId="5BAED7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2321" w:type="dxa"/>
            <w:vAlign w:val="center"/>
          </w:tcPr>
          <w:p w14:paraId="73DA5CF2">
            <w:pPr>
              <w:jc w:val="center"/>
              <w:rPr>
                <w:rFonts w:ascii="Times New Roman" w:hAnsi="Times New Roman"/>
                <w:spacing w:val="-2"/>
                <w:kern w:val="0"/>
                <w:szCs w:val="21"/>
              </w:rPr>
            </w:pPr>
            <w:r>
              <w:rPr>
                <w:rFonts w:ascii="Times New Roman" w:hAnsi="Times New Roman"/>
                <w:spacing w:val="-2"/>
                <w:kern w:val="0"/>
                <w:szCs w:val="21"/>
              </w:rPr>
              <w:t>不敏感</w:t>
            </w:r>
          </w:p>
        </w:tc>
        <w:tc>
          <w:tcPr>
            <w:tcW w:w="2245" w:type="dxa"/>
            <w:vAlign w:val="center"/>
          </w:tcPr>
          <w:p w14:paraId="1B2CB66A">
            <w:pPr>
              <w:jc w:val="center"/>
              <w:rPr>
                <w:rFonts w:ascii="Times New Roman" w:hAnsi="Times New Roman"/>
                <w:spacing w:val="-2"/>
                <w:kern w:val="0"/>
                <w:szCs w:val="21"/>
              </w:rPr>
            </w:pPr>
            <w:r>
              <w:rPr>
                <w:rFonts w:ascii="Times New Roman" w:hAnsi="Times New Roman"/>
                <w:spacing w:val="-2"/>
                <w:kern w:val="0"/>
                <w:szCs w:val="21"/>
              </w:rPr>
              <w:t>二</w:t>
            </w:r>
          </w:p>
        </w:tc>
        <w:tc>
          <w:tcPr>
            <w:tcW w:w="2245" w:type="dxa"/>
            <w:vAlign w:val="center"/>
          </w:tcPr>
          <w:p w14:paraId="1D5EB5C9">
            <w:pPr>
              <w:jc w:val="center"/>
              <w:rPr>
                <w:rFonts w:ascii="Times New Roman" w:hAnsi="Times New Roman"/>
                <w:spacing w:val="-2"/>
                <w:kern w:val="0"/>
                <w:szCs w:val="21"/>
              </w:rPr>
            </w:pPr>
            <w:r>
              <w:rPr>
                <w:rFonts w:ascii="Times New Roman" w:hAnsi="Times New Roman"/>
                <w:spacing w:val="-2"/>
                <w:kern w:val="0"/>
                <w:szCs w:val="21"/>
              </w:rPr>
              <w:t>三</w:t>
            </w:r>
          </w:p>
        </w:tc>
        <w:tc>
          <w:tcPr>
            <w:tcW w:w="2246" w:type="dxa"/>
            <w:vAlign w:val="center"/>
          </w:tcPr>
          <w:p w14:paraId="5570991D">
            <w:pPr>
              <w:jc w:val="center"/>
              <w:rPr>
                <w:rFonts w:ascii="Times New Roman" w:hAnsi="Times New Roman"/>
                <w:spacing w:val="-2"/>
                <w:kern w:val="0"/>
                <w:szCs w:val="21"/>
              </w:rPr>
            </w:pPr>
            <w:r>
              <w:rPr>
                <w:rFonts w:ascii="Times New Roman" w:hAnsi="Times New Roman"/>
                <w:spacing w:val="-2"/>
                <w:kern w:val="0"/>
                <w:szCs w:val="21"/>
              </w:rPr>
              <w:t>三</w:t>
            </w:r>
          </w:p>
        </w:tc>
      </w:tr>
    </w:tbl>
    <w:p w14:paraId="5D7F2463">
      <w:pPr>
        <w:spacing w:line="360" w:lineRule="auto"/>
        <w:ind w:firstLine="472" w:firstLineChars="200"/>
        <w:rPr>
          <w:rFonts w:ascii="Times New Roman" w:hAnsi="Times New Roman"/>
          <w:spacing w:val="-2"/>
          <w:kern w:val="0"/>
          <w:sz w:val="24"/>
          <w:szCs w:val="24"/>
        </w:rPr>
      </w:pPr>
    </w:p>
    <w:p w14:paraId="71A3D449">
      <w:pPr>
        <w:spacing w:before="120" w:beforeLines="50"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由以上分析可知，本项目地下水环境影响评价项目类别为Ⅱ类，项目所在地下水环境敏感程度为</w:t>
      </w:r>
      <w:r>
        <w:rPr>
          <w:rFonts w:ascii="宋体" w:hAnsi="宋体"/>
          <w:spacing w:val="-2"/>
          <w:kern w:val="0"/>
          <w:sz w:val="24"/>
          <w:szCs w:val="24"/>
        </w:rPr>
        <w:t>“不敏感”</w:t>
      </w:r>
      <w:r>
        <w:rPr>
          <w:rFonts w:ascii="Times New Roman" w:hAnsi="Times New Roman"/>
          <w:spacing w:val="-2"/>
          <w:kern w:val="0"/>
          <w:sz w:val="24"/>
          <w:szCs w:val="24"/>
        </w:rPr>
        <w:t>，本项目地下水环境影响评价工作等级为三级。</w:t>
      </w:r>
    </w:p>
    <w:p w14:paraId="3513EB0F">
      <w:pPr>
        <w:pStyle w:val="7"/>
      </w:pPr>
      <w:r>
        <w:t>声环境评价等级</w:t>
      </w:r>
    </w:p>
    <w:p w14:paraId="582D5FB6">
      <w:pPr>
        <w:spacing w:line="360" w:lineRule="auto"/>
        <w:ind w:firstLine="480"/>
        <w:rPr>
          <w:rFonts w:ascii="Times New Roman" w:hAnsi="Times New Roman"/>
          <w:spacing w:val="-2"/>
          <w:kern w:val="0"/>
          <w:sz w:val="24"/>
          <w:szCs w:val="24"/>
        </w:rPr>
      </w:pPr>
      <w:r>
        <w:rPr>
          <w:rFonts w:ascii="Times New Roman" w:hAnsi="Times New Roman"/>
          <w:spacing w:val="-2"/>
          <w:kern w:val="0"/>
          <w:sz w:val="24"/>
          <w:szCs w:val="24"/>
        </w:rPr>
        <w:t>声环境影响评价工作等级划分依据包括：建设项目所在区域的声环境功能区类别、建设项目建设前后所在区域的声环境质量变化程度和受建设项目影响人口的数量，分级判据见表1.5-</w:t>
      </w:r>
      <w:r>
        <w:rPr>
          <w:rFonts w:hint="eastAsia" w:ascii="Times New Roman" w:hAnsi="Times New Roman"/>
          <w:spacing w:val="-2"/>
          <w:kern w:val="0"/>
          <w:sz w:val="24"/>
          <w:szCs w:val="24"/>
        </w:rPr>
        <w:t>9</w:t>
      </w:r>
      <w:r>
        <w:rPr>
          <w:rFonts w:ascii="Times New Roman" w:hAnsi="Times New Roman"/>
          <w:spacing w:val="-2"/>
          <w:kern w:val="0"/>
          <w:sz w:val="24"/>
          <w:szCs w:val="24"/>
        </w:rPr>
        <w:t>。</w:t>
      </w:r>
    </w:p>
    <w:p w14:paraId="5FBDAAF9">
      <w:pPr>
        <w:pStyle w:val="8"/>
        <w:rPr>
          <w:sz w:val="24"/>
          <w:szCs w:val="24"/>
        </w:rPr>
      </w:pPr>
      <w:r>
        <w:rPr>
          <w:sz w:val="24"/>
          <w:szCs w:val="24"/>
        </w:rPr>
        <w:t>项目声环境评价工作等级划分判据</w:t>
      </w:r>
    </w:p>
    <w:tbl>
      <w:tblPr>
        <w:tblStyle w:val="88"/>
        <w:tblW w:w="928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9"/>
        <w:gridCol w:w="5741"/>
        <w:gridCol w:w="2686"/>
      </w:tblGrid>
      <w:tr w14:paraId="2D10F0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859" w:type="dxa"/>
            <w:vAlign w:val="center"/>
          </w:tcPr>
          <w:p w14:paraId="0A54F4D7">
            <w:pPr>
              <w:jc w:val="center"/>
              <w:rPr>
                <w:rFonts w:ascii="Times New Roman" w:hAnsi="Times New Roman"/>
                <w:b/>
                <w:bCs/>
                <w:spacing w:val="-2"/>
                <w:kern w:val="0"/>
                <w:szCs w:val="21"/>
              </w:rPr>
            </w:pPr>
            <w:r>
              <w:rPr>
                <w:rFonts w:ascii="Times New Roman" w:hAnsi="Times New Roman"/>
                <w:b/>
                <w:bCs/>
                <w:spacing w:val="-2"/>
                <w:kern w:val="0"/>
                <w:szCs w:val="21"/>
              </w:rPr>
              <w:t>分级</w:t>
            </w:r>
          </w:p>
        </w:tc>
        <w:tc>
          <w:tcPr>
            <w:tcW w:w="5741" w:type="dxa"/>
            <w:vAlign w:val="center"/>
          </w:tcPr>
          <w:p w14:paraId="7841A289">
            <w:pPr>
              <w:jc w:val="center"/>
              <w:rPr>
                <w:rFonts w:ascii="Times New Roman" w:hAnsi="Times New Roman"/>
                <w:b/>
                <w:bCs/>
                <w:spacing w:val="-2"/>
                <w:kern w:val="0"/>
                <w:szCs w:val="21"/>
              </w:rPr>
            </w:pPr>
            <w:r>
              <w:rPr>
                <w:rFonts w:ascii="Times New Roman" w:hAnsi="Times New Roman"/>
                <w:b/>
                <w:bCs/>
                <w:spacing w:val="-2"/>
                <w:kern w:val="0"/>
                <w:szCs w:val="21"/>
              </w:rPr>
              <w:t>分级规定</w:t>
            </w:r>
          </w:p>
        </w:tc>
        <w:tc>
          <w:tcPr>
            <w:tcW w:w="2686" w:type="dxa"/>
            <w:vAlign w:val="center"/>
          </w:tcPr>
          <w:p w14:paraId="09055816">
            <w:pPr>
              <w:jc w:val="center"/>
              <w:rPr>
                <w:rFonts w:ascii="Times New Roman" w:hAnsi="Times New Roman"/>
                <w:b/>
                <w:bCs/>
                <w:spacing w:val="-2"/>
                <w:kern w:val="0"/>
                <w:szCs w:val="21"/>
              </w:rPr>
            </w:pPr>
            <w:r>
              <w:rPr>
                <w:rFonts w:ascii="Times New Roman" w:hAnsi="Times New Roman"/>
                <w:b/>
                <w:bCs/>
                <w:spacing w:val="-2"/>
                <w:kern w:val="0"/>
                <w:szCs w:val="21"/>
              </w:rPr>
              <w:t>本项目情况</w:t>
            </w:r>
          </w:p>
        </w:tc>
      </w:tr>
      <w:tr w14:paraId="2D71BC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53" w:hRule="atLeast"/>
        </w:trPr>
        <w:tc>
          <w:tcPr>
            <w:tcW w:w="859" w:type="dxa"/>
            <w:vAlign w:val="center"/>
          </w:tcPr>
          <w:p w14:paraId="7DDE94AD">
            <w:pPr>
              <w:jc w:val="center"/>
              <w:rPr>
                <w:rFonts w:ascii="Times New Roman" w:hAnsi="Times New Roman"/>
                <w:spacing w:val="-2"/>
                <w:kern w:val="0"/>
                <w:szCs w:val="21"/>
              </w:rPr>
            </w:pPr>
            <w:r>
              <w:rPr>
                <w:rFonts w:ascii="Times New Roman" w:hAnsi="Times New Roman"/>
                <w:spacing w:val="-2"/>
                <w:kern w:val="0"/>
                <w:szCs w:val="21"/>
              </w:rPr>
              <w:t>一级</w:t>
            </w:r>
          </w:p>
        </w:tc>
        <w:tc>
          <w:tcPr>
            <w:tcW w:w="5741" w:type="dxa"/>
            <w:vAlign w:val="center"/>
          </w:tcPr>
          <w:p w14:paraId="5EFABC96">
            <w:pPr>
              <w:rPr>
                <w:rFonts w:ascii="Times New Roman" w:hAnsi="Times New Roman"/>
                <w:spacing w:val="-2"/>
                <w:kern w:val="0"/>
                <w:szCs w:val="21"/>
              </w:rPr>
            </w:pPr>
            <w:r>
              <w:rPr>
                <w:rFonts w:ascii="Times New Roman" w:hAnsi="Times New Roman"/>
                <w:spacing w:val="-2"/>
                <w:kern w:val="0"/>
                <w:szCs w:val="21"/>
              </w:rPr>
              <w:t>声环境功能区为GB3096规定的0类声环境功能区域，以及对噪声有特别限制要求的保护区等敏感目标，或建设项目建设前后评价范围内敏感目标噪声等级增高量达5dB(A)以上（不含5dB(A)），或受影响人口数量显著增多</w:t>
            </w:r>
          </w:p>
        </w:tc>
        <w:tc>
          <w:tcPr>
            <w:tcW w:w="2686" w:type="dxa"/>
            <w:vMerge w:val="restart"/>
            <w:vAlign w:val="center"/>
          </w:tcPr>
          <w:p w14:paraId="5421BD8D">
            <w:pPr>
              <w:rPr>
                <w:rFonts w:ascii="Times New Roman" w:hAnsi="Times New Roman"/>
                <w:spacing w:val="-2"/>
                <w:kern w:val="0"/>
                <w:szCs w:val="21"/>
              </w:rPr>
            </w:pPr>
            <w:r>
              <w:rPr>
                <w:rFonts w:ascii="Times New Roman" w:hAnsi="Times New Roman"/>
                <w:spacing w:val="-2"/>
                <w:kern w:val="0"/>
                <w:szCs w:val="21"/>
              </w:rPr>
              <w:t>项目属于3类地区，</w:t>
            </w:r>
            <w:r>
              <w:rPr>
                <w:rFonts w:hint="eastAsia" w:ascii="Times New Roman" w:hAnsi="Times New Roman"/>
                <w:spacing w:val="-2"/>
                <w:kern w:val="0"/>
                <w:szCs w:val="21"/>
              </w:rPr>
              <w:t>声环境评价范围内无保护目标，</w:t>
            </w:r>
            <w:r>
              <w:rPr>
                <w:rFonts w:ascii="Times New Roman" w:hAnsi="Times New Roman"/>
                <w:spacing w:val="-2"/>
                <w:kern w:val="0"/>
                <w:szCs w:val="21"/>
              </w:rPr>
              <w:t>项目建成后受本项目噪声影响人口数量变化不大。</w:t>
            </w:r>
          </w:p>
        </w:tc>
      </w:tr>
      <w:tr w14:paraId="4CD17C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87" w:hRule="atLeast"/>
        </w:trPr>
        <w:tc>
          <w:tcPr>
            <w:tcW w:w="859" w:type="dxa"/>
            <w:vAlign w:val="center"/>
          </w:tcPr>
          <w:p w14:paraId="7F4A81F8">
            <w:pPr>
              <w:jc w:val="center"/>
              <w:rPr>
                <w:rFonts w:ascii="Times New Roman" w:hAnsi="Times New Roman"/>
                <w:spacing w:val="-2"/>
                <w:kern w:val="0"/>
                <w:szCs w:val="21"/>
              </w:rPr>
            </w:pPr>
            <w:r>
              <w:rPr>
                <w:rFonts w:ascii="Times New Roman" w:hAnsi="Times New Roman"/>
                <w:spacing w:val="-2"/>
                <w:kern w:val="0"/>
                <w:szCs w:val="21"/>
              </w:rPr>
              <w:t>二级</w:t>
            </w:r>
          </w:p>
        </w:tc>
        <w:tc>
          <w:tcPr>
            <w:tcW w:w="5741" w:type="dxa"/>
            <w:vAlign w:val="center"/>
          </w:tcPr>
          <w:p w14:paraId="6868F456">
            <w:pPr>
              <w:rPr>
                <w:rFonts w:ascii="Times New Roman" w:hAnsi="Times New Roman"/>
                <w:spacing w:val="-2"/>
                <w:kern w:val="0"/>
                <w:szCs w:val="21"/>
              </w:rPr>
            </w:pPr>
            <w:r>
              <w:rPr>
                <w:rFonts w:ascii="Times New Roman" w:hAnsi="Times New Roman"/>
                <w:spacing w:val="-2"/>
                <w:kern w:val="0"/>
                <w:szCs w:val="21"/>
              </w:rPr>
              <w:t>声环境功能区为GB3096规定的1类、2类地区，或建设项目建设前后评价范围内敏感目标噪声等级增高量达3dB(A)～5dB(A)（含5dB(A)），或受影响人口数量增加较多</w:t>
            </w:r>
          </w:p>
        </w:tc>
        <w:tc>
          <w:tcPr>
            <w:tcW w:w="2686" w:type="dxa"/>
            <w:vMerge w:val="continue"/>
            <w:vAlign w:val="center"/>
          </w:tcPr>
          <w:p w14:paraId="1D728127">
            <w:pPr>
              <w:rPr>
                <w:rFonts w:ascii="Times New Roman" w:hAnsi="Times New Roman"/>
                <w:spacing w:val="-2"/>
                <w:kern w:val="0"/>
                <w:szCs w:val="21"/>
              </w:rPr>
            </w:pPr>
          </w:p>
        </w:tc>
      </w:tr>
      <w:tr w14:paraId="7BC91D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88" w:hRule="atLeast"/>
        </w:trPr>
        <w:tc>
          <w:tcPr>
            <w:tcW w:w="859" w:type="dxa"/>
            <w:vAlign w:val="center"/>
          </w:tcPr>
          <w:p w14:paraId="1BB35092">
            <w:pPr>
              <w:jc w:val="center"/>
              <w:rPr>
                <w:rFonts w:ascii="Times New Roman" w:hAnsi="Times New Roman"/>
                <w:spacing w:val="-2"/>
                <w:kern w:val="0"/>
                <w:szCs w:val="21"/>
              </w:rPr>
            </w:pPr>
            <w:r>
              <w:rPr>
                <w:rFonts w:ascii="Times New Roman" w:hAnsi="Times New Roman"/>
                <w:spacing w:val="-2"/>
                <w:kern w:val="0"/>
                <w:szCs w:val="21"/>
              </w:rPr>
              <w:t>三级</w:t>
            </w:r>
          </w:p>
        </w:tc>
        <w:tc>
          <w:tcPr>
            <w:tcW w:w="5741" w:type="dxa"/>
            <w:vAlign w:val="center"/>
          </w:tcPr>
          <w:p w14:paraId="49269FCB">
            <w:pPr>
              <w:rPr>
                <w:rFonts w:ascii="Times New Roman" w:hAnsi="Times New Roman"/>
                <w:spacing w:val="-2"/>
                <w:kern w:val="0"/>
                <w:szCs w:val="21"/>
              </w:rPr>
            </w:pPr>
            <w:r>
              <w:rPr>
                <w:rFonts w:ascii="Times New Roman" w:hAnsi="Times New Roman"/>
                <w:spacing w:val="-2"/>
                <w:kern w:val="0"/>
                <w:szCs w:val="21"/>
              </w:rPr>
              <w:t>声环境功能区为GB3096规定的3类、4类地区，或建设项目建设前后评价范围内敏感目标噪声等级增高量在3dB(A</w:t>
            </w:r>
            <w:r>
              <w:rPr>
                <w:rFonts w:hint="eastAsia" w:ascii="Times New Roman" w:hAnsi="Times New Roman"/>
                <w:spacing w:val="-2"/>
                <w:kern w:val="0"/>
                <w:szCs w:val="21"/>
                <w:lang w:eastAsia="zh-CN"/>
              </w:rPr>
              <w:t>）</w:t>
            </w:r>
            <w:r>
              <w:rPr>
                <w:rFonts w:ascii="Times New Roman" w:hAnsi="Times New Roman"/>
                <w:spacing w:val="-2"/>
                <w:kern w:val="0"/>
                <w:szCs w:val="21"/>
              </w:rPr>
              <w:t>以下（不含3dB(A)），且受影响人口数量变化不大</w:t>
            </w:r>
          </w:p>
        </w:tc>
        <w:tc>
          <w:tcPr>
            <w:tcW w:w="2686" w:type="dxa"/>
            <w:vMerge w:val="continue"/>
            <w:vAlign w:val="center"/>
          </w:tcPr>
          <w:p w14:paraId="69CD15C5">
            <w:pPr>
              <w:rPr>
                <w:rFonts w:ascii="Times New Roman" w:hAnsi="Times New Roman"/>
                <w:spacing w:val="-2"/>
                <w:kern w:val="0"/>
                <w:szCs w:val="21"/>
              </w:rPr>
            </w:pPr>
          </w:p>
        </w:tc>
      </w:tr>
    </w:tbl>
    <w:p w14:paraId="6D79D567">
      <w:pPr>
        <w:spacing w:line="360" w:lineRule="auto"/>
        <w:ind w:firstLine="472" w:firstLineChars="200"/>
        <w:rPr>
          <w:rFonts w:ascii="Times New Roman" w:hAnsi="Times New Roman"/>
          <w:spacing w:val="-2"/>
          <w:kern w:val="0"/>
          <w:sz w:val="24"/>
          <w:szCs w:val="24"/>
        </w:rPr>
      </w:pPr>
    </w:p>
    <w:p w14:paraId="75FCBA4A">
      <w:pPr>
        <w:spacing w:before="120" w:beforeLines="50" w:line="360" w:lineRule="auto"/>
        <w:ind w:firstLine="482"/>
        <w:rPr>
          <w:rFonts w:ascii="Times New Roman" w:hAnsi="Times New Roman"/>
          <w:spacing w:val="-2"/>
          <w:kern w:val="0"/>
          <w:sz w:val="24"/>
          <w:szCs w:val="24"/>
        </w:rPr>
      </w:pPr>
      <w:r>
        <w:rPr>
          <w:rFonts w:ascii="Times New Roman" w:hAnsi="Times New Roman"/>
          <w:spacing w:val="-2"/>
          <w:kern w:val="0"/>
          <w:sz w:val="24"/>
          <w:szCs w:val="24"/>
        </w:rPr>
        <w:t>本项目所在功能区属于（GB3096-2008）规定的3类地区 ，</w:t>
      </w:r>
      <w:r>
        <w:rPr>
          <w:rFonts w:hint="eastAsia" w:ascii="Times New Roman" w:hAnsi="Times New Roman"/>
          <w:spacing w:val="-2"/>
          <w:kern w:val="0"/>
          <w:sz w:val="24"/>
          <w:szCs w:val="24"/>
        </w:rPr>
        <w:t>项目声环境评价范围内无保护目标，</w:t>
      </w:r>
      <w:r>
        <w:rPr>
          <w:rFonts w:ascii="Times New Roman" w:hAnsi="Times New Roman"/>
          <w:spacing w:val="-2"/>
          <w:kern w:val="0"/>
          <w:sz w:val="24"/>
          <w:szCs w:val="24"/>
        </w:rPr>
        <w:t>项目建成后受噪声影响人口数基本不变。因此，本项目声环境影响评价工作等级确定为</w:t>
      </w:r>
      <w:r>
        <w:rPr>
          <w:rFonts w:hint="eastAsia" w:ascii="Times New Roman" w:hAnsi="Times New Roman"/>
          <w:spacing w:val="-2"/>
          <w:kern w:val="0"/>
          <w:sz w:val="24"/>
          <w:szCs w:val="24"/>
        </w:rPr>
        <w:t>三</w:t>
      </w:r>
      <w:r>
        <w:rPr>
          <w:rFonts w:ascii="Times New Roman" w:hAnsi="Times New Roman"/>
          <w:spacing w:val="-2"/>
          <w:kern w:val="0"/>
          <w:sz w:val="24"/>
          <w:szCs w:val="24"/>
        </w:rPr>
        <w:t>级。</w:t>
      </w:r>
    </w:p>
    <w:p w14:paraId="7B839C0B">
      <w:pPr>
        <w:pStyle w:val="7"/>
      </w:pPr>
      <w:r>
        <w:t>生态影响评价等级</w:t>
      </w:r>
    </w:p>
    <w:p w14:paraId="0306593F">
      <w:pPr>
        <w:spacing w:line="360" w:lineRule="auto"/>
        <w:ind w:firstLine="480"/>
        <w:rPr>
          <w:rFonts w:ascii="Times New Roman" w:hAnsi="Times New Roman"/>
          <w:spacing w:val="-2"/>
          <w:kern w:val="0"/>
          <w:sz w:val="24"/>
          <w:szCs w:val="24"/>
        </w:rPr>
      </w:pPr>
      <w:r>
        <w:rPr>
          <w:rFonts w:ascii="Times New Roman" w:hAnsi="Times New Roman"/>
          <w:spacing w:val="-2"/>
          <w:kern w:val="0"/>
          <w:sz w:val="24"/>
          <w:szCs w:val="24"/>
        </w:rPr>
        <w:t>项目属于污染影响类建设项目，位于已批准规划环评的产业园区（广西钦州保税港区）内且符合规划环评要求，占地及生态影响范围内未涉及国家公园、自然保护区、世界自然遗产、重要生境、自然公园、生态保护红线；天然林、公益林、湿地等生态敏感区。根据《环境影响评价技术导则</w:t>
      </w:r>
      <w:r>
        <w:rPr>
          <w:rFonts w:ascii="Times New Roman" w:hAnsi="Times New Roman"/>
          <w:spacing w:val="-2"/>
          <w:kern w:val="0"/>
          <w:sz w:val="24"/>
          <w:szCs w:val="24"/>
        </w:rPr>
        <w:tab/>
      </w:r>
      <w:r>
        <w:rPr>
          <w:rFonts w:ascii="Times New Roman" w:hAnsi="Times New Roman"/>
          <w:spacing w:val="-2"/>
          <w:kern w:val="0"/>
          <w:sz w:val="24"/>
          <w:szCs w:val="24"/>
        </w:rPr>
        <w:t>生态影响》（HJ19-2022），可不确定评价等级，直接进行生态影响简单分析。</w:t>
      </w:r>
    </w:p>
    <w:p w14:paraId="259A741F">
      <w:pPr>
        <w:keepNext/>
        <w:keepLines/>
        <w:spacing w:line="360" w:lineRule="auto"/>
        <w:outlineLvl w:val="3"/>
        <w:rPr>
          <w:rFonts w:ascii="Times New Roman" w:hAnsi="Times New Roman" w:eastAsia="黑体"/>
          <w:bCs/>
          <w:spacing w:val="-2"/>
          <w:kern w:val="0"/>
          <w:sz w:val="24"/>
          <w:szCs w:val="24"/>
        </w:rPr>
      </w:pPr>
      <w:r>
        <w:rPr>
          <w:rFonts w:ascii="Times New Roman" w:hAnsi="Times New Roman" w:eastAsia="黑体"/>
          <w:bCs/>
          <w:spacing w:val="-2"/>
          <w:kern w:val="0"/>
          <w:sz w:val="24"/>
          <w:szCs w:val="24"/>
        </w:rPr>
        <w:t>1.5.1.7 土壤环境评价等级</w:t>
      </w:r>
    </w:p>
    <w:p w14:paraId="31657F83">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本项目为</w:t>
      </w:r>
      <w:r>
        <w:rPr>
          <w:rFonts w:hint="eastAsia" w:ascii="Times New Roman" w:hAnsi="Times New Roman"/>
          <w:spacing w:val="-2"/>
          <w:kern w:val="0"/>
          <w:sz w:val="24"/>
          <w:szCs w:val="24"/>
          <w:u w:val="single"/>
        </w:rPr>
        <w:t>锆钛矿石加工分选</w:t>
      </w:r>
      <w:r>
        <w:rPr>
          <w:rFonts w:ascii="Times New Roman" w:hAnsi="Times New Roman"/>
          <w:spacing w:val="-2"/>
          <w:kern w:val="0"/>
          <w:sz w:val="24"/>
          <w:szCs w:val="24"/>
        </w:rPr>
        <w:t>项目，参照《环境影响评价技术导则 土壤环境（试行）》（HJ964-2018）附录A，项目不涉及金属矿的开采，项目为磁选选矿项目，属于</w:t>
      </w:r>
      <w:r>
        <w:rPr>
          <w:rFonts w:ascii="宋体" w:hAnsi="宋体"/>
          <w:spacing w:val="-2"/>
          <w:kern w:val="0"/>
          <w:sz w:val="24"/>
          <w:szCs w:val="24"/>
        </w:rPr>
        <w:t>“采矿业”类别中的“其他”，土</w:t>
      </w:r>
      <w:r>
        <w:rPr>
          <w:rFonts w:ascii="Times New Roman" w:hAnsi="Times New Roman"/>
          <w:spacing w:val="-2"/>
          <w:kern w:val="0"/>
          <w:sz w:val="24"/>
          <w:szCs w:val="24"/>
        </w:rPr>
        <w:t>壤环境影响评价项目类别为Ⅲ类。</w:t>
      </w:r>
    </w:p>
    <w:p w14:paraId="1DD9A28D">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根据建设项目占地规模分为大型（≥50hm</w:t>
      </w:r>
      <w:r>
        <w:rPr>
          <w:rFonts w:ascii="Times New Roman" w:hAnsi="Times New Roman"/>
          <w:spacing w:val="-2"/>
          <w:kern w:val="0"/>
          <w:sz w:val="24"/>
          <w:szCs w:val="24"/>
          <w:vertAlign w:val="superscript"/>
        </w:rPr>
        <w:t>2</w:t>
      </w:r>
      <w:r>
        <w:rPr>
          <w:rFonts w:ascii="Times New Roman" w:hAnsi="Times New Roman"/>
          <w:spacing w:val="-2"/>
          <w:kern w:val="0"/>
          <w:sz w:val="24"/>
          <w:szCs w:val="24"/>
        </w:rPr>
        <w:t>）、中型（5～50hm</w:t>
      </w:r>
      <w:r>
        <w:rPr>
          <w:rFonts w:ascii="Times New Roman" w:hAnsi="Times New Roman"/>
          <w:spacing w:val="-2"/>
          <w:kern w:val="0"/>
          <w:sz w:val="24"/>
          <w:szCs w:val="24"/>
          <w:vertAlign w:val="superscript"/>
        </w:rPr>
        <w:t>2</w:t>
      </w:r>
      <w:r>
        <w:rPr>
          <w:rFonts w:ascii="Times New Roman" w:hAnsi="Times New Roman"/>
          <w:spacing w:val="-2"/>
          <w:kern w:val="0"/>
          <w:sz w:val="24"/>
          <w:szCs w:val="24"/>
        </w:rPr>
        <w:t>）、小型（≤5hm</w:t>
      </w:r>
      <w:r>
        <w:rPr>
          <w:rFonts w:ascii="Times New Roman" w:hAnsi="Times New Roman"/>
          <w:spacing w:val="-2"/>
          <w:kern w:val="0"/>
          <w:sz w:val="24"/>
          <w:szCs w:val="24"/>
          <w:vertAlign w:val="superscript"/>
        </w:rPr>
        <w:t>2</w:t>
      </w:r>
      <w:r>
        <w:rPr>
          <w:rFonts w:ascii="Times New Roman" w:hAnsi="Times New Roman"/>
          <w:spacing w:val="-2"/>
          <w:kern w:val="0"/>
          <w:sz w:val="24"/>
          <w:szCs w:val="24"/>
        </w:rPr>
        <w:t>），项目占地主要为厂区占地，占地面积0.25hm</w:t>
      </w:r>
      <w:r>
        <w:rPr>
          <w:rFonts w:ascii="Times New Roman" w:hAnsi="Times New Roman"/>
          <w:spacing w:val="-2"/>
          <w:kern w:val="0"/>
          <w:sz w:val="24"/>
          <w:szCs w:val="24"/>
          <w:vertAlign w:val="superscript"/>
        </w:rPr>
        <w:t>2</w:t>
      </w:r>
      <w:r>
        <w:rPr>
          <w:rFonts w:ascii="Times New Roman" w:hAnsi="Times New Roman"/>
          <w:spacing w:val="-2"/>
          <w:kern w:val="0"/>
          <w:sz w:val="24"/>
          <w:szCs w:val="24"/>
        </w:rPr>
        <w:t>，小于5hm</w:t>
      </w:r>
      <w:r>
        <w:rPr>
          <w:rFonts w:ascii="Times New Roman" w:hAnsi="Times New Roman"/>
          <w:spacing w:val="-2"/>
          <w:kern w:val="0"/>
          <w:sz w:val="24"/>
          <w:szCs w:val="24"/>
          <w:vertAlign w:val="superscript"/>
        </w:rPr>
        <w:t>2</w:t>
      </w:r>
      <w:r>
        <w:rPr>
          <w:rFonts w:ascii="Times New Roman" w:hAnsi="Times New Roman"/>
          <w:spacing w:val="-2"/>
          <w:kern w:val="0"/>
          <w:sz w:val="24"/>
          <w:szCs w:val="24"/>
        </w:rPr>
        <w:t>，则项目占地规模为小型。</w:t>
      </w:r>
    </w:p>
    <w:p w14:paraId="413DCC85">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建设项目所在地周边的土壤环境敏感程度分为敏感、较敏感和不敏感，判别依据见表1.5-</w:t>
      </w:r>
      <w:r>
        <w:rPr>
          <w:rFonts w:hint="eastAsia" w:ascii="Times New Roman" w:hAnsi="Times New Roman"/>
          <w:spacing w:val="-2"/>
          <w:kern w:val="0"/>
          <w:sz w:val="24"/>
          <w:szCs w:val="24"/>
        </w:rPr>
        <w:t>10</w:t>
      </w:r>
      <w:r>
        <w:rPr>
          <w:rFonts w:ascii="Times New Roman" w:hAnsi="Times New Roman"/>
          <w:spacing w:val="-2"/>
          <w:kern w:val="0"/>
          <w:sz w:val="24"/>
          <w:szCs w:val="24"/>
        </w:rPr>
        <w:t>。项目属于污染影响型，项目周边主要以物流仓储用地、生产物流混合用地、工业用地为主，区域的陆地主要是填海成陆土地，不涉及耕地、园地、牧草地等土壤环境敏感目标，区域土地均已平整，大部分土地已硬化，项目土壤环境敏感程度为不敏感。</w:t>
      </w:r>
    </w:p>
    <w:p w14:paraId="7ADBE739">
      <w:pPr>
        <w:pStyle w:val="8"/>
        <w:rPr>
          <w:sz w:val="24"/>
          <w:szCs w:val="24"/>
        </w:rPr>
      </w:pPr>
      <w:r>
        <w:rPr>
          <w:sz w:val="24"/>
          <w:szCs w:val="24"/>
        </w:rPr>
        <w:t>污染影响型敏感程度分级表</w:t>
      </w:r>
    </w:p>
    <w:tbl>
      <w:tblPr>
        <w:tblStyle w:val="88"/>
        <w:tblW w:w="928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77"/>
        <w:gridCol w:w="4868"/>
        <w:gridCol w:w="2941"/>
      </w:tblGrid>
      <w:tr w14:paraId="3DAE93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1477" w:type="dxa"/>
            <w:vAlign w:val="center"/>
          </w:tcPr>
          <w:p w14:paraId="61427EE6">
            <w:pPr>
              <w:jc w:val="center"/>
              <w:rPr>
                <w:rFonts w:ascii="Times New Roman" w:hAnsi="Times New Roman"/>
                <w:b/>
                <w:bCs/>
                <w:spacing w:val="-2"/>
                <w:kern w:val="0"/>
                <w:szCs w:val="21"/>
              </w:rPr>
            </w:pPr>
            <w:r>
              <w:rPr>
                <w:rFonts w:ascii="Times New Roman" w:hAnsi="Times New Roman"/>
                <w:b/>
                <w:bCs/>
                <w:spacing w:val="-2"/>
                <w:kern w:val="0"/>
                <w:szCs w:val="21"/>
              </w:rPr>
              <w:t>敏感程度</w:t>
            </w:r>
          </w:p>
        </w:tc>
        <w:tc>
          <w:tcPr>
            <w:tcW w:w="4868" w:type="dxa"/>
            <w:vAlign w:val="center"/>
          </w:tcPr>
          <w:p w14:paraId="4F0B2DDF">
            <w:pPr>
              <w:jc w:val="center"/>
              <w:rPr>
                <w:rFonts w:ascii="Times New Roman" w:hAnsi="Times New Roman"/>
                <w:b/>
                <w:bCs/>
                <w:spacing w:val="-2"/>
                <w:kern w:val="0"/>
                <w:szCs w:val="21"/>
              </w:rPr>
            </w:pPr>
            <w:r>
              <w:rPr>
                <w:rFonts w:ascii="Times New Roman" w:hAnsi="Times New Roman"/>
                <w:b/>
                <w:bCs/>
                <w:spacing w:val="-2"/>
                <w:kern w:val="0"/>
                <w:szCs w:val="21"/>
              </w:rPr>
              <w:t>判别依据</w:t>
            </w:r>
          </w:p>
        </w:tc>
        <w:tc>
          <w:tcPr>
            <w:tcW w:w="2941" w:type="dxa"/>
            <w:vAlign w:val="center"/>
          </w:tcPr>
          <w:p w14:paraId="7AEBA890">
            <w:pPr>
              <w:jc w:val="center"/>
              <w:rPr>
                <w:rFonts w:ascii="Times New Roman" w:hAnsi="Times New Roman"/>
                <w:b/>
                <w:bCs/>
                <w:spacing w:val="-2"/>
                <w:kern w:val="0"/>
                <w:szCs w:val="21"/>
              </w:rPr>
            </w:pPr>
            <w:r>
              <w:rPr>
                <w:rFonts w:ascii="Times New Roman" w:hAnsi="Times New Roman"/>
                <w:b/>
                <w:bCs/>
                <w:spacing w:val="-2"/>
                <w:kern w:val="0"/>
                <w:szCs w:val="21"/>
              </w:rPr>
              <w:t>项目情况</w:t>
            </w:r>
          </w:p>
        </w:tc>
      </w:tr>
      <w:tr w14:paraId="4A00DF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477" w:type="dxa"/>
            <w:vAlign w:val="center"/>
          </w:tcPr>
          <w:p w14:paraId="6D58957A">
            <w:pPr>
              <w:jc w:val="center"/>
              <w:rPr>
                <w:rFonts w:ascii="Times New Roman" w:hAnsi="Times New Roman"/>
                <w:spacing w:val="-2"/>
                <w:kern w:val="0"/>
                <w:szCs w:val="21"/>
              </w:rPr>
            </w:pPr>
            <w:r>
              <w:rPr>
                <w:rFonts w:ascii="Times New Roman" w:hAnsi="Times New Roman"/>
                <w:spacing w:val="-2"/>
                <w:kern w:val="0"/>
                <w:szCs w:val="21"/>
              </w:rPr>
              <w:t>敏感</w:t>
            </w:r>
          </w:p>
        </w:tc>
        <w:tc>
          <w:tcPr>
            <w:tcW w:w="4868" w:type="dxa"/>
            <w:vAlign w:val="center"/>
          </w:tcPr>
          <w:p w14:paraId="7A6B4DB9">
            <w:pPr>
              <w:rPr>
                <w:rFonts w:ascii="Times New Roman" w:hAnsi="Times New Roman"/>
                <w:spacing w:val="-2"/>
                <w:kern w:val="0"/>
                <w:szCs w:val="21"/>
              </w:rPr>
            </w:pPr>
            <w:r>
              <w:rPr>
                <w:rFonts w:ascii="Times New Roman" w:hAnsi="Times New Roman"/>
                <w:spacing w:val="-2"/>
                <w:kern w:val="0"/>
                <w:szCs w:val="21"/>
              </w:rPr>
              <w:t>建设项目周边存在耕地、园地、牧草地、饮用水水源地或居民区、学校、医院、疗养院、养老院等土壤环境敏感目标的</w:t>
            </w:r>
          </w:p>
        </w:tc>
        <w:tc>
          <w:tcPr>
            <w:tcW w:w="2941" w:type="dxa"/>
            <w:vMerge w:val="restart"/>
            <w:vAlign w:val="center"/>
          </w:tcPr>
          <w:p w14:paraId="01919B56">
            <w:pPr>
              <w:jc w:val="left"/>
              <w:rPr>
                <w:rFonts w:ascii="Times New Roman" w:hAnsi="Times New Roman"/>
                <w:spacing w:val="-2"/>
                <w:kern w:val="0"/>
                <w:szCs w:val="21"/>
              </w:rPr>
            </w:pPr>
            <w:r>
              <w:rPr>
                <w:rFonts w:ascii="Times New Roman" w:hAnsi="Times New Roman"/>
                <w:spacing w:val="-2"/>
                <w:kern w:val="0"/>
                <w:szCs w:val="21"/>
              </w:rPr>
              <w:t>项目位于工业园内，周边无土壤环境敏感目标</w:t>
            </w:r>
          </w:p>
        </w:tc>
      </w:tr>
      <w:tr w14:paraId="104EDD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477" w:type="dxa"/>
            <w:vAlign w:val="center"/>
          </w:tcPr>
          <w:p w14:paraId="1E939FDD">
            <w:pPr>
              <w:jc w:val="center"/>
              <w:rPr>
                <w:rFonts w:ascii="Times New Roman" w:hAnsi="Times New Roman"/>
                <w:spacing w:val="-2"/>
                <w:kern w:val="0"/>
                <w:szCs w:val="21"/>
              </w:rPr>
            </w:pPr>
            <w:r>
              <w:rPr>
                <w:rFonts w:ascii="Times New Roman" w:hAnsi="Times New Roman"/>
                <w:spacing w:val="-2"/>
                <w:kern w:val="0"/>
                <w:szCs w:val="21"/>
              </w:rPr>
              <w:t>较敏感</w:t>
            </w:r>
          </w:p>
        </w:tc>
        <w:tc>
          <w:tcPr>
            <w:tcW w:w="4868" w:type="dxa"/>
            <w:vAlign w:val="center"/>
          </w:tcPr>
          <w:p w14:paraId="2068B68E">
            <w:pPr>
              <w:rPr>
                <w:rFonts w:ascii="Times New Roman" w:hAnsi="Times New Roman"/>
                <w:spacing w:val="-2"/>
                <w:kern w:val="0"/>
                <w:szCs w:val="21"/>
              </w:rPr>
            </w:pPr>
            <w:r>
              <w:rPr>
                <w:rFonts w:ascii="Times New Roman" w:hAnsi="Times New Roman"/>
                <w:spacing w:val="-2"/>
                <w:kern w:val="0"/>
                <w:szCs w:val="21"/>
              </w:rPr>
              <w:t>建设项目周边存在其他土壤环境敏感目标的</w:t>
            </w:r>
          </w:p>
        </w:tc>
        <w:tc>
          <w:tcPr>
            <w:tcW w:w="2941" w:type="dxa"/>
            <w:vMerge w:val="continue"/>
            <w:vAlign w:val="center"/>
          </w:tcPr>
          <w:p w14:paraId="6C30342F">
            <w:pPr>
              <w:jc w:val="center"/>
              <w:rPr>
                <w:rFonts w:ascii="Times New Roman" w:hAnsi="Times New Roman"/>
                <w:spacing w:val="-2"/>
                <w:kern w:val="0"/>
                <w:szCs w:val="21"/>
              </w:rPr>
            </w:pPr>
          </w:p>
        </w:tc>
      </w:tr>
      <w:tr w14:paraId="51C584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477" w:type="dxa"/>
            <w:vAlign w:val="center"/>
          </w:tcPr>
          <w:p w14:paraId="3C9AC6DB">
            <w:pPr>
              <w:jc w:val="center"/>
              <w:rPr>
                <w:rFonts w:ascii="Times New Roman" w:hAnsi="Times New Roman"/>
                <w:spacing w:val="-2"/>
                <w:kern w:val="0"/>
                <w:szCs w:val="21"/>
              </w:rPr>
            </w:pPr>
            <w:r>
              <w:rPr>
                <w:rFonts w:ascii="Times New Roman" w:hAnsi="Times New Roman"/>
                <w:spacing w:val="-2"/>
                <w:kern w:val="0"/>
                <w:szCs w:val="21"/>
              </w:rPr>
              <w:t>不敏感</w:t>
            </w:r>
          </w:p>
        </w:tc>
        <w:tc>
          <w:tcPr>
            <w:tcW w:w="4868" w:type="dxa"/>
            <w:vAlign w:val="center"/>
          </w:tcPr>
          <w:p w14:paraId="18CBA251">
            <w:pPr>
              <w:rPr>
                <w:rFonts w:ascii="Times New Roman" w:hAnsi="Times New Roman"/>
                <w:spacing w:val="-2"/>
                <w:kern w:val="0"/>
                <w:szCs w:val="21"/>
              </w:rPr>
            </w:pPr>
            <w:r>
              <w:rPr>
                <w:rFonts w:ascii="Times New Roman" w:hAnsi="Times New Roman"/>
                <w:spacing w:val="-2"/>
                <w:kern w:val="0"/>
                <w:szCs w:val="21"/>
              </w:rPr>
              <w:t>其他情况</w:t>
            </w:r>
          </w:p>
        </w:tc>
        <w:tc>
          <w:tcPr>
            <w:tcW w:w="2941" w:type="dxa"/>
            <w:vMerge w:val="continue"/>
            <w:vAlign w:val="center"/>
          </w:tcPr>
          <w:p w14:paraId="571EC056">
            <w:pPr>
              <w:jc w:val="center"/>
              <w:rPr>
                <w:rFonts w:ascii="Times New Roman" w:hAnsi="Times New Roman"/>
                <w:spacing w:val="-2"/>
                <w:kern w:val="0"/>
                <w:szCs w:val="21"/>
              </w:rPr>
            </w:pPr>
          </w:p>
        </w:tc>
      </w:tr>
    </w:tbl>
    <w:p w14:paraId="218A32B9">
      <w:pPr>
        <w:spacing w:line="360" w:lineRule="auto"/>
        <w:ind w:firstLine="472" w:firstLineChars="200"/>
        <w:rPr>
          <w:rFonts w:ascii="Times New Roman" w:hAnsi="Times New Roman"/>
          <w:spacing w:val="-2"/>
          <w:kern w:val="0"/>
          <w:sz w:val="24"/>
          <w:szCs w:val="20"/>
        </w:rPr>
      </w:pPr>
    </w:p>
    <w:p w14:paraId="4DC8B1E2">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根据土壤环境影响评价项目类别、占地规模及敏感程度划分评价工作等级，见表1.5-1</w:t>
      </w:r>
      <w:r>
        <w:rPr>
          <w:rFonts w:hint="eastAsia" w:ascii="Times New Roman" w:hAnsi="Times New Roman"/>
          <w:spacing w:val="-2"/>
          <w:kern w:val="0"/>
          <w:sz w:val="24"/>
          <w:szCs w:val="20"/>
        </w:rPr>
        <w:t>1</w:t>
      </w:r>
      <w:r>
        <w:rPr>
          <w:rFonts w:ascii="Times New Roman" w:hAnsi="Times New Roman"/>
          <w:spacing w:val="-2"/>
          <w:kern w:val="0"/>
          <w:sz w:val="24"/>
          <w:szCs w:val="20"/>
        </w:rPr>
        <w:t>。</w:t>
      </w:r>
    </w:p>
    <w:p w14:paraId="275CFA4D">
      <w:pPr>
        <w:pStyle w:val="8"/>
        <w:rPr>
          <w:sz w:val="24"/>
          <w:szCs w:val="24"/>
        </w:rPr>
      </w:pPr>
      <w:r>
        <w:rPr>
          <w:sz w:val="24"/>
          <w:szCs w:val="24"/>
        </w:rPr>
        <w:t>污染影响型评价工作等级划分表</w:t>
      </w:r>
    </w:p>
    <w:tbl>
      <w:tblPr>
        <w:tblStyle w:val="88"/>
        <w:tblW w:w="928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47"/>
        <w:gridCol w:w="871"/>
        <w:gridCol w:w="871"/>
        <w:gridCol w:w="871"/>
        <w:gridCol w:w="871"/>
        <w:gridCol w:w="871"/>
        <w:gridCol w:w="871"/>
        <w:gridCol w:w="871"/>
        <w:gridCol w:w="871"/>
        <w:gridCol w:w="871"/>
      </w:tblGrid>
      <w:tr w14:paraId="37E609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1447" w:type="dxa"/>
            <w:vMerge w:val="restart"/>
            <w:vAlign w:val="center"/>
          </w:tcPr>
          <w:p w14:paraId="34FB3597">
            <w:pPr>
              <w:jc w:val="center"/>
              <w:rPr>
                <w:rFonts w:ascii="Times New Roman" w:hAnsi="Times New Roman"/>
                <w:b/>
                <w:bCs/>
                <w:spacing w:val="-2"/>
                <w:kern w:val="0"/>
                <w:szCs w:val="21"/>
              </w:rPr>
            </w:pPr>
            <w:r>
              <w:rPr>
                <w:rFonts w:ascii="Times New Roman" w:hAnsi="Times New Roman"/>
                <w:b/>
                <w:bCs/>
                <w:spacing w:val="-2"/>
                <w:kern w:val="0"/>
                <w:szCs w:val="21"/>
              </w:rPr>
              <w:t>占地规模</w:t>
            </w:r>
          </w:p>
          <w:p w14:paraId="24439EA0">
            <w:pPr>
              <w:jc w:val="center"/>
              <w:rPr>
                <w:rFonts w:ascii="Times New Roman" w:hAnsi="Times New Roman"/>
                <w:b/>
                <w:bCs/>
                <w:spacing w:val="-2"/>
                <w:kern w:val="0"/>
                <w:szCs w:val="21"/>
              </w:rPr>
            </w:pPr>
            <w:bookmarkStart w:id="67" w:name="_Toc18911140"/>
            <w:bookmarkStart w:id="68" w:name="_Toc18911076"/>
            <w:r>
              <w:rPr>
                <w:rFonts w:ascii="Times New Roman" w:hAnsi="Times New Roman"/>
                <w:b/>
                <w:bCs/>
                <w:spacing w:val="-2"/>
                <w:kern w:val="0"/>
                <w:szCs w:val="21"/>
              </w:rPr>
              <w:t>工作等级</w:t>
            </w:r>
            <w:bookmarkEnd w:id="67"/>
            <w:bookmarkEnd w:id="68"/>
          </w:p>
          <w:p w14:paraId="51291F83">
            <w:pPr>
              <w:jc w:val="center"/>
              <w:rPr>
                <w:rFonts w:ascii="Times New Roman" w:hAnsi="Times New Roman"/>
                <w:b/>
                <w:bCs/>
                <w:spacing w:val="-2"/>
                <w:kern w:val="0"/>
                <w:szCs w:val="21"/>
              </w:rPr>
            </w:pPr>
            <w:bookmarkStart w:id="69" w:name="_Toc18911077"/>
            <w:bookmarkStart w:id="70" w:name="_Toc18911141"/>
            <w:r>
              <w:rPr>
                <w:rFonts w:ascii="Times New Roman" w:hAnsi="Times New Roman"/>
                <w:b/>
                <w:bCs/>
                <w:spacing w:val="-2"/>
                <w:kern w:val="0"/>
                <w:szCs w:val="21"/>
              </w:rPr>
              <w:t>敏感程度</w:t>
            </w:r>
            <w:bookmarkEnd w:id="69"/>
            <w:bookmarkEnd w:id="70"/>
          </w:p>
        </w:tc>
        <w:tc>
          <w:tcPr>
            <w:tcW w:w="2613" w:type="dxa"/>
            <w:gridSpan w:val="3"/>
            <w:vAlign w:val="center"/>
          </w:tcPr>
          <w:p w14:paraId="31AAD80E">
            <w:pPr>
              <w:jc w:val="center"/>
              <w:rPr>
                <w:rFonts w:ascii="Times New Roman" w:hAnsi="Times New Roman"/>
                <w:b/>
                <w:bCs/>
                <w:spacing w:val="-2"/>
                <w:kern w:val="0"/>
                <w:szCs w:val="21"/>
              </w:rPr>
            </w:pPr>
            <w:r>
              <w:rPr>
                <w:rFonts w:ascii="Times New Roman" w:hAnsi="Times New Roman"/>
                <w:b/>
                <w:bCs/>
                <w:spacing w:val="-2"/>
                <w:kern w:val="0"/>
                <w:szCs w:val="21"/>
              </w:rPr>
              <w:t>Ⅰ类</w:t>
            </w:r>
          </w:p>
        </w:tc>
        <w:tc>
          <w:tcPr>
            <w:tcW w:w="2613" w:type="dxa"/>
            <w:gridSpan w:val="3"/>
            <w:vAlign w:val="center"/>
          </w:tcPr>
          <w:p w14:paraId="022F6768">
            <w:pPr>
              <w:jc w:val="center"/>
              <w:rPr>
                <w:rFonts w:ascii="Times New Roman" w:hAnsi="Times New Roman"/>
                <w:b/>
                <w:bCs/>
                <w:spacing w:val="-2"/>
                <w:kern w:val="0"/>
                <w:szCs w:val="21"/>
              </w:rPr>
            </w:pPr>
            <w:r>
              <w:rPr>
                <w:rFonts w:ascii="Times New Roman" w:hAnsi="Times New Roman"/>
                <w:b/>
                <w:bCs/>
                <w:spacing w:val="-2"/>
                <w:kern w:val="0"/>
                <w:szCs w:val="21"/>
              </w:rPr>
              <w:t>Ⅱ类</w:t>
            </w:r>
          </w:p>
        </w:tc>
        <w:tc>
          <w:tcPr>
            <w:tcW w:w="2613" w:type="dxa"/>
            <w:gridSpan w:val="3"/>
            <w:vAlign w:val="center"/>
          </w:tcPr>
          <w:p w14:paraId="6F9EBDD8">
            <w:pPr>
              <w:jc w:val="center"/>
              <w:rPr>
                <w:rFonts w:ascii="Times New Roman" w:hAnsi="Times New Roman"/>
                <w:b/>
                <w:bCs/>
                <w:spacing w:val="-2"/>
                <w:kern w:val="0"/>
                <w:szCs w:val="21"/>
              </w:rPr>
            </w:pPr>
            <w:r>
              <w:rPr>
                <w:rFonts w:ascii="Times New Roman" w:hAnsi="Times New Roman"/>
                <w:b/>
                <w:bCs/>
                <w:spacing w:val="-2"/>
                <w:kern w:val="0"/>
                <w:szCs w:val="21"/>
              </w:rPr>
              <w:t>Ⅲ类</w:t>
            </w:r>
          </w:p>
        </w:tc>
      </w:tr>
      <w:tr w14:paraId="27CB52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1447" w:type="dxa"/>
            <w:vMerge w:val="continue"/>
            <w:vAlign w:val="center"/>
          </w:tcPr>
          <w:p w14:paraId="0EF7D7C8">
            <w:pPr>
              <w:jc w:val="center"/>
              <w:rPr>
                <w:rFonts w:ascii="Times New Roman" w:hAnsi="Times New Roman"/>
                <w:b/>
                <w:bCs/>
                <w:spacing w:val="-2"/>
                <w:kern w:val="0"/>
                <w:szCs w:val="21"/>
              </w:rPr>
            </w:pPr>
          </w:p>
        </w:tc>
        <w:tc>
          <w:tcPr>
            <w:tcW w:w="871" w:type="dxa"/>
            <w:vAlign w:val="center"/>
          </w:tcPr>
          <w:p w14:paraId="551DC303">
            <w:pPr>
              <w:jc w:val="center"/>
              <w:rPr>
                <w:rFonts w:ascii="Times New Roman" w:hAnsi="Times New Roman"/>
                <w:b/>
                <w:bCs/>
                <w:spacing w:val="-2"/>
                <w:kern w:val="0"/>
                <w:szCs w:val="21"/>
              </w:rPr>
            </w:pPr>
            <w:r>
              <w:rPr>
                <w:rFonts w:ascii="Times New Roman" w:hAnsi="Times New Roman"/>
                <w:b/>
                <w:bCs/>
                <w:spacing w:val="-2"/>
                <w:kern w:val="0"/>
                <w:szCs w:val="21"/>
              </w:rPr>
              <w:t>大</w:t>
            </w:r>
          </w:p>
        </w:tc>
        <w:tc>
          <w:tcPr>
            <w:tcW w:w="871" w:type="dxa"/>
            <w:vAlign w:val="center"/>
          </w:tcPr>
          <w:p w14:paraId="71CF1C22">
            <w:pPr>
              <w:jc w:val="center"/>
              <w:rPr>
                <w:rFonts w:ascii="Times New Roman" w:hAnsi="Times New Roman"/>
                <w:b/>
                <w:bCs/>
                <w:spacing w:val="-2"/>
                <w:kern w:val="0"/>
                <w:szCs w:val="21"/>
              </w:rPr>
            </w:pPr>
            <w:r>
              <w:rPr>
                <w:rFonts w:ascii="Times New Roman" w:hAnsi="Times New Roman"/>
                <w:b/>
                <w:bCs/>
                <w:spacing w:val="-2"/>
                <w:kern w:val="0"/>
                <w:szCs w:val="21"/>
              </w:rPr>
              <w:t>中</w:t>
            </w:r>
          </w:p>
        </w:tc>
        <w:tc>
          <w:tcPr>
            <w:tcW w:w="871" w:type="dxa"/>
            <w:vAlign w:val="center"/>
          </w:tcPr>
          <w:p w14:paraId="31774095">
            <w:pPr>
              <w:jc w:val="center"/>
              <w:rPr>
                <w:rFonts w:ascii="Times New Roman" w:hAnsi="Times New Roman"/>
                <w:b/>
                <w:bCs/>
                <w:spacing w:val="-2"/>
                <w:kern w:val="0"/>
                <w:szCs w:val="21"/>
              </w:rPr>
            </w:pPr>
            <w:r>
              <w:rPr>
                <w:rFonts w:ascii="Times New Roman" w:hAnsi="Times New Roman"/>
                <w:b/>
                <w:bCs/>
                <w:spacing w:val="-2"/>
                <w:kern w:val="0"/>
                <w:szCs w:val="21"/>
              </w:rPr>
              <w:t>小</w:t>
            </w:r>
          </w:p>
        </w:tc>
        <w:tc>
          <w:tcPr>
            <w:tcW w:w="871" w:type="dxa"/>
            <w:vAlign w:val="center"/>
          </w:tcPr>
          <w:p w14:paraId="46F57443">
            <w:pPr>
              <w:jc w:val="center"/>
              <w:rPr>
                <w:rFonts w:ascii="Times New Roman" w:hAnsi="Times New Roman"/>
                <w:b/>
                <w:bCs/>
                <w:spacing w:val="-2"/>
                <w:kern w:val="0"/>
                <w:szCs w:val="21"/>
              </w:rPr>
            </w:pPr>
            <w:r>
              <w:rPr>
                <w:rFonts w:ascii="Times New Roman" w:hAnsi="Times New Roman"/>
                <w:b/>
                <w:bCs/>
                <w:spacing w:val="-2"/>
                <w:kern w:val="0"/>
                <w:szCs w:val="21"/>
              </w:rPr>
              <w:t>大</w:t>
            </w:r>
          </w:p>
        </w:tc>
        <w:tc>
          <w:tcPr>
            <w:tcW w:w="871" w:type="dxa"/>
            <w:vAlign w:val="center"/>
          </w:tcPr>
          <w:p w14:paraId="517A09E7">
            <w:pPr>
              <w:jc w:val="center"/>
              <w:rPr>
                <w:rFonts w:ascii="Times New Roman" w:hAnsi="Times New Roman"/>
                <w:b/>
                <w:bCs/>
                <w:spacing w:val="-2"/>
                <w:kern w:val="0"/>
                <w:szCs w:val="21"/>
              </w:rPr>
            </w:pPr>
            <w:r>
              <w:rPr>
                <w:rFonts w:ascii="Times New Roman" w:hAnsi="Times New Roman"/>
                <w:b/>
                <w:bCs/>
                <w:spacing w:val="-2"/>
                <w:kern w:val="0"/>
                <w:szCs w:val="21"/>
              </w:rPr>
              <w:t>中</w:t>
            </w:r>
          </w:p>
        </w:tc>
        <w:tc>
          <w:tcPr>
            <w:tcW w:w="871" w:type="dxa"/>
            <w:vAlign w:val="center"/>
          </w:tcPr>
          <w:p w14:paraId="51DABB68">
            <w:pPr>
              <w:jc w:val="center"/>
              <w:rPr>
                <w:rFonts w:ascii="Times New Roman" w:hAnsi="Times New Roman"/>
                <w:b/>
                <w:bCs/>
                <w:spacing w:val="-2"/>
                <w:kern w:val="0"/>
                <w:szCs w:val="21"/>
              </w:rPr>
            </w:pPr>
            <w:r>
              <w:rPr>
                <w:rFonts w:ascii="Times New Roman" w:hAnsi="Times New Roman"/>
                <w:b/>
                <w:bCs/>
                <w:spacing w:val="-2"/>
                <w:kern w:val="0"/>
                <w:szCs w:val="21"/>
              </w:rPr>
              <w:t>小</w:t>
            </w:r>
          </w:p>
        </w:tc>
        <w:tc>
          <w:tcPr>
            <w:tcW w:w="871" w:type="dxa"/>
            <w:vAlign w:val="center"/>
          </w:tcPr>
          <w:p w14:paraId="4F54727A">
            <w:pPr>
              <w:jc w:val="center"/>
              <w:rPr>
                <w:rFonts w:ascii="Times New Roman" w:hAnsi="Times New Roman"/>
                <w:b/>
                <w:bCs/>
                <w:spacing w:val="-2"/>
                <w:kern w:val="0"/>
                <w:szCs w:val="21"/>
              </w:rPr>
            </w:pPr>
            <w:r>
              <w:rPr>
                <w:rFonts w:ascii="Times New Roman" w:hAnsi="Times New Roman"/>
                <w:b/>
                <w:bCs/>
                <w:spacing w:val="-2"/>
                <w:kern w:val="0"/>
                <w:szCs w:val="21"/>
              </w:rPr>
              <w:t>大</w:t>
            </w:r>
          </w:p>
        </w:tc>
        <w:tc>
          <w:tcPr>
            <w:tcW w:w="871" w:type="dxa"/>
            <w:vAlign w:val="center"/>
          </w:tcPr>
          <w:p w14:paraId="75B88929">
            <w:pPr>
              <w:jc w:val="center"/>
              <w:rPr>
                <w:rFonts w:ascii="Times New Roman" w:hAnsi="Times New Roman"/>
                <w:b/>
                <w:bCs/>
                <w:spacing w:val="-2"/>
                <w:kern w:val="0"/>
                <w:szCs w:val="21"/>
              </w:rPr>
            </w:pPr>
            <w:r>
              <w:rPr>
                <w:rFonts w:ascii="Times New Roman" w:hAnsi="Times New Roman"/>
                <w:b/>
                <w:bCs/>
                <w:spacing w:val="-2"/>
                <w:kern w:val="0"/>
                <w:szCs w:val="21"/>
              </w:rPr>
              <w:t>中</w:t>
            </w:r>
          </w:p>
        </w:tc>
        <w:tc>
          <w:tcPr>
            <w:tcW w:w="871" w:type="dxa"/>
            <w:vAlign w:val="center"/>
          </w:tcPr>
          <w:p w14:paraId="4372D7BD">
            <w:pPr>
              <w:jc w:val="center"/>
              <w:rPr>
                <w:rFonts w:ascii="Times New Roman" w:hAnsi="Times New Roman"/>
                <w:b/>
                <w:bCs/>
                <w:spacing w:val="-2"/>
                <w:kern w:val="0"/>
                <w:szCs w:val="21"/>
              </w:rPr>
            </w:pPr>
            <w:r>
              <w:rPr>
                <w:rFonts w:ascii="Times New Roman" w:hAnsi="Times New Roman"/>
                <w:b/>
                <w:bCs/>
                <w:spacing w:val="-2"/>
                <w:kern w:val="0"/>
                <w:szCs w:val="21"/>
              </w:rPr>
              <w:t>小</w:t>
            </w:r>
          </w:p>
        </w:tc>
      </w:tr>
      <w:tr w14:paraId="7CC4DC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47" w:type="dxa"/>
            <w:vAlign w:val="center"/>
          </w:tcPr>
          <w:p w14:paraId="3E2C3808">
            <w:pPr>
              <w:jc w:val="center"/>
              <w:rPr>
                <w:rFonts w:ascii="Times New Roman" w:hAnsi="Times New Roman"/>
                <w:spacing w:val="-2"/>
                <w:kern w:val="0"/>
                <w:szCs w:val="21"/>
              </w:rPr>
            </w:pPr>
            <w:r>
              <w:rPr>
                <w:rFonts w:ascii="Times New Roman" w:hAnsi="Times New Roman"/>
                <w:spacing w:val="-2"/>
                <w:kern w:val="0"/>
                <w:szCs w:val="21"/>
              </w:rPr>
              <w:t>敏感</w:t>
            </w:r>
          </w:p>
        </w:tc>
        <w:tc>
          <w:tcPr>
            <w:tcW w:w="871" w:type="dxa"/>
            <w:vAlign w:val="center"/>
          </w:tcPr>
          <w:p w14:paraId="416E6831">
            <w:pPr>
              <w:jc w:val="center"/>
              <w:rPr>
                <w:rFonts w:ascii="Times New Roman" w:hAnsi="Times New Roman"/>
                <w:spacing w:val="-2"/>
                <w:kern w:val="0"/>
                <w:szCs w:val="21"/>
              </w:rPr>
            </w:pPr>
            <w:r>
              <w:rPr>
                <w:rFonts w:ascii="Times New Roman" w:hAnsi="Times New Roman"/>
                <w:spacing w:val="-2"/>
                <w:kern w:val="0"/>
                <w:szCs w:val="21"/>
              </w:rPr>
              <w:t>一级</w:t>
            </w:r>
          </w:p>
        </w:tc>
        <w:tc>
          <w:tcPr>
            <w:tcW w:w="871" w:type="dxa"/>
            <w:vAlign w:val="center"/>
          </w:tcPr>
          <w:p w14:paraId="439FFF1C">
            <w:pPr>
              <w:jc w:val="center"/>
              <w:rPr>
                <w:rFonts w:ascii="Times New Roman" w:hAnsi="Times New Roman"/>
                <w:spacing w:val="-2"/>
                <w:kern w:val="0"/>
                <w:szCs w:val="21"/>
              </w:rPr>
            </w:pPr>
            <w:r>
              <w:rPr>
                <w:rFonts w:ascii="Times New Roman" w:hAnsi="Times New Roman"/>
                <w:spacing w:val="-2"/>
                <w:kern w:val="0"/>
                <w:szCs w:val="21"/>
              </w:rPr>
              <w:t>一级</w:t>
            </w:r>
          </w:p>
        </w:tc>
        <w:tc>
          <w:tcPr>
            <w:tcW w:w="871" w:type="dxa"/>
            <w:vAlign w:val="center"/>
          </w:tcPr>
          <w:p w14:paraId="6C0AB0CF">
            <w:pPr>
              <w:jc w:val="center"/>
              <w:rPr>
                <w:rFonts w:ascii="Times New Roman" w:hAnsi="Times New Roman"/>
                <w:spacing w:val="-2"/>
                <w:kern w:val="0"/>
                <w:szCs w:val="21"/>
              </w:rPr>
            </w:pPr>
            <w:r>
              <w:rPr>
                <w:rFonts w:ascii="Times New Roman" w:hAnsi="Times New Roman"/>
                <w:spacing w:val="-2"/>
                <w:kern w:val="0"/>
                <w:szCs w:val="21"/>
              </w:rPr>
              <w:t>一级</w:t>
            </w:r>
          </w:p>
        </w:tc>
        <w:tc>
          <w:tcPr>
            <w:tcW w:w="871" w:type="dxa"/>
            <w:vAlign w:val="center"/>
          </w:tcPr>
          <w:p w14:paraId="712DD4A8">
            <w:pPr>
              <w:jc w:val="center"/>
              <w:rPr>
                <w:rFonts w:ascii="Times New Roman" w:hAnsi="Times New Roman"/>
                <w:spacing w:val="-2"/>
                <w:kern w:val="0"/>
                <w:szCs w:val="21"/>
              </w:rPr>
            </w:pPr>
            <w:r>
              <w:rPr>
                <w:rFonts w:ascii="Times New Roman" w:hAnsi="Times New Roman"/>
                <w:spacing w:val="-2"/>
                <w:kern w:val="0"/>
                <w:szCs w:val="21"/>
              </w:rPr>
              <w:t>二级</w:t>
            </w:r>
          </w:p>
        </w:tc>
        <w:tc>
          <w:tcPr>
            <w:tcW w:w="871" w:type="dxa"/>
            <w:vAlign w:val="center"/>
          </w:tcPr>
          <w:p w14:paraId="06441AC2">
            <w:pPr>
              <w:jc w:val="center"/>
              <w:rPr>
                <w:rFonts w:ascii="Times New Roman" w:hAnsi="Times New Roman"/>
                <w:spacing w:val="-2"/>
                <w:kern w:val="0"/>
                <w:szCs w:val="21"/>
              </w:rPr>
            </w:pPr>
            <w:r>
              <w:rPr>
                <w:rFonts w:ascii="Times New Roman" w:hAnsi="Times New Roman"/>
                <w:spacing w:val="-2"/>
                <w:kern w:val="0"/>
                <w:szCs w:val="21"/>
              </w:rPr>
              <w:t>二级</w:t>
            </w:r>
          </w:p>
        </w:tc>
        <w:tc>
          <w:tcPr>
            <w:tcW w:w="871" w:type="dxa"/>
            <w:vAlign w:val="center"/>
          </w:tcPr>
          <w:p w14:paraId="7DC34357">
            <w:pPr>
              <w:jc w:val="center"/>
              <w:rPr>
                <w:rFonts w:ascii="Times New Roman" w:hAnsi="Times New Roman"/>
                <w:spacing w:val="-2"/>
                <w:kern w:val="0"/>
                <w:szCs w:val="21"/>
              </w:rPr>
            </w:pPr>
            <w:r>
              <w:rPr>
                <w:rFonts w:ascii="Times New Roman" w:hAnsi="Times New Roman"/>
                <w:spacing w:val="-2"/>
                <w:kern w:val="0"/>
                <w:szCs w:val="21"/>
              </w:rPr>
              <w:t>二级</w:t>
            </w:r>
          </w:p>
        </w:tc>
        <w:tc>
          <w:tcPr>
            <w:tcW w:w="871" w:type="dxa"/>
            <w:vAlign w:val="center"/>
          </w:tcPr>
          <w:p w14:paraId="46FB49A8">
            <w:pPr>
              <w:jc w:val="center"/>
              <w:rPr>
                <w:rFonts w:ascii="Times New Roman" w:hAnsi="Times New Roman"/>
                <w:spacing w:val="-2"/>
                <w:kern w:val="0"/>
                <w:szCs w:val="21"/>
              </w:rPr>
            </w:pPr>
            <w:r>
              <w:rPr>
                <w:rFonts w:ascii="Times New Roman" w:hAnsi="Times New Roman"/>
                <w:spacing w:val="-2"/>
                <w:kern w:val="0"/>
                <w:szCs w:val="21"/>
              </w:rPr>
              <w:t>三级</w:t>
            </w:r>
          </w:p>
        </w:tc>
        <w:tc>
          <w:tcPr>
            <w:tcW w:w="871" w:type="dxa"/>
            <w:vAlign w:val="center"/>
          </w:tcPr>
          <w:p w14:paraId="31457EFC">
            <w:pPr>
              <w:jc w:val="center"/>
              <w:rPr>
                <w:rFonts w:ascii="Times New Roman" w:hAnsi="Times New Roman"/>
                <w:spacing w:val="-2"/>
                <w:kern w:val="0"/>
                <w:szCs w:val="21"/>
              </w:rPr>
            </w:pPr>
            <w:r>
              <w:rPr>
                <w:rFonts w:ascii="Times New Roman" w:hAnsi="Times New Roman"/>
                <w:spacing w:val="-2"/>
                <w:kern w:val="0"/>
                <w:szCs w:val="21"/>
              </w:rPr>
              <w:t>三级</w:t>
            </w:r>
          </w:p>
        </w:tc>
        <w:tc>
          <w:tcPr>
            <w:tcW w:w="871" w:type="dxa"/>
            <w:vAlign w:val="center"/>
          </w:tcPr>
          <w:p w14:paraId="522551ED">
            <w:pPr>
              <w:jc w:val="center"/>
              <w:rPr>
                <w:rFonts w:ascii="Times New Roman" w:hAnsi="Times New Roman"/>
                <w:spacing w:val="-2"/>
                <w:kern w:val="0"/>
                <w:szCs w:val="21"/>
              </w:rPr>
            </w:pPr>
            <w:r>
              <w:rPr>
                <w:rFonts w:ascii="Times New Roman" w:hAnsi="Times New Roman"/>
                <w:spacing w:val="-2"/>
                <w:kern w:val="0"/>
                <w:szCs w:val="21"/>
              </w:rPr>
              <w:t>三级</w:t>
            </w:r>
          </w:p>
        </w:tc>
      </w:tr>
      <w:tr w14:paraId="68E34D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47" w:type="dxa"/>
            <w:vAlign w:val="center"/>
          </w:tcPr>
          <w:p w14:paraId="27564C15">
            <w:pPr>
              <w:jc w:val="center"/>
              <w:rPr>
                <w:rFonts w:ascii="Times New Roman" w:hAnsi="Times New Roman"/>
                <w:spacing w:val="-2"/>
                <w:kern w:val="0"/>
                <w:szCs w:val="21"/>
              </w:rPr>
            </w:pPr>
            <w:r>
              <w:rPr>
                <w:rFonts w:ascii="Times New Roman" w:hAnsi="Times New Roman"/>
                <w:spacing w:val="-2"/>
                <w:kern w:val="0"/>
                <w:szCs w:val="21"/>
              </w:rPr>
              <w:t>较敏感</w:t>
            </w:r>
          </w:p>
        </w:tc>
        <w:tc>
          <w:tcPr>
            <w:tcW w:w="871" w:type="dxa"/>
            <w:vAlign w:val="center"/>
          </w:tcPr>
          <w:p w14:paraId="34B1854A">
            <w:pPr>
              <w:jc w:val="center"/>
              <w:rPr>
                <w:rFonts w:ascii="Times New Roman" w:hAnsi="Times New Roman"/>
                <w:spacing w:val="-2"/>
                <w:kern w:val="0"/>
                <w:szCs w:val="21"/>
              </w:rPr>
            </w:pPr>
            <w:r>
              <w:rPr>
                <w:rFonts w:ascii="Times New Roman" w:hAnsi="Times New Roman"/>
                <w:spacing w:val="-2"/>
                <w:kern w:val="0"/>
                <w:szCs w:val="21"/>
              </w:rPr>
              <w:t>一级</w:t>
            </w:r>
          </w:p>
        </w:tc>
        <w:tc>
          <w:tcPr>
            <w:tcW w:w="871" w:type="dxa"/>
            <w:vAlign w:val="center"/>
          </w:tcPr>
          <w:p w14:paraId="1953428C">
            <w:pPr>
              <w:jc w:val="center"/>
              <w:rPr>
                <w:rFonts w:ascii="Times New Roman" w:hAnsi="Times New Roman"/>
                <w:spacing w:val="-2"/>
                <w:kern w:val="0"/>
                <w:szCs w:val="21"/>
              </w:rPr>
            </w:pPr>
            <w:r>
              <w:rPr>
                <w:rFonts w:ascii="Times New Roman" w:hAnsi="Times New Roman"/>
                <w:spacing w:val="-2"/>
                <w:kern w:val="0"/>
                <w:szCs w:val="21"/>
              </w:rPr>
              <w:t>一级</w:t>
            </w:r>
          </w:p>
        </w:tc>
        <w:tc>
          <w:tcPr>
            <w:tcW w:w="871" w:type="dxa"/>
            <w:vAlign w:val="center"/>
          </w:tcPr>
          <w:p w14:paraId="2A2CC675">
            <w:pPr>
              <w:jc w:val="center"/>
              <w:rPr>
                <w:rFonts w:ascii="Times New Roman" w:hAnsi="Times New Roman"/>
                <w:spacing w:val="-2"/>
                <w:kern w:val="0"/>
                <w:szCs w:val="21"/>
              </w:rPr>
            </w:pPr>
            <w:r>
              <w:rPr>
                <w:rFonts w:ascii="Times New Roman" w:hAnsi="Times New Roman"/>
                <w:spacing w:val="-2"/>
                <w:kern w:val="0"/>
                <w:szCs w:val="21"/>
              </w:rPr>
              <w:t>二级</w:t>
            </w:r>
          </w:p>
        </w:tc>
        <w:tc>
          <w:tcPr>
            <w:tcW w:w="871" w:type="dxa"/>
            <w:vAlign w:val="center"/>
          </w:tcPr>
          <w:p w14:paraId="12C648EE">
            <w:pPr>
              <w:jc w:val="center"/>
              <w:rPr>
                <w:rFonts w:ascii="Times New Roman" w:hAnsi="Times New Roman"/>
                <w:spacing w:val="-2"/>
                <w:kern w:val="0"/>
                <w:szCs w:val="21"/>
              </w:rPr>
            </w:pPr>
            <w:r>
              <w:rPr>
                <w:rFonts w:ascii="Times New Roman" w:hAnsi="Times New Roman"/>
                <w:spacing w:val="-2"/>
                <w:kern w:val="0"/>
                <w:szCs w:val="21"/>
              </w:rPr>
              <w:t>二级</w:t>
            </w:r>
          </w:p>
        </w:tc>
        <w:tc>
          <w:tcPr>
            <w:tcW w:w="871" w:type="dxa"/>
            <w:vAlign w:val="center"/>
          </w:tcPr>
          <w:p w14:paraId="5BE87E71">
            <w:pPr>
              <w:jc w:val="center"/>
              <w:rPr>
                <w:rFonts w:ascii="Times New Roman" w:hAnsi="Times New Roman"/>
                <w:spacing w:val="-2"/>
                <w:kern w:val="0"/>
                <w:szCs w:val="21"/>
              </w:rPr>
            </w:pPr>
            <w:r>
              <w:rPr>
                <w:rFonts w:ascii="Times New Roman" w:hAnsi="Times New Roman"/>
                <w:spacing w:val="-2"/>
                <w:kern w:val="0"/>
                <w:szCs w:val="21"/>
              </w:rPr>
              <w:t>二级</w:t>
            </w:r>
          </w:p>
        </w:tc>
        <w:tc>
          <w:tcPr>
            <w:tcW w:w="871" w:type="dxa"/>
            <w:vAlign w:val="center"/>
          </w:tcPr>
          <w:p w14:paraId="0147A6CC">
            <w:pPr>
              <w:jc w:val="center"/>
              <w:rPr>
                <w:rFonts w:ascii="Times New Roman" w:hAnsi="Times New Roman"/>
                <w:spacing w:val="-2"/>
                <w:kern w:val="0"/>
                <w:szCs w:val="21"/>
              </w:rPr>
            </w:pPr>
            <w:r>
              <w:rPr>
                <w:rFonts w:ascii="Times New Roman" w:hAnsi="Times New Roman"/>
                <w:spacing w:val="-2"/>
                <w:kern w:val="0"/>
                <w:szCs w:val="21"/>
              </w:rPr>
              <w:t>三级</w:t>
            </w:r>
          </w:p>
        </w:tc>
        <w:tc>
          <w:tcPr>
            <w:tcW w:w="871" w:type="dxa"/>
            <w:vAlign w:val="center"/>
          </w:tcPr>
          <w:p w14:paraId="34D6893F">
            <w:pPr>
              <w:jc w:val="center"/>
              <w:rPr>
                <w:rFonts w:ascii="Times New Roman" w:hAnsi="Times New Roman"/>
                <w:spacing w:val="-2"/>
                <w:kern w:val="0"/>
                <w:szCs w:val="21"/>
              </w:rPr>
            </w:pPr>
            <w:r>
              <w:rPr>
                <w:rFonts w:ascii="Times New Roman" w:hAnsi="Times New Roman"/>
                <w:spacing w:val="-2"/>
                <w:kern w:val="0"/>
                <w:szCs w:val="21"/>
              </w:rPr>
              <w:t>三级</w:t>
            </w:r>
          </w:p>
        </w:tc>
        <w:tc>
          <w:tcPr>
            <w:tcW w:w="871" w:type="dxa"/>
            <w:vAlign w:val="center"/>
          </w:tcPr>
          <w:p w14:paraId="255C0504">
            <w:pPr>
              <w:jc w:val="center"/>
              <w:rPr>
                <w:rFonts w:ascii="Times New Roman" w:hAnsi="Times New Roman"/>
                <w:spacing w:val="-2"/>
                <w:kern w:val="0"/>
                <w:szCs w:val="21"/>
              </w:rPr>
            </w:pPr>
            <w:r>
              <w:rPr>
                <w:rFonts w:ascii="Times New Roman" w:hAnsi="Times New Roman"/>
                <w:spacing w:val="-2"/>
                <w:kern w:val="0"/>
                <w:szCs w:val="21"/>
              </w:rPr>
              <w:t>三级</w:t>
            </w:r>
          </w:p>
        </w:tc>
        <w:tc>
          <w:tcPr>
            <w:tcW w:w="871" w:type="dxa"/>
            <w:vAlign w:val="center"/>
          </w:tcPr>
          <w:p w14:paraId="5639223C">
            <w:pPr>
              <w:jc w:val="center"/>
              <w:rPr>
                <w:rFonts w:ascii="Times New Roman" w:hAnsi="Times New Roman"/>
                <w:spacing w:val="-2"/>
                <w:kern w:val="0"/>
                <w:szCs w:val="21"/>
              </w:rPr>
            </w:pPr>
            <w:r>
              <w:rPr>
                <w:rFonts w:ascii="Times New Roman" w:hAnsi="Times New Roman"/>
                <w:spacing w:val="-2"/>
                <w:kern w:val="0"/>
                <w:szCs w:val="21"/>
              </w:rPr>
              <w:t>—</w:t>
            </w:r>
          </w:p>
        </w:tc>
      </w:tr>
      <w:tr w14:paraId="312FE4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47" w:type="dxa"/>
            <w:vAlign w:val="center"/>
          </w:tcPr>
          <w:p w14:paraId="73288B6A">
            <w:pPr>
              <w:jc w:val="center"/>
              <w:rPr>
                <w:rFonts w:ascii="Times New Roman" w:hAnsi="Times New Roman"/>
                <w:spacing w:val="-2"/>
                <w:kern w:val="0"/>
                <w:szCs w:val="21"/>
              </w:rPr>
            </w:pPr>
            <w:r>
              <w:rPr>
                <w:rFonts w:ascii="Times New Roman" w:hAnsi="Times New Roman"/>
                <w:spacing w:val="-2"/>
                <w:kern w:val="0"/>
                <w:szCs w:val="21"/>
              </w:rPr>
              <w:t>不敏感</w:t>
            </w:r>
          </w:p>
        </w:tc>
        <w:tc>
          <w:tcPr>
            <w:tcW w:w="871" w:type="dxa"/>
            <w:vAlign w:val="center"/>
          </w:tcPr>
          <w:p w14:paraId="757954F8">
            <w:pPr>
              <w:jc w:val="center"/>
              <w:rPr>
                <w:rFonts w:ascii="Times New Roman" w:hAnsi="Times New Roman"/>
                <w:spacing w:val="-2"/>
                <w:kern w:val="0"/>
                <w:szCs w:val="21"/>
              </w:rPr>
            </w:pPr>
            <w:r>
              <w:rPr>
                <w:rFonts w:ascii="Times New Roman" w:hAnsi="Times New Roman"/>
                <w:spacing w:val="-2"/>
                <w:kern w:val="0"/>
                <w:szCs w:val="21"/>
              </w:rPr>
              <w:t>一级</w:t>
            </w:r>
          </w:p>
        </w:tc>
        <w:tc>
          <w:tcPr>
            <w:tcW w:w="871" w:type="dxa"/>
            <w:vAlign w:val="center"/>
          </w:tcPr>
          <w:p w14:paraId="4ABDAAD9">
            <w:pPr>
              <w:jc w:val="center"/>
              <w:rPr>
                <w:rFonts w:ascii="Times New Roman" w:hAnsi="Times New Roman"/>
                <w:spacing w:val="-2"/>
                <w:kern w:val="0"/>
                <w:szCs w:val="21"/>
              </w:rPr>
            </w:pPr>
            <w:r>
              <w:rPr>
                <w:rFonts w:ascii="Times New Roman" w:hAnsi="Times New Roman"/>
                <w:spacing w:val="-2"/>
                <w:kern w:val="0"/>
                <w:szCs w:val="21"/>
              </w:rPr>
              <w:t>二级</w:t>
            </w:r>
          </w:p>
        </w:tc>
        <w:tc>
          <w:tcPr>
            <w:tcW w:w="871" w:type="dxa"/>
            <w:vAlign w:val="center"/>
          </w:tcPr>
          <w:p w14:paraId="6950314E">
            <w:pPr>
              <w:jc w:val="center"/>
              <w:rPr>
                <w:rFonts w:ascii="Times New Roman" w:hAnsi="Times New Roman"/>
                <w:spacing w:val="-2"/>
                <w:kern w:val="0"/>
                <w:szCs w:val="21"/>
              </w:rPr>
            </w:pPr>
            <w:r>
              <w:rPr>
                <w:rFonts w:ascii="Times New Roman" w:hAnsi="Times New Roman"/>
                <w:spacing w:val="-2"/>
                <w:kern w:val="0"/>
                <w:szCs w:val="21"/>
              </w:rPr>
              <w:t>二级</w:t>
            </w:r>
          </w:p>
        </w:tc>
        <w:tc>
          <w:tcPr>
            <w:tcW w:w="871" w:type="dxa"/>
            <w:vAlign w:val="center"/>
          </w:tcPr>
          <w:p w14:paraId="44805B72">
            <w:pPr>
              <w:jc w:val="center"/>
              <w:rPr>
                <w:rFonts w:ascii="Times New Roman" w:hAnsi="Times New Roman"/>
                <w:spacing w:val="-2"/>
                <w:kern w:val="0"/>
                <w:szCs w:val="21"/>
              </w:rPr>
            </w:pPr>
            <w:r>
              <w:rPr>
                <w:rFonts w:ascii="Times New Roman" w:hAnsi="Times New Roman"/>
                <w:spacing w:val="-2"/>
                <w:kern w:val="0"/>
                <w:szCs w:val="21"/>
              </w:rPr>
              <w:t>二级</w:t>
            </w:r>
          </w:p>
        </w:tc>
        <w:tc>
          <w:tcPr>
            <w:tcW w:w="871" w:type="dxa"/>
            <w:vAlign w:val="center"/>
          </w:tcPr>
          <w:p w14:paraId="0B4103A7">
            <w:pPr>
              <w:jc w:val="center"/>
              <w:rPr>
                <w:rFonts w:ascii="Times New Roman" w:hAnsi="Times New Roman"/>
                <w:spacing w:val="-2"/>
                <w:kern w:val="0"/>
                <w:szCs w:val="21"/>
              </w:rPr>
            </w:pPr>
            <w:r>
              <w:rPr>
                <w:rFonts w:ascii="Times New Roman" w:hAnsi="Times New Roman"/>
                <w:spacing w:val="-2"/>
                <w:kern w:val="0"/>
                <w:szCs w:val="21"/>
              </w:rPr>
              <w:t>三级</w:t>
            </w:r>
          </w:p>
        </w:tc>
        <w:tc>
          <w:tcPr>
            <w:tcW w:w="871" w:type="dxa"/>
            <w:vAlign w:val="center"/>
          </w:tcPr>
          <w:p w14:paraId="5835CBF9">
            <w:pPr>
              <w:jc w:val="center"/>
              <w:rPr>
                <w:rFonts w:ascii="Times New Roman" w:hAnsi="Times New Roman"/>
                <w:spacing w:val="-2"/>
                <w:kern w:val="0"/>
                <w:szCs w:val="21"/>
              </w:rPr>
            </w:pPr>
            <w:r>
              <w:rPr>
                <w:rFonts w:ascii="Times New Roman" w:hAnsi="Times New Roman"/>
                <w:spacing w:val="-2"/>
                <w:kern w:val="0"/>
                <w:szCs w:val="21"/>
              </w:rPr>
              <w:t>三级</w:t>
            </w:r>
          </w:p>
        </w:tc>
        <w:tc>
          <w:tcPr>
            <w:tcW w:w="871" w:type="dxa"/>
            <w:vAlign w:val="center"/>
          </w:tcPr>
          <w:p w14:paraId="22DEF30A">
            <w:pPr>
              <w:jc w:val="center"/>
              <w:rPr>
                <w:rFonts w:ascii="Times New Roman" w:hAnsi="Times New Roman"/>
                <w:spacing w:val="-2"/>
                <w:kern w:val="0"/>
                <w:szCs w:val="21"/>
              </w:rPr>
            </w:pPr>
            <w:r>
              <w:rPr>
                <w:rFonts w:ascii="Times New Roman" w:hAnsi="Times New Roman"/>
                <w:spacing w:val="-2"/>
                <w:kern w:val="0"/>
                <w:szCs w:val="21"/>
              </w:rPr>
              <w:t>三级</w:t>
            </w:r>
          </w:p>
        </w:tc>
        <w:tc>
          <w:tcPr>
            <w:tcW w:w="871" w:type="dxa"/>
            <w:vAlign w:val="center"/>
          </w:tcPr>
          <w:p w14:paraId="5E1E8978">
            <w:pPr>
              <w:jc w:val="center"/>
              <w:rPr>
                <w:rFonts w:ascii="Times New Roman" w:hAnsi="Times New Roman"/>
                <w:spacing w:val="-2"/>
                <w:kern w:val="0"/>
                <w:szCs w:val="21"/>
              </w:rPr>
            </w:pPr>
            <w:r>
              <w:rPr>
                <w:rFonts w:ascii="Times New Roman" w:hAnsi="Times New Roman"/>
                <w:spacing w:val="-2"/>
                <w:kern w:val="0"/>
                <w:szCs w:val="21"/>
              </w:rPr>
              <w:t>—</w:t>
            </w:r>
          </w:p>
        </w:tc>
        <w:tc>
          <w:tcPr>
            <w:tcW w:w="871" w:type="dxa"/>
            <w:vAlign w:val="center"/>
          </w:tcPr>
          <w:p w14:paraId="548C9B55">
            <w:pPr>
              <w:jc w:val="center"/>
              <w:rPr>
                <w:rFonts w:ascii="Times New Roman" w:hAnsi="Times New Roman"/>
                <w:spacing w:val="-2"/>
                <w:kern w:val="0"/>
                <w:szCs w:val="21"/>
              </w:rPr>
            </w:pPr>
            <w:r>
              <w:rPr>
                <w:rFonts w:ascii="Times New Roman" w:hAnsi="Times New Roman"/>
                <w:spacing w:val="-2"/>
                <w:kern w:val="0"/>
                <w:szCs w:val="21"/>
              </w:rPr>
              <w:t>—</w:t>
            </w:r>
          </w:p>
        </w:tc>
      </w:tr>
      <w:tr w14:paraId="7AA3BA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286" w:type="dxa"/>
            <w:gridSpan w:val="10"/>
            <w:vAlign w:val="center"/>
          </w:tcPr>
          <w:p w14:paraId="155BB7B8">
            <w:pPr>
              <w:rPr>
                <w:rFonts w:ascii="Times New Roman" w:hAnsi="Times New Roman"/>
                <w:spacing w:val="-2"/>
                <w:kern w:val="0"/>
                <w:szCs w:val="21"/>
              </w:rPr>
            </w:pPr>
            <w:r>
              <w:rPr>
                <w:rFonts w:ascii="Times New Roman" w:hAnsi="Times New Roman"/>
                <w:spacing w:val="-2"/>
                <w:kern w:val="0"/>
                <w:szCs w:val="21"/>
              </w:rPr>
              <w:t>注：“—”表示可不开展土壤环境影响评价工作</w:t>
            </w:r>
          </w:p>
        </w:tc>
      </w:tr>
    </w:tbl>
    <w:p w14:paraId="762B24BE">
      <w:pPr>
        <w:spacing w:line="360" w:lineRule="auto"/>
        <w:ind w:firstLine="472" w:firstLineChars="200"/>
        <w:rPr>
          <w:rFonts w:ascii="Times New Roman" w:hAnsi="Times New Roman"/>
          <w:spacing w:val="-2"/>
          <w:kern w:val="0"/>
          <w:sz w:val="24"/>
          <w:szCs w:val="20"/>
        </w:rPr>
      </w:pPr>
    </w:p>
    <w:p w14:paraId="702D94B7">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本项目为污染型</w:t>
      </w:r>
      <w:r>
        <w:rPr>
          <w:rFonts w:ascii="Times New Roman" w:hAnsi="Times New Roman"/>
          <w:spacing w:val="-2"/>
          <w:kern w:val="0"/>
          <w:sz w:val="24"/>
          <w:szCs w:val="24"/>
        </w:rPr>
        <w:t>Ⅲ</w:t>
      </w:r>
      <w:r>
        <w:rPr>
          <w:rFonts w:ascii="Times New Roman" w:hAnsi="Times New Roman"/>
          <w:spacing w:val="-2"/>
          <w:kern w:val="0"/>
          <w:sz w:val="24"/>
          <w:szCs w:val="20"/>
        </w:rPr>
        <w:t>类项目，占地为小型，敏感程度为不敏感，根据表1.5-1</w:t>
      </w:r>
      <w:r>
        <w:rPr>
          <w:rFonts w:hint="eastAsia" w:ascii="Times New Roman" w:hAnsi="Times New Roman"/>
          <w:spacing w:val="-2"/>
          <w:kern w:val="0"/>
          <w:sz w:val="24"/>
          <w:szCs w:val="20"/>
        </w:rPr>
        <w:t>1</w:t>
      </w:r>
      <w:r>
        <w:rPr>
          <w:rFonts w:ascii="Times New Roman" w:hAnsi="Times New Roman"/>
          <w:spacing w:val="-2"/>
          <w:kern w:val="0"/>
          <w:sz w:val="24"/>
          <w:szCs w:val="20"/>
        </w:rPr>
        <w:t>判定，项目土壤环境评价工作等级为可不开展土壤环境影响评价。</w:t>
      </w:r>
    </w:p>
    <w:p w14:paraId="1FAF2EE3">
      <w:pPr>
        <w:pStyle w:val="7"/>
      </w:pPr>
      <w:r>
        <w:t>环境风险评价等级</w:t>
      </w:r>
    </w:p>
    <w:p w14:paraId="1EA67E6D">
      <w:pPr>
        <w:spacing w:line="360" w:lineRule="auto"/>
        <w:ind w:firstLine="480"/>
        <w:rPr>
          <w:rFonts w:ascii="Times New Roman" w:hAnsi="Times New Roman"/>
          <w:spacing w:val="-2"/>
          <w:kern w:val="0"/>
          <w:sz w:val="24"/>
          <w:szCs w:val="24"/>
        </w:rPr>
      </w:pPr>
      <w:r>
        <w:rPr>
          <w:rFonts w:ascii="Times New Roman" w:hAnsi="Times New Roman"/>
          <w:spacing w:val="-2"/>
          <w:kern w:val="0"/>
          <w:sz w:val="24"/>
          <w:szCs w:val="24"/>
        </w:rPr>
        <w:t>环境风险评价工作等级判据见表1.5-11。</w:t>
      </w:r>
    </w:p>
    <w:p w14:paraId="744CEBC5">
      <w:pPr>
        <w:pStyle w:val="8"/>
        <w:rPr>
          <w:sz w:val="24"/>
          <w:szCs w:val="24"/>
        </w:rPr>
      </w:pPr>
      <w:r>
        <w:rPr>
          <w:sz w:val="24"/>
          <w:szCs w:val="24"/>
        </w:rPr>
        <w:t>评价工作等级划分</w:t>
      </w:r>
    </w:p>
    <w:tbl>
      <w:tblPr>
        <w:tblStyle w:val="88"/>
        <w:tblW w:w="928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151"/>
        <w:gridCol w:w="2060"/>
        <w:gridCol w:w="910"/>
        <w:gridCol w:w="910"/>
        <w:gridCol w:w="2255"/>
      </w:tblGrid>
      <w:tr w14:paraId="531E03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3151" w:type="dxa"/>
            <w:tcBorders>
              <w:top w:val="single" w:color="auto" w:sz="12" w:space="0"/>
              <w:left w:val="single" w:color="auto" w:sz="12" w:space="0"/>
              <w:bottom w:val="single" w:color="auto" w:sz="6" w:space="0"/>
              <w:right w:val="single" w:color="auto" w:sz="6" w:space="0"/>
            </w:tcBorders>
            <w:vAlign w:val="center"/>
          </w:tcPr>
          <w:p w14:paraId="45FDCC0B">
            <w:pPr>
              <w:jc w:val="center"/>
              <w:rPr>
                <w:rFonts w:ascii="Times New Roman" w:hAnsi="Times New Roman"/>
                <w:b/>
                <w:bCs/>
                <w:spacing w:val="-2"/>
                <w:kern w:val="0"/>
                <w:szCs w:val="21"/>
              </w:rPr>
            </w:pPr>
            <w:r>
              <w:rPr>
                <w:rFonts w:ascii="Times New Roman" w:hAnsi="Times New Roman"/>
                <w:b/>
                <w:bCs/>
                <w:spacing w:val="-2"/>
                <w:kern w:val="0"/>
                <w:szCs w:val="21"/>
              </w:rPr>
              <w:t>环境风险潜势</w:t>
            </w:r>
          </w:p>
        </w:tc>
        <w:tc>
          <w:tcPr>
            <w:tcW w:w="2060" w:type="dxa"/>
            <w:tcBorders>
              <w:top w:val="single" w:color="auto" w:sz="12" w:space="0"/>
              <w:left w:val="single" w:color="auto" w:sz="6" w:space="0"/>
              <w:bottom w:val="single" w:color="auto" w:sz="6" w:space="0"/>
              <w:right w:val="single" w:color="auto" w:sz="6" w:space="0"/>
            </w:tcBorders>
            <w:vAlign w:val="center"/>
          </w:tcPr>
          <w:p w14:paraId="348995FE">
            <w:pPr>
              <w:jc w:val="center"/>
              <w:rPr>
                <w:rFonts w:ascii="Times New Roman" w:hAnsi="Times New Roman"/>
                <w:b/>
                <w:bCs/>
                <w:spacing w:val="-2"/>
                <w:kern w:val="0"/>
                <w:szCs w:val="21"/>
              </w:rPr>
            </w:pPr>
            <w:r>
              <w:rPr>
                <w:rFonts w:ascii="Times New Roman" w:hAnsi="Times New Roman"/>
                <w:b/>
                <w:bCs/>
                <w:spacing w:val="-2"/>
                <w:kern w:val="0"/>
                <w:szCs w:val="21"/>
              </w:rPr>
              <w:t>Ⅳ、Ⅳ</w:t>
            </w:r>
            <w:r>
              <w:rPr>
                <w:rFonts w:ascii="Times New Roman" w:hAnsi="Times New Roman"/>
                <w:b/>
                <w:bCs/>
                <w:spacing w:val="-2"/>
                <w:kern w:val="0"/>
                <w:szCs w:val="21"/>
                <w:vertAlign w:val="superscript"/>
              </w:rPr>
              <w:t>+</w:t>
            </w:r>
          </w:p>
        </w:tc>
        <w:tc>
          <w:tcPr>
            <w:tcW w:w="910" w:type="dxa"/>
            <w:tcBorders>
              <w:top w:val="single" w:color="auto" w:sz="12" w:space="0"/>
              <w:left w:val="single" w:color="auto" w:sz="6" w:space="0"/>
              <w:bottom w:val="single" w:color="auto" w:sz="6" w:space="0"/>
              <w:right w:val="single" w:color="auto" w:sz="6" w:space="0"/>
            </w:tcBorders>
            <w:vAlign w:val="center"/>
          </w:tcPr>
          <w:p w14:paraId="1D4BFC81">
            <w:pPr>
              <w:jc w:val="center"/>
              <w:rPr>
                <w:rFonts w:ascii="Times New Roman" w:hAnsi="Times New Roman"/>
                <w:b/>
                <w:bCs/>
                <w:spacing w:val="-2"/>
                <w:kern w:val="0"/>
                <w:szCs w:val="21"/>
              </w:rPr>
            </w:pPr>
            <w:r>
              <w:rPr>
                <w:rFonts w:ascii="Times New Roman" w:hAnsi="Times New Roman"/>
                <w:b/>
                <w:bCs/>
                <w:spacing w:val="-2"/>
                <w:kern w:val="0"/>
                <w:szCs w:val="21"/>
              </w:rPr>
              <w:t>Ⅲ</w:t>
            </w:r>
          </w:p>
        </w:tc>
        <w:tc>
          <w:tcPr>
            <w:tcW w:w="910" w:type="dxa"/>
            <w:tcBorders>
              <w:top w:val="single" w:color="auto" w:sz="12" w:space="0"/>
              <w:left w:val="single" w:color="auto" w:sz="6" w:space="0"/>
              <w:bottom w:val="single" w:color="auto" w:sz="6" w:space="0"/>
              <w:right w:val="single" w:color="auto" w:sz="6" w:space="0"/>
            </w:tcBorders>
            <w:vAlign w:val="center"/>
          </w:tcPr>
          <w:p w14:paraId="0722A26E">
            <w:pPr>
              <w:jc w:val="center"/>
              <w:rPr>
                <w:rFonts w:ascii="Times New Roman" w:hAnsi="Times New Roman"/>
                <w:b/>
                <w:bCs/>
                <w:spacing w:val="-2"/>
                <w:kern w:val="0"/>
                <w:szCs w:val="21"/>
              </w:rPr>
            </w:pPr>
            <w:r>
              <w:rPr>
                <w:rFonts w:ascii="Times New Roman" w:hAnsi="Times New Roman"/>
                <w:b/>
                <w:bCs/>
                <w:spacing w:val="-2"/>
                <w:kern w:val="0"/>
                <w:szCs w:val="21"/>
              </w:rPr>
              <w:t>Ⅱ</w:t>
            </w:r>
          </w:p>
        </w:tc>
        <w:tc>
          <w:tcPr>
            <w:tcW w:w="2255" w:type="dxa"/>
            <w:tcBorders>
              <w:top w:val="single" w:color="auto" w:sz="12" w:space="0"/>
              <w:left w:val="single" w:color="auto" w:sz="6" w:space="0"/>
              <w:bottom w:val="single" w:color="auto" w:sz="6" w:space="0"/>
              <w:right w:val="single" w:color="auto" w:sz="12" w:space="0"/>
            </w:tcBorders>
            <w:vAlign w:val="center"/>
          </w:tcPr>
          <w:p w14:paraId="56BE06F7">
            <w:pPr>
              <w:jc w:val="center"/>
              <w:rPr>
                <w:rFonts w:ascii="Times New Roman" w:hAnsi="Times New Roman"/>
                <w:b/>
                <w:bCs/>
                <w:spacing w:val="-2"/>
                <w:kern w:val="0"/>
                <w:szCs w:val="21"/>
              </w:rPr>
            </w:pPr>
            <w:r>
              <w:rPr>
                <w:rFonts w:ascii="Times New Roman" w:hAnsi="Times New Roman"/>
                <w:b/>
                <w:bCs/>
                <w:spacing w:val="-2"/>
                <w:kern w:val="0"/>
                <w:szCs w:val="21"/>
              </w:rPr>
              <w:t>Ⅰ</w:t>
            </w:r>
          </w:p>
        </w:tc>
      </w:tr>
      <w:tr w14:paraId="176E19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3151" w:type="dxa"/>
            <w:tcBorders>
              <w:top w:val="single" w:color="auto" w:sz="6" w:space="0"/>
              <w:left w:val="single" w:color="auto" w:sz="12" w:space="0"/>
              <w:bottom w:val="single" w:color="auto" w:sz="12" w:space="0"/>
              <w:right w:val="single" w:color="auto" w:sz="6" w:space="0"/>
            </w:tcBorders>
            <w:vAlign w:val="center"/>
          </w:tcPr>
          <w:p w14:paraId="417DFF6B">
            <w:pPr>
              <w:jc w:val="center"/>
              <w:rPr>
                <w:rFonts w:ascii="Times New Roman" w:hAnsi="Times New Roman"/>
                <w:spacing w:val="-2"/>
                <w:kern w:val="0"/>
                <w:szCs w:val="21"/>
              </w:rPr>
            </w:pPr>
            <w:r>
              <w:rPr>
                <w:rFonts w:ascii="Times New Roman" w:hAnsi="Times New Roman"/>
                <w:spacing w:val="-2"/>
                <w:kern w:val="0"/>
                <w:szCs w:val="21"/>
              </w:rPr>
              <w:t>评价工作等级</w:t>
            </w:r>
          </w:p>
        </w:tc>
        <w:tc>
          <w:tcPr>
            <w:tcW w:w="2060" w:type="dxa"/>
            <w:tcBorders>
              <w:top w:val="single" w:color="auto" w:sz="6" w:space="0"/>
              <w:left w:val="single" w:color="auto" w:sz="6" w:space="0"/>
              <w:bottom w:val="single" w:color="auto" w:sz="12" w:space="0"/>
              <w:right w:val="single" w:color="auto" w:sz="6" w:space="0"/>
            </w:tcBorders>
            <w:vAlign w:val="center"/>
          </w:tcPr>
          <w:p w14:paraId="19BC9419">
            <w:pPr>
              <w:jc w:val="center"/>
              <w:rPr>
                <w:rFonts w:ascii="Times New Roman" w:hAnsi="Times New Roman"/>
                <w:spacing w:val="-2"/>
                <w:kern w:val="0"/>
                <w:szCs w:val="21"/>
              </w:rPr>
            </w:pPr>
            <w:r>
              <w:rPr>
                <w:rFonts w:ascii="Times New Roman" w:hAnsi="Times New Roman"/>
                <w:spacing w:val="-2"/>
                <w:kern w:val="0"/>
                <w:szCs w:val="21"/>
              </w:rPr>
              <w:t>一</w:t>
            </w:r>
          </w:p>
        </w:tc>
        <w:tc>
          <w:tcPr>
            <w:tcW w:w="910" w:type="dxa"/>
            <w:tcBorders>
              <w:top w:val="single" w:color="auto" w:sz="6" w:space="0"/>
              <w:left w:val="single" w:color="auto" w:sz="6" w:space="0"/>
              <w:bottom w:val="single" w:color="auto" w:sz="12" w:space="0"/>
              <w:right w:val="single" w:color="auto" w:sz="6" w:space="0"/>
            </w:tcBorders>
            <w:vAlign w:val="center"/>
          </w:tcPr>
          <w:p w14:paraId="728A4FF5">
            <w:pPr>
              <w:jc w:val="center"/>
              <w:rPr>
                <w:rFonts w:ascii="Times New Roman" w:hAnsi="Times New Roman"/>
                <w:spacing w:val="-2"/>
                <w:kern w:val="0"/>
                <w:szCs w:val="21"/>
              </w:rPr>
            </w:pPr>
            <w:r>
              <w:rPr>
                <w:rFonts w:ascii="Times New Roman" w:hAnsi="Times New Roman"/>
                <w:spacing w:val="-2"/>
                <w:kern w:val="0"/>
                <w:szCs w:val="21"/>
              </w:rPr>
              <w:t>二</w:t>
            </w:r>
          </w:p>
        </w:tc>
        <w:tc>
          <w:tcPr>
            <w:tcW w:w="910" w:type="dxa"/>
            <w:tcBorders>
              <w:top w:val="single" w:color="auto" w:sz="6" w:space="0"/>
              <w:left w:val="single" w:color="auto" w:sz="6" w:space="0"/>
              <w:bottom w:val="single" w:color="auto" w:sz="12" w:space="0"/>
              <w:right w:val="single" w:color="auto" w:sz="6" w:space="0"/>
            </w:tcBorders>
            <w:vAlign w:val="center"/>
          </w:tcPr>
          <w:p w14:paraId="3F2A51C8">
            <w:pPr>
              <w:jc w:val="center"/>
              <w:rPr>
                <w:rFonts w:ascii="Times New Roman" w:hAnsi="Times New Roman"/>
                <w:spacing w:val="-2"/>
                <w:kern w:val="0"/>
                <w:szCs w:val="21"/>
              </w:rPr>
            </w:pPr>
            <w:r>
              <w:rPr>
                <w:rFonts w:ascii="Times New Roman" w:hAnsi="Times New Roman"/>
                <w:spacing w:val="-2"/>
                <w:kern w:val="0"/>
                <w:szCs w:val="21"/>
              </w:rPr>
              <w:t>三</w:t>
            </w:r>
          </w:p>
        </w:tc>
        <w:tc>
          <w:tcPr>
            <w:tcW w:w="2255" w:type="dxa"/>
            <w:tcBorders>
              <w:top w:val="single" w:color="auto" w:sz="6" w:space="0"/>
              <w:left w:val="single" w:color="auto" w:sz="6" w:space="0"/>
              <w:bottom w:val="single" w:color="auto" w:sz="12" w:space="0"/>
              <w:right w:val="single" w:color="auto" w:sz="12" w:space="0"/>
            </w:tcBorders>
            <w:vAlign w:val="center"/>
          </w:tcPr>
          <w:p w14:paraId="55902F29">
            <w:pPr>
              <w:jc w:val="center"/>
              <w:rPr>
                <w:rFonts w:ascii="Times New Roman" w:hAnsi="Times New Roman"/>
                <w:spacing w:val="-2"/>
                <w:kern w:val="0"/>
                <w:szCs w:val="21"/>
              </w:rPr>
            </w:pPr>
            <w:r>
              <w:rPr>
                <w:rFonts w:ascii="Times New Roman" w:hAnsi="Times New Roman"/>
                <w:spacing w:val="-2"/>
                <w:kern w:val="0"/>
                <w:szCs w:val="21"/>
              </w:rPr>
              <w:t>简单分析</w:t>
            </w:r>
          </w:p>
        </w:tc>
      </w:tr>
    </w:tbl>
    <w:p w14:paraId="75C1FE6C">
      <w:pPr>
        <w:spacing w:line="360" w:lineRule="auto"/>
        <w:ind w:firstLine="472" w:firstLineChars="200"/>
        <w:rPr>
          <w:rFonts w:ascii="Times New Roman" w:hAnsi="Times New Roman"/>
          <w:spacing w:val="-2"/>
          <w:kern w:val="0"/>
          <w:sz w:val="24"/>
          <w:szCs w:val="24"/>
        </w:rPr>
      </w:pPr>
    </w:p>
    <w:p w14:paraId="2E4A64E1">
      <w:pPr>
        <w:widowControl/>
        <w:adjustRightInd w:val="0"/>
        <w:snapToGri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本项目选矿采用干式磁选，选矿过程不添加药剂，</w:t>
      </w:r>
      <w:r>
        <w:rPr>
          <w:rFonts w:ascii="Times New Roman" w:hAnsi="Times New Roman"/>
          <w:sz w:val="24"/>
          <w:szCs w:val="24"/>
        </w:rPr>
        <w:t>本项目</w:t>
      </w:r>
      <w:r>
        <w:rPr>
          <w:rFonts w:hint="eastAsia" w:ascii="Times New Roman" w:hAnsi="Times New Roman"/>
          <w:sz w:val="24"/>
          <w:szCs w:val="24"/>
        </w:rPr>
        <w:t>涉及的</w:t>
      </w:r>
      <w:r>
        <w:rPr>
          <w:rFonts w:ascii="Times New Roman" w:hAnsi="Times New Roman"/>
          <w:sz w:val="24"/>
          <w:szCs w:val="24"/>
        </w:rPr>
        <w:t>风险物质</w:t>
      </w:r>
      <w:r>
        <w:rPr>
          <w:rFonts w:hint="eastAsia" w:ascii="Times New Roman" w:hAnsi="Times New Roman"/>
          <w:sz w:val="24"/>
          <w:szCs w:val="24"/>
        </w:rPr>
        <w:t>为废机油</w:t>
      </w:r>
      <w:r>
        <w:rPr>
          <w:rFonts w:ascii="Times New Roman" w:hAnsi="Times New Roman"/>
          <w:spacing w:val="-2"/>
          <w:kern w:val="0"/>
          <w:sz w:val="24"/>
          <w:szCs w:val="24"/>
        </w:rPr>
        <w:t>，项目主要</w:t>
      </w:r>
      <w:r>
        <w:rPr>
          <w:rFonts w:hint="eastAsia" w:ascii="Times New Roman" w:hAnsi="Times New Roman"/>
          <w:spacing w:val="-2"/>
          <w:kern w:val="0"/>
          <w:sz w:val="24"/>
          <w:szCs w:val="24"/>
        </w:rPr>
        <w:t>环境风险</w:t>
      </w:r>
      <w:r>
        <w:rPr>
          <w:rFonts w:ascii="Times New Roman" w:hAnsi="Times New Roman"/>
          <w:spacing w:val="-2"/>
          <w:kern w:val="0"/>
          <w:sz w:val="24"/>
          <w:szCs w:val="24"/>
        </w:rPr>
        <w:t>物质情况见表</w:t>
      </w:r>
      <w:r>
        <w:rPr>
          <w:rFonts w:hint="eastAsia" w:ascii="Times New Roman" w:hAnsi="Times New Roman"/>
          <w:spacing w:val="-2"/>
          <w:kern w:val="0"/>
          <w:sz w:val="24"/>
          <w:szCs w:val="24"/>
        </w:rPr>
        <w:t>1.5-13。</w:t>
      </w:r>
    </w:p>
    <w:p w14:paraId="770CD816">
      <w:pPr>
        <w:pStyle w:val="8"/>
        <w:rPr>
          <w:sz w:val="24"/>
          <w:szCs w:val="24"/>
        </w:rPr>
      </w:pPr>
      <w:r>
        <w:rPr>
          <w:sz w:val="24"/>
          <w:szCs w:val="24"/>
        </w:rPr>
        <w:t>环境风险物质与临界量</w:t>
      </w:r>
    </w:p>
    <w:tbl>
      <w:tblPr>
        <w:tblStyle w:val="88"/>
        <w:tblW w:w="9040"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645"/>
        <w:gridCol w:w="1090"/>
        <w:gridCol w:w="1654"/>
        <w:gridCol w:w="1535"/>
        <w:gridCol w:w="1022"/>
        <w:gridCol w:w="2018"/>
        <w:gridCol w:w="1076"/>
      </w:tblGrid>
      <w:tr w14:paraId="4D69A1F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645" w:type="dxa"/>
            <w:vAlign w:val="center"/>
          </w:tcPr>
          <w:p w14:paraId="42CAC7B7">
            <w:pPr>
              <w:jc w:val="center"/>
              <w:rPr>
                <w:rFonts w:ascii="Times New Roman" w:hAnsi="Times New Roman"/>
                <w:b/>
                <w:bCs/>
                <w:szCs w:val="21"/>
              </w:rPr>
            </w:pPr>
            <w:r>
              <w:rPr>
                <w:rFonts w:ascii="Times New Roman" w:hAnsi="Times New Roman"/>
                <w:b/>
                <w:bCs/>
                <w:szCs w:val="21"/>
              </w:rPr>
              <w:t>序号</w:t>
            </w:r>
          </w:p>
        </w:tc>
        <w:tc>
          <w:tcPr>
            <w:tcW w:w="1090" w:type="dxa"/>
            <w:vAlign w:val="center"/>
          </w:tcPr>
          <w:p w14:paraId="785C9DE8">
            <w:pPr>
              <w:jc w:val="center"/>
              <w:rPr>
                <w:rFonts w:ascii="Times New Roman" w:hAnsi="Times New Roman"/>
                <w:b/>
                <w:bCs/>
                <w:szCs w:val="21"/>
              </w:rPr>
            </w:pPr>
            <w:r>
              <w:rPr>
                <w:rFonts w:ascii="Times New Roman" w:hAnsi="Times New Roman"/>
                <w:b/>
                <w:bCs/>
                <w:szCs w:val="21"/>
              </w:rPr>
              <w:t>名称</w:t>
            </w:r>
          </w:p>
        </w:tc>
        <w:tc>
          <w:tcPr>
            <w:tcW w:w="1654" w:type="dxa"/>
            <w:vAlign w:val="center"/>
          </w:tcPr>
          <w:p w14:paraId="1422B2BD">
            <w:pPr>
              <w:jc w:val="center"/>
              <w:rPr>
                <w:rFonts w:ascii="Times New Roman" w:hAnsi="Times New Roman"/>
                <w:b/>
                <w:bCs/>
                <w:szCs w:val="21"/>
              </w:rPr>
            </w:pPr>
            <w:r>
              <w:rPr>
                <w:rFonts w:ascii="Times New Roman" w:hAnsi="Times New Roman"/>
                <w:b/>
                <w:bCs/>
                <w:szCs w:val="21"/>
              </w:rPr>
              <w:t>CAS</w:t>
            </w:r>
            <w:r>
              <w:rPr>
                <w:rFonts w:hint="eastAsia" w:ascii="Times New Roman" w:hAnsi="Times New Roman"/>
                <w:b/>
                <w:bCs/>
                <w:szCs w:val="21"/>
              </w:rPr>
              <w:t>号</w:t>
            </w:r>
          </w:p>
        </w:tc>
        <w:tc>
          <w:tcPr>
            <w:tcW w:w="1535" w:type="dxa"/>
            <w:vAlign w:val="center"/>
          </w:tcPr>
          <w:p w14:paraId="122FAE0B">
            <w:pPr>
              <w:jc w:val="center"/>
              <w:rPr>
                <w:rFonts w:ascii="Times New Roman" w:hAnsi="Times New Roman"/>
                <w:b/>
                <w:bCs/>
                <w:szCs w:val="21"/>
              </w:rPr>
            </w:pPr>
            <w:r>
              <w:rPr>
                <w:rFonts w:ascii="Times New Roman" w:hAnsi="Times New Roman"/>
                <w:b/>
                <w:bCs/>
                <w:szCs w:val="21"/>
              </w:rPr>
              <w:t>最大储量/t</w:t>
            </w:r>
          </w:p>
        </w:tc>
        <w:tc>
          <w:tcPr>
            <w:tcW w:w="1022" w:type="dxa"/>
            <w:vAlign w:val="center"/>
          </w:tcPr>
          <w:p w14:paraId="4A348402">
            <w:pPr>
              <w:jc w:val="center"/>
              <w:rPr>
                <w:rFonts w:ascii="Times New Roman" w:hAnsi="Times New Roman"/>
                <w:b/>
                <w:bCs/>
                <w:szCs w:val="21"/>
              </w:rPr>
            </w:pPr>
            <w:r>
              <w:rPr>
                <w:rFonts w:ascii="Times New Roman" w:hAnsi="Times New Roman"/>
                <w:b/>
                <w:bCs/>
                <w:szCs w:val="21"/>
              </w:rPr>
              <w:t>临界量/t</w:t>
            </w:r>
          </w:p>
        </w:tc>
        <w:tc>
          <w:tcPr>
            <w:tcW w:w="2018" w:type="dxa"/>
            <w:vAlign w:val="center"/>
          </w:tcPr>
          <w:p w14:paraId="5BB91A6A">
            <w:pPr>
              <w:jc w:val="center"/>
              <w:rPr>
                <w:rFonts w:ascii="Times New Roman" w:hAnsi="Times New Roman"/>
                <w:b/>
                <w:bCs/>
                <w:szCs w:val="21"/>
              </w:rPr>
            </w:pPr>
            <w:r>
              <w:rPr>
                <w:rFonts w:ascii="Times New Roman" w:hAnsi="Times New Roman"/>
                <w:b/>
                <w:bCs/>
                <w:szCs w:val="21"/>
              </w:rPr>
              <w:t>该种危险物质Q值</w:t>
            </w:r>
          </w:p>
        </w:tc>
        <w:tc>
          <w:tcPr>
            <w:tcW w:w="1076" w:type="dxa"/>
            <w:vAlign w:val="center"/>
          </w:tcPr>
          <w:p w14:paraId="67373E9B">
            <w:pPr>
              <w:jc w:val="center"/>
              <w:rPr>
                <w:rFonts w:ascii="Times New Roman" w:hAnsi="Times New Roman"/>
                <w:b/>
                <w:bCs/>
                <w:szCs w:val="21"/>
              </w:rPr>
            </w:pPr>
            <w:r>
              <w:rPr>
                <w:rFonts w:ascii="Times New Roman" w:hAnsi="Times New Roman"/>
                <w:b/>
                <w:bCs/>
                <w:szCs w:val="21"/>
              </w:rPr>
              <w:t>贮存方式</w:t>
            </w:r>
          </w:p>
        </w:tc>
      </w:tr>
      <w:tr w14:paraId="4E78214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645" w:type="dxa"/>
            <w:vAlign w:val="center"/>
          </w:tcPr>
          <w:p w14:paraId="68766806">
            <w:pPr>
              <w:jc w:val="center"/>
              <w:rPr>
                <w:rFonts w:ascii="Times New Roman" w:hAnsi="Times New Roman"/>
                <w:szCs w:val="21"/>
              </w:rPr>
            </w:pPr>
            <w:r>
              <w:rPr>
                <w:rFonts w:ascii="Times New Roman" w:hAnsi="Times New Roman"/>
                <w:szCs w:val="21"/>
              </w:rPr>
              <w:t>1</w:t>
            </w:r>
          </w:p>
        </w:tc>
        <w:tc>
          <w:tcPr>
            <w:tcW w:w="1090" w:type="dxa"/>
            <w:vAlign w:val="center"/>
          </w:tcPr>
          <w:p w14:paraId="2181A757">
            <w:pPr>
              <w:pStyle w:val="31"/>
              <w:spacing w:after="0"/>
              <w:jc w:val="center"/>
              <w:rPr>
                <w:rFonts w:ascii="Times New Roman" w:hAnsi="Times New Roman"/>
                <w:sz w:val="21"/>
                <w:szCs w:val="21"/>
              </w:rPr>
            </w:pPr>
            <w:r>
              <w:rPr>
                <w:rFonts w:ascii="Times New Roman" w:hAnsi="Times New Roman"/>
                <w:sz w:val="21"/>
                <w:szCs w:val="21"/>
              </w:rPr>
              <w:t>废机油</w:t>
            </w:r>
          </w:p>
        </w:tc>
        <w:tc>
          <w:tcPr>
            <w:tcW w:w="1654" w:type="dxa"/>
            <w:vAlign w:val="center"/>
          </w:tcPr>
          <w:p w14:paraId="05FD836F">
            <w:pPr>
              <w:pStyle w:val="31"/>
              <w:spacing w:after="0"/>
              <w:jc w:val="center"/>
              <w:rPr>
                <w:rFonts w:ascii="Times New Roman" w:hAnsi="Times New Roman"/>
                <w:sz w:val="21"/>
                <w:szCs w:val="21"/>
              </w:rPr>
            </w:pPr>
            <w:r>
              <w:rPr>
                <w:rFonts w:ascii="Times New Roman" w:hAnsi="Times New Roman"/>
                <w:sz w:val="21"/>
                <w:szCs w:val="21"/>
              </w:rPr>
              <w:t>900-214-08</w:t>
            </w:r>
          </w:p>
        </w:tc>
        <w:tc>
          <w:tcPr>
            <w:tcW w:w="1535" w:type="dxa"/>
            <w:vAlign w:val="center"/>
          </w:tcPr>
          <w:p w14:paraId="69A7F018">
            <w:pPr>
              <w:pStyle w:val="31"/>
              <w:spacing w:after="0"/>
              <w:jc w:val="center"/>
              <w:rPr>
                <w:rFonts w:ascii="Times New Roman" w:hAnsi="Times New Roman"/>
                <w:sz w:val="21"/>
                <w:szCs w:val="21"/>
                <w:u w:val="single"/>
              </w:rPr>
            </w:pPr>
            <w:r>
              <w:rPr>
                <w:rFonts w:ascii="Times New Roman" w:hAnsi="Times New Roman"/>
                <w:sz w:val="21"/>
                <w:szCs w:val="21"/>
                <w:u w:val="single"/>
              </w:rPr>
              <w:t>0.</w:t>
            </w:r>
            <w:r>
              <w:rPr>
                <w:rFonts w:hint="eastAsia" w:ascii="Times New Roman" w:hAnsi="Times New Roman"/>
                <w:sz w:val="21"/>
                <w:szCs w:val="21"/>
                <w:u w:val="single"/>
              </w:rPr>
              <w:t>3</w:t>
            </w:r>
          </w:p>
        </w:tc>
        <w:tc>
          <w:tcPr>
            <w:tcW w:w="1022" w:type="dxa"/>
            <w:vAlign w:val="center"/>
          </w:tcPr>
          <w:p w14:paraId="6AB2C074">
            <w:pPr>
              <w:pStyle w:val="31"/>
              <w:spacing w:after="0"/>
              <w:jc w:val="center"/>
              <w:rPr>
                <w:rFonts w:ascii="Times New Roman" w:hAnsi="Times New Roman"/>
                <w:sz w:val="21"/>
                <w:szCs w:val="21"/>
              </w:rPr>
            </w:pPr>
            <w:r>
              <w:rPr>
                <w:rFonts w:hint="eastAsia" w:ascii="Times New Roman" w:hAnsi="Times New Roman"/>
                <w:sz w:val="21"/>
                <w:szCs w:val="21"/>
              </w:rPr>
              <w:t>25</w:t>
            </w:r>
            <w:r>
              <w:rPr>
                <w:rFonts w:ascii="Times New Roman" w:hAnsi="Times New Roman"/>
                <w:sz w:val="21"/>
                <w:szCs w:val="21"/>
              </w:rPr>
              <w:t>00</w:t>
            </w:r>
          </w:p>
        </w:tc>
        <w:tc>
          <w:tcPr>
            <w:tcW w:w="2018" w:type="dxa"/>
            <w:vAlign w:val="center"/>
          </w:tcPr>
          <w:p w14:paraId="668E0605">
            <w:pPr>
              <w:jc w:val="center"/>
              <w:textAlignment w:val="center"/>
              <w:rPr>
                <w:rFonts w:ascii="Times New Roman" w:hAnsi="Times New Roman"/>
                <w:szCs w:val="21"/>
                <w:u w:val="single"/>
              </w:rPr>
            </w:pPr>
            <w:r>
              <w:rPr>
                <w:rFonts w:ascii="Times New Roman" w:hAnsi="Times New Roman"/>
                <w:szCs w:val="21"/>
                <w:u w:val="single"/>
              </w:rPr>
              <w:t>0.000</w:t>
            </w:r>
            <w:r>
              <w:rPr>
                <w:rFonts w:hint="eastAsia" w:ascii="Times New Roman" w:hAnsi="Times New Roman"/>
                <w:szCs w:val="21"/>
                <w:u w:val="single"/>
              </w:rPr>
              <w:t>1</w:t>
            </w:r>
            <w:r>
              <w:rPr>
                <w:rFonts w:ascii="Times New Roman" w:hAnsi="Times New Roman"/>
                <w:szCs w:val="21"/>
                <w:u w:val="single"/>
              </w:rPr>
              <w:t>2</w:t>
            </w:r>
          </w:p>
        </w:tc>
        <w:tc>
          <w:tcPr>
            <w:tcW w:w="1076" w:type="dxa"/>
            <w:vAlign w:val="center"/>
          </w:tcPr>
          <w:p w14:paraId="7189CC86">
            <w:pPr>
              <w:jc w:val="center"/>
              <w:rPr>
                <w:rFonts w:ascii="Times New Roman" w:hAnsi="Times New Roman"/>
                <w:szCs w:val="21"/>
              </w:rPr>
            </w:pPr>
            <w:r>
              <w:rPr>
                <w:rFonts w:ascii="Times New Roman" w:hAnsi="Times New Roman"/>
                <w:szCs w:val="21"/>
              </w:rPr>
              <w:t>桶装</w:t>
            </w:r>
          </w:p>
        </w:tc>
      </w:tr>
      <w:tr w14:paraId="723D5CB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645" w:type="dxa"/>
            <w:vAlign w:val="center"/>
          </w:tcPr>
          <w:p w14:paraId="71A23ABF">
            <w:pPr>
              <w:jc w:val="center"/>
              <w:rPr>
                <w:rFonts w:ascii="Times New Roman" w:hAnsi="Times New Roman"/>
                <w:szCs w:val="21"/>
              </w:rPr>
            </w:pPr>
          </w:p>
        </w:tc>
        <w:tc>
          <w:tcPr>
            <w:tcW w:w="5301" w:type="dxa"/>
            <w:gridSpan w:val="4"/>
            <w:vAlign w:val="center"/>
          </w:tcPr>
          <w:p w14:paraId="77B49EEE">
            <w:pPr>
              <w:pStyle w:val="31"/>
              <w:spacing w:after="0"/>
              <w:jc w:val="center"/>
              <w:rPr>
                <w:rFonts w:ascii="Times New Roman" w:hAnsi="Times New Roman"/>
                <w:sz w:val="21"/>
                <w:szCs w:val="21"/>
              </w:rPr>
            </w:pPr>
            <w:r>
              <w:rPr>
                <w:rFonts w:ascii="Times New Roman" w:hAnsi="Times New Roman"/>
                <w:sz w:val="21"/>
                <w:szCs w:val="21"/>
              </w:rPr>
              <w:t>Q合计</w:t>
            </w:r>
          </w:p>
        </w:tc>
        <w:tc>
          <w:tcPr>
            <w:tcW w:w="2018" w:type="dxa"/>
            <w:vAlign w:val="center"/>
          </w:tcPr>
          <w:p w14:paraId="6741FFE1">
            <w:pPr>
              <w:jc w:val="center"/>
              <w:textAlignment w:val="center"/>
              <w:rPr>
                <w:rFonts w:ascii="Times New Roman" w:hAnsi="Times New Roman"/>
                <w:szCs w:val="21"/>
                <w:u w:val="single"/>
              </w:rPr>
            </w:pPr>
            <w:r>
              <w:rPr>
                <w:rFonts w:ascii="Times New Roman" w:hAnsi="Times New Roman"/>
                <w:szCs w:val="21"/>
                <w:u w:val="single"/>
              </w:rPr>
              <w:t>0.000</w:t>
            </w:r>
            <w:r>
              <w:rPr>
                <w:rFonts w:hint="eastAsia" w:ascii="Times New Roman" w:hAnsi="Times New Roman"/>
                <w:szCs w:val="21"/>
                <w:u w:val="single"/>
              </w:rPr>
              <w:t>1</w:t>
            </w:r>
            <w:r>
              <w:rPr>
                <w:rFonts w:ascii="Times New Roman" w:hAnsi="Times New Roman"/>
                <w:szCs w:val="21"/>
                <w:u w:val="single"/>
              </w:rPr>
              <w:t>2</w:t>
            </w:r>
          </w:p>
        </w:tc>
        <w:tc>
          <w:tcPr>
            <w:tcW w:w="1076" w:type="dxa"/>
            <w:vAlign w:val="center"/>
          </w:tcPr>
          <w:p w14:paraId="6A023879">
            <w:pPr>
              <w:jc w:val="center"/>
              <w:rPr>
                <w:rFonts w:ascii="Times New Roman" w:hAnsi="Times New Roman"/>
                <w:szCs w:val="21"/>
              </w:rPr>
            </w:pPr>
            <w:r>
              <w:rPr>
                <w:rFonts w:ascii="Times New Roman" w:hAnsi="Times New Roman"/>
                <w:szCs w:val="21"/>
              </w:rPr>
              <w:t>/</w:t>
            </w:r>
          </w:p>
        </w:tc>
      </w:tr>
    </w:tbl>
    <w:p w14:paraId="371A9B64">
      <w:pPr>
        <w:widowControl/>
        <w:adjustRightInd w:val="0"/>
        <w:snapToGrid w:val="0"/>
        <w:spacing w:line="360" w:lineRule="auto"/>
        <w:ind w:firstLine="472" w:firstLineChars="200"/>
        <w:rPr>
          <w:rFonts w:ascii="Times New Roman" w:hAnsi="Times New Roman"/>
          <w:spacing w:val="-2"/>
          <w:kern w:val="0"/>
          <w:sz w:val="24"/>
          <w:szCs w:val="24"/>
        </w:rPr>
      </w:pPr>
    </w:p>
    <w:p w14:paraId="12C82D1D">
      <w:pPr>
        <w:widowControl/>
        <w:adjustRightInd w:val="0"/>
        <w:snapToGri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u w:val="single"/>
        </w:rPr>
        <w:t>本项目Q=0.0</w:t>
      </w:r>
      <w:r>
        <w:rPr>
          <w:rFonts w:hint="eastAsia" w:ascii="Times New Roman" w:hAnsi="Times New Roman"/>
          <w:spacing w:val="-2"/>
          <w:kern w:val="0"/>
          <w:sz w:val="24"/>
          <w:szCs w:val="24"/>
          <w:u w:val="single"/>
        </w:rPr>
        <w:t>0</w:t>
      </w:r>
      <w:r>
        <w:rPr>
          <w:rFonts w:ascii="Times New Roman" w:hAnsi="Times New Roman"/>
          <w:spacing w:val="-2"/>
          <w:kern w:val="0"/>
          <w:sz w:val="24"/>
          <w:szCs w:val="24"/>
          <w:u w:val="single"/>
        </w:rPr>
        <w:t>0</w:t>
      </w:r>
      <w:r>
        <w:rPr>
          <w:rFonts w:hint="eastAsia" w:ascii="Times New Roman" w:hAnsi="Times New Roman"/>
          <w:spacing w:val="-2"/>
          <w:kern w:val="0"/>
          <w:sz w:val="24"/>
          <w:szCs w:val="24"/>
          <w:u w:val="single"/>
        </w:rPr>
        <w:t>1</w:t>
      </w:r>
      <w:r>
        <w:rPr>
          <w:rFonts w:ascii="Times New Roman" w:hAnsi="Times New Roman"/>
          <w:spacing w:val="-2"/>
          <w:kern w:val="0"/>
          <w:sz w:val="24"/>
          <w:szCs w:val="24"/>
          <w:u w:val="single"/>
        </w:rPr>
        <w:t>2，</w:t>
      </w:r>
      <w:r>
        <w:rPr>
          <w:rFonts w:ascii="Times New Roman" w:hAnsi="Times New Roman"/>
          <w:spacing w:val="-2"/>
          <w:kern w:val="0"/>
          <w:sz w:val="24"/>
          <w:szCs w:val="24"/>
        </w:rPr>
        <w:t>属于Q＜1</w:t>
      </w:r>
      <w:r>
        <w:rPr>
          <w:rFonts w:ascii="Times New Roman" w:hAnsi="Times New Roman"/>
          <w:sz w:val="24"/>
          <w:szCs w:val="24"/>
        </w:rPr>
        <w:t>，则本项目环境风险潜势直接判定为Ⅰ。</w:t>
      </w:r>
      <w:r>
        <w:rPr>
          <w:rFonts w:ascii="Times New Roman" w:hAnsi="Times New Roman"/>
          <w:spacing w:val="-2"/>
          <w:kern w:val="0"/>
          <w:sz w:val="24"/>
          <w:szCs w:val="24"/>
        </w:rPr>
        <w:t>故项目环境风险评价工作等级为简单分析。</w:t>
      </w:r>
    </w:p>
    <w:p w14:paraId="24776696">
      <w:pPr>
        <w:pStyle w:val="7"/>
      </w:pPr>
      <w:r>
        <w:t>环境评价等级汇总</w:t>
      </w:r>
    </w:p>
    <w:p w14:paraId="13A7530D">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本项目环境影响评价工作等级汇总见表1.5-1</w:t>
      </w:r>
      <w:r>
        <w:rPr>
          <w:rFonts w:hint="eastAsia" w:ascii="Times New Roman" w:hAnsi="Times New Roman"/>
          <w:spacing w:val="-2"/>
          <w:kern w:val="0"/>
          <w:sz w:val="24"/>
          <w:szCs w:val="24"/>
        </w:rPr>
        <w:t>4</w:t>
      </w:r>
      <w:r>
        <w:rPr>
          <w:rFonts w:ascii="Times New Roman" w:hAnsi="Times New Roman"/>
          <w:spacing w:val="-2"/>
          <w:kern w:val="0"/>
          <w:sz w:val="24"/>
          <w:szCs w:val="24"/>
        </w:rPr>
        <w:t>。</w:t>
      </w:r>
    </w:p>
    <w:p w14:paraId="1529C2F0">
      <w:pPr>
        <w:pStyle w:val="8"/>
        <w:rPr>
          <w:sz w:val="24"/>
          <w:szCs w:val="24"/>
        </w:rPr>
      </w:pPr>
      <w:r>
        <w:rPr>
          <w:sz w:val="24"/>
          <w:szCs w:val="24"/>
        </w:rPr>
        <w:t>评价工作等级划分表</w:t>
      </w:r>
    </w:p>
    <w:tbl>
      <w:tblPr>
        <w:tblStyle w:val="88"/>
        <w:tblW w:w="928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05"/>
        <w:gridCol w:w="1085"/>
        <w:gridCol w:w="3478"/>
        <w:gridCol w:w="3418"/>
      </w:tblGrid>
      <w:tr w14:paraId="54B093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tblHeader/>
          <w:jc w:val="center"/>
        </w:trPr>
        <w:tc>
          <w:tcPr>
            <w:tcW w:w="1305" w:type="dxa"/>
            <w:vAlign w:val="center"/>
          </w:tcPr>
          <w:p w14:paraId="7E2820EA">
            <w:pPr>
              <w:adjustRightInd w:val="0"/>
              <w:snapToGrid w:val="0"/>
              <w:jc w:val="center"/>
              <w:rPr>
                <w:rFonts w:ascii="Times New Roman" w:hAnsi="Times New Roman"/>
                <w:b/>
                <w:bCs/>
                <w:spacing w:val="-2"/>
                <w:kern w:val="0"/>
                <w:szCs w:val="21"/>
              </w:rPr>
            </w:pPr>
            <w:r>
              <w:rPr>
                <w:rFonts w:ascii="Times New Roman" w:hAnsi="Times New Roman"/>
                <w:b/>
                <w:bCs/>
                <w:spacing w:val="-2"/>
                <w:kern w:val="0"/>
                <w:szCs w:val="21"/>
              </w:rPr>
              <w:t>评价内容</w:t>
            </w:r>
          </w:p>
        </w:tc>
        <w:tc>
          <w:tcPr>
            <w:tcW w:w="1085" w:type="dxa"/>
            <w:vAlign w:val="center"/>
          </w:tcPr>
          <w:p w14:paraId="6483A5E5">
            <w:pPr>
              <w:adjustRightInd w:val="0"/>
              <w:snapToGrid w:val="0"/>
              <w:jc w:val="center"/>
              <w:rPr>
                <w:rFonts w:ascii="Times New Roman" w:hAnsi="Times New Roman"/>
                <w:b/>
                <w:bCs/>
                <w:spacing w:val="-2"/>
                <w:kern w:val="0"/>
                <w:szCs w:val="21"/>
              </w:rPr>
            </w:pPr>
            <w:r>
              <w:rPr>
                <w:rFonts w:ascii="Times New Roman" w:hAnsi="Times New Roman"/>
                <w:b/>
                <w:bCs/>
                <w:spacing w:val="-2"/>
                <w:kern w:val="0"/>
                <w:szCs w:val="21"/>
              </w:rPr>
              <w:t>工作等级</w:t>
            </w:r>
          </w:p>
        </w:tc>
        <w:tc>
          <w:tcPr>
            <w:tcW w:w="3478" w:type="dxa"/>
            <w:vAlign w:val="center"/>
          </w:tcPr>
          <w:p w14:paraId="298029D2">
            <w:pPr>
              <w:adjustRightInd w:val="0"/>
              <w:snapToGrid w:val="0"/>
              <w:jc w:val="center"/>
              <w:rPr>
                <w:rFonts w:ascii="Times New Roman" w:hAnsi="Times New Roman"/>
                <w:b/>
                <w:bCs/>
                <w:spacing w:val="-2"/>
                <w:kern w:val="0"/>
                <w:szCs w:val="21"/>
              </w:rPr>
            </w:pPr>
            <w:r>
              <w:rPr>
                <w:rFonts w:ascii="Times New Roman" w:hAnsi="Times New Roman"/>
                <w:b/>
                <w:bCs/>
                <w:spacing w:val="-2"/>
                <w:kern w:val="0"/>
                <w:szCs w:val="21"/>
              </w:rPr>
              <w:t>判  据</w:t>
            </w:r>
          </w:p>
        </w:tc>
        <w:tc>
          <w:tcPr>
            <w:tcW w:w="3418" w:type="dxa"/>
            <w:vAlign w:val="center"/>
          </w:tcPr>
          <w:p w14:paraId="34D118C8">
            <w:pPr>
              <w:adjustRightInd w:val="0"/>
              <w:snapToGrid w:val="0"/>
              <w:jc w:val="center"/>
              <w:rPr>
                <w:rFonts w:ascii="Times New Roman" w:hAnsi="Times New Roman"/>
                <w:b/>
                <w:bCs/>
                <w:spacing w:val="-2"/>
                <w:kern w:val="0"/>
                <w:szCs w:val="21"/>
              </w:rPr>
            </w:pPr>
            <w:r>
              <w:rPr>
                <w:rFonts w:ascii="Times New Roman" w:hAnsi="Times New Roman"/>
                <w:b/>
                <w:bCs/>
                <w:spacing w:val="-2"/>
                <w:kern w:val="0"/>
                <w:szCs w:val="21"/>
              </w:rPr>
              <w:t>建设项目情况</w:t>
            </w:r>
          </w:p>
        </w:tc>
      </w:tr>
      <w:tr w14:paraId="095D3B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1305" w:type="dxa"/>
            <w:vAlign w:val="center"/>
          </w:tcPr>
          <w:p w14:paraId="1505AD11">
            <w:pPr>
              <w:adjustRightInd w:val="0"/>
              <w:snapToGrid w:val="0"/>
              <w:jc w:val="center"/>
              <w:rPr>
                <w:rFonts w:ascii="Times New Roman" w:hAnsi="Times New Roman"/>
                <w:spacing w:val="-2"/>
                <w:kern w:val="0"/>
                <w:szCs w:val="21"/>
              </w:rPr>
            </w:pPr>
            <w:r>
              <w:rPr>
                <w:rFonts w:ascii="Times New Roman" w:hAnsi="Times New Roman"/>
                <w:spacing w:val="-2"/>
                <w:kern w:val="0"/>
                <w:szCs w:val="21"/>
              </w:rPr>
              <w:t>空气环境</w:t>
            </w:r>
          </w:p>
        </w:tc>
        <w:tc>
          <w:tcPr>
            <w:tcW w:w="1085" w:type="dxa"/>
            <w:vAlign w:val="center"/>
          </w:tcPr>
          <w:p w14:paraId="15CD3521">
            <w:pPr>
              <w:adjustRightInd w:val="0"/>
              <w:snapToGrid w:val="0"/>
              <w:jc w:val="center"/>
              <w:rPr>
                <w:rFonts w:ascii="Times New Roman" w:hAnsi="Times New Roman"/>
                <w:spacing w:val="-2"/>
                <w:kern w:val="0"/>
                <w:szCs w:val="21"/>
              </w:rPr>
            </w:pPr>
            <w:r>
              <w:rPr>
                <w:rFonts w:ascii="Times New Roman" w:hAnsi="Times New Roman"/>
                <w:spacing w:val="-2"/>
                <w:kern w:val="0"/>
                <w:szCs w:val="21"/>
              </w:rPr>
              <w:t>二级</w:t>
            </w:r>
          </w:p>
        </w:tc>
        <w:tc>
          <w:tcPr>
            <w:tcW w:w="3478" w:type="dxa"/>
            <w:vAlign w:val="center"/>
          </w:tcPr>
          <w:p w14:paraId="7C7BDF31">
            <w:pPr>
              <w:adjustRightInd w:val="0"/>
              <w:snapToGrid w:val="0"/>
              <w:rPr>
                <w:rFonts w:ascii="Times New Roman" w:hAnsi="Times New Roman"/>
                <w:spacing w:val="-2"/>
                <w:kern w:val="0"/>
                <w:szCs w:val="21"/>
              </w:rPr>
            </w:pPr>
            <w:r>
              <w:rPr>
                <w:rFonts w:ascii="Times New Roman" w:hAnsi="Times New Roman"/>
                <w:spacing w:val="-2"/>
                <w:kern w:val="0"/>
                <w:szCs w:val="21"/>
              </w:rPr>
              <w:t>根据HJ2.2-2018，1%≤Pmax＜10%，评价等级为二级</w:t>
            </w:r>
          </w:p>
        </w:tc>
        <w:tc>
          <w:tcPr>
            <w:tcW w:w="3418" w:type="dxa"/>
            <w:vAlign w:val="center"/>
          </w:tcPr>
          <w:p w14:paraId="372E6173">
            <w:pPr>
              <w:adjustRightInd w:val="0"/>
              <w:snapToGrid w:val="0"/>
              <w:rPr>
                <w:rFonts w:ascii="Times New Roman" w:hAnsi="Times New Roman"/>
                <w:spacing w:val="-2"/>
                <w:kern w:val="0"/>
                <w:szCs w:val="21"/>
              </w:rPr>
            </w:pPr>
            <w:r>
              <w:rPr>
                <w:rFonts w:ascii="Times New Roman" w:hAnsi="Times New Roman"/>
                <w:spacing w:val="-2"/>
                <w:kern w:val="0"/>
                <w:szCs w:val="21"/>
                <w:u w:val="single"/>
              </w:rPr>
              <w:t>项目废气排放污染物</w:t>
            </w:r>
            <w:r>
              <w:rPr>
                <w:rFonts w:ascii="Times New Roman" w:hAnsi="Times New Roman"/>
                <w:szCs w:val="21"/>
                <w:u w:val="single"/>
              </w:rPr>
              <w:t>最大地面浓度标率为</w:t>
            </w:r>
            <w:r>
              <w:rPr>
                <w:rFonts w:hint="eastAsia" w:ascii="Times New Roman" w:hAnsi="Times New Roman"/>
                <w:spacing w:val="-2"/>
                <w:kern w:val="0"/>
                <w:szCs w:val="21"/>
                <w:u w:val="single"/>
              </w:rPr>
              <w:t>9.2804</w:t>
            </w:r>
            <w:r>
              <w:rPr>
                <w:rFonts w:ascii="Times New Roman" w:hAnsi="Times New Roman"/>
                <w:szCs w:val="21"/>
                <w:u w:val="single"/>
              </w:rPr>
              <w:t>%</w:t>
            </w:r>
            <w:r>
              <w:rPr>
                <w:rFonts w:ascii="Times New Roman" w:hAnsi="Times New Roman"/>
                <w:spacing w:val="-2"/>
                <w:kern w:val="0"/>
                <w:szCs w:val="21"/>
                <w:u w:val="single"/>
              </w:rPr>
              <w:t>，</w:t>
            </w:r>
            <w:r>
              <w:rPr>
                <w:rFonts w:ascii="Times New Roman" w:hAnsi="Times New Roman"/>
                <w:spacing w:val="-2"/>
                <w:kern w:val="0"/>
                <w:szCs w:val="21"/>
              </w:rPr>
              <w:t>在1%≤Pmax＜10%范围</w:t>
            </w:r>
          </w:p>
        </w:tc>
      </w:tr>
      <w:tr w14:paraId="6E2E8B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45" w:hRule="atLeast"/>
          <w:jc w:val="center"/>
        </w:trPr>
        <w:tc>
          <w:tcPr>
            <w:tcW w:w="1305" w:type="dxa"/>
            <w:tcBorders>
              <w:bottom w:val="single" w:color="auto" w:sz="4" w:space="0"/>
            </w:tcBorders>
            <w:vAlign w:val="center"/>
          </w:tcPr>
          <w:p w14:paraId="58D33020">
            <w:pPr>
              <w:adjustRightInd w:val="0"/>
              <w:snapToGrid w:val="0"/>
              <w:jc w:val="center"/>
              <w:rPr>
                <w:rFonts w:ascii="Times New Roman" w:hAnsi="Times New Roman"/>
                <w:spacing w:val="-2"/>
                <w:kern w:val="0"/>
                <w:szCs w:val="21"/>
              </w:rPr>
            </w:pPr>
            <w:r>
              <w:rPr>
                <w:rFonts w:ascii="Times New Roman" w:hAnsi="Times New Roman"/>
                <w:spacing w:val="-2"/>
                <w:kern w:val="0"/>
                <w:szCs w:val="21"/>
              </w:rPr>
              <w:t>地表水环境</w:t>
            </w:r>
          </w:p>
        </w:tc>
        <w:tc>
          <w:tcPr>
            <w:tcW w:w="1085" w:type="dxa"/>
            <w:tcBorders>
              <w:bottom w:val="single" w:color="auto" w:sz="4" w:space="0"/>
            </w:tcBorders>
            <w:vAlign w:val="center"/>
          </w:tcPr>
          <w:p w14:paraId="38EA25F3">
            <w:pPr>
              <w:adjustRightInd w:val="0"/>
              <w:snapToGrid w:val="0"/>
              <w:jc w:val="center"/>
              <w:rPr>
                <w:rFonts w:ascii="Times New Roman" w:hAnsi="Times New Roman"/>
                <w:spacing w:val="-2"/>
                <w:kern w:val="0"/>
                <w:szCs w:val="21"/>
              </w:rPr>
            </w:pPr>
            <w:r>
              <w:rPr>
                <w:rFonts w:ascii="Times New Roman" w:hAnsi="Times New Roman"/>
                <w:spacing w:val="-2"/>
                <w:kern w:val="0"/>
                <w:szCs w:val="21"/>
              </w:rPr>
              <w:t>三级B</w:t>
            </w:r>
          </w:p>
        </w:tc>
        <w:tc>
          <w:tcPr>
            <w:tcW w:w="3478" w:type="dxa"/>
            <w:tcBorders>
              <w:bottom w:val="single" w:color="auto" w:sz="4" w:space="0"/>
            </w:tcBorders>
            <w:vAlign w:val="center"/>
          </w:tcPr>
          <w:p w14:paraId="09BEAB74">
            <w:pPr>
              <w:adjustRightInd w:val="0"/>
              <w:snapToGrid w:val="0"/>
              <w:rPr>
                <w:rFonts w:ascii="Times New Roman" w:hAnsi="Times New Roman"/>
                <w:spacing w:val="-2"/>
                <w:kern w:val="0"/>
                <w:szCs w:val="21"/>
              </w:rPr>
            </w:pPr>
            <w:r>
              <w:rPr>
                <w:rFonts w:ascii="Times New Roman" w:hAnsi="Times New Roman"/>
                <w:spacing w:val="-2"/>
                <w:kern w:val="0"/>
                <w:szCs w:val="21"/>
              </w:rPr>
              <w:t>根据HJ2.3-2018，项目生活污水间接排放，评价等级为三级B。</w:t>
            </w:r>
          </w:p>
        </w:tc>
        <w:tc>
          <w:tcPr>
            <w:tcW w:w="3418" w:type="dxa"/>
            <w:tcBorders>
              <w:bottom w:val="single" w:color="auto" w:sz="4" w:space="0"/>
            </w:tcBorders>
            <w:vAlign w:val="center"/>
          </w:tcPr>
          <w:p w14:paraId="72C44240">
            <w:pPr>
              <w:adjustRightInd w:val="0"/>
              <w:snapToGrid w:val="0"/>
              <w:rPr>
                <w:rFonts w:ascii="Times New Roman" w:hAnsi="Times New Roman"/>
                <w:spacing w:val="-2"/>
                <w:kern w:val="0"/>
                <w:szCs w:val="21"/>
              </w:rPr>
            </w:pPr>
            <w:r>
              <w:rPr>
                <w:rFonts w:ascii="Times New Roman" w:hAnsi="Times New Roman"/>
                <w:spacing w:val="-2"/>
                <w:kern w:val="0"/>
                <w:szCs w:val="21"/>
              </w:rPr>
              <w:t>项目无生产废水外排</w:t>
            </w:r>
            <w:r>
              <w:rPr>
                <w:rFonts w:hint="eastAsia" w:ascii="Times New Roman" w:hAnsi="Times New Roman"/>
                <w:spacing w:val="-2"/>
                <w:kern w:val="0"/>
                <w:szCs w:val="21"/>
              </w:rPr>
              <w:t>，生活污水排入市政污水管网依托大榄坪污水厂处理</w:t>
            </w:r>
          </w:p>
        </w:tc>
      </w:tr>
      <w:tr w14:paraId="0DE537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270" w:hRule="atLeast"/>
          <w:jc w:val="center"/>
        </w:trPr>
        <w:tc>
          <w:tcPr>
            <w:tcW w:w="1305" w:type="dxa"/>
            <w:tcBorders>
              <w:top w:val="single" w:color="auto" w:sz="4" w:space="0"/>
            </w:tcBorders>
            <w:vAlign w:val="center"/>
          </w:tcPr>
          <w:p w14:paraId="0AABCB08">
            <w:pPr>
              <w:adjustRightInd w:val="0"/>
              <w:snapToGrid w:val="0"/>
              <w:jc w:val="center"/>
              <w:rPr>
                <w:rFonts w:ascii="Times New Roman" w:hAnsi="Times New Roman"/>
                <w:spacing w:val="-2"/>
                <w:kern w:val="0"/>
                <w:szCs w:val="21"/>
              </w:rPr>
            </w:pPr>
            <w:r>
              <w:rPr>
                <w:rFonts w:ascii="Times New Roman" w:hAnsi="Times New Roman"/>
                <w:spacing w:val="-2"/>
                <w:kern w:val="0"/>
                <w:szCs w:val="21"/>
              </w:rPr>
              <w:t>地下水环境</w:t>
            </w:r>
          </w:p>
        </w:tc>
        <w:tc>
          <w:tcPr>
            <w:tcW w:w="1085" w:type="dxa"/>
            <w:tcBorders>
              <w:top w:val="single" w:color="auto" w:sz="4" w:space="0"/>
            </w:tcBorders>
            <w:vAlign w:val="center"/>
          </w:tcPr>
          <w:p w14:paraId="7B98B7A9">
            <w:pPr>
              <w:adjustRightInd w:val="0"/>
              <w:snapToGrid w:val="0"/>
              <w:jc w:val="center"/>
              <w:rPr>
                <w:rFonts w:ascii="Times New Roman" w:hAnsi="Times New Roman"/>
                <w:spacing w:val="-2"/>
                <w:kern w:val="0"/>
                <w:szCs w:val="21"/>
              </w:rPr>
            </w:pPr>
            <w:r>
              <w:rPr>
                <w:rFonts w:ascii="Times New Roman" w:hAnsi="Times New Roman"/>
                <w:spacing w:val="-2"/>
                <w:kern w:val="0"/>
                <w:szCs w:val="21"/>
              </w:rPr>
              <w:t>三级</w:t>
            </w:r>
          </w:p>
        </w:tc>
        <w:tc>
          <w:tcPr>
            <w:tcW w:w="3478" w:type="dxa"/>
            <w:tcBorders>
              <w:top w:val="single" w:color="auto" w:sz="4" w:space="0"/>
            </w:tcBorders>
            <w:vAlign w:val="center"/>
          </w:tcPr>
          <w:p w14:paraId="2CCAD2B8">
            <w:pPr>
              <w:rPr>
                <w:rFonts w:ascii="Times New Roman" w:hAnsi="Times New Roman"/>
                <w:szCs w:val="21"/>
              </w:rPr>
            </w:pPr>
            <w:r>
              <w:rPr>
                <w:rFonts w:ascii="Times New Roman" w:hAnsi="Times New Roman"/>
                <w:spacing w:val="-4"/>
                <w:szCs w:val="21"/>
              </w:rPr>
              <w:t>依据《环境影响评价技术导则地下水环境》（HJ610-2011），项目属于Ⅱ类建设项目，地下水环境敏感程度为不敏感，评价等级为三级</w:t>
            </w:r>
          </w:p>
        </w:tc>
        <w:tc>
          <w:tcPr>
            <w:tcW w:w="3418" w:type="dxa"/>
            <w:tcBorders>
              <w:top w:val="single" w:color="auto" w:sz="4" w:space="0"/>
            </w:tcBorders>
            <w:vAlign w:val="center"/>
          </w:tcPr>
          <w:p w14:paraId="7C02AE4A">
            <w:pPr>
              <w:adjustRightInd w:val="0"/>
              <w:snapToGrid w:val="0"/>
              <w:rPr>
                <w:rFonts w:ascii="Times New Roman" w:hAnsi="Times New Roman"/>
                <w:szCs w:val="21"/>
              </w:rPr>
            </w:pPr>
            <w:r>
              <w:rPr>
                <w:rFonts w:ascii="Times New Roman" w:hAnsi="Times New Roman"/>
                <w:spacing w:val="-8"/>
                <w:szCs w:val="21"/>
              </w:rPr>
              <w:t>本项目属于Ⅱ类建设项目，区域的陆地主要是填海成陆土地，周边无地下水环境敏感目标</w:t>
            </w:r>
            <w:r>
              <w:rPr>
                <w:rFonts w:ascii="Times New Roman" w:hAnsi="Times New Roman"/>
                <w:spacing w:val="-4"/>
                <w:szCs w:val="21"/>
              </w:rPr>
              <w:t>，地下水环境敏感程度为不敏感</w:t>
            </w:r>
          </w:p>
        </w:tc>
      </w:tr>
      <w:tr w14:paraId="0D9DAC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255" w:hRule="atLeast"/>
          <w:jc w:val="center"/>
        </w:trPr>
        <w:tc>
          <w:tcPr>
            <w:tcW w:w="1305" w:type="dxa"/>
            <w:vAlign w:val="center"/>
          </w:tcPr>
          <w:p w14:paraId="2D97DBAC">
            <w:pPr>
              <w:adjustRightInd w:val="0"/>
              <w:snapToGrid w:val="0"/>
              <w:jc w:val="center"/>
              <w:rPr>
                <w:rFonts w:ascii="Times New Roman" w:hAnsi="Times New Roman"/>
                <w:spacing w:val="-2"/>
                <w:kern w:val="0"/>
                <w:szCs w:val="21"/>
              </w:rPr>
            </w:pPr>
            <w:r>
              <w:rPr>
                <w:rFonts w:ascii="Times New Roman" w:hAnsi="Times New Roman"/>
                <w:spacing w:val="-2"/>
                <w:kern w:val="0"/>
                <w:szCs w:val="21"/>
              </w:rPr>
              <w:t>声环境</w:t>
            </w:r>
          </w:p>
        </w:tc>
        <w:tc>
          <w:tcPr>
            <w:tcW w:w="1085" w:type="dxa"/>
            <w:vAlign w:val="center"/>
          </w:tcPr>
          <w:p w14:paraId="35D32E0D">
            <w:pPr>
              <w:adjustRightInd w:val="0"/>
              <w:snapToGrid w:val="0"/>
              <w:jc w:val="center"/>
              <w:rPr>
                <w:rFonts w:ascii="Times New Roman" w:hAnsi="Times New Roman"/>
                <w:spacing w:val="-2"/>
                <w:kern w:val="0"/>
                <w:szCs w:val="21"/>
              </w:rPr>
            </w:pPr>
            <w:r>
              <w:rPr>
                <w:rFonts w:ascii="Times New Roman" w:hAnsi="Times New Roman"/>
                <w:spacing w:val="-2"/>
                <w:kern w:val="0"/>
                <w:szCs w:val="21"/>
              </w:rPr>
              <w:t>三级</w:t>
            </w:r>
          </w:p>
        </w:tc>
        <w:tc>
          <w:tcPr>
            <w:tcW w:w="3478" w:type="dxa"/>
            <w:vAlign w:val="center"/>
          </w:tcPr>
          <w:p w14:paraId="019A7707">
            <w:pPr>
              <w:adjustRightInd w:val="0"/>
              <w:snapToGrid w:val="0"/>
              <w:rPr>
                <w:rFonts w:ascii="Times New Roman" w:hAnsi="Times New Roman"/>
                <w:spacing w:val="-2"/>
                <w:kern w:val="0"/>
                <w:szCs w:val="21"/>
              </w:rPr>
            </w:pPr>
            <w:r>
              <w:rPr>
                <w:rFonts w:ascii="Times New Roman" w:hAnsi="Times New Roman"/>
                <w:spacing w:val="-2"/>
                <w:kern w:val="0"/>
                <w:szCs w:val="21"/>
              </w:rPr>
              <w:t>根据HJ2.4-2009，建设项目所处的声环境功能区为GB3096规定3类区</w:t>
            </w:r>
          </w:p>
        </w:tc>
        <w:tc>
          <w:tcPr>
            <w:tcW w:w="3418" w:type="dxa"/>
            <w:vAlign w:val="center"/>
          </w:tcPr>
          <w:p w14:paraId="1DD4F3E7">
            <w:pPr>
              <w:adjustRightInd w:val="0"/>
              <w:snapToGrid w:val="0"/>
              <w:rPr>
                <w:rFonts w:ascii="Times New Roman" w:hAnsi="Times New Roman"/>
                <w:spacing w:val="-2"/>
                <w:kern w:val="0"/>
                <w:szCs w:val="21"/>
              </w:rPr>
            </w:pPr>
            <w:r>
              <w:rPr>
                <w:rFonts w:ascii="Times New Roman" w:hAnsi="Times New Roman"/>
                <w:spacing w:val="-2"/>
                <w:kern w:val="0"/>
                <w:szCs w:val="21"/>
              </w:rPr>
              <w:t>项目所处的声环境功能区3类区，项</w:t>
            </w:r>
            <w:r>
              <w:rPr>
                <w:rFonts w:hint="eastAsia" w:ascii="Times New Roman" w:hAnsi="Times New Roman"/>
                <w:spacing w:val="-2"/>
                <w:kern w:val="0"/>
                <w:szCs w:val="21"/>
              </w:rPr>
              <w:t>目声环境评价范围内无保护目标，项目建成后受本项目噪声影响人口数量变化不大</w:t>
            </w:r>
          </w:p>
        </w:tc>
      </w:tr>
      <w:tr w14:paraId="28D1BA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44" w:hRule="atLeast"/>
          <w:jc w:val="center"/>
        </w:trPr>
        <w:tc>
          <w:tcPr>
            <w:tcW w:w="1305" w:type="dxa"/>
            <w:vAlign w:val="center"/>
          </w:tcPr>
          <w:p w14:paraId="74FA14AF">
            <w:pPr>
              <w:adjustRightInd w:val="0"/>
              <w:snapToGrid w:val="0"/>
              <w:jc w:val="center"/>
              <w:rPr>
                <w:rFonts w:ascii="Times New Roman" w:hAnsi="Times New Roman"/>
                <w:spacing w:val="-2"/>
                <w:kern w:val="0"/>
                <w:szCs w:val="21"/>
              </w:rPr>
            </w:pPr>
            <w:r>
              <w:rPr>
                <w:rFonts w:ascii="Times New Roman" w:hAnsi="Times New Roman"/>
                <w:spacing w:val="-2"/>
                <w:kern w:val="0"/>
                <w:szCs w:val="21"/>
              </w:rPr>
              <w:t>生态环境</w:t>
            </w:r>
          </w:p>
        </w:tc>
        <w:tc>
          <w:tcPr>
            <w:tcW w:w="1085" w:type="dxa"/>
            <w:vAlign w:val="center"/>
          </w:tcPr>
          <w:p w14:paraId="38F88396">
            <w:pPr>
              <w:adjustRightInd w:val="0"/>
              <w:snapToGrid w:val="0"/>
              <w:jc w:val="center"/>
              <w:rPr>
                <w:rFonts w:ascii="Times New Roman" w:hAnsi="Times New Roman"/>
                <w:spacing w:val="-2"/>
                <w:kern w:val="0"/>
                <w:szCs w:val="21"/>
              </w:rPr>
            </w:pPr>
            <w:r>
              <w:rPr>
                <w:rFonts w:ascii="Times New Roman" w:hAnsi="Times New Roman"/>
                <w:spacing w:val="-2"/>
                <w:kern w:val="0"/>
                <w:szCs w:val="21"/>
              </w:rPr>
              <w:t>简单分析</w:t>
            </w:r>
          </w:p>
        </w:tc>
        <w:tc>
          <w:tcPr>
            <w:tcW w:w="3478" w:type="dxa"/>
            <w:vAlign w:val="center"/>
          </w:tcPr>
          <w:p w14:paraId="30DCD30E">
            <w:pPr>
              <w:adjustRightInd w:val="0"/>
              <w:snapToGrid w:val="0"/>
              <w:rPr>
                <w:rFonts w:ascii="Times New Roman" w:hAnsi="Times New Roman"/>
                <w:spacing w:val="-2"/>
                <w:kern w:val="0"/>
                <w:szCs w:val="21"/>
              </w:rPr>
            </w:pPr>
            <w:r>
              <w:rPr>
                <w:rFonts w:ascii="Times New Roman" w:hAnsi="Times New Roman"/>
                <w:spacing w:val="-2"/>
                <w:kern w:val="0"/>
                <w:szCs w:val="21"/>
              </w:rPr>
              <w:t>依据HJ19-2022，符合生态环境分区管控要求且位于原厂界（或永久用地）范围内的污染影响类改扩建项目，位于已批准规划环评的产业园区内且符合规划环评要求、不涉及生态敏感区的污染影响类建设项目，可不确定评价等级，直接进行生态影响简单分析。</w:t>
            </w:r>
          </w:p>
        </w:tc>
        <w:tc>
          <w:tcPr>
            <w:tcW w:w="3418" w:type="dxa"/>
            <w:vAlign w:val="center"/>
          </w:tcPr>
          <w:p w14:paraId="22999774">
            <w:pPr>
              <w:adjustRightInd w:val="0"/>
              <w:snapToGrid w:val="0"/>
              <w:rPr>
                <w:rFonts w:ascii="Times New Roman" w:hAnsi="Times New Roman"/>
                <w:spacing w:val="-2"/>
                <w:kern w:val="0"/>
                <w:szCs w:val="21"/>
              </w:rPr>
            </w:pPr>
            <w:r>
              <w:rPr>
                <w:rFonts w:ascii="Times New Roman" w:hAnsi="Times New Roman"/>
                <w:spacing w:val="-2"/>
                <w:kern w:val="0"/>
                <w:szCs w:val="21"/>
              </w:rPr>
              <w:t>项目位于广西钦州保税港区，《广西钦州保税港区总体规划环境影响报告书》于2014年2月由原广西壮族自治区环境保护厅组织在南宁召开评审会，并于2014年取得审查意见：《广西壮族自治区环境保护厅关于印发广西钦州保税港区总体规划环境影响报告书审查意见的函》（桂环函〔2014〕503号）。</w:t>
            </w:r>
          </w:p>
          <w:p w14:paraId="79540F09">
            <w:pPr>
              <w:adjustRightInd w:val="0"/>
              <w:snapToGrid w:val="0"/>
              <w:rPr>
                <w:rFonts w:ascii="Times New Roman" w:hAnsi="Times New Roman"/>
                <w:spacing w:val="-2"/>
                <w:kern w:val="0"/>
                <w:szCs w:val="21"/>
              </w:rPr>
            </w:pPr>
            <w:r>
              <w:rPr>
                <w:rFonts w:ascii="Times New Roman" w:hAnsi="Times New Roman"/>
                <w:spacing w:val="-2"/>
                <w:kern w:val="0"/>
                <w:szCs w:val="21"/>
              </w:rPr>
              <w:t>项目为污染影响类建设项目，项目符合规划及规划环评要求，不涉及生态敏感区。</w:t>
            </w:r>
          </w:p>
        </w:tc>
      </w:tr>
      <w:tr w14:paraId="5584A6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111" w:hRule="atLeast"/>
          <w:jc w:val="center"/>
        </w:trPr>
        <w:tc>
          <w:tcPr>
            <w:tcW w:w="1305" w:type="dxa"/>
            <w:vAlign w:val="center"/>
          </w:tcPr>
          <w:p w14:paraId="10EF0E8A">
            <w:pPr>
              <w:adjustRightInd w:val="0"/>
              <w:snapToGrid w:val="0"/>
              <w:jc w:val="center"/>
              <w:rPr>
                <w:rFonts w:ascii="Times New Roman" w:hAnsi="Times New Roman"/>
                <w:spacing w:val="-2"/>
                <w:kern w:val="0"/>
                <w:szCs w:val="21"/>
              </w:rPr>
            </w:pPr>
            <w:r>
              <w:rPr>
                <w:rFonts w:ascii="Times New Roman" w:hAnsi="Times New Roman"/>
                <w:spacing w:val="-2"/>
                <w:kern w:val="0"/>
                <w:szCs w:val="21"/>
              </w:rPr>
              <w:t>土壤</w:t>
            </w:r>
          </w:p>
        </w:tc>
        <w:tc>
          <w:tcPr>
            <w:tcW w:w="1085" w:type="dxa"/>
            <w:vAlign w:val="center"/>
          </w:tcPr>
          <w:p w14:paraId="3E0D9102">
            <w:pPr>
              <w:adjustRightInd w:val="0"/>
              <w:snapToGrid w:val="0"/>
              <w:jc w:val="center"/>
              <w:rPr>
                <w:rFonts w:ascii="Times New Roman" w:hAnsi="Times New Roman"/>
                <w:spacing w:val="-2"/>
                <w:kern w:val="0"/>
                <w:szCs w:val="21"/>
              </w:rPr>
            </w:pPr>
            <w:r>
              <w:rPr>
                <w:rFonts w:ascii="Times New Roman" w:hAnsi="Times New Roman"/>
                <w:spacing w:val="-2"/>
                <w:kern w:val="0"/>
                <w:szCs w:val="21"/>
              </w:rPr>
              <w:t>不开展</w:t>
            </w:r>
          </w:p>
        </w:tc>
        <w:tc>
          <w:tcPr>
            <w:tcW w:w="3478" w:type="dxa"/>
            <w:vAlign w:val="center"/>
          </w:tcPr>
          <w:p w14:paraId="2980E181">
            <w:pPr>
              <w:adjustRightInd w:val="0"/>
              <w:snapToGrid w:val="0"/>
              <w:rPr>
                <w:rFonts w:ascii="Times New Roman" w:hAnsi="Times New Roman"/>
                <w:spacing w:val="-2"/>
                <w:kern w:val="0"/>
                <w:szCs w:val="21"/>
              </w:rPr>
            </w:pPr>
            <w:r>
              <w:rPr>
                <w:rFonts w:ascii="Times New Roman" w:hAnsi="Times New Roman"/>
                <w:szCs w:val="21"/>
              </w:rPr>
              <w:t>根据HJ964-2018，</w:t>
            </w:r>
            <w:r>
              <w:rPr>
                <w:rFonts w:ascii="Times New Roman" w:hAnsi="Times New Roman"/>
                <w:spacing w:val="-2"/>
                <w:kern w:val="0"/>
                <w:szCs w:val="21"/>
              </w:rPr>
              <w:t>Ⅲ类</w:t>
            </w:r>
            <w:r>
              <w:rPr>
                <w:rFonts w:ascii="Times New Roman" w:hAnsi="Times New Roman"/>
                <w:szCs w:val="21"/>
              </w:rPr>
              <w:t>项目，占地为小型，环境敏感程度为不敏感，评价等级为可不开展评价。</w:t>
            </w:r>
          </w:p>
        </w:tc>
        <w:tc>
          <w:tcPr>
            <w:tcW w:w="3418" w:type="dxa"/>
            <w:vAlign w:val="center"/>
          </w:tcPr>
          <w:p w14:paraId="5057DB4B">
            <w:pPr>
              <w:adjustRightInd w:val="0"/>
              <w:snapToGrid w:val="0"/>
              <w:rPr>
                <w:rFonts w:ascii="Times New Roman" w:hAnsi="Times New Roman"/>
                <w:spacing w:val="-2"/>
                <w:kern w:val="0"/>
                <w:szCs w:val="21"/>
              </w:rPr>
            </w:pPr>
            <w:r>
              <w:rPr>
                <w:rFonts w:ascii="Times New Roman" w:hAnsi="Times New Roman"/>
                <w:spacing w:val="-2"/>
                <w:kern w:val="0"/>
                <w:szCs w:val="21"/>
              </w:rPr>
              <w:t>项目为污染型Ⅲ类项目，占地为小型，项目位于工业园, 区域的陆地主要是填海成陆土地，不涉及土壤环境敏感目标。</w:t>
            </w:r>
          </w:p>
        </w:tc>
      </w:tr>
      <w:tr w14:paraId="0DAEEB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2" w:hRule="atLeast"/>
          <w:jc w:val="center"/>
        </w:trPr>
        <w:tc>
          <w:tcPr>
            <w:tcW w:w="1305" w:type="dxa"/>
            <w:vAlign w:val="center"/>
          </w:tcPr>
          <w:p w14:paraId="5CEFEB25">
            <w:pPr>
              <w:adjustRightInd w:val="0"/>
              <w:snapToGrid w:val="0"/>
              <w:jc w:val="center"/>
              <w:rPr>
                <w:rFonts w:ascii="Times New Roman" w:hAnsi="Times New Roman"/>
                <w:spacing w:val="-2"/>
                <w:kern w:val="0"/>
                <w:szCs w:val="21"/>
              </w:rPr>
            </w:pPr>
            <w:r>
              <w:rPr>
                <w:rFonts w:ascii="Times New Roman" w:hAnsi="Times New Roman"/>
                <w:spacing w:val="-2"/>
                <w:kern w:val="0"/>
                <w:szCs w:val="21"/>
              </w:rPr>
              <w:t>环境风险</w:t>
            </w:r>
          </w:p>
        </w:tc>
        <w:tc>
          <w:tcPr>
            <w:tcW w:w="1085" w:type="dxa"/>
            <w:vAlign w:val="center"/>
          </w:tcPr>
          <w:p w14:paraId="7B1CD9B5">
            <w:pPr>
              <w:adjustRightInd w:val="0"/>
              <w:snapToGrid w:val="0"/>
              <w:jc w:val="center"/>
              <w:rPr>
                <w:rFonts w:ascii="Times New Roman" w:hAnsi="Times New Roman"/>
                <w:spacing w:val="-2"/>
                <w:kern w:val="0"/>
                <w:szCs w:val="21"/>
              </w:rPr>
            </w:pPr>
            <w:r>
              <w:rPr>
                <w:rFonts w:ascii="Times New Roman" w:hAnsi="Times New Roman"/>
                <w:spacing w:val="-2"/>
                <w:kern w:val="0"/>
                <w:szCs w:val="21"/>
              </w:rPr>
              <w:t>简单分析</w:t>
            </w:r>
          </w:p>
        </w:tc>
        <w:tc>
          <w:tcPr>
            <w:tcW w:w="3478" w:type="dxa"/>
            <w:vAlign w:val="center"/>
          </w:tcPr>
          <w:p w14:paraId="1CD8EAD8">
            <w:pPr>
              <w:adjustRightInd w:val="0"/>
              <w:snapToGrid w:val="0"/>
              <w:rPr>
                <w:rFonts w:ascii="Times New Roman" w:hAnsi="Times New Roman"/>
                <w:spacing w:val="-2"/>
                <w:kern w:val="0"/>
                <w:szCs w:val="21"/>
              </w:rPr>
            </w:pPr>
            <w:r>
              <w:rPr>
                <w:rFonts w:ascii="Times New Roman" w:hAnsi="Times New Roman"/>
                <w:spacing w:val="-2"/>
                <w:kern w:val="0"/>
                <w:szCs w:val="21"/>
              </w:rPr>
              <w:t>环境风险趋势为Ⅰ，评价等级为简单分析。</w:t>
            </w:r>
          </w:p>
        </w:tc>
        <w:tc>
          <w:tcPr>
            <w:tcW w:w="3418" w:type="dxa"/>
            <w:vAlign w:val="center"/>
          </w:tcPr>
          <w:p w14:paraId="48B61E22">
            <w:pPr>
              <w:adjustRightInd w:val="0"/>
              <w:snapToGrid w:val="0"/>
              <w:rPr>
                <w:rFonts w:ascii="Times New Roman" w:hAnsi="Times New Roman"/>
                <w:spacing w:val="-2"/>
                <w:kern w:val="0"/>
                <w:szCs w:val="21"/>
              </w:rPr>
            </w:pPr>
            <w:r>
              <w:rPr>
                <w:rFonts w:ascii="Times New Roman" w:hAnsi="Times New Roman"/>
                <w:spacing w:val="-2"/>
                <w:kern w:val="0"/>
                <w:szCs w:val="21"/>
              </w:rPr>
              <w:t>项目环境风险趋势为Ⅰ</w:t>
            </w:r>
          </w:p>
        </w:tc>
      </w:tr>
    </w:tbl>
    <w:p w14:paraId="0A7A2104">
      <w:pPr>
        <w:spacing w:line="360" w:lineRule="auto"/>
        <w:ind w:firstLine="420" w:firstLineChars="200"/>
        <w:rPr>
          <w:rFonts w:ascii="Times New Roman" w:hAnsi="Times New Roman"/>
        </w:rPr>
      </w:pPr>
    </w:p>
    <w:p w14:paraId="0A514AE8">
      <w:pPr>
        <w:keepNext/>
        <w:keepLines/>
        <w:spacing w:line="360" w:lineRule="auto"/>
        <w:outlineLvl w:val="2"/>
        <w:rPr>
          <w:rFonts w:ascii="Times New Roman" w:hAnsi="Times New Roman"/>
          <w:b/>
          <w:bCs/>
          <w:spacing w:val="-2"/>
          <w:kern w:val="0"/>
          <w:sz w:val="24"/>
          <w:szCs w:val="32"/>
        </w:rPr>
      </w:pPr>
      <w:r>
        <w:rPr>
          <w:rFonts w:ascii="Times New Roman" w:hAnsi="Times New Roman"/>
          <w:b/>
          <w:bCs/>
          <w:spacing w:val="-2"/>
          <w:kern w:val="0"/>
          <w:sz w:val="24"/>
          <w:szCs w:val="32"/>
        </w:rPr>
        <w:t xml:space="preserve">1.5.2 </w:t>
      </w:r>
      <w:r>
        <w:rPr>
          <w:rFonts w:ascii="Times New Roman" w:hAnsi="Times New Roman" w:eastAsia="黑体"/>
          <w:b/>
          <w:bCs/>
          <w:spacing w:val="-2"/>
          <w:kern w:val="0"/>
          <w:sz w:val="24"/>
          <w:szCs w:val="32"/>
        </w:rPr>
        <w:t>评价范围</w:t>
      </w:r>
    </w:p>
    <w:p w14:paraId="6BB35F73">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（1）环境空气</w:t>
      </w:r>
    </w:p>
    <w:p w14:paraId="5B61AF51">
      <w:pPr>
        <w:spacing w:line="360" w:lineRule="auto"/>
        <w:ind w:firstLine="480"/>
        <w:rPr>
          <w:rFonts w:ascii="Times New Roman" w:hAnsi="Times New Roman"/>
          <w:spacing w:val="-2"/>
          <w:kern w:val="0"/>
          <w:sz w:val="24"/>
          <w:szCs w:val="24"/>
        </w:rPr>
      </w:pPr>
      <w:r>
        <w:rPr>
          <w:rFonts w:ascii="Times New Roman" w:hAnsi="Times New Roman"/>
          <w:spacing w:val="-2"/>
          <w:kern w:val="0"/>
          <w:sz w:val="24"/>
          <w:szCs w:val="24"/>
        </w:rPr>
        <w:t>由估算模型计算结果可知，本项目大气评价等级为二级，根据《环境影响评价技术导则大气环境》（HJ2.2-2018），本项目大气环境评价范围为以项目厂址为中心区域，边长为5km的矩形区域。</w:t>
      </w:r>
    </w:p>
    <w:p w14:paraId="4D8FB009">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（2）地表水环境</w:t>
      </w:r>
    </w:p>
    <w:p w14:paraId="1C611B8B">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本项目不直接向地表水排水，不设地表水评价范围。本项目地表水评价等级为三级B。根据《环境影响评价技术导则地表水环境》（HJ2.3-2018）第7.1.2条及第8.1.2条规定：水污染影响型三级B评价可不进行水环境影响预测，评价内容为水污染控制和水环境影响减缓措施有效性评价和依托污水处理设施的环境可行性评价。因此本次评价主要对项目依托大榄坪污水处理厂的环境可行性进行分析论证。</w:t>
      </w:r>
    </w:p>
    <w:p w14:paraId="546A67E8">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（3）地下水环境</w:t>
      </w:r>
    </w:p>
    <w:p w14:paraId="112102E8">
      <w:pPr>
        <w:autoSpaceDE w:val="0"/>
        <w:autoSpaceDN w:val="0"/>
        <w:adjustRightInd w:val="0"/>
        <w:spacing w:line="360" w:lineRule="auto"/>
        <w:ind w:firstLine="472" w:firstLineChars="200"/>
        <w:jc w:val="left"/>
        <w:rPr>
          <w:rFonts w:ascii="Times New Roman" w:hAnsi="Times New Roman"/>
          <w:spacing w:val="-2"/>
          <w:kern w:val="0"/>
          <w:sz w:val="24"/>
          <w:szCs w:val="24"/>
        </w:rPr>
      </w:pPr>
      <w:r>
        <w:rPr>
          <w:rFonts w:ascii="Times New Roman" w:hAnsi="Times New Roman"/>
          <w:spacing w:val="-2"/>
          <w:kern w:val="0"/>
          <w:sz w:val="24"/>
          <w:szCs w:val="24"/>
        </w:rPr>
        <w:t>本项目地下水环境评价工作等级为三级，根据《环境影响评价技术导则地下水环境》（HJ610－2016）（查表法）及区域水文地质条件，调查评价范围为≤6km</w:t>
      </w:r>
      <w:r>
        <w:rPr>
          <w:rFonts w:ascii="Times New Roman" w:hAnsi="Times New Roman"/>
          <w:spacing w:val="-2"/>
          <w:kern w:val="0"/>
          <w:sz w:val="24"/>
          <w:szCs w:val="24"/>
          <w:vertAlign w:val="superscript"/>
        </w:rPr>
        <w:t>2</w:t>
      </w:r>
      <w:r>
        <w:rPr>
          <w:rFonts w:ascii="Times New Roman" w:hAnsi="Times New Roman"/>
          <w:spacing w:val="-2"/>
          <w:kern w:val="0"/>
          <w:sz w:val="24"/>
          <w:szCs w:val="24"/>
        </w:rPr>
        <w:t>，因此本项目地下水影响评价范围按项目所在区域的水文地质单元范围、地下水分水岭、区域断层分布情况划定。项目所在区域</w:t>
      </w:r>
      <w:r>
        <w:rPr>
          <w:rFonts w:hint="eastAsia" w:ascii="Times New Roman" w:hAnsi="Times New Roman"/>
          <w:spacing w:val="-2"/>
          <w:kern w:val="0"/>
          <w:sz w:val="24"/>
          <w:szCs w:val="24"/>
        </w:rPr>
        <w:t>陆域</w:t>
      </w:r>
      <w:r>
        <w:rPr>
          <w:rFonts w:ascii="Times New Roman" w:hAnsi="Times New Roman"/>
          <w:spacing w:val="-2"/>
          <w:kern w:val="0"/>
          <w:sz w:val="24"/>
          <w:szCs w:val="24"/>
        </w:rPr>
        <w:t>主要是</w:t>
      </w:r>
      <w:r>
        <w:rPr>
          <w:rFonts w:hint="eastAsia" w:ascii="Times New Roman" w:hAnsi="Times New Roman"/>
          <w:spacing w:val="-2"/>
          <w:kern w:val="0"/>
          <w:sz w:val="24"/>
          <w:szCs w:val="24"/>
        </w:rPr>
        <w:t>吹填</w:t>
      </w:r>
      <w:r>
        <w:rPr>
          <w:rFonts w:ascii="Times New Roman" w:hAnsi="Times New Roman"/>
          <w:spacing w:val="-2"/>
          <w:kern w:val="0"/>
          <w:sz w:val="24"/>
          <w:szCs w:val="24"/>
        </w:rPr>
        <w:t>成陆土地，</w:t>
      </w:r>
      <w:r>
        <w:rPr>
          <w:rFonts w:hint="eastAsia" w:ascii="Times New Roman" w:hAnsi="Times New Roman"/>
          <w:spacing w:val="-2"/>
          <w:kern w:val="0"/>
          <w:sz w:val="24"/>
          <w:szCs w:val="24"/>
        </w:rPr>
        <w:t>填海成陆的区域的半岛</w:t>
      </w:r>
      <w:r>
        <w:rPr>
          <w:rFonts w:ascii="Times New Roman" w:hAnsi="Times New Roman"/>
          <w:spacing w:val="-2"/>
          <w:kern w:val="0"/>
          <w:sz w:val="24"/>
          <w:szCs w:val="24"/>
        </w:rPr>
        <w:t>东、西、南面为海域范围，</w:t>
      </w:r>
      <w:r>
        <w:rPr>
          <w:rFonts w:hint="eastAsia" w:ascii="Times New Roman" w:hAnsi="Times New Roman"/>
          <w:spacing w:val="-2"/>
          <w:kern w:val="0"/>
          <w:sz w:val="24"/>
          <w:szCs w:val="24"/>
        </w:rPr>
        <w:t>本次地下水评价范围主要为广西钦州保税区管理服务区、保税物流区、出口加工区用地范围，具体</w:t>
      </w:r>
      <w:r>
        <w:rPr>
          <w:rFonts w:ascii="Times New Roman" w:hAnsi="Times New Roman"/>
          <w:spacing w:val="-2"/>
          <w:kern w:val="0"/>
          <w:sz w:val="24"/>
          <w:szCs w:val="24"/>
        </w:rPr>
        <w:t>评价范围为</w:t>
      </w:r>
      <w:r>
        <w:rPr>
          <w:rFonts w:hint="eastAsia" w:ascii="Times New Roman" w:hAnsi="Times New Roman"/>
          <w:spacing w:val="-2"/>
          <w:kern w:val="0"/>
          <w:sz w:val="24"/>
          <w:szCs w:val="24"/>
        </w:rPr>
        <w:t>项目</w:t>
      </w:r>
      <w:r>
        <w:rPr>
          <w:rFonts w:hint="eastAsia" w:ascii="Times New Roman" w:hAnsi="Times New Roman"/>
          <w:spacing w:val="-2"/>
          <w:kern w:val="0"/>
          <w:sz w:val="24"/>
          <w:szCs w:val="24"/>
          <w:lang w:eastAsia="zh-CN"/>
        </w:rPr>
        <w:t>东</w:t>
      </w:r>
      <w:r>
        <w:rPr>
          <w:rFonts w:hint="eastAsia" w:ascii="Times New Roman" w:hAnsi="Times New Roman"/>
          <w:spacing w:val="-2"/>
          <w:kern w:val="0"/>
          <w:sz w:val="24"/>
          <w:szCs w:val="24"/>
        </w:rPr>
        <w:t>至内贸路（东段），西至内贸路（西段），南至内贸路（南段）海域边界，北至保税港大街的范围</w:t>
      </w:r>
      <w:r>
        <w:rPr>
          <w:rFonts w:ascii="Times New Roman" w:hAnsi="Times New Roman"/>
          <w:spacing w:val="-2"/>
          <w:kern w:val="0"/>
          <w:sz w:val="24"/>
          <w:szCs w:val="24"/>
        </w:rPr>
        <w:t>，面积约</w:t>
      </w:r>
      <w:r>
        <w:rPr>
          <w:rFonts w:hint="eastAsia" w:ascii="Times New Roman" w:hAnsi="Times New Roman"/>
          <w:spacing w:val="-2"/>
          <w:kern w:val="0"/>
          <w:sz w:val="24"/>
          <w:szCs w:val="24"/>
        </w:rPr>
        <w:t>6</w:t>
      </w:r>
      <w:r>
        <w:rPr>
          <w:rFonts w:ascii="Times New Roman" w:hAnsi="Times New Roman"/>
          <w:spacing w:val="-2"/>
          <w:kern w:val="0"/>
          <w:sz w:val="24"/>
          <w:szCs w:val="24"/>
        </w:rPr>
        <w:t>km</w:t>
      </w:r>
      <w:r>
        <w:rPr>
          <w:rFonts w:ascii="Times New Roman" w:hAnsi="Times New Roman"/>
          <w:spacing w:val="-2"/>
          <w:kern w:val="0"/>
          <w:sz w:val="24"/>
          <w:szCs w:val="24"/>
          <w:vertAlign w:val="superscript"/>
        </w:rPr>
        <w:t>2</w:t>
      </w:r>
      <w:r>
        <w:rPr>
          <w:rFonts w:ascii="Times New Roman" w:hAnsi="Times New Roman"/>
          <w:spacing w:val="-2"/>
          <w:kern w:val="0"/>
          <w:sz w:val="24"/>
          <w:szCs w:val="24"/>
        </w:rPr>
        <w:t>的区域。</w:t>
      </w:r>
    </w:p>
    <w:p w14:paraId="3A7926AB">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（4）声环境</w:t>
      </w:r>
    </w:p>
    <w:p w14:paraId="54CD444A">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根据《环境影响评价技术导则-声环境》（HJ2.4-2021），本项目声环境评价范围设项目厂界外200m范围内。</w:t>
      </w:r>
    </w:p>
    <w:p w14:paraId="61C1A060">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（5）生态环境</w:t>
      </w:r>
    </w:p>
    <w:p w14:paraId="5C326661">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本项目为污染影响类建设项目，项目符合广西钦州保税港区规划及规划环评要求，不涉及生态敏感区。根据《环境影响评价技术导则生态影响》（HJ19-2022）要求，项目仅进行生态影响简单分析，</w:t>
      </w:r>
      <w:r>
        <w:rPr>
          <w:rFonts w:hint="eastAsia" w:ascii="Times New Roman" w:hAnsi="Times New Roman"/>
          <w:spacing w:val="-2"/>
          <w:kern w:val="0"/>
          <w:sz w:val="24"/>
          <w:szCs w:val="24"/>
        </w:rPr>
        <w:t>可</w:t>
      </w:r>
      <w:r>
        <w:rPr>
          <w:rFonts w:ascii="Times New Roman" w:hAnsi="Times New Roman"/>
          <w:spacing w:val="-2"/>
          <w:kern w:val="0"/>
          <w:sz w:val="24"/>
          <w:szCs w:val="24"/>
        </w:rPr>
        <w:t>不设置生态环境评价范围。</w:t>
      </w:r>
    </w:p>
    <w:p w14:paraId="148E7979">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（6）土壤环境</w:t>
      </w:r>
    </w:p>
    <w:p w14:paraId="38D6CF74">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项目属于《环境影响评价技术导则土壤环境（试行）》（HJ964-2018）中的Ⅲ类项目，占地为小型，环境敏感程度为不敏感，项目不开展土壤环境影响评价，不设置土壤环境评价范围。</w:t>
      </w:r>
    </w:p>
    <w:p w14:paraId="23E16D55">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（7）风险</w:t>
      </w:r>
    </w:p>
    <w:p w14:paraId="1A2C27B4">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项目以环境风险潜势为I，环境风险进行简单分析，不设置环境风险评价范围。</w:t>
      </w:r>
    </w:p>
    <w:bookmarkEnd w:id="55"/>
    <w:bookmarkEnd w:id="56"/>
    <w:bookmarkEnd w:id="57"/>
    <w:bookmarkEnd w:id="64"/>
    <w:bookmarkEnd w:id="65"/>
    <w:bookmarkEnd w:id="66"/>
    <w:p w14:paraId="2AFBE55B">
      <w:pPr>
        <w:pStyle w:val="5"/>
      </w:pPr>
      <w:bookmarkStart w:id="71" w:name="_Toc569"/>
      <w:bookmarkStart w:id="72" w:name="_Toc321056192"/>
      <w:bookmarkStart w:id="73" w:name="_Toc368169995"/>
      <w:r>
        <w:t>主要环境保护目标</w:t>
      </w:r>
      <w:bookmarkEnd w:id="71"/>
      <w:bookmarkEnd w:id="72"/>
      <w:bookmarkEnd w:id="73"/>
    </w:p>
    <w:p w14:paraId="5C41BA84">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项目评价范围内不涉及国家公园、自然保护区、世界自然遗产、重要生境、自然公园、生态保护红线；不涉及天然林、公益林、湿地等生态敏感区；不涉及饮用水水源地。本项目周围环境敏感目标主要为广西钦州保税港区及港区内企业配套的生活区，项目评价区域内各环境保护敏感目标详见表1.6-1及附图3。</w:t>
      </w:r>
    </w:p>
    <w:p w14:paraId="609D3E6E">
      <w:pPr>
        <w:pStyle w:val="8"/>
        <w:rPr>
          <w:sz w:val="24"/>
          <w:szCs w:val="24"/>
        </w:rPr>
      </w:pPr>
      <w:r>
        <w:rPr>
          <w:sz w:val="24"/>
          <w:szCs w:val="24"/>
        </w:rPr>
        <w:t>环境保护目标一览表</w:t>
      </w:r>
    </w:p>
    <w:tbl>
      <w:tblPr>
        <w:tblStyle w:val="88"/>
        <w:tblW w:w="9349"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552"/>
        <w:gridCol w:w="445"/>
        <w:gridCol w:w="958"/>
        <w:gridCol w:w="992"/>
        <w:gridCol w:w="1129"/>
        <w:gridCol w:w="884"/>
        <w:gridCol w:w="709"/>
        <w:gridCol w:w="1526"/>
        <w:gridCol w:w="883"/>
        <w:gridCol w:w="1271"/>
      </w:tblGrid>
      <w:tr w14:paraId="38F5963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blHeader/>
          <w:jc w:val="center"/>
        </w:trPr>
        <w:tc>
          <w:tcPr>
            <w:tcW w:w="552" w:type="dxa"/>
            <w:vMerge w:val="restart"/>
            <w:noWrap/>
            <w:vAlign w:val="center"/>
          </w:tcPr>
          <w:p w14:paraId="0B70F20F">
            <w:pPr>
              <w:widowControl/>
              <w:jc w:val="center"/>
              <w:rPr>
                <w:rFonts w:ascii="Times New Roman" w:hAnsi="Times New Roman"/>
                <w:b/>
                <w:bCs/>
                <w:spacing w:val="-2"/>
                <w:kern w:val="0"/>
                <w:szCs w:val="21"/>
              </w:rPr>
            </w:pPr>
            <w:r>
              <w:rPr>
                <w:rFonts w:ascii="Times New Roman" w:hAnsi="Times New Roman"/>
                <w:b/>
                <w:bCs/>
                <w:spacing w:val="-2"/>
                <w:kern w:val="0"/>
                <w:szCs w:val="21"/>
              </w:rPr>
              <w:t>环境</w:t>
            </w:r>
          </w:p>
          <w:p w14:paraId="0702D2BD">
            <w:pPr>
              <w:widowControl/>
              <w:jc w:val="center"/>
              <w:rPr>
                <w:rFonts w:ascii="Times New Roman" w:hAnsi="Times New Roman"/>
                <w:b/>
                <w:bCs/>
                <w:spacing w:val="-2"/>
                <w:kern w:val="0"/>
                <w:szCs w:val="21"/>
              </w:rPr>
            </w:pPr>
            <w:r>
              <w:rPr>
                <w:rFonts w:ascii="Times New Roman" w:hAnsi="Times New Roman"/>
                <w:b/>
                <w:bCs/>
                <w:spacing w:val="-2"/>
                <w:kern w:val="0"/>
                <w:szCs w:val="21"/>
              </w:rPr>
              <w:t>要素</w:t>
            </w:r>
          </w:p>
        </w:tc>
        <w:tc>
          <w:tcPr>
            <w:tcW w:w="445" w:type="dxa"/>
            <w:vMerge w:val="restart"/>
            <w:vAlign w:val="center"/>
          </w:tcPr>
          <w:p w14:paraId="125B535C">
            <w:pPr>
              <w:widowControl/>
              <w:jc w:val="center"/>
              <w:rPr>
                <w:rFonts w:ascii="Times New Roman" w:hAnsi="Times New Roman"/>
                <w:b/>
                <w:bCs/>
                <w:spacing w:val="-2"/>
                <w:kern w:val="0"/>
                <w:szCs w:val="21"/>
              </w:rPr>
            </w:pPr>
            <w:r>
              <w:rPr>
                <w:rFonts w:ascii="Times New Roman" w:hAnsi="Times New Roman"/>
                <w:b/>
                <w:bCs/>
                <w:spacing w:val="-2"/>
                <w:kern w:val="0"/>
                <w:szCs w:val="21"/>
              </w:rPr>
              <w:t>序号</w:t>
            </w:r>
          </w:p>
        </w:tc>
        <w:tc>
          <w:tcPr>
            <w:tcW w:w="958" w:type="dxa"/>
            <w:vMerge w:val="restart"/>
            <w:vAlign w:val="center"/>
          </w:tcPr>
          <w:p w14:paraId="5499BAD3">
            <w:pPr>
              <w:widowControl/>
              <w:jc w:val="center"/>
              <w:rPr>
                <w:rFonts w:ascii="Times New Roman" w:hAnsi="Times New Roman"/>
                <w:b/>
                <w:bCs/>
                <w:spacing w:val="-2"/>
                <w:kern w:val="0"/>
                <w:szCs w:val="21"/>
              </w:rPr>
            </w:pPr>
            <w:r>
              <w:rPr>
                <w:rFonts w:ascii="Times New Roman" w:hAnsi="Times New Roman"/>
                <w:b/>
                <w:bCs/>
                <w:spacing w:val="-2"/>
                <w:kern w:val="0"/>
                <w:szCs w:val="21"/>
              </w:rPr>
              <w:t>名称</w:t>
            </w:r>
          </w:p>
        </w:tc>
        <w:tc>
          <w:tcPr>
            <w:tcW w:w="2121" w:type="dxa"/>
            <w:gridSpan w:val="2"/>
            <w:vAlign w:val="center"/>
          </w:tcPr>
          <w:p w14:paraId="28A118A8">
            <w:pPr>
              <w:widowControl/>
              <w:jc w:val="center"/>
              <w:rPr>
                <w:rFonts w:ascii="Times New Roman" w:hAnsi="Times New Roman"/>
                <w:b/>
                <w:bCs/>
                <w:spacing w:val="-2"/>
                <w:kern w:val="0"/>
                <w:szCs w:val="21"/>
              </w:rPr>
            </w:pPr>
            <w:r>
              <w:rPr>
                <w:rFonts w:ascii="Times New Roman" w:hAnsi="Times New Roman"/>
                <w:b/>
                <w:bCs/>
                <w:spacing w:val="-2"/>
                <w:kern w:val="0"/>
                <w:szCs w:val="21"/>
              </w:rPr>
              <w:t>坐标</w:t>
            </w:r>
          </w:p>
        </w:tc>
        <w:tc>
          <w:tcPr>
            <w:tcW w:w="884" w:type="dxa"/>
            <w:vMerge w:val="restart"/>
            <w:vAlign w:val="center"/>
          </w:tcPr>
          <w:p w14:paraId="473B9D01">
            <w:pPr>
              <w:widowControl/>
              <w:jc w:val="center"/>
              <w:rPr>
                <w:rFonts w:ascii="Times New Roman" w:hAnsi="Times New Roman"/>
                <w:b/>
                <w:bCs/>
                <w:spacing w:val="-2"/>
                <w:kern w:val="0"/>
                <w:szCs w:val="21"/>
              </w:rPr>
            </w:pPr>
            <w:r>
              <w:rPr>
                <w:rFonts w:ascii="Times New Roman" w:hAnsi="Times New Roman"/>
                <w:b/>
                <w:bCs/>
                <w:spacing w:val="-2"/>
                <w:kern w:val="0"/>
                <w:szCs w:val="21"/>
              </w:rPr>
              <w:t>相对厂址方位</w:t>
            </w:r>
          </w:p>
        </w:tc>
        <w:tc>
          <w:tcPr>
            <w:tcW w:w="709" w:type="dxa"/>
            <w:vMerge w:val="restart"/>
            <w:vAlign w:val="center"/>
          </w:tcPr>
          <w:p w14:paraId="5502FD23">
            <w:pPr>
              <w:widowControl/>
              <w:jc w:val="center"/>
              <w:rPr>
                <w:rFonts w:ascii="Times New Roman" w:hAnsi="Times New Roman"/>
                <w:b/>
                <w:bCs/>
                <w:spacing w:val="-2"/>
                <w:kern w:val="0"/>
                <w:szCs w:val="21"/>
              </w:rPr>
            </w:pPr>
            <w:r>
              <w:rPr>
                <w:rFonts w:ascii="Times New Roman" w:hAnsi="Times New Roman"/>
                <w:b/>
                <w:bCs/>
                <w:spacing w:val="-2"/>
                <w:kern w:val="0"/>
                <w:szCs w:val="21"/>
              </w:rPr>
              <w:t>相对厂界距离/m</w:t>
            </w:r>
          </w:p>
        </w:tc>
        <w:tc>
          <w:tcPr>
            <w:tcW w:w="1526" w:type="dxa"/>
            <w:vMerge w:val="restart"/>
            <w:vAlign w:val="center"/>
          </w:tcPr>
          <w:p w14:paraId="6EB61662">
            <w:pPr>
              <w:widowControl/>
              <w:jc w:val="center"/>
              <w:rPr>
                <w:rFonts w:ascii="Times New Roman" w:hAnsi="Times New Roman"/>
                <w:b/>
                <w:bCs/>
                <w:spacing w:val="-2"/>
                <w:kern w:val="0"/>
                <w:szCs w:val="21"/>
              </w:rPr>
            </w:pPr>
            <w:r>
              <w:rPr>
                <w:rFonts w:ascii="Times New Roman" w:hAnsi="Times New Roman"/>
                <w:b/>
                <w:bCs/>
                <w:spacing w:val="-2"/>
                <w:kern w:val="0"/>
                <w:szCs w:val="21"/>
              </w:rPr>
              <w:t>保护目标属性及人数</w:t>
            </w:r>
          </w:p>
        </w:tc>
        <w:tc>
          <w:tcPr>
            <w:tcW w:w="883" w:type="dxa"/>
            <w:vMerge w:val="restart"/>
            <w:vAlign w:val="center"/>
          </w:tcPr>
          <w:p w14:paraId="5A85924E">
            <w:pPr>
              <w:widowControl/>
              <w:jc w:val="center"/>
              <w:rPr>
                <w:rFonts w:ascii="Times New Roman" w:hAnsi="Times New Roman"/>
                <w:b/>
                <w:bCs/>
                <w:spacing w:val="-2"/>
                <w:kern w:val="0"/>
                <w:szCs w:val="21"/>
              </w:rPr>
            </w:pPr>
            <w:r>
              <w:rPr>
                <w:rFonts w:ascii="Times New Roman" w:hAnsi="Times New Roman"/>
                <w:b/>
                <w:bCs/>
                <w:spacing w:val="-2"/>
                <w:kern w:val="0"/>
                <w:szCs w:val="21"/>
              </w:rPr>
              <w:t>饮用水情况</w:t>
            </w:r>
          </w:p>
        </w:tc>
        <w:tc>
          <w:tcPr>
            <w:tcW w:w="1271" w:type="dxa"/>
            <w:vMerge w:val="restart"/>
            <w:vAlign w:val="center"/>
          </w:tcPr>
          <w:p w14:paraId="514A98F8">
            <w:pPr>
              <w:widowControl/>
              <w:jc w:val="center"/>
              <w:rPr>
                <w:rFonts w:ascii="Times New Roman" w:hAnsi="Times New Roman"/>
                <w:b/>
                <w:bCs/>
                <w:spacing w:val="-2"/>
                <w:kern w:val="0"/>
                <w:szCs w:val="21"/>
              </w:rPr>
            </w:pPr>
            <w:r>
              <w:rPr>
                <w:rFonts w:ascii="Times New Roman" w:hAnsi="Times New Roman"/>
                <w:b/>
                <w:bCs/>
                <w:spacing w:val="-2"/>
                <w:kern w:val="0"/>
                <w:szCs w:val="21"/>
              </w:rPr>
              <w:t>环境</w:t>
            </w:r>
          </w:p>
          <w:p w14:paraId="35DB4BBE">
            <w:pPr>
              <w:widowControl/>
              <w:jc w:val="center"/>
              <w:rPr>
                <w:rFonts w:ascii="Times New Roman" w:hAnsi="Times New Roman"/>
                <w:b/>
                <w:bCs/>
                <w:spacing w:val="-2"/>
                <w:kern w:val="0"/>
                <w:szCs w:val="21"/>
              </w:rPr>
            </w:pPr>
            <w:r>
              <w:rPr>
                <w:rFonts w:ascii="Times New Roman" w:hAnsi="Times New Roman"/>
                <w:b/>
                <w:bCs/>
                <w:spacing w:val="-2"/>
                <w:kern w:val="0"/>
                <w:szCs w:val="21"/>
              </w:rPr>
              <w:t>功能区</w:t>
            </w:r>
          </w:p>
        </w:tc>
      </w:tr>
      <w:tr w14:paraId="35B0854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836" w:hRule="atLeast"/>
          <w:tblHeader/>
          <w:jc w:val="center"/>
        </w:trPr>
        <w:tc>
          <w:tcPr>
            <w:tcW w:w="552" w:type="dxa"/>
            <w:vMerge w:val="continue"/>
            <w:vAlign w:val="center"/>
          </w:tcPr>
          <w:p w14:paraId="40905575">
            <w:pPr>
              <w:widowControl/>
              <w:jc w:val="center"/>
              <w:rPr>
                <w:rFonts w:ascii="Times New Roman" w:hAnsi="Times New Roman"/>
                <w:b/>
                <w:bCs/>
                <w:spacing w:val="-2"/>
                <w:kern w:val="0"/>
                <w:szCs w:val="21"/>
              </w:rPr>
            </w:pPr>
          </w:p>
        </w:tc>
        <w:tc>
          <w:tcPr>
            <w:tcW w:w="445" w:type="dxa"/>
            <w:vMerge w:val="continue"/>
            <w:vAlign w:val="center"/>
          </w:tcPr>
          <w:p w14:paraId="7C2B3A0C">
            <w:pPr>
              <w:widowControl/>
              <w:jc w:val="center"/>
              <w:rPr>
                <w:rFonts w:ascii="Times New Roman" w:hAnsi="Times New Roman"/>
                <w:b/>
                <w:bCs/>
                <w:spacing w:val="-2"/>
                <w:kern w:val="0"/>
                <w:szCs w:val="21"/>
              </w:rPr>
            </w:pPr>
          </w:p>
        </w:tc>
        <w:tc>
          <w:tcPr>
            <w:tcW w:w="958" w:type="dxa"/>
            <w:vMerge w:val="continue"/>
            <w:vAlign w:val="center"/>
          </w:tcPr>
          <w:p w14:paraId="215EE8AE">
            <w:pPr>
              <w:widowControl/>
              <w:jc w:val="center"/>
              <w:rPr>
                <w:rFonts w:ascii="Times New Roman" w:hAnsi="Times New Roman"/>
                <w:b/>
                <w:bCs/>
                <w:spacing w:val="-2"/>
                <w:kern w:val="0"/>
                <w:szCs w:val="21"/>
              </w:rPr>
            </w:pPr>
          </w:p>
        </w:tc>
        <w:tc>
          <w:tcPr>
            <w:tcW w:w="992" w:type="dxa"/>
            <w:vAlign w:val="center"/>
          </w:tcPr>
          <w:p w14:paraId="51111AAD">
            <w:pPr>
              <w:widowControl/>
              <w:jc w:val="center"/>
              <w:rPr>
                <w:rFonts w:ascii="Times New Roman" w:hAnsi="Times New Roman"/>
                <w:b/>
                <w:bCs/>
                <w:spacing w:val="-2"/>
                <w:kern w:val="0"/>
                <w:szCs w:val="21"/>
              </w:rPr>
            </w:pPr>
            <w:r>
              <w:rPr>
                <w:rFonts w:ascii="Times New Roman" w:hAnsi="Times New Roman"/>
                <w:b/>
                <w:bCs/>
                <w:spacing w:val="-2"/>
                <w:kern w:val="0"/>
                <w:szCs w:val="21"/>
              </w:rPr>
              <w:t>经度</w:t>
            </w:r>
          </w:p>
        </w:tc>
        <w:tc>
          <w:tcPr>
            <w:tcW w:w="1129" w:type="dxa"/>
            <w:vAlign w:val="center"/>
          </w:tcPr>
          <w:p w14:paraId="183932EC">
            <w:pPr>
              <w:widowControl/>
              <w:jc w:val="center"/>
              <w:rPr>
                <w:rFonts w:ascii="Times New Roman" w:hAnsi="Times New Roman"/>
                <w:b/>
                <w:bCs/>
                <w:spacing w:val="-2"/>
                <w:kern w:val="0"/>
                <w:szCs w:val="21"/>
              </w:rPr>
            </w:pPr>
            <w:r>
              <w:rPr>
                <w:rFonts w:ascii="Times New Roman" w:hAnsi="Times New Roman"/>
                <w:b/>
                <w:bCs/>
                <w:spacing w:val="-2"/>
                <w:kern w:val="0"/>
                <w:szCs w:val="21"/>
              </w:rPr>
              <w:t>纬度</w:t>
            </w:r>
          </w:p>
        </w:tc>
        <w:tc>
          <w:tcPr>
            <w:tcW w:w="884" w:type="dxa"/>
            <w:vMerge w:val="continue"/>
            <w:vAlign w:val="center"/>
          </w:tcPr>
          <w:p w14:paraId="65633391">
            <w:pPr>
              <w:widowControl/>
              <w:jc w:val="center"/>
              <w:rPr>
                <w:rFonts w:ascii="Times New Roman" w:hAnsi="Times New Roman"/>
                <w:b/>
                <w:bCs/>
                <w:spacing w:val="-2"/>
                <w:kern w:val="0"/>
                <w:szCs w:val="21"/>
              </w:rPr>
            </w:pPr>
          </w:p>
        </w:tc>
        <w:tc>
          <w:tcPr>
            <w:tcW w:w="709" w:type="dxa"/>
            <w:vMerge w:val="continue"/>
            <w:vAlign w:val="center"/>
          </w:tcPr>
          <w:p w14:paraId="29BE257B">
            <w:pPr>
              <w:widowControl/>
              <w:jc w:val="center"/>
              <w:rPr>
                <w:rFonts w:ascii="Times New Roman" w:hAnsi="Times New Roman"/>
                <w:b/>
                <w:bCs/>
                <w:spacing w:val="-2"/>
                <w:kern w:val="0"/>
                <w:szCs w:val="21"/>
              </w:rPr>
            </w:pPr>
          </w:p>
        </w:tc>
        <w:tc>
          <w:tcPr>
            <w:tcW w:w="1526" w:type="dxa"/>
            <w:vMerge w:val="continue"/>
            <w:vAlign w:val="center"/>
          </w:tcPr>
          <w:p w14:paraId="7EB0B76C">
            <w:pPr>
              <w:widowControl/>
              <w:jc w:val="center"/>
              <w:rPr>
                <w:rFonts w:ascii="Times New Roman" w:hAnsi="Times New Roman"/>
                <w:b/>
                <w:bCs/>
                <w:spacing w:val="-2"/>
                <w:kern w:val="0"/>
                <w:szCs w:val="21"/>
              </w:rPr>
            </w:pPr>
          </w:p>
        </w:tc>
        <w:tc>
          <w:tcPr>
            <w:tcW w:w="883" w:type="dxa"/>
            <w:vMerge w:val="continue"/>
          </w:tcPr>
          <w:p w14:paraId="5C799EF9">
            <w:pPr>
              <w:widowControl/>
              <w:jc w:val="center"/>
              <w:rPr>
                <w:rFonts w:ascii="Times New Roman" w:hAnsi="Times New Roman"/>
                <w:b/>
                <w:bCs/>
                <w:spacing w:val="-2"/>
                <w:kern w:val="0"/>
                <w:szCs w:val="21"/>
              </w:rPr>
            </w:pPr>
          </w:p>
        </w:tc>
        <w:tc>
          <w:tcPr>
            <w:tcW w:w="1271" w:type="dxa"/>
            <w:vMerge w:val="continue"/>
            <w:vAlign w:val="center"/>
          </w:tcPr>
          <w:p w14:paraId="40D4904C">
            <w:pPr>
              <w:widowControl/>
              <w:jc w:val="center"/>
              <w:rPr>
                <w:rFonts w:ascii="Times New Roman" w:hAnsi="Times New Roman"/>
                <w:b/>
                <w:bCs/>
                <w:spacing w:val="-2"/>
                <w:kern w:val="0"/>
                <w:szCs w:val="21"/>
              </w:rPr>
            </w:pPr>
          </w:p>
        </w:tc>
      </w:tr>
      <w:tr w14:paraId="51D3922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558" w:hRule="atLeast"/>
          <w:jc w:val="center"/>
        </w:trPr>
        <w:tc>
          <w:tcPr>
            <w:tcW w:w="552" w:type="dxa"/>
            <w:vMerge w:val="restart"/>
            <w:vAlign w:val="center"/>
          </w:tcPr>
          <w:p w14:paraId="4FF5F48C">
            <w:pPr>
              <w:widowControl/>
              <w:jc w:val="center"/>
              <w:rPr>
                <w:rFonts w:ascii="Times New Roman" w:hAnsi="Times New Roman"/>
                <w:spacing w:val="-2"/>
                <w:kern w:val="0"/>
                <w:szCs w:val="21"/>
              </w:rPr>
            </w:pPr>
            <w:r>
              <w:rPr>
                <w:rFonts w:ascii="Times New Roman" w:hAnsi="Times New Roman"/>
                <w:spacing w:val="-2"/>
                <w:kern w:val="0"/>
                <w:szCs w:val="21"/>
              </w:rPr>
              <w:t>大气环境</w:t>
            </w:r>
          </w:p>
        </w:tc>
        <w:tc>
          <w:tcPr>
            <w:tcW w:w="445" w:type="dxa"/>
            <w:vAlign w:val="center"/>
          </w:tcPr>
          <w:p w14:paraId="29B36D16">
            <w:pPr>
              <w:widowControl/>
              <w:jc w:val="center"/>
              <w:rPr>
                <w:rFonts w:ascii="Times New Roman" w:hAnsi="Times New Roman"/>
                <w:spacing w:val="-2"/>
                <w:kern w:val="0"/>
                <w:szCs w:val="21"/>
              </w:rPr>
            </w:pPr>
            <w:r>
              <w:rPr>
                <w:rFonts w:ascii="Times New Roman" w:hAnsi="Times New Roman"/>
                <w:spacing w:val="-2"/>
                <w:kern w:val="0"/>
                <w:szCs w:val="21"/>
              </w:rPr>
              <w:t>1</w:t>
            </w:r>
          </w:p>
        </w:tc>
        <w:tc>
          <w:tcPr>
            <w:tcW w:w="958" w:type="dxa"/>
            <w:vAlign w:val="center"/>
          </w:tcPr>
          <w:p w14:paraId="636CB0BE">
            <w:pPr>
              <w:jc w:val="center"/>
              <w:rPr>
                <w:rFonts w:ascii="Times New Roman" w:hAnsi="Times New Roman"/>
                <w:sz w:val="22"/>
              </w:rPr>
            </w:pPr>
            <w:r>
              <w:rPr>
                <w:rFonts w:ascii="Times New Roman" w:hAnsi="Times New Roman"/>
                <w:sz w:val="22"/>
              </w:rPr>
              <w:t>保税港区企业职业配套生活区</w:t>
            </w:r>
          </w:p>
        </w:tc>
        <w:tc>
          <w:tcPr>
            <w:tcW w:w="992" w:type="dxa"/>
            <w:noWrap/>
            <w:vAlign w:val="center"/>
          </w:tcPr>
          <w:p w14:paraId="5BC55B5D">
            <w:pPr>
              <w:widowControl/>
              <w:jc w:val="center"/>
              <w:rPr>
                <w:rFonts w:ascii="Times New Roman" w:hAnsi="Times New Roman"/>
                <w:spacing w:val="-2"/>
                <w:kern w:val="0"/>
                <w:szCs w:val="21"/>
              </w:rPr>
            </w:pPr>
            <w:r>
              <w:rPr>
                <w:rFonts w:ascii="Times New Roman" w:hAnsi="Times New Roman"/>
                <w:spacing w:val="-2"/>
                <w:kern w:val="0"/>
                <w:szCs w:val="21"/>
              </w:rPr>
              <w:t>108.6575</w:t>
            </w:r>
          </w:p>
        </w:tc>
        <w:tc>
          <w:tcPr>
            <w:tcW w:w="1129" w:type="dxa"/>
            <w:noWrap/>
            <w:vAlign w:val="center"/>
          </w:tcPr>
          <w:p w14:paraId="3D4EDFAB">
            <w:pPr>
              <w:widowControl/>
              <w:jc w:val="center"/>
              <w:rPr>
                <w:rFonts w:ascii="Times New Roman" w:hAnsi="Times New Roman"/>
                <w:spacing w:val="-2"/>
                <w:kern w:val="0"/>
                <w:szCs w:val="21"/>
              </w:rPr>
            </w:pPr>
            <w:r>
              <w:rPr>
                <w:rFonts w:ascii="Times New Roman" w:hAnsi="Times New Roman"/>
                <w:spacing w:val="-2"/>
                <w:kern w:val="0"/>
                <w:szCs w:val="21"/>
              </w:rPr>
              <w:t>21.6886</w:t>
            </w:r>
          </w:p>
        </w:tc>
        <w:tc>
          <w:tcPr>
            <w:tcW w:w="884" w:type="dxa"/>
            <w:vAlign w:val="center"/>
          </w:tcPr>
          <w:p w14:paraId="15E777A5">
            <w:pPr>
              <w:widowControl/>
              <w:jc w:val="center"/>
              <w:rPr>
                <w:rFonts w:ascii="Times New Roman" w:hAnsi="Times New Roman"/>
                <w:spacing w:val="-2"/>
                <w:kern w:val="0"/>
                <w:szCs w:val="21"/>
              </w:rPr>
            </w:pPr>
            <w:r>
              <w:rPr>
                <w:rFonts w:ascii="Times New Roman" w:hAnsi="Times New Roman"/>
                <w:spacing w:val="-2"/>
                <w:kern w:val="0"/>
                <w:szCs w:val="21"/>
              </w:rPr>
              <w:t>西北面</w:t>
            </w:r>
          </w:p>
        </w:tc>
        <w:tc>
          <w:tcPr>
            <w:tcW w:w="709" w:type="dxa"/>
            <w:vAlign w:val="center"/>
          </w:tcPr>
          <w:p w14:paraId="6BE5A438">
            <w:pPr>
              <w:widowControl/>
              <w:jc w:val="center"/>
              <w:rPr>
                <w:rFonts w:ascii="Times New Roman" w:hAnsi="Times New Roman"/>
                <w:spacing w:val="-2"/>
                <w:kern w:val="0"/>
                <w:szCs w:val="21"/>
              </w:rPr>
            </w:pPr>
            <w:r>
              <w:rPr>
                <w:rFonts w:ascii="Times New Roman" w:hAnsi="Times New Roman"/>
                <w:spacing w:val="-2"/>
                <w:kern w:val="0"/>
                <w:szCs w:val="21"/>
              </w:rPr>
              <w:t>2100</w:t>
            </w:r>
          </w:p>
        </w:tc>
        <w:tc>
          <w:tcPr>
            <w:tcW w:w="1526" w:type="dxa"/>
            <w:vAlign w:val="center"/>
          </w:tcPr>
          <w:p w14:paraId="63D9E9C9">
            <w:pPr>
              <w:widowControl/>
              <w:jc w:val="center"/>
              <w:rPr>
                <w:rFonts w:ascii="Times New Roman" w:hAnsi="Times New Roman"/>
                <w:spacing w:val="-2"/>
                <w:kern w:val="0"/>
                <w:szCs w:val="21"/>
              </w:rPr>
            </w:pPr>
            <w:r>
              <w:rPr>
                <w:rFonts w:ascii="Times New Roman" w:hAnsi="Times New Roman"/>
                <w:spacing w:val="-2"/>
                <w:kern w:val="0"/>
                <w:szCs w:val="21"/>
              </w:rPr>
              <w:t>居住区/400人</w:t>
            </w:r>
          </w:p>
        </w:tc>
        <w:tc>
          <w:tcPr>
            <w:tcW w:w="883" w:type="dxa"/>
            <w:vAlign w:val="center"/>
          </w:tcPr>
          <w:p w14:paraId="39EA9E29">
            <w:pPr>
              <w:widowControl/>
              <w:jc w:val="center"/>
              <w:rPr>
                <w:rFonts w:ascii="Times New Roman" w:hAnsi="Times New Roman"/>
                <w:spacing w:val="-2"/>
                <w:kern w:val="0"/>
                <w:szCs w:val="21"/>
              </w:rPr>
            </w:pPr>
            <w:r>
              <w:rPr>
                <w:rFonts w:ascii="Times New Roman" w:hAnsi="Times New Roman"/>
                <w:spacing w:val="-2"/>
                <w:kern w:val="0"/>
                <w:szCs w:val="21"/>
              </w:rPr>
              <w:t>自来水</w:t>
            </w:r>
          </w:p>
        </w:tc>
        <w:tc>
          <w:tcPr>
            <w:tcW w:w="1271" w:type="dxa"/>
            <w:vMerge w:val="restart"/>
            <w:vAlign w:val="center"/>
          </w:tcPr>
          <w:p w14:paraId="78C25213">
            <w:pPr>
              <w:widowControl/>
              <w:jc w:val="center"/>
              <w:rPr>
                <w:rFonts w:ascii="Times New Roman" w:hAnsi="Times New Roman"/>
                <w:spacing w:val="-2"/>
                <w:kern w:val="0"/>
                <w:szCs w:val="21"/>
              </w:rPr>
            </w:pPr>
            <w:r>
              <w:rPr>
                <w:rFonts w:ascii="Times New Roman" w:hAnsi="Times New Roman"/>
                <w:spacing w:val="-2"/>
                <w:kern w:val="0"/>
                <w:szCs w:val="21"/>
              </w:rPr>
              <w:t>GB3095－2012中二类区</w:t>
            </w:r>
          </w:p>
        </w:tc>
      </w:tr>
      <w:tr w14:paraId="1DCF971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971" w:hRule="atLeast"/>
          <w:jc w:val="center"/>
        </w:trPr>
        <w:tc>
          <w:tcPr>
            <w:tcW w:w="552" w:type="dxa"/>
            <w:vMerge w:val="continue"/>
            <w:vAlign w:val="center"/>
          </w:tcPr>
          <w:p w14:paraId="3C9B71C9">
            <w:pPr>
              <w:widowControl/>
              <w:jc w:val="center"/>
              <w:rPr>
                <w:rFonts w:ascii="Times New Roman" w:hAnsi="Times New Roman"/>
                <w:spacing w:val="-2"/>
                <w:kern w:val="0"/>
                <w:szCs w:val="21"/>
              </w:rPr>
            </w:pPr>
          </w:p>
        </w:tc>
        <w:tc>
          <w:tcPr>
            <w:tcW w:w="445" w:type="dxa"/>
            <w:vAlign w:val="center"/>
          </w:tcPr>
          <w:p w14:paraId="3268F0A8">
            <w:pPr>
              <w:widowControl/>
              <w:jc w:val="center"/>
              <w:rPr>
                <w:rFonts w:ascii="Times New Roman" w:hAnsi="Times New Roman"/>
                <w:spacing w:val="-2"/>
                <w:kern w:val="0"/>
                <w:szCs w:val="21"/>
              </w:rPr>
            </w:pPr>
            <w:r>
              <w:rPr>
                <w:rFonts w:ascii="Times New Roman" w:hAnsi="Times New Roman"/>
                <w:spacing w:val="-2"/>
                <w:kern w:val="0"/>
                <w:szCs w:val="21"/>
              </w:rPr>
              <w:t>2</w:t>
            </w:r>
          </w:p>
        </w:tc>
        <w:tc>
          <w:tcPr>
            <w:tcW w:w="958" w:type="dxa"/>
            <w:vAlign w:val="center"/>
          </w:tcPr>
          <w:p w14:paraId="7EE51F30">
            <w:pPr>
              <w:jc w:val="center"/>
              <w:rPr>
                <w:rFonts w:ascii="Times New Roman" w:hAnsi="Times New Roman"/>
                <w:sz w:val="22"/>
              </w:rPr>
            </w:pPr>
            <w:r>
              <w:rPr>
                <w:rFonts w:ascii="Times New Roman" w:hAnsi="Times New Roman"/>
                <w:sz w:val="22"/>
              </w:rPr>
              <w:t>北泊位生活小区</w:t>
            </w:r>
          </w:p>
        </w:tc>
        <w:tc>
          <w:tcPr>
            <w:tcW w:w="992" w:type="dxa"/>
            <w:noWrap/>
            <w:vAlign w:val="center"/>
          </w:tcPr>
          <w:p w14:paraId="36EA838D">
            <w:pPr>
              <w:widowControl/>
              <w:jc w:val="center"/>
              <w:rPr>
                <w:rFonts w:ascii="Times New Roman" w:hAnsi="Times New Roman"/>
                <w:spacing w:val="-2"/>
                <w:kern w:val="0"/>
                <w:szCs w:val="21"/>
              </w:rPr>
            </w:pPr>
            <w:r>
              <w:rPr>
                <w:rFonts w:ascii="Times New Roman" w:hAnsi="Times New Roman"/>
                <w:spacing w:val="-2"/>
                <w:kern w:val="0"/>
                <w:szCs w:val="21"/>
              </w:rPr>
              <w:t>108.6489</w:t>
            </w:r>
          </w:p>
        </w:tc>
        <w:tc>
          <w:tcPr>
            <w:tcW w:w="1129" w:type="dxa"/>
            <w:noWrap/>
            <w:vAlign w:val="center"/>
          </w:tcPr>
          <w:p w14:paraId="5DC58FAA">
            <w:pPr>
              <w:widowControl/>
              <w:jc w:val="center"/>
              <w:rPr>
                <w:rFonts w:ascii="Times New Roman" w:hAnsi="Times New Roman"/>
                <w:spacing w:val="-2"/>
                <w:kern w:val="0"/>
                <w:szCs w:val="21"/>
              </w:rPr>
            </w:pPr>
            <w:r>
              <w:rPr>
                <w:rFonts w:ascii="Times New Roman" w:hAnsi="Times New Roman"/>
                <w:spacing w:val="-2"/>
                <w:kern w:val="0"/>
                <w:szCs w:val="21"/>
              </w:rPr>
              <w:t>21.6930</w:t>
            </w:r>
          </w:p>
        </w:tc>
        <w:tc>
          <w:tcPr>
            <w:tcW w:w="884" w:type="dxa"/>
            <w:vAlign w:val="center"/>
          </w:tcPr>
          <w:p w14:paraId="7F25459F">
            <w:pPr>
              <w:widowControl/>
              <w:jc w:val="center"/>
              <w:rPr>
                <w:rFonts w:ascii="Times New Roman" w:hAnsi="Times New Roman"/>
                <w:spacing w:val="-2"/>
                <w:kern w:val="0"/>
                <w:szCs w:val="21"/>
              </w:rPr>
            </w:pPr>
            <w:r>
              <w:rPr>
                <w:rFonts w:ascii="Times New Roman" w:hAnsi="Times New Roman"/>
                <w:spacing w:val="-2"/>
                <w:kern w:val="0"/>
                <w:szCs w:val="21"/>
              </w:rPr>
              <w:t>西北面</w:t>
            </w:r>
          </w:p>
        </w:tc>
        <w:tc>
          <w:tcPr>
            <w:tcW w:w="709" w:type="dxa"/>
            <w:vAlign w:val="center"/>
          </w:tcPr>
          <w:p w14:paraId="53ECCEEF">
            <w:pPr>
              <w:widowControl/>
              <w:jc w:val="center"/>
              <w:rPr>
                <w:rFonts w:ascii="Times New Roman" w:hAnsi="Times New Roman"/>
                <w:spacing w:val="-2"/>
                <w:kern w:val="0"/>
                <w:szCs w:val="21"/>
              </w:rPr>
            </w:pPr>
            <w:r>
              <w:rPr>
                <w:rFonts w:ascii="Times New Roman" w:hAnsi="Times New Roman"/>
                <w:spacing w:val="-2"/>
                <w:kern w:val="0"/>
                <w:szCs w:val="21"/>
              </w:rPr>
              <w:t>3000</w:t>
            </w:r>
          </w:p>
        </w:tc>
        <w:tc>
          <w:tcPr>
            <w:tcW w:w="1526" w:type="dxa"/>
            <w:vAlign w:val="center"/>
          </w:tcPr>
          <w:p w14:paraId="3ECB8F80">
            <w:pPr>
              <w:widowControl/>
              <w:jc w:val="center"/>
              <w:rPr>
                <w:rFonts w:ascii="Times New Roman" w:hAnsi="Times New Roman"/>
                <w:spacing w:val="-2"/>
                <w:kern w:val="0"/>
                <w:szCs w:val="21"/>
              </w:rPr>
            </w:pPr>
            <w:r>
              <w:rPr>
                <w:rFonts w:ascii="Times New Roman" w:hAnsi="Times New Roman"/>
                <w:spacing w:val="-2"/>
                <w:kern w:val="0"/>
                <w:szCs w:val="21"/>
              </w:rPr>
              <w:t>居住区/300人</w:t>
            </w:r>
          </w:p>
        </w:tc>
        <w:tc>
          <w:tcPr>
            <w:tcW w:w="883" w:type="dxa"/>
            <w:vAlign w:val="center"/>
          </w:tcPr>
          <w:p w14:paraId="224CF1D3">
            <w:pPr>
              <w:widowControl/>
              <w:jc w:val="center"/>
              <w:rPr>
                <w:rFonts w:ascii="Times New Roman" w:hAnsi="Times New Roman"/>
                <w:spacing w:val="-2"/>
                <w:kern w:val="0"/>
                <w:szCs w:val="21"/>
              </w:rPr>
            </w:pPr>
            <w:r>
              <w:rPr>
                <w:rFonts w:ascii="Times New Roman" w:hAnsi="Times New Roman"/>
                <w:spacing w:val="-2"/>
                <w:kern w:val="0"/>
                <w:szCs w:val="21"/>
              </w:rPr>
              <w:t>自来水</w:t>
            </w:r>
          </w:p>
        </w:tc>
        <w:tc>
          <w:tcPr>
            <w:tcW w:w="1271" w:type="dxa"/>
            <w:vMerge w:val="continue"/>
            <w:vAlign w:val="center"/>
          </w:tcPr>
          <w:p w14:paraId="7CE5FAB3">
            <w:pPr>
              <w:widowControl/>
              <w:jc w:val="center"/>
              <w:rPr>
                <w:rFonts w:ascii="Times New Roman" w:hAnsi="Times New Roman"/>
                <w:spacing w:val="-2"/>
                <w:kern w:val="0"/>
                <w:szCs w:val="21"/>
              </w:rPr>
            </w:pPr>
          </w:p>
        </w:tc>
      </w:tr>
      <w:tr w14:paraId="17F55B9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971" w:hRule="atLeast"/>
          <w:jc w:val="center"/>
        </w:trPr>
        <w:tc>
          <w:tcPr>
            <w:tcW w:w="552" w:type="dxa"/>
            <w:vAlign w:val="center"/>
          </w:tcPr>
          <w:p w14:paraId="3FE352B3">
            <w:pPr>
              <w:widowControl/>
              <w:jc w:val="center"/>
              <w:rPr>
                <w:rFonts w:ascii="Times New Roman" w:hAnsi="Times New Roman"/>
                <w:spacing w:val="-2"/>
                <w:kern w:val="0"/>
                <w:szCs w:val="21"/>
              </w:rPr>
            </w:pPr>
            <w:r>
              <w:rPr>
                <w:rFonts w:hint="eastAsia" w:ascii="Times New Roman" w:hAnsi="Times New Roman"/>
                <w:spacing w:val="-2"/>
                <w:kern w:val="0"/>
                <w:szCs w:val="21"/>
              </w:rPr>
              <w:t>海洋环境</w:t>
            </w:r>
          </w:p>
        </w:tc>
        <w:tc>
          <w:tcPr>
            <w:tcW w:w="445" w:type="dxa"/>
            <w:vAlign w:val="center"/>
          </w:tcPr>
          <w:p w14:paraId="0EE8699B">
            <w:pPr>
              <w:widowControl/>
              <w:jc w:val="center"/>
              <w:rPr>
                <w:rFonts w:ascii="Times New Roman" w:hAnsi="Times New Roman"/>
                <w:spacing w:val="-2"/>
                <w:kern w:val="0"/>
                <w:szCs w:val="21"/>
              </w:rPr>
            </w:pPr>
            <w:r>
              <w:rPr>
                <w:rFonts w:hint="eastAsia" w:ascii="Times New Roman" w:hAnsi="Times New Roman"/>
                <w:spacing w:val="-2"/>
                <w:kern w:val="0"/>
                <w:szCs w:val="21"/>
              </w:rPr>
              <w:t>1</w:t>
            </w:r>
          </w:p>
        </w:tc>
        <w:tc>
          <w:tcPr>
            <w:tcW w:w="958" w:type="dxa"/>
            <w:vAlign w:val="center"/>
          </w:tcPr>
          <w:p w14:paraId="05282B37">
            <w:pPr>
              <w:jc w:val="center"/>
              <w:rPr>
                <w:rFonts w:ascii="Times New Roman" w:hAnsi="Times New Roman"/>
                <w:sz w:val="22"/>
              </w:rPr>
            </w:pPr>
            <w:r>
              <w:rPr>
                <w:rFonts w:hint="eastAsia" w:ascii="Times New Roman" w:hAnsi="Times New Roman"/>
                <w:sz w:val="22"/>
              </w:rPr>
              <w:t>钦州湾海域</w:t>
            </w:r>
          </w:p>
        </w:tc>
        <w:tc>
          <w:tcPr>
            <w:tcW w:w="992" w:type="dxa"/>
            <w:noWrap/>
            <w:vAlign w:val="center"/>
          </w:tcPr>
          <w:p w14:paraId="710E9087">
            <w:pPr>
              <w:widowControl/>
              <w:jc w:val="center"/>
              <w:rPr>
                <w:rFonts w:ascii="Times New Roman" w:hAnsi="Times New Roman"/>
                <w:spacing w:val="-2"/>
                <w:kern w:val="0"/>
                <w:szCs w:val="21"/>
              </w:rPr>
            </w:pPr>
          </w:p>
        </w:tc>
        <w:tc>
          <w:tcPr>
            <w:tcW w:w="1129" w:type="dxa"/>
            <w:noWrap/>
            <w:vAlign w:val="center"/>
          </w:tcPr>
          <w:p w14:paraId="56CB8A0C">
            <w:pPr>
              <w:widowControl/>
              <w:jc w:val="center"/>
              <w:rPr>
                <w:rFonts w:ascii="Times New Roman" w:hAnsi="Times New Roman"/>
                <w:spacing w:val="-2"/>
                <w:kern w:val="0"/>
                <w:szCs w:val="21"/>
              </w:rPr>
            </w:pPr>
          </w:p>
        </w:tc>
        <w:tc>
          <w:tcPr>
            <w:tcW w:w="884" w:type="dxa"/>
            <w:vAlign w:val="center"/>
          </w:tcPr>
          <w:p w14:paraId="597BC3B4">
            <w:pPr>
              <w:widowControl/>
              <w:jc w:val="center"/>
              <w:rPr>
                <w:rFonts w:ascii="Times New Roman" w:hAnsi="Times New Roman"/>
                <w:spacing w:val="-2"/>
                <w:kern w:val="0"/>
                <w:szCs w:val="21"/>
              </w:rPr>
            </w:pPr>
            <w:r>
              <w:rPr>
                <w:rFonts w:hint="eastAsia" w:ascii="Times New Roman" w:hAnsi="Times New Roman"/>
                <w:spacing w:val="-2"/>
                <w:kern w:val="0"/>
                <w:szCs w:val="21"/>
              </w:rPr>
              <w:t>东、西、南面</w:t>
            </w:r>
          </w:p>
        </w:tc>
        <w:tc>
          <w:tcPr>
            <w:tcW w:w="709" w:type="dxa"/>
            <w:vAlign w:val="center"/>
          </w:tcPr>
          <w:p w14:paraId="7C0FA5F5">
            <w:pPr>
              <w:widowControl/>
              <w:jc w:val="center"/>
              <w:rPr>
                <w:rFonts w:ascii="Times New Roman" w:hAnsi="Times New Roman"/>
                <w:spacing w:val="-2"/>
                <w:kern w:val="0"/>
                <w:szCs w:val="21"/>
              </w:rPr>
            </w:pPr>
            <w:r>
              <w:rPr>
                <w:rFonts w:hint="eastAsia" w:ascii="Times New Roman" w:hAnsi="Times New Roman"/>
                <w:spacing w:val="-2"/>
                <w:kern w:val="0"/>
                <w:szCs w:val="21"/>
              </w:rPr>
              <w:t>/</w:t>
            </w:r>
          </w:p>
        </w:tc>
        <w:tc>
          <w:tcPr>
            <w:tcW w:w="1526" w:type="dxa"/>
            <w:vAlign w:val="center"/>
          </w:tcPr>
          <w:p w14:paraId="7F5E9279">
            <w:pPr>
              <w:widowControl/>
              <w:jc w:val="center"/>
              <w:rPr>
                <w:rFonts w:ascii="Times New Roman" w:hAnsi="Times New Roman"/>
                <w:spacing w:val="-2"/>
                <w:kern w:val="0"/>
                <w:szCs w:val="21"/>
              </w:rPr>
            </w:pPr>
            <w:r>
              <w:rPr>
                <w:rFonts w:hint="eastAsia" w:ascii="Times New Roman" w:hAnsi="Times New Roman"/>
                <w:spacing w:val="-2"/>
                <w:kern w:val="0"/>
                <w:szCs w:val="21"/>
              </w:rPr>
              <w:t>/</w:t>
            </w:r>
          </w:p>
        </w:tc>
        <w:tc>
          <w:tcPr>
            <w:tcW w:w="883" w:type="dxa"/>
            <w:vAlign w:val="center"/>
          </w:tcPr>
          <w:p w14:paraId="6A263081">
            <w:pPr>
              <w:widowControl/>
              <w:jc w:val="center"/>
              <w:rPr>
                <w:rFonts w:ascii="Times New Roman" w:hAnsi="Times New Roman"/>
                <w:spacing w:val="-2"/>
                <w:kern w:val="0"/>
                <w:szCs w:val="21"/>
              </w:rPr>
            </w:pPr>
            <w:r>
              <w:rPr>
                <w:rFonts w:hint="eastAsia" w:ascii="Times New Roman" w:hAnsi="Times New Roman"/>
                <w:spacing w:val="-2"/>
                <w:kern w:val="0"/>
                <w:szCs w:val="21"/>
              </w:rPr>
              <w:t>/</w:t>
            </w:r>
          </w:p>
        </w:tc>
        <w:tc>
          <w:tcPr>
            <w:tcW w:w="1271" w:type="dxa"/>
            <w:vAlign w:val="center"/>
          </w:tcPr>
          <w:p w14:paraId="561FAB24">
            <w:pPr>
              <w:widowControl/>
              <w:jc w:val="center"/>
              <w:rPr>
                <w:rFonts w:ascii="Times New Roman" w:hAnsi="Times New Roman"/>
                <w:spacing w:val="-2"/>
                <w:kern w:val="0"/>
                <w:szCs w:val="21"/>
              </w:rPr>
            </w:pPr>
            <w:r>
              <w:rPr>
                <w:rFonts w:hint="eastAsia" w:ascii="Times New Roman" w:hAnsi="Times New Roman"/>
                <w:spacing w:val="-2"/>
                <w:kern w:val="0"/>
                <w:szCs w:val="21"/>
              </w:rPr>
              <w:t>GB3097-1997中第四类标准</w:t>
            </w:r>
          </w:p>
        </w:tc>
      </w:tr>
    </w:tbl>
    <w:p w14:paraId="3AC7B60D">
      <w:pPr>
        <w:spacing w:line="360" w:lineRule="auto"/>
        <w:ind w:firstLine="472" w:firstLineChars="200"/>
        <w:rPr>
          <w:rFonts w:ascii="Times New Roman" w:hAnsi="Times New Roman"/>
          <w:spacing w:val="-2"/>
          <w:kern w:val="0"/>
          <w:sz w:val="24"/>
          <w:szCs w:val="24"/>
        </w:rPr>
      </w:pPr>
    </w:p>
    <w:p w14:paraId="1A9FF6C7">
      <w:pPr>
        <w:spacing w:line="360" w:lineRule="auto"/>
        <w:ind w:firstLine="472" w:firstLineChars="200"/>
        <w:rPr>
          <w:rFonts w:ascii="Times New Roman" w:hAnsi="Times New Roman"/>
          <w:spacing w:val="-2"/>
          <w:kern w:val="0"/>
          <w:sz w:val="24"/>
          <w:szCs w:val="24"/>
        </w:rPr>
      </w:pPr>
    </w:p>
    <w:p w14:paraId="05CAF2E8">
      <w:pPr>
        <w:rPr>
          <w:rFonts w:ascii="Times New Roman" w:hAnsi="Times New Roman"/>
          <w:spacing w:val="-2"/>
          <w:kern w:val="0"/>
          <w:sz w:val="28"/>
          <w:szCs w:val="20"/>
        </w:rPr>
        <w:sectPr>
          <w:footerReference r:id="rId12" w:type="default"/>
          <w:pgSz w:w="11906" w:h="16838"/>
          <w:pgMar w:top="1418" w:right="1418" w:bottom="1418" w:left="1418" w:header="851" w:footer="992" w:gutter="0"/>
          <w:pgNumType w:start="1"/>
          <w:cols w:space="720" w:num="1"/>
          <w:docGrid w:linePitch="312" w:charSpace="0"/>
        </w:sectPr>
      </w:pPr>
    </w:p>
    <w:bookmarkEnd w:id="0"/>
    <w:p w14:paraId="55D5741D">
      <w:pPr>
        <w:pStyle w:val="4"/>
      </w:pPr>
      <w:bookmarkStart w:id="74" w:name="_Toc22261"/>
      <w:r>
        <w:t>建设项目工程分析</w:t>
      </w:r>
      <w:bookmarkEnd w:id="74"/>
    </w:p>
    <w:p w14:paraId="78D46176">
      <w:pPr>
        <w:pStyle w:val="5"/>
      </w:pPr>
      <w:bookmarkStart w:id="75" w:name="_Toc7618"/>
      <w:r>
        <w:t>拟建项目工程概况</w:t>
      </w:r>
      <w:bookmarkEnd w:id="75"/>
    </w:p>
    <w:p w14:paraId="06ABDF69">
      <w:pPr>
        <w:pStyle w:val="6"/>
      </w:pPr>
      <w:r>
        <w:t>项目基本情况</w:t>
      </w:r>
    </w:p>
    <w:p w14:paraId="0AA67638">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项目名称：锆钛矿石分选加工项目；</w:t>
      </w:r>
    </w:p>
    <w:p w14:paraId="2F12093A">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建设单位：广西瑞腾贸易有限公司；</w:t>
      </w:r>
    </w:p>
    <w:p w14:paraId="61F8C977">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项目性质：新建；</w:t>
      </w:r>
    </w:p>
    <w:p w14:paraId="2055BA71">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建设地点：钦州综合保税区九大街与三号路交汇处广西钦州保税区创大冷链物流公司的3号仓库内北侧，项目地理位置示意图详见附图1；</w:t>
      </w:r>
    </w:p>
    <w:p w14:paraId="13DE3D39">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建设内容：项目占地约2500m</w:t>
      </w:r>
      <w:r>
        <w:rPr>
          <w:rFonts w:ascii="Times New Roman" w:hAnsi="Times New Roman"/>
          <w:spacing w:val="-2"/>
          <w:kern w:val="0"/>
          <w:sz w:val="24"/>
          <w:szCs w:val="24"/>
          <w:vertAlign w:val="superscript"/>
        </w:rPr>
        <w:t>2</w:t>
      </w:r>
      <w:r>
        <w:rPr>
          <w:rFonts w:ascii="Times New Roman" w:hAnsi="Times New Roman"/>
          <w:spacing w:val="-2"/>
          <w:kern w:val="0"/>
          <w:sz w:val="24"/>
          <w:szCs w:val="24"/>
        </w:rPr>
        <w:t>，设计建设2条产能为2万吨/月生产线，</w:t>
      </w:r>
      <w:bookmarkStart w:id="76" w:name="_Hlk187217776"/>
      <w:r>
        <w:rPr>
          <w:rFonts w:ascii="Times New Roman" w:hAnsi="Times New Roman"/>
          <w:spacing w:val="-2"/>
          <w:kern w:val="0"/>
          <w:sz w:val="24"/>
          <w:szCs w:val="24"/>
          <w:u w:val="single"/>
        </w:rPr>
        <w:t>设计</w:t>
      </w:r>
      <w:bookmarkStart w:id="77" w:name="OLE_LINK21"/>
      <w:r>
        <w:rPr>
          <w:rFonts w:ascii="Times New Roman" w:hAnsi="Times New Roman"/>
          <w:spacing w:val="-2"/>
          <w:kern w:val="0"/>
          <w:sz w:val="24"/>
          <w:szCs w:val="24"/>
          <w:u w:val="single"/>
        </w:rPr>
        <w:t>产能为</w:t>
      </w:r>
      <w:r>
        <w:rPr>
          <w:rFonts w:hint="eastAsia" w:ascii="Times New Roman" w:hAnsi="Times New Roman"/>
          <w:spacing w:val="-2"/>
          <w:kern w:val="0"/>
          <w:sz w:val="24"/>
          <w:szCs w:val="24"/>
          <w:u w:val="single"/>
        </w:rPr>
        <w:t>年分选加工</w:t>
      </w:r>
      <w:r>
        <w:rPr>
          <w:rFonts w:ascii="Times New Roman" w:hAnsi="Times New Roman"/>
          <w:spacing w:val="-2"/>
          <w:kern w:val="0"/>
          <w:sz w:val="24"/>
          <w:szCs w:val="24"/>
          <w:u w:val="single"/>
        </w:rPr>
        <w:t>24万吨</w:t>
      </w:r>
      <w:r>
        <w:rPr>
          <w:rFonts w:hint="eastAsia" w:ascii="Times New Roman" w:hAnsi="Times New Roman"/>
          <w:spacing w:val="-2"/>
          <w:kern w:val="0"/>
          <w:sz w:val="24"/>
          <w:szCs w:val="24"/>
          <w:u w:val="single"/>
        </w:rPr>
        <w:t>锆钛矿石</w:t>
      </w:r>
      <w:r>
        <w:rPr>
          <w:rFonts w:ascii="Times New Roman" w:hAnsi="Times New Roman"/>
          <w:spacing w:val="-2"/>
          <w:kern w:val="0"/>
          <w:sz w:val="24"/>
          <w:szCs w:val="24"/>
        </w:rPr>
        <w:t>。</w:t>
      </w:r>
      <w:bookmarkEnd w:id="76"/>
      <w:bookmarkEnd w:id="77"/>
    </w:p>
    <w:p w14:paraId="4FDF61B6">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占地面积：占地面积为2500m</w:t>
      </w:r>
      <w:r>
        <w:rPr>
          <w:rFonts w:ascii="Times New Roman" w:hAnsi="Times New Roman"/>
          <w:spacing w:val="-2"/>
          <w:kern w:val="0"/>
          <w:sz w:val="24"/>
          <w:szCs w:val="24"/>
          <w:vertAlign w:val="superscript"/>
        </w:rPr>
        <w:t>2</w:t>
      </w:r>
      <w:r>
        <w:rPr>
          <w:rFonts w:ascii="Times New Roman" w:hAnsi="Times New Roman"/>
          <w:spacing w:val="-2"/>
          <w:kern w:val="0"/>
          <w:sz w:val="24"/>
          <w:szCs w:val="24"/>
        </w:rPr>
        <w:t>；</w:t>
      </w:r>
    </w:p>
    <w:p w14:paraId="47B47130">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项目投资：本项目总投资300万元，</w:t>
      </w:r>
      <w:r>
        <w:rPr>
          <w:rFonts w:ascii="Times New Roman" w:hAnsi="Times New Roman"/>
          <w:spacing w:val="-2"/>
          <w:kern w:val="0"/>
          <w:sz w:val="24"/>
          <w:szCs w:val="24"/>
          <w:u w:val="single"/>
        </w:rPr>
        <w:t>其中环保投资</w:t>
      </w:r>
      <w:r>
        <w:rPr>
          <w:rFonts w:hint="eastAsia" w:ascii="Times New Roman" w:hAnsi="Times New Roman"/>
          <w:spacing w:val="-2"/>
          <w:kern w:val="0"/>
          <w:sz w:val="24"/>
          <w:szCs w:val="24"/>
          <w:u w:val="single"/>
        </w:rPr>
        <w:t>57</w:t>
      </w:r>
      <w:r>
        <w:rPr>
          <w:rFonts w:ascii="Times New Roman" w:hAnsi="Times New Roman"/>
          <w:spacing w:val="-2"/>
          <w:kern w:val="0"/>
          <w:sz w:val="24"/>
          <w:szCs w:val="24"/>
          <w:u w:val="single"/>
        </w:rPr>
        <w:t>万元；</w:t>
      </w:r>
    </w:p>
    <w:p w14:paraId="706711C1">
      <w:pPr>
        <w:spacing w:line="360" w:lineRule="auto"/>
        <w:ind w:firstLine="482"/>
        <w:rPr>
          <w:rFonts w:ascii="Times New Roman" w:hAnsi="Times New Roman"/>
          <w:spacing w:val="-2"/>
          <w:kern w:val="0"/>
          <w:sz w:val="24"/>
          <w:szCs w:val="24"/>
        </w:rPr>
      </w:pPr>
      <w:r>
        <w:rPr>
          <w:rFonts w:ascii="Times New Roman" w:hAnsi="Times New Roman"/>
          <w:sz w:val="24"/>
          <w:szCs w:val="24"/>
        </w:rPr>
        <w:t>建设进度：拟从2025年</w:t>
      </w:r>
      <w:r>
        <w:rPr>
          <w:rFonts w:hint="eastAsia" w:ascii="Times New Roman" w:hAnsi="Times New Roman"/>
          <w:sz w:val="24"/>
          <w:szCs w:val="24"/>
        </w:rPr>
        <w:t>6</w:t>
      </w:r>
      <w:r>
        <w:rPr>
          <w:rFonts w:ascii="Times New Roman" w:hAnsi="Times New Roman"/>
          <w:sz w:val="24"/>
          <w:szCs w:val="24"/>
        </w:rPr>
        <w:t>月开始施工，工期约3个月，2025年</w:t>
      </w:r>
      <w:r>
        <w:rPr>
          <w:rFonts w:hint="eastAsia" w:ascii="Times New Roman" w:hAnsi="Times New Roman"/>
          <w:sz w:val="24"/>
          <w:szCs w:val="24"/>
        </w:rPr>
        <w:t>8</w:t>
      </w:r>
      <w:r>
        <w:rPr>
          <w:rFonts w:ascii="Times New Roman" w:hAnsi="Times New Roman"/>
          <w:sz w:val="24"/>
          <w:szCs w:val="24"/>
        </w:rPr>
        <w:t>月建成投产。</w:t>
      </w:r>
    </w:p>
    <w:p w14:paraId="3D2118B7">
      <w:pPr>
        <w:pStyle w:val="6"/>
      </w:pPr>
      <w:r>
        <w:t>项目工程组成</w:t>
      </w:r>
    </w:p>
    <w:p w14:paraId="39BE0B35">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本项目租用的生产用房位于</w:t>
      </w:r>
      <w:bookmarkStart w:id="78" w:name="_Hlk185711081"/>
      <w:r>
        <w:rPr>
          <w:rFonts w:ascii="Times New Roman" w:hAnsi="Times New Roman"/>
          <w:spacing w:val="-2"/>
          <w:kern w:val="0"/>
          <w:sz w:val="24"/>
          <w:szCs w:val="24"/>
        </w:rPr>
        <w:t>广西钦州保税区创大冷链物流公司进口汽车仓储物流园</w:t>
      </w:r>
      <w:bookmarkEnd w:id="78"/>
      <w:r>
        <w:rPr>
          <w:rFonts w:ascii="Times New Roman" w:hAnsi="Times New Roman"/>
          <w:spacing w:val="-2"/>
          <w:kern w:val="0"/>
          <w:sz w:val="24"/>
          <w:szCs w:val="24"/>
        </w:rPr>
        <w:t>内，该物流园位于钦州综合保税区九大街与三号路交汇处西侧，园区总用地面积120657.20m</w:t>
      </w:r>
      <w:r>
        <w:rPr>
          <w:rFonts w:ascii="Times New Roman" w:hAnsi="Times New Roman"/>
          <w:spacing w:val="-2"/>
          <w:kern w:val="0"/>
          <w:sz w:val="24"/>
          <w:szCs w:val="24"/>
          <w:vertAlign w:val="superscript"/>
        </w:rPr>
        <w:t>2</w:t>
      </w:r>
      <w:r>
        <w:rPr>
          <w:rFonts w:ascii="Times New Roman" w:hAnsi="Times New Roman"/>
          <w:spacing w:val="-2"/>
          <w:kern w:val="0"/>
          <w:sz w:val="24"/>
          <w:szCs w:val="24"/>
        </w:rPr>
        <w:t>，计划建设3个仓库，目前进口汽车仓储物流园区内地面均已硬化，配套的电气工程、给排水工程、照明工程、消防工程等均已完善，</w:t>
      </w:r>
      <w:r>
        <w:rPr>
          <w:rFonts w:hint="eastAsia" w:ascii="Times New Roman" w:hAnsi="Times New Roman"/>
          <w:spacing w:val="-2"/>
          <w:kern w:val="0"/>
          <w:sz w:val="24"/>
          <w:szCs w:val="24"/>
        </w:rPr>
        <w:t>园区内</w:t>
      </w:r>
      <w:r>
        <w:rPr>
          <w:rFonts w:ascii="Times New Roman" w:hAnsi="Times New Roman"/>
          <w:spacing w:val="-2"/>
          <w:kern w:val="0"/>
          <w:sz w:val="24"/>
          <w:szCs w:val="24"/>
        </w:rPr>
        <w:t>已建成1号仓库、3号仓库，其中3号仓库位于进口汽车仓储物流园东南角，总建筑面积8128.30m</w:t>
      </w:r>
      <w:r>
        <w:rPr>
          <w:rFonts w:ascii="Times New Roman" w:hAnsi="Times New Roman"/>
          <w:spacing w:val="-2"/>
          <w:kern w:val="0"/>
          <w:sz w:val="24"/>
          <w:szCs w:val="24"/>
          <w:vertAlign w:val="superscript"/>
        </w:rPr>
        <w:t>2</w:t>
      </w:r>
      <w:r>
        <w:rPr>
          <w:rFonts w:ascii="Times New Roman" w:hAnsi="Times New Roman"/>
          <w:spacing w:val="-2"/>
          <w:kern w:val="0"/>
          <w:sz w:val="24"/>
          <w:szCs w:val="24"/>
        </w:rPr>
        <w:t>，计容总面积16256.60m</w:t>
      </w:r>
      <w:r>
        <w:rPr>
          <w:rFonts w:ascii="Times New Roman" w:hAnsi="Times New Roman"/>
          <w:spacing w:val="-2"/>
          <w:kern w:val="0"/>
          <w:sz w:val="24"/>
          <w:szCs w:val="24"/>
          <w:vertAlign w:val="superscript"/>
        </w:rPr>
        <w:t>2</w:t>
      </w:r>
      <w:r>
        <w:rPr>
          <w:rFonts w:ascii="Times New Roman" w:hAnsi="Times New Roman"/>
          <w:spacing w:val="-2"/>
          <w:kern w:val="0"/>
          <w:sz w:val="24"/>
          <w:szCs w:val="24"/>
        </w:rPr>
        <w:t>。</w:t>
      </w:r>
    </w:p>
    <w:p w14:paraId="4AC0CB37">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本项目租用广西钦州保税区创大冷链物流公司的3号仓库的</w:t>
      </w:r>
      <w:r>
        <w:rPr>
          <w:rFonts w:hint="eastAsia" w:ascii="Times New Roman" w:hAnsi="Times New Roman"/>
          <w:spacing w:val="-2"/>
          <w:kern w:val="0"/>
          <w:sz w:val="24"/>
          <w:szCs w:val="24"/>
        </w:rPr>
        <w:t>北侧</w:t>
      </w:r>
      <w:r>
        <w:rPr>
          <w:rFonts w:ascii="Times New Roman" w:hAnsi="Times New Roman"/>
          <w:spacing w:val="-2"/>
          <w:kern w:val="0"/>
          <w:sz w:val="24"/>
          <w:szCs w:val="24"/>
        </w:rPr>
        <w:t>部分面积进行生产线建设</w:t>
      </w:r>
      <w:r>
        <w:rPr>
          <w:rFonts w:hint="eastAsia" w:ascii="Times New Roman" w:hAnsi="Times New Roman"/>
          <w:spacing w:val="-2"/>
          <w:kern w:val="0"/>
          <w:sz w:val="24"/>
          <w:szCs w:val="24"/>
          <w:lang w:eastAsia="zh-CN"/>
        </w:rPr>
        <w:t>，</w:t>
      </w:r>
      <w:r>
        <w:rPr>
          <w:rFonts w:hint="eastAsia" w:ascii="Times New Roman" w:hAnsi="Times New Roman"/>
          <w:spacing w:val="-2"/>
          <w:kern w:val="0"/>
          <w:sz w:val="24"/>
          <w:szCs w:val="24"/>
        </w:rPr>
        <w:t>本项目租用3号仓库</w:t>
      </w:r>
      <w:r>
        <w:rPr>
          <w:rFonts w:ascii="Times New Roman" w:hAnsi="Times New Roman"/>
          <w:spacing w:val="-2"/>
          <w:kern w:val="0"/>
          <w:sz w:val="24"/>
          <w:szCs w:val="24"/>
        </w:rPr>
        <w:t>总面积</w:t>
      </w:r>
      <w:r>
        <w:rPr>
          <w:rFonts w:hint="eastAsia" w:ascii="Times New Roman" w:hAnsi="Times New Roman"/>
          <w:spacing w:val="-2"/>
          <w:kern w:val="0"/>
          <w:sz w:val="24"/>
          <w:szCs w:val="24"/>
        </w:rPr>
        <w:t>2500</w:t>
      </w:r>
      <w:r>
        <w:rPr>
          <w:rFonts w:ascii="Times New Roman" w:hAnsi="Times New Roman"/>
          <w:spacing w:val="-2"/>
          <w:kern w:val="0"/>
          <w:sz w:val="24"/>
          <w:szCs w:val="24"/>
        </w:rPr>
        <w:t>m</w:t>
      </w:r>
      <w:r>
        <w:rPr>
          <w:rFonts w:ascii="Times New Roman" w:hAnsi="Times New Roman"/>
          <w:spacing w:val="-2"/>
          <w:kern w:val="0"/>
          <w:sz w:val="24"/>
          <w:szCs w:val="24"/>
          <w:vertAlign w:val="superscript"/>
        </w:rPr>
        <w:t>2</w:t>
      </w:r>
      <w:r>
        <w:rPr>
          <w:rFonts w:ascii="Times New Roman" w:hAnsi="Times New Roman"/>
          <w:spacing w:val="-2"/>
          <w:kern w:val="0"/>
          <w:sz w:val="24"/>
          <w:szCs w:val="24"/>
        </w:rPr>
        <w:t>，厂房内</w:t>
      </w:r>
      <w:r>
        <w:rPr>
          <w:rFonts w:hint="eastAsia" w:ascii="Times New Roman" w:hAnsi="Times New Roman"/>
          <w:spacing w:val="-2"/>
          <w:kern w:val="0"/>
          <w:sz w:val="24"/>
          <w:szCs w:val="24"/>
        </w:rPr>
        <w:t>设置</w:t>
      </w:r>
      <w:r>
        <w:rPr>
          <w:rFonts w:ascii="Times New Roman" w:hAnsi="Times New Roman"/>
          <w:spacing w:val="-2"/>
          <w:kern w:val="0"/>
          <w:sz w:val="24"/>
          <w:szCs w:val="24"/>
        </w:rPr>
        <w:t>两个</w:t>
      </w:r>
      <w:r>
        <w:rPr>
          <w:rFonts w:hint="eastAsia" w:ascii="Times New Roman" w:hAnsi="Times New Roman"/>
          <w:spacing w:val="-2"/>
          <w:kern w:val="0"/>
          <w:sz w:val="24"/>
          <w:szCs w:val="24"/>
        </w:rPr>
        <w:t>生产</w:t>
      </w:r>
      <w:r>
        <w:rPr>
          <w:rFonts w:ascii="Times New Roman" w:hAnsi="Times New Roman"/>
          <w:spacing w:val="-2"/>
          <w:kern w:val="0"/>
          <w:sz w:val="24"/>
          <w:szCs w:val="24"/>
        </w:rPr>
        <w:t>车间，分别为1#原料处理车间、2#分选车间。项目建设</w:t>
      </w:r>
      <w:r>
        <w:rPr>
          <w:rFonts w:hint="eastAsia" w:ascii="Times New Roman" w:hAnsi="Times New Roman"/>
          <w:spacing w:val="-2"/>
          <w:kern w:val="0"/>
          <w:sz w:val="24"/>
          <w:szCs w:val="24"/>
        </w:rPr>
        <w:t>内容主要为厂房简易装修、</w:t>
      </w:r>
      <w:r>
        <w:rPr>
          <w:rFonts w:ascii="Times New Roman" w:hAnsi="Times New Roman"/>
          <w:spacing w:val="-2"/>
          <w:kern w:val="0"/>
          <w:sz w:val="24"/>
          <w:szCs w:val="24"/>
        </w:rPr>
        <w:t>设备安装、生产运营。</w:t>
      </w:r>
    </w:p>
    <w:p w14:paraId="6140EA73">
      <w:pPr>
        <w:spacing w:line="360" w:lineRule="auto"/>
        <w:ind w:firstLine="482"/>
        <w:rPr>
          <w:rFonts w:ascii="Times New Roman" w:hAnsi="Times New Roman"/>
          <w:spacing w:val="-2"/>
          <w:kern w:val="0"/>
          <w:sz w:val="24"/>
          <w:szCs w:val="20"/>
        </w:rPr>
      </w:pPr>
      <w:r>
        <w:rPr>
          <w:rFonts w:ascii="Times New Roman" w:hAnsi="Times New Roman"/>
          <w:spacing w:val="-2"/>
          <w:kern w:val="0"/>
          <w:sz w:val="24"/>
          <w:szCs w:val="24"/>
        </w:rPr>
        <w:t>项目工程组成详见表2.1-1</w:t>
      </w:r>
      <w:r>
        <w:rPr>
          <w:rFonts w:ascii="Times New Roman" w:hAnsi="Times New Roman"/>
          <w:spacing w:val="-2"/>
          <w:kern w:val="0"/>
          <w:sz w:val="24"/>
          <w:szCs w:val="20"/>
        </w:rPr>
        <w:t>。</w:t>
      </w:r>
    </w:p>
    <w:p w14:paraId="126F2615">
      <w:pPr>
        <w:pStyle w:val="8"/>
        <w:rPr>
          <w:sz w:val="24"/>
          <w:szCs w:val="24"/>
        </w:rPr>
      </w:pPr>
      <w:r>
        <w:rPr>
          <w:sz w:val="24"/>
          <w:szCs w:val="24"/>
        </w:rPr>
        <w:t>项目建设内容情况表</w:t>
      </w:r>
    </w:p>
    <w:tbl>
      <w:tblPr>
        <w:tblStyle w:val="88"/>
        <w:tblW w:w="928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74"/>
        <w:gridCol w:w="1489"/>
        <w:gridCol w:w="7123"/>
      </w:tblGrid>
      <w:tr w14:paraId="718986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74" w:type="dxa"/>
            <w:vAlign w:val="center"/>
          </w:tcPr>
          <w:p w14:paraId="4D14A11C">
            <w:pPr>
              <w:rPr>
                <w:rFonts w:ascii="Times New Roman" w:hAnsi="Times New Roman"/>
                <w:b/>
                <w:bCs/>
                <w:spacing w:val="-2"/>
                <w:kern w:val="0"/>
                <w:szCs w:val="21"/>
              </w:rPr>
            </w:pPr>
            <w:r>
              <w:rPr>
                <w:rFonts w:ascii="Times New Roman" w:hAnsi="Times New Roman"/>
                <w:b/>
                <w:bCs/>
                <w:spacing w:val="-2"/>
                <w:kern w:val="0"/>
                <w:szCs w:val="21"/>
              </w:rPr>
              <w:t>类别</w:t>
            </w:r>
          </w:p>
        </w:tc>
        <w:tc>
          <w:tcPr>
            <w:tcW w:w="1489" w:type="dxa"/>
            <w:vAlign w:val="center"/>
          </w:tcPr>
          <w:p w14:paraId="2B7592D4">
            <w:pPr>
              <w:jc w:val="center"/>
              <w:rPr>
                <w:rFonts w:ascii="Times New Roman" w:hAnsi="Times New Roman"/>
                <w:b/>
                <w:bCs/>
                <w:spacing w:val="-2"/>
                <w:kern w:val="0"/>
                <w:szCs w:val="21"/>
              </w:rPr>
            </w:pPr>
            <w:r>
              <w:rPr>
                <w:rFonts w:ascii="Times New Roman" w:hAnsi="Times New Roman"/>
                <w:b/>
                <w:bCs/>
                <w:spacing w:val="-2"/>
                <w:kern w:val="0"/>
                <w:szCs w:val="21"/>
              </w:rPr>
              <w:t>工序或车间</w:t>
            </w:r>
          </w:p>
        </w:tc>
        <w:tc>
          <w:tcPr>
            <w:tcW w:w="7123" w:type="dxa"/>
            <w:vAlign w:val="center"/>
          </w:tcPr>
          <w:p w14:paraId="588E98D2">
            <w:pPr>
              <w:jc w:val="center"/>
              <w:rPr>
                <w:rFonts w:ascii="Times New Roman" w:hAnsi="Times New Roman"/>
                <w:b/>
                <w:bCs/>
                <w:spacing w:val="-2"/>
                <w:kern w:val="0"/>
                <w:szCs w:val="21"/>
              </w:rPr>
            </w:pPr>
            <w:r>
              <w:rPr>
                <w:rFonts w:ascii="Times New Roman" w:hAnsi="Times New Roman"/>
                <w:b/>
                <w:bCs/>
                <w:spacing w:val="-2"/>
                <w:kern w:val="0"/>
                <w:szCs w:val="21"/>
              </w:rPr>
              <w:t>建设内容</w:t>
            </w:r>
          </w:p>
        </w:tc>
      </w:tr>
      <w:tr w14:paraId="6BC5E6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Merge w:val="restart"/>
            <w:vAlign w:val="center"/>
          </w:tcPr>
          <w:p w14:paraId="44094B39">
            <w:pPr>
              <w:jc w:val="center"/>
              <w:rPr>
                <w:rFonts w:ascii="Times New Roman" w:hAnsi="Times New Roman"/>
                <w:spacing w:val="-2"/>
                <w:kern w:val="0"/>
                <w:szCs w:val="21"/>
              </w:rPr>
            </w:pPr>
            <w:r>
              <w:rPr>
                <w:rFonts w:ascii="Times New Roman" w:hAnsi="Times New Roman"/>
                <w:spacing w:val="-2"/>
                <w:kern w:val="0"/>
                <w:szCs w:val="21"/>
              </w:rPr>
              <w:t>主体工程</w:t>
            </w:r>
          </w:p>
        </w:tc>
        <w:tc>
          <w:tcPr>
            <w:tcW w:w="1489" w:type="dxa"/>
            <w:vAlign w:val="center"/>
          </w:tcPr>
          <w:p w14:paraId="33979490">
            <w:pPr>
              <w:jc w:val="center"/>
              <w:rPr>
                <w:rFonts w:ascii="Times New Roman" w:hAnsi="Times New Roman"/>
                <w:spacing w:val="-2"/>
                <w:kern w:val="0"/>
                <w:szCs w:val="21"/>
              </w:rPr>
            </w:pPr>
            <w:r>
              <w:rPr>
                <w:rFonts w:ascii="Times New Roman" w:hAnsi="Times New Roman"/>
                <w:spacing w:val="-2"/>
                <w:kern w:val="0"/>
                <w:szCs w:val="21"/>
              </w:rPr>
              <w:t>1#原料处理车间</w:t>
            </w:r>
          </w:p>
        </w:tc>
        <w:tc>
          <w:tcPr>
            <w:tcW w:w="7123" w:type="dxa"/>
            <w:vAlign w:val="center"/>
          </w:tcPr>
          <w:p w14:paraId="592B1D65">
            <w:pPr>
              <w:ind w:firstLine="412" w:firstLineChars="200"/>
              <w:rPr>
                <w:rFonts w:ascii="Times New Roman" w:hAnsi="Times New Roman"/>
                <w:spacing w:val="-2"/>
                <w:kern w:val="0"/>
                <w:szCs w:val="21"/>
              </w:rPr>
            </w:pPr>
            <w:r>
              <w:rPr>
                <w:rFonts w:hint="eastAsia" w:ascii="Times New Roman" w:hAnsi="Times New Roman"/>
                <w:spacing w:val="-2"/>
                <w:kern w:val="0"/>
                <w:szCs w:val="21"/>
              </w:rPr>
              <w:t>1#</w:t>
            </w:r>
            <w:r>
              <w:rPr>
                <w:rFonts w:ascii="Times New Roman" w:hAnsi="Times New Roman"/>
                <w:spacing w:val="-2"/>
                <w:kern w:val="0"/>
                <w:szCs w:val="21"/>
              </w:rPr>
              <w:t>原料处理车间位于</w:t>
            </w:r>
            <w:r>
              <w:rPr>
                <w:rFonts w:hint="eastAsia" w:ascii="Times New Roman" w:hAnsi="Times New Roman"/>
                <w:spacing w:val="-2"/>
                <w:kern w:val="0"/>
                <w:szCs w:val="21"/>
              </w:rPr>
              <w:t>租用的</w:t>
            </w:r>
            <w:r>
              <w:rPr>
                <w:rFonts w:ascii="Times New Roman" w:hAnsi="Times New Roman"/>
                <w:spacing w:val="-2"/>
                <w:kern w:val="0"/>
                <w:szCs w:val="21"/>
              </w:rPr>
              <w:t>创大3号仓库内西北侧，车间内尺寸长×宽×高为54.61m×21.6m×9m，车间内使用面积</w:t>
            </w:r>
            <w:bookmarkStart w:id="79" w:name="_Hlk187600479"/>
            <w:r>
              <w:rPr>
                <w:rFonts w:ascii="Times New Roman" w:hAnsi="Times New Roman"/>
                <w:spacing w:val="-2"/>
                <w:kern w:val="0"/>
                <w:szCs w:val="21"/>
              </w:rPr>
              <w:t>1179.58</w:t>
            </w:r>
            <w:bookmarkEnd w:id="79"/>
            <w:r>
              <w:rPr>
                <w:rFonts w:ascii="Times New Roman" w:hAnsi="Times New Roman"/>
                <w:spacing w:val="-2"/>
                <w:kern w:val="0"/>
                <w:szCs w:val="21"/>
              </w:rPr>
              <w:t>m</w:t>
            </w:r>
            <w:r>
              <w:rPr>
                <w:rFonts w:ascii="Times New Roman" w:hAnsi="Times New Roman"/>
                <w:spacing w:val="-2"/>
                <w:kern w:val="0"/>
                <w:szCs w:val="21"/>
                <w:vertAlign w:val="superscript"/>
              </w:rPr>
              <w:t>2</w:t>
            </w:r>
            <w:r>
              <w:rPr>
                <w:rFonts w:ascii="Times New Roman" w:hAnsi="Times New Roman"/>
                <w:spacing w:val="-2"/>
                <w:kern w:val="0"/>
                <w:szCs w:val="21"/>
              </w:rPr>
              <w:t>，结构形式采用砖混结构，钢结构顶棚，地面为混凝土硬化地面，四周封闭。</w:t>
            </w:r>
          </w:p>
          <w:p w14:paraId="661397A9">
            <w:pPr>
              <w:ind w:firstLine="412" w:firstLineChars="200"/>
              <w:rPr>
                <w:rFonts w:ascii="Times New Roman" w:hAnsi="Times New Roman"/>
                <w:spacing w:val="-2"/>
                <w:kern w:val="0"/>
                <w:szCs w:val="21"/>
              </w:rPr>
            </w:pPr>
            <w:r>
              <w:rPr>
                <w:rFonts w:ascii="Times New Roman" w:hAnsi="Times New Roman"/>
                <w:spacing w:val="-2"/>
                <w:kern w:val="0"/>
                <w:szCs w:val="21"/>
              </w:rPr>
              <w:t>车间内设置原料烘干生产线1条，主要设备有烘干机、皮带输送机等，设备基础为钢筋混凝土结构；原料堆放区2处、干原料堆放区1处。</w:t>
            </w:r>
          </w:p>
          <w:p w14:paraId="18AE24C9">
            <w:pPr>
              <w:ind w:firstLine="412" w:firstLineChars="200"/>
              <w:rPr>
                <w:rFonts w:ascii="Times New Roman" w:hAnsi="Times New Roman"/>
                <w:spacing w:val="-2"/>
                <w:kern w:val="0"/>
                <w:szCs w:val="21"/>
              </w:rPr>
            </w:pPr>
            <w:r>
              <w:rPr>
                <w:rFonts w:ascii="Times New Roman" w:hAnsi="Times New Roman"/>
                <w:spacing w:val="-2"/>
                <w:kern w:val="0"/>
                <w:szCs w:val="21"/>
              </w:rPr>
              <w:t>功能分区位于车间南北两侧，车间中央为通道。该原料处理车间主要是进行湿原料的烘干。</w:t>
            </w:r>
          </w:p>
        </w:tc>
      </w:tr>
      <w:tr w14:paraId="125A48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Merge w:val="continue"/>
            <w:vAlign w:val="center"/>
          </w:tcPr>
          <w:p w14:paraId="221CE854">
            <w:pPr>
              <w:jc w:val="center"/>
              <w:rPr>
                <w:rFonts w:ascii="Times New Roman" w:hAnsi="Times New Roman"/>
                <w:spacing w:val="-2"/>
                <w:kern w:val="0"/>
                <w:szCs w:val="21"/>
              </w:rPr>
            </w:pPr>
          </w:p>
        </w:tc>
        <w:tc>
          <w:tcPr>
            <w:tcW w:w="1489" w:type="dxa"/>
            <w:vAlign w:val="center"/>
          </w:tcPr>
          <w:p w14:paraId="4A09A22D">
            <w:pPr>
              <w:jc w:val="center"/>
              <w:rPr>
                <w:rFonts w:ascii="Times New Roman" w:hAnsi="Times New Roman"/>
                <w:spacing w:val="-2"/>
                <w:kern w:val="0"/>
                <w:szCs w:val="21"/>
              </w:rPr>
            </w:pPr>
            <w:r>
              <w:rPr>
                <w:rFonts w:ascii="Times New Roman" w:hAnsi="Times New Roman"/>
                <w:spacing w:val="-2"/>
                <w:kern w:val="0"/>
                <w:szCs w:val="21"/>
              </w:rPr>
              <w:t>2#分选车间</w:t>
            </w:r>
          </w:p>
        </w:tc>
        <w:tc>
          <w:tcPr>
            <w:tcW w:w="7123" w:type="dxa"/>
            <w:vAlign w:val="center"/>
          </w:tcPr>
          <w:p w14:paraId="6E9F7302">
            <w:pPr>
              <w:ind w:firstLine="412" w:firstLineChars="200"/>
              <w:rPr>
                <w:rFonts w:ascii="Times New Roman" w:hAnsi="Times New Roman"/>
                <w:spacing w:val="-2"/>
                <w:kern w:val="0"/>
                <w:szCs w:val="21"/>
              </w:rPr>
            </w:pPr>
            <w:r>
              <w:rPr>
                <w:rFonts w:hint="eastAsia" w:ascii="Times New Roman" w:hAnsi="Times New Roman"/>
                <w:spacing w:val="-2"/>
                <w:kern w:val="0"/>
                <w:szCs w:val="21"/>
              </w:rPr>
              <w:t>2#分选</w:t>
            </w:r>
            <w:r>
              <w:rPr>
                <w:rFonts w:ascii="Times New Roman" w:hAnsi="Times New Roman"/>
                <w:spacing w:val="-2"/>
                <w:kern w:val="0"/>
                <w:szCs w:val="21"/>
              </w:rPr>
              <w:t>车间位</w:t>
            </w:r>
            <w:r>
              <w:rPr>
                <w:rFonts w:hint="eastAsia" w:ascii="Times New Roman" w:hAnsi="Times New Roman"/>
                <w:spacing w:val="-2"/>
                <w:kern w:val="0"/>
                <w:szCs w:val="21"/>
              </w:rPr>
              <w:t>租用的</w:t>
            </w:r>
            <w:r>
              <w:rPr>
                <w:rFonts w:ascii="Times New Roman" w:hAnsi="Times New Roman"/>
                <w:spacing w:val="-2"/>
                <w:kern w:val="0"/>
                <w:szCs w:val="21"/>
              </w:rPr>
              <w:t>于创大3号仓库内东北侧，车间内尺寸长×宽×高为54.6×21.6m×9m，车间内使用面积1179.36m</w:t>
            </w:r>
            <w:r>
              <w:rPr>
                <w:rFonts w:ascii="Times New Roman" w:hAnsi="Times New Roman"/>
                <w:spacing w:val="-2"/>
                <w:kern w:val="0"/>
                <w:szCs w:val="21"/>
                <w:vertAlign w:val="superscript"/>
              </w:rPr>
              <w:t>2</w:t>
            </w:r>
            <w:r>
              <w:rPr>
                <w:rFonts w:ascii="Times New Roman" w:hAnsi="Times New Roman"/>
                <w:spacing w:val="-2"/>
                <w:kern w:val="0"/>
                <w:szCs w:val="21"/>
              </w:rPr>
              <w:t>，结构形式采用砖混结构，钢结构顶棚，地面为混凝土硬化地面，四周封闭。</w:t>
            </w:r>
          </w:p>
          <w:p w14:paraId="760C0BAF">
            <w:pPr>
              <w:ind w:firstLine="412" w:firstLineChars="200"/>
              <w:rPr>
                <w:rFonts w:ascii="Times New Roman" w:hAnsi="Times New Roman"/>
                <w:spacing w:val="-2"/>
                <w:kern w:val="0"/>
                <w:szCs w:val="21"/>
              </w:rPr>
            </w:pPr>
            <w:r>
              <w:rPr>
                <w:rFonts w:ascii="Times New Roman" w:hAnsi="Times New Roman"/>
                <w:spacing w:val="-2"/>
                <w:kern w:val="0"/>
                <w:szCs w:val="21"/>
              </w:rPr>
              <w:t>车间内设置钛精矿磁选生产线2条，主要设备有磁选机、皮带输送机等，设备基础为钢筋混凝土结构；</w:t>
            </w:r>
            <w:r>
              <w:rPr>
                <w:rFonts w:hint="eastAsia" w:ascii="Times New Roman" w:hAnsi="Times New Roman"/>
                <w:spacing w:val="-2"/>
                <w:kern w:val="0"/>
                <w:szCs w:val="21"/>
              </w:rPr>
              <w:t>锆中矿</w:t>
            </w:r>
            <w:r>
              <w:rPr>
                <w:rFonts w:ascii="Times New Roman" w:hAnsi="Times New Roman"/>
                <w:spacing w:val="-2"/>
                <w:kern w:val="0"/>
                <w:szCs w:val="21"/>
              </w:rPr>
              <w:t>堆放区2处、精矿堆放区2处。</w:t>
            </w:r>
          </w:p>
          <w:p w14:paraId="4729316F">
            <w:pPr>
              <w:ind w:firstLine="412" w:firstLineChars="200"/>
              <w:rPr>
                <w:rFonts w:ascii="Times New Roman" w:hAnsi="Times New Roman"/>
                <w:spacing w:val="-2"/>
                <w:kern w:val="0"/>
                <w:szCs w:val="21"/>
              </w:rPr>
            </w:pPr>
            <w:r>
              <w:rPr>
                <w:rFonts w:ascii="Times New Roman" w:hAnsi="Times New Roman"/>
                <w:spacing w:val="-2"/>
                <w:kern w:val="0"/>
                <w:szCs w:val="21"/>
              </w:rPr>
              <w:t>功能分区位于车间南北两侧，车间中央为通道。该分选车间主要是将烘干后的毛矿进行分选。</w:t>
            </w:r>
          </w:p>
        </w:tc>
      </w:tr>
      <w:tr w14:paraId="71F4E3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Merge w:val="restart"/>
            <w:vAlign w:val="center"/>
          </w:tcPr>
          <w:p w14:paraId="2CA462B5">
            <w:pPr>
              <w:widowControl/>
              <w:jc w:val="center"/>
              <w:rPr>
                <w:rFonts w:ascii="Times New Roman" w:hAnsi="Times New Roman"/>
                <w:spacing w:val="-2"/>
                <w:kern w:val="0"/>
                <w:szCs w:val="21"/>
              </w:rPr>
            </w:pPr>
            <w:r>
              <w:rPr>
                <w:rFonts w:ascii="Times New Roman" w:hAnsi="Times New Roman"/>
                <w:spacing w:val="-2"/>
                <w:kern w:val="0"/>
                <w:szCs w:val="21"/>
              </w:rPr>
              <w:t>储运工程</w:t>
            </w:r>
          </w:p>
        </w:tc>
        <w:tc>
          <w:tcPr>
            <w:tcW w:w="1489" w:type="dxa"/>
            <w:vAlign w:val="center"/>
          </w:tcPr>
          <w:p w14:paraId="396B8582">
            <w:pPr>
              <w:jc w:val="center"/>
              <w:rPr>
                <w:rFonts w:ascii="Times New Roman" w:hAnsi="Times New Roman"/>
                <w:spacing w:val="-2"/>
                <w:kern w:val="0"/>
                <w:szCs w:val="21"/>
              </w:rPr>
            </w:pPr>
            <w:r>
              <w:rPr>
                <w:rFonts w:ascii="Times New Roman" w:hAnsi="Times New Roman"/>
                <w:spacing w:val="-2"/>
                <w:kern w:val="0"/>
                <w:szCs w:val="21"/>
              </w:rPr>
              <w:t>原料堆放区</w:t>
            </w:r>
          </w:p>
        </w:tc>
        <w:tc>
          <w:tcPr>
            <w:tcW w:w="7123" w:type="dxa"/>
            <w:vAlign w:val="center"/>
          </w:tcPr>
          <w:p w14:paraId="6CED9834">
            <w:pPr>
              <w:ind w:firstLine="412" w:firstLineChars="200"/>
              <w:rPr>
                <w:rFonts w:ascii="Times New Roman" w:hAnsi="Times New Roman"/>
                <w:spacing w:val="-2"/>
                <w:kern w:val="0"/>
                <w:szCs w:val="21"/>
              </w:rPr>
            </w:pPr>
            <w:r>
              <w:rPr>
                <w:rFonts w:ascii="Times New Roman" w:hAnsi="Times New Roman"/>
                <w:spacing w:val="-2"/>
                <w:kern w:val="0"/>
                <w:szCs w:val="21"/>
              </w:rPr>
              <w:t>项目于1#原料处理车间西侧大门附近设置2处原料堆放区，每个原料堆放区的面积约181.44m</w:t>
            </w:r>
            <w:r>
              <w:rPr>
                <w:rFonts w:ascii="Times New Roman" w:hAnsi="Times New Roman"/>
                <w:spacing w:val="-2"/>
                <w:kern w:val="0"/>
                <w:szCs w:val="21"/>
                <w:vertAlign w:val="superscript"/>
              </w:rPr>
              <w:t>2</w:t>
            </w:r>
            <w:r>
              <w:rPr>
                <w:rFonts w:ascii="Times New Roman" w:hAnsi="Times New Roman"/>
                <w:spacing w:val="-2"/>
                <w:kern w:val="0"/>
                <w:szCs w:val="21"/>
              </w:rPr>
              <w:t>，用于堆放进厂的湿</w:t>
            </w:r>
            <w:r>
              <w:rPr>
                <w:rFonts w:hint="eastAsia" w:ascii="Times New Roman" w:hAnsi="Times New Roman"/>
                <w:spacing w:val="-2"/>
                <w:kern w:val="0"/>
                <w:szCs w:val="21"/>
              </w:rPr>
              <w:t>度较大的</w:t>
            </w:r>
            <w:r>
              <w:rPr>
                <w:rFonts w:ascii="Times New Roman" w:hAnsi="Times New Roman"/>
                <w:spacing w:val="-2"/>
                <w:kern w:val="0"/>
                <w:szCs w:val="21"/>
              </w:rPr>
              <w:t>毛矿。</w:t>
            </w:r>
          </w:p>
        </w:tc>
      </w:tr>
      <w:tr w14:paraId="0B8D8F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Merge w:val="continue"/>
            <w:vAlign w:val="center"/>
          </w:tcPr>
          <w:p w14:paraId="5AD2F786">
            <w:pPr>
              <w:widowControl/>
              <w:jc w:val="center"/>
              <w:rPr>
                <w:rFonts w:ascii="Times New Roman" w:hAnsi="Times New Roman"/>
                <w:spacing w:val="-2"/>
                <w:kern w:val="0"/>
                <w:szCs w:val="21"/>
              </w:rPr>
            </w:pPr>
          </w:p>
        </w:tc>
        <w:tc>
          <w:tcPr>
            <w:tcW w:w="1489" w:type="dxa"/>
            <w:vAlign w:val="center"/>
          </w:tcPr>
          <w:p w14:paraId="6A6EAC5D">
            <w:pPr>
              <w:jc w:val="center"/>
              <w:rPr>
                <w:rFonts w:ascii="Times New Roman" w:hAnsi="Times New Roman"/>
                <w:spacing w:val="-2"/>
                <w:kern w:val="0"/>
                <w:szCs w:val="21"/>
              </w:rPr>
            </w:pPr>
            <w:r>
              <w:rPr>
                <w:rFonts w:ascii="Times New Roman" w:hAnsi="Times New Roman"/>
                <w:spacing w:val="-2"/>
                <w:kern w:val="0"/>
                <w:szCs w:val="21"/>
              </w:rPr>
              <w:t>干原料堆放区</w:t>
            </w:r>
          </w:p>
        </w:tc>
        <w:tc>
          <w:tcPr>
            <w:tcW w:w="7123" w:type="dxa"/>
            <w:vAlign w:val="center"/>
          </w:tcPr>
          <w:p w14:paraId="32D76013">
            <w:pPr>
              <w:ind w:firstLine="412" w:firstLineChars="200"/>
              <w:rPr>
                <w:rFonts w:ascii="Times New Roman" w:hAnsi="Times New Roman"/>
                <w:spacing w:val="-2"/>
                <w:kern w:val="0"/>
                <w:szCs w:val="21"/>
              </w:rPr>
            </w:pPr>
            <w:r>
              <w:rPr>
                <w:rFonts w:ascii="Times New Roman" w:hAnsi="Times New Roman"/>
                <w:spacing w:val="-2"/>
                <w:kern w:val="0"/>
                <w:szCs w:val="21"/>
              </w:rPr>
              <w:t>项目于1#原料处理车间东南部，烘干生产线南侧设置1处干原料堆放区，面积约181.44m</w:t>
            </w:r>
            <w:r>
              <w:rPr>
                <w:rFonts w:ascii="Times New Roman" w:hAnsi="Times New Roman"/>
                <w:spacing w:val="-2"/>
                <w:kern w:val="0"/>
                <w:szCs w:val="21"/>
                <w:vertAlign w:val="superscript"/>
              </w:rPr>
              <w:t>2</w:t>
            </w:r>
            <w:r>
              <w:rPr>
                <w:rFonts w:ascii="Times New Roman" w:hAnsi="Times New Roman"/>
                <w:spacing w:val="-2"/>
                <w:kern w:val="0"/>
                <w:szCs w:val="21"/>
              </w:rPr>
              <w:t>，用于堆放烘干后的毛矿，待</w:t>
            </w:r>
            <w:r>
              <w:rPr>
                <w:rFonts w:hint="eastAsia" w:ascii="Times New Roman" w:hAnsi="Times New Roman"/>
                <w:spacing w:val="-2"/>
                <w:kern w:val="0"/>
                <w:szCs w:val="21"/>
              </w:rPr>
              <w:t>装载机</w:t>
            </w:r>
            <w:r>
              <w:rPr>
                <w:rFonts w:ascii="Times New Roman" w:hAnsi="Times New Roman"/>
                <w:spacing w:val="-2"/>
                <w:kern w:val="0"/>
                <w:szCs w:val="21"/>
              </w:rPr>
              <w:t>运送到2#分选车间进行分选。</w:t>
            </w:r>
          </w:p>
        </w:tc>
      </w:tr>
      <w:tr w14:paraId="4D8B2C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Merge w:val="continue"/>
            <w:vAlign w:val="center"/>
          </w:tcPr>
          <w:p w14:paraId="50B95AE7">
            <w:pPr>
              <w:widowControl/>
              <w:jc w:val="center"/>
              <w:rPr>
                <w:rFonts w:ascii="Times New Roman" w:hAnsi="Times New Roman"/>
                <w:spacing w:val="-2"/>
                <w:kern w:val="0"/>
                <w:szCs w:val="21"/>
              </w:rPr>
            </w:pPr>
          </w:p>
        </w:tc>
        <w:tc>
          <w:tcPr>
            <w:tcW w:w="1489" w:type="dxa"/>
            <w:vAlign w:val="center"/>
          </w:tcPr>
          <w:p w14:paraId="71E12F4D">
            <w:pPr>
              <w:jc w:val="center"/>
              <w:rPr>
                <w:rFonts w:ascii="Times New Roman" w:hAnsi="Times New Roman"/>
                <w:spacing w:val="-2"/>
                <w:kern w:val="0"/>
                <w:szCs w:val="21"/>
              </w:rPr>
            </w:pPr>
            <w:r>
              <w:rPr>
                <w:rFonts w:hint="eastAsia" w:ascii="Times New Roman" w:hAnsi="Times New Roman"/>
                <w:spacing w:val="-2"/>
                <w:kern w:val="0"/>
                <w:szCs w:val="21"/>
              </w:rPr>
              <w:t>锆中矿</w:t>
            </w:r>
            <w:r>
              <w:rPr>
                <w:rFonts w:ascii="Times New Roman" w:hAnsi="Times New Roman"/>
                <w:spacing w:val="-2"/>
                <w:kern w:val="0"/>
                <w:szCs w:val="21"/>
              </w:rPr>
              <w:t>堆放区</w:t>
            </w:r>
          </w:p>
        </w:tc>
        <w:tc>
          <w:tcPr>
            <w:tcW w:w="7123" w:type="dxa"/>
            <w:vAlign w:val="center"/>
          </w:tcPr>
          <w:p w14:paraId="66E07F94">
            <w:pPr>
              <w:ind w:firstLine="412" w:firstLineChars="200"/>
              <w:rPr>
                <w:rFonts w:ascii="Times New Roman" w:hAnsi="Times New Roman"/>
                <w:spacing w:val="-2"/>
                <w:kern w:val="0"/>
                <w:szCs w:val="21"/>
              </w:rPr>
            </w:pPr>
            <w:r>
              <w:rPr>
                <w:rFonts w:ascii="Times New Roman" w:hAnsi="Times New Roman"/>
                <w:spacing w:val="-2"/>
                <w:kern w:val="0"/>
                <w:szCs w:val="21"/>
              </w:rPr>
              <w:t>项目于2#分选车间西部，分选生产线西侧设置2处</w:t>
            </w:r>
            <w:r>
              <w:rPr>
                <w:rFonts w:hint="eastAsia" w:ascii="Times New Roman" w:hAnsi="Times New Roman"/>
                <w:spacing w:val="-2"/>
                <w:kern w:val="0"/>
                <w:szCs w:val="21"/>
              </w:rPr>
              <w:t>锆中矿</w:t>
            </w:r>
            <w:r>
              <w:rPr>
                <w:rFonts w:ascii="Times New Roman" w:hAnsi="Times New Roman"/>
                <w:spacing w:val="-2"/>
                <w:kern w:val="0"/>
                <w:szCs w:val="21"/>
              </w:rPr>
              <w:t>堆放区，每个</w:t>
            </w:r>
            <w:r>
              <w:rPr>
                <w:rFonts w:hint="eastAsia" w:ascii="Times New Roman" w:hAnsi="Times New Roman"/>
                <w:spacing w:val="-2"/>
                <w:kern w:val="0"/>
                <w:szCs w:val="21"/>
              </w:rPr>
              <w:t>锆中矿</w:t>
            </w:r>
            <w:r>
              <w:rPr>
                <w:rFonts w:ascii="Times New Roman" w:hAnsi="Times New Roman"/>
                <w:spacing w:val="-2"/>
                <w:kern w:val="0"/>
                <w:szCs w:val="21"/>
              </w:rPr>
              <w:t>堆放区的面积约100.80m</w:t>
            </w:r>
            <w:r>
              <w:rPr>
                <w:rFonts w:ascii="Times New Roman" w:hAnsi="Times New Roman"/>
                <w:spacing w:val="-2"/>
                <w:kern w:val="0"/>
                <w:szCs w:val="21"/>
                <w:vertAlign w:val="superscript"/>
              </w:rPr>
              <w:t>2</w:t>
            </w:r>
            <w:r>
              <w:rPr>
                <w:rFonts w:ascii="Times New Roman" w:hAnsi="Times New Roman"/>
                <w:spacing w:val="-2"/>
                <w:kern w:val="0"/>
                <w:szCs w:val="21"/>
              </w:rPr>
              <w:t>，用于堆放毛矿分选后产生的</w:t>
            </w:r>
            <w:r>
              <w:rPr>
                <w:rFonts w:hint="eastAsia" w:ascii="Times New Roman" w:hAnsi="Times New Roman"/>
                <w:spacing w:val="-2"/>
                <w:kern w:val="0"/>
                <w:szCs w:val="21"/>
              </w:rPr>
              <w:t>副产品锆中矿</w:t>
            </w:r>
            <w:r>
              <w:rPr>
                <w:rFonts w:ascii="Times New Roman" w:hAnsi="Times New Roman"/>
                <w:spacing w:val="-2"/>
                <w:kern w:val="0"/>
                <w:szCs w:val="21"/>
              </w:rPr>
              <w:t>。</w:t>
            </w:r>
          </w:p>
        </w:tc>
      </w:tr>
      <w:tr w14:paraId="1A8A27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Merge w:val="continue"/>
            <w:vAlign w:val="center"/>
          </w:tcPr>
          <w:p w14:paraId="6F27CB64">
            <w:pPr>
              <w:widowControl/>
              <w:jc w:val="center"/>
              <w:rPr>
                <w:rFonts w:ascii="Times New Roman" w:hAnsi="Times New Roman"/>
                <w:spacing w:val="-2"/>
                <w:kern w:val="0"/>
                <w:szCs w:val="21"/>
              </w:rPr>
            </w:pPr>
          </w:p>
        </w:tc>
        <w:tc>
          <w:tcPr>
            <w:tcW w:w="1489" w:type="dxa"/>
            <w:vAlign w:val="center"/>
          </w:tcPr>
          <w:p w14:paraId="64B2B562">
            <w:pPr>
              <w:jc w:val="center"/>
              <w:rPr>
                <w:rFonts w:ascii="Times New Roman" w:hAnsi="Times New Roman"/>
                <w:spacing w:val="-2"/>
                <w:kern w:val="0"/>
                <w:szCs w:val="21"/>
              </w:rPr>
            </w:pPr>
            <w:r>
              <w:rPr>
                <w:rFonts w:ascii="Times New Roman" w:hAnsi="Times New Roman"/>
                <w:spacing w:val="-2"/>
                <w:kern w:val="0"/>
                <w:szCs w:val="21"/>
              </w:rPr>
              <w:t>精矿堆放区</w:t>
            </w:r>
          </w:p>
        </w:tc>
        <w:tc>
          <w:tcPr>
            <w:tcW w:w="7123" w:type="dxa"/>
            <w:vAlign w:val="center"/>
          </w:tcPr>
          <w:p w14:paraId="36E56CC2">
            <w:pPr>
              <w:ind w:firstLine="412" w:firstLineChars="200"/>
              <w:rPr>
                <w:rFonts w:ascii="Times New Roman" w:hAnsi="Times New Roman"/>
                <w:spacing w:val="-2"/>
                <w:kern w:val="0"/>
                <w:szCs w:val="21"/>
              </w:rPr>
            </w:pPr>
            <w:r>
              <w:rPr>
                <w:rFonts w:ascii="Times New Roman" w:hAnsi="Times New Roman"/>
                <w:spacing w:val="-2"/>
                <w:kern w:val="0"/>
                <w:szCs w:val="21"/>
              </w:rPr>
              <w:t>项目于2#分选车间东部，分选生产线东侧靠近东侧车间大门附近设置2处精矿堆放区，每个精矿堆放区的面积约120.96m</w:t>
            </w:r>
            <w:r>
              <w:rPr>
                <w:rFonts w:ascii="Times New Roman" w:hAnsi="Times New Roman"/>
                <w:spacing w:val="-2"/>
                <w:kern w:val="0"/>
                <w:szCs w:val="21"/>
                <w:vertAlign w:val="superscript"/>
              </w:rPr>
              <w:t>2</w:t>
            </w:r>
            <w:r>
              <w:rPr>
                <w:rFonts w:ascii="Times New Roman" w:hAnsi="Times New Roman"/>
                <w:spacing w:val="-2"/>
                <w:kern w:val="0"/>
                <w:szCs w:val="21"/>
              </w:rPr>
              <w:t>，用于堆放毛矿分选后产生的钛精矿，待外售。</w:t>
            </w:r>
          </w:p>
        </w:tc>
      </w:tr>
      <w:tr w14:paraId="4087E4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Merge w:val="continue"/>
            <w:vAlign w:val="center"/>
          </w:tcPr>
          <w:p w14:paraId="4119DE85">
            <w:pPr>
              <w:widowControl/>
              <w:jc w:val="center"/>
              <w:rPr>
                <w:rFonts w:ascii="Times New Roman" w:hAnsi="Times New Roman"/>
                <w:spacing w:val="-2"/>
                <w:kern w:val="0"/>
                <w:szCs w:val="21"/>
              </w:rPr>
            </w:pPr>
          </w:p>
        </w:tc>
        <w:tc>
          <w:tcPr>
            <w:tcW w:w="1489" w:type="dxa"/>
            <w:vAlign w:val="center"/>
          </w:tcPr>
          <w:p w14:paraId="187A74AD">
            <w:pPr>
              <w:jc w:val="center"/>
              <w:rPr>
                <w:rFonts w:ascii="Times New Roman" w:hAnsi="Times New Roman"/>
                <w:spacing w:val="-2"/>
                <w:kern w:val="0"/>
                <w:szCs w:val="21"/>
              </w:rPr>
            </w:pPr>
            <w:r>
              <w:rPr>
                <w:rFonts w:ascii="Times New Roman" w:hAnsi="Times New Roman"/>
                <w:spacing w:val="-2"/>
                <w:kern w:val="0"/>
                <w:szCs w:val="21"/>
              </w:rPr>
              <w:t>生物质燃料</w:t>
            </w:r>
          </w:p>
          <w:p w14:paraId="2CDADAF4">
            <w:pPr>
              <w:jc w:val="center"/>
              <w:rPr>
                <w:rFonts w:ascii="Times New Roman" w:hAnsi="Times New Roman"/>
                <w:spacing w:val="-2"/>
                <w:kern w:val="0"/>
                <w:szCs w:val="21"/>
              </w:rPr>
            </w:pPr>
            <w:r>
              <w:rPr>
                <w:rFonts w:ascii="Times New Roman" w:hAnsi="Times New Roman"/>
                <w:spacing w:val="-2"/>
                <w:kern w:val="0"/>
                <w:szCs w:val="21"/>
              </w:rPr>
              <w:t>堆放区</w:t>
            </w:r>
          </w:p>
        </w:tc>
        <w:tc>
          <w:tcPr>
            <w:tcW w:w="7123" w:type="dxa"/>
            <w:vAlign w:val="center"/>
          </w:tcPr>
          <w:p w14:paraId="630E8EC4">
            <w:pPr>
              <w:ind w:firstLine="412" w:firstLineChars="200"/>
              <w:rPr>
                <w:rFonts w:ascii="Times New Roman" w:hAnsi="Times New Roman"/>
                <w:spacing w:val="-2"/>
                <w:kern w:val="0"/>
                <w:szCs w:val="21"/>
              </w:rPr>
            </w:pPr>
            <w:r>
              <w:rPr>
                <w:rFonts w:ascii="Times New Roman" w:hAnsi="Times New Roman"/>
                <w:spacing w:val="-2"/>
                <w:kern w:val="0"/>
                <w:szCs w:val="21"/>
              </w:rPr>
              <w:t>项目生物质燃料堆放于烘干</w:t>
            </w:r>
            <w:r>
              <w:rPr>
                <w:rFonts w:hint="eastAsia" w:ascii="Times New Roman" w:hAnsi="Times New Roman"/>
                <w:spacing w:val="-2"/>
                <w:kern w:val="0"/>
                <w:szCs w:val="21"/>
              </w:rPr>
              <w:t>机西</w:t>
            </w:r>
            <w:r>
              <w:rPr>
                <w:rFonts w:ascii="Times New Roman" w:hAnsi="Times New Roman"/>
                <w:spacing w:val="-2"/>
                <w:kern w:val="0"/>
                <w:szCs w:val="21"/>
              </w:rPr>
              <w:t>南侧，约50m</w:t>
            </w:r>
            <w:r>
              <w:rPr>
                <w:rFonts w:ascii="Times New Roman" w:hAnsi="Times New Roman"/>
                <w:spacing w:val="-2"/>
                <w:kern w:val="0"/>
                <w:szCs w:val="21"/>
                <w:vertAlign w:val="superscript"/>
              </w:rPr>
              <w:t>2</w:t>
            </w:r>
            <w:r>
              <w:rPr>
                <w:rFonts w:ascii="Times New Roman" w:hAnsi="Times New Roman"/>
                <w:spacing w:val="-2"/>
                <w:kern w:val="0"/>
                <w:szCs w:val="21"/>
              </w:rPr>
              <w:t>。</w:t>
            </w:r>
          </w:p>
        </w:tc>
      </w:tr>
      <w:tr w14:paraId="224D53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Merge w:val="restart"/>
            <w:vAlign w:val="center"/>
          </w:tcPr>
          <w:p w14:paraId="38438675">
            <w:pPr>
              <w:widowControl/>
              <w:jc w:val="left"/>
              <w:rPr>
                <w:rFonts w:ascii="Times New Roman" w:hAnsi="Times New Roman"/>
                <w:spacing w:val="-2"/>
                <w:kern w:val="0"/>
                <w:szCs w:val="21"/>
              </w:rPr>
            </w:pPr>
            <w:r>
              <w:rPr>
                <w:rFonts w:ascii="Times New Roman" w:hAnsi="Times New Roman"/>
                <w:spacing w:val="-2"/>
                <w:kern w:val="0"/>
                <w:szCs w:val="21"/>
              </w:rPr>
              <w:t>公辅工程</w:t>
            </w:r>
          </w:p>
        </w:tc>
        <w:tc>
          <w:tcPr>
            <w:tcW w:w="1489" w:type="dxa"/>
            <w:vAlign w:val="center"/>
          </w:tcPr>
          <w:p w14:paraId="118A0CE6">
            <w:pPr>
              <w:jc w:val="center"/>
              <w:rPr>
                <w:rFonts w:ascii="Times New Roman" w:hAnsi="Times New Roman"/>
                <w:spacing w:val="-2"/>
                <w:kern w:val="0"/>
                <w:szCs w:val="21"/>
              </w:rPr>
            </w:pPr>
            <w:r>
              <w:rPr>
                <w:rFonts w:ascii="Times New Roman" w:hAnsi="Times New Roman"/>
                <w:spacing w:val="-2"/>
                <w:kern w:val="0"/>
                <w:szCs w:val="21"/>
              </w:rPr>
              <w:t>供电</w:t>
            </w:r>
          </w:p>
        </w:tc>
        <w:tc>
          <w:tcPr>
            <w:tcW w:w="7123" w:type="dxa"/>
            <w:vAlign w:val="center"/>
          </w:tcPr>
          <w:p w14:paraId="781D9796">
            <w:pPr>
              <w:ind w:firstLine="412" w:firstLineChars="200"/>
              <w:rPr>
                <w:rFonts w:ascii="Times New Roman" w:hAnsi="Times New Roman"/>
                <w:spacing w:val="-2"/>
                <w:kern w:val="0"/>
                <w:szCs w:val="21"/>
              </w:rPr>
            </w:pPr>
            <w:r>
              <w:rPr>
                <w:rFonts w:ascii="Times New Roman" w:hAnsi="Times New Roman"/>
                <w:spacing w:val="-2"/>
                <w:kern w:val="0"/>
                <w:szCs w:val="21"/>
              </w:rPr>
              <w:t>由园区供电电网供应，供电能力可满足本项目用电。</w:t>
            </w:r>
          </w:p>
        </w:tc>
      </w:tr>
      <w:tr w14:paraId="331E71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Merge w:val="continue"/>
            <w:vAlign w:val="center"/>
          </w:tcPr>
          <w:p w14:paraId="0B75E412">
            <w:pPr>
              <w:widowControl/>
              <w:jc w:val="left"/>
              <w:rPr>
                <w:rFonts w:ascii="Times New Roman" w:hAnsi="Times New Roman"/>
                <w:spacing w:val="-2"/>
                <w:kern w:val="0"/>
                <w:szCs w:val="21"/>
              </w:rPr>
            </w:pPr>
          </w:p>
        </w:tc>
        <w:tc>
          <w:tcPr>
            <w:tcW w:w="1489" w:type="dxa"/>
            <w:vAlign w:val="center"/>
          </w:tcPr>
          <w:p w14:paraId="44BB3B70">
            <w:pPr>
              <w:jc w:val="center"/>
              <w:rPr>
                <w:rFonts w:ascii="Times New Roman" w:hAnsi="Times New Roman"/>
                <w:spacing w:val="-2"/>
                <w:kern w:val="0"/>
                <w:szCs w:val="21"/>
              </w:rPr>
            </w:pPr>
            <w:r>
              <w:rPr>
                <w:rFonts w:ascii="Times New Roman" w:hAnsi="Times New Roman"/>
                <w:spacing w:val="-2"/>
                <w:kern w:val="0"/>
                <w:szCs w:val="21"/>
              </w:rPr>
              <w:t>给排水</w:t>
            </w:r>
          </w:p>
        </w:tc>
        <w:tc>
          <w:tcPr>
            <w:tcW w:w="7123" w:type="dxa"/>
            <w:vAlign w:val="center"/>
          </w:tcPr>
          <w:p w14:paraId="5DE41AAB">
            <w:pPr>
              <w:ind w:firstLine="412" w:firstLineChars="200"/>
              <w:rPr>
                <w:rFonts w:ascii="Times New Roman" w:hAnsi="Times New Roman"/>
                <w:spacing w:val="-2"/>
                <w:kern w:val="0"/>
                <w:szCs w:val="21"/>
              </w:rPr>
            </w:pPr>
            <w:r>
              <w:rPr>
                <w:rFonts w:hint="eastAsia" w:ascii="Times New Roman" w:hAnsi="Times New Roman"/>
                <w:spacing w:val="-2"/>
                <w:kern w:val="0"/>
                <w:szCs w:val="21"/>
              </w:rPr>
              <w:t>污水：</w:t>
            </w:r>
            <w:r>
              <w:rPr>
                <w:rFonts w:ascii="Times New Roman" w:hAnsi="Times New Roman"/>
                <w:spacing w:val="-2"/>
                <w:kern w:val="0"/>
                <w:szCs w:val="21"/>
              </w:rPr>
              <w:t>由园区市政管网提供，主要是工作人员厕所用水，生活污水经化粪池处理后排入市政污水管网。</w:t>
            </w:r>
          </w:p>
          <w:p w14:paraId="12DFE9F1">
            <w:pPr>
              <w:ind w:firstLine="412" w:firstLineChars="200"/>
              <w:rPr>
                <w:rFonts w:ascii="Times New Roman" w:hAnsi="Times New Roman"/>
                <w:spacing w:val="-2"/>
                <w:kern w:val="0"/>
                <w:szCs w:val="21"/>
              </w:rPr>
            </w:pPr>
            <w:r>
              <w:rPr>
                <w:rFonts w:hint="eastAsia" w:ascii="Times New Roman" w:hAnsi="Times New Roman"/>
                <w:spacing w:val="-2"/>
                <w:kern w:val="0"/>
                <w:szCs w:val="21"/>
              </w:rPr>
              <w:t>雨水：</w:t>
            </w:r>
            <w:r>
              <w:rPr>
                <w:rFonts w:ascii="Times New Roman" w:hAnsi="Times New Roman"/>
                <w:spacing w:val="-2"/>
                <w:kern w:val="0"/>
                <w:szCs w:val="21"/>
              </w:rPr>
              <w:t>项目租用已建成的仓库进行布置生产，项目生产线及物料堆放用地均布置在车间内，无新增室外建筑物。</w:t>
            </w:r>
            <w:r>
              <w:rPr>
                <w:rFonts w:ascii="Times New Roman" w:hAnsi="Times New Roman"/>
                <w:spacing w:val="-2"/>
                <w:kern w:val="0"/>
                <w:szCs w:val="21"/>
                <w:u w:val="single"/>
              </w:rPr>
              <w:t>项目涉及的雨水主要为车间顶棚雨水</w:t>
            </w:r>
            <w:r>
              <w:rPr>
                <w:rFonts w:hint="eastAsia" w:ascii="Times New Roman" w:hAnsi="Times New Roman"/>
                <w:spacing w:val="-2"/>
                <w:kern w:val="0"/>
                <w:szCs w:val="21"/>
                <w:u w:val="single"/>
              </w:rPr>
              <w:t>及车间进出口附近地面初期雨水</w:t>
            </w:r>
            <w:r>
              <w:rPr>
                <w:rFonts w:ascii="Times New Roman" w:hAnsi="Times New Roman"/>
                <w:spacing w:val="-2"/>
                <w:kern w:val="0"/>
                <w:szCs w:val="21"/>
                <w:u w:val="single"/>
              </w:rPr>
              <w:t>，</w:t>
            </w:r>
            <w:r>
              <w:rPr>
                <w:rFonts w:hint="eastAsia" w:ascii="Times New Roman" w:hAnsi="Times New Roman"/>
                <w:spacing w:val="-2"/>
                <w:kern w:val="0"/>
                <w:szCs w:val="21"/>
                <w:u w:val="single"/>
              </w:rPr>
              <w:t>在创大进口汽车仓储物流园东大门附近设置一个150m</w:t>
            </w:r>
            <w:r>
              <w:rPr>
                <w:rFonts w:hint="eastAsia" w:ascii="Times New Roman" w:hAnsi="Times New Roman"/>
                <w:spacing w:val="-2"/>
                <w:kern w:val="0"/>
                <w:szCs w:val="21"/>
                <w:u w:val="single"/>
                <w:vertAlign w:val="superscript"/>
              </w:rPr>
              <w:t>3</w:t>
            </w:r>
            <w:r>
              <w:rPr>
                <w:rFonts w:hint="eastAsia" w:ascii="Times New Roman" w:hAnsi="Times New Roman"/>
                <w:spacing w:val="-2"/>
                <w:kern w:val="0"/>
                <w:szCs w:val="21"/>
                <w:u w:val="single"/>
              </w:rPr>
              <w:t>的初期雨水池进行收集，收集后的初期雨水经沉淀后回用于项目水雾喷淋降尘系统使用。</w:t>
            </w:r>
          </w:p>
        </w:tc>
      </w:tr>
      <w:tr w14:paraId="7C5D01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Merge w:val="continue"/>
            <w:vAlign w:val="center"/>
          </w:tcPr>
          <w:p w14:paraId="31F643FA">
            <w:pPr>
              <w:widowControl/>
              <w:jc w:val="left"/>
              <w:rPr>
                <w:rFonts w:ascii="Times New Roman" w:hAnsi="Times New Roman"/>
                <w:spacing w:val="-2"/>
                <w:kern w:val="0"/>
                <w:szCs w:val="21"/>
              </w:rPr>
            </w:pPr>
          </w:p>
        </w:tc>
        <w:tc>
          <w:tcPr>
            <w:tcW w:w="1489" w:type="dxa"/>
            <w:vAlign w:val="center"/>
          </w:tcPr>
          <w:p w14:paraId="4F9A91EE">
            <w:pPr>
              <w:jc w:val="center"/>
              <w:rPr>
                <w:rFonts w:ascii="Times New Roman" w:hAnsi="Times New Roman"/>
                <w:spacing w:val="-2"/>
                <w:kern w:val="0"/>
                <w:szCs w:val="21"/>
              </w:rPr>
            </w:pPr>
            <w:r>
              <w:rPr>
                <w:rFonts w:ascii="Times New Roman" w:hAnsi="Times New Roman"/>
                <w:spacing w:val="-2"/>
                <w:kern w:val="0"/>
                <w:szCs w:val="21"/>
              </w:rPr>
              <w:t>供热</w:t>
            </w:r>
          </w:p>
        </w:tc>
        <w:tc>
          <w:tcPr>
            <w:tcW w:w="7123" w:type="dxa"/>
            <w:vAlign w:val="center"/>
          </w:tcPr>
          <w:p w14:paraId="77DD3591">
            <w:pPr>
              <w:ind w:firstLine="412" w:firstLineChars="200"/>
              <w:rPr>
                <w:rFonts w:ascii="Times New Roman" w:hAnsi="Times New Roman"/>
                <w:spacing w:val="-2"/>
                <w:kern w:val="0"/>
                <w:szCs w:val="21"/>
              </w:rPr>
            </w:pPr>
            <w:r>
              <w:rPr>
                <w:rFonts w:ascii="Times New Roman" w:hAnsi="Times New Roman"/>
                <w:spacing w:val="-2"/>
                <w:kern w:val="0"/>
                <w:szCs w:val="21"/>
              </w:rPr>
              <w:t>项目配置1台</w:t>
            </w:r>
            <w:r>
              <w:rPr>
                <w:rFonts w:hint="eastAsia" w:ascii="Times New Roman" w:hAnsi="Times New Roman"/>
                <w:spacing w:val="-2"/>
                <w:kern w:val="0"/>
                <w:szCs w:val="21"/>
              </w:rPr>
              <w:t>燃生物质</w:t>
            </w:r>
            <w:r>
              <w:rPr>
                <w:rFonts w:ascii="Times New Roman" w:hAnsi="Times New Roman"/>
                <w:spacing w:val="-2"/>
                <w:kern w:val="0"/>
                <w:szCs w:val="21"/>
              </w:rPr>
              <w:t>烘干炉，用于烘干</w:t>
            </w:r>
            <w:r>
              <w:rPr>
                <w:rFonts w:hint="eastAsia" w:ascii="Times New Roman" w:hAnsi="Times New Roman"/>
                <w:spacing w:val="-2"/>
                <w:kern w:val="0"/>
                <w:szCs w:val="21"/>
              </w:rPr>
              <w:t>原料</w:t>
            </w:r>
            <w:r>
              <w:rPr>
                <w:rFonts w:ascii="Times New Roman" w:hAnsi="Times New Roman"/>
                <w:spacing w:val="-2"/>
                <w:kern w:val="0"/>
                <w:szCs w:val="21"/>
              </w:rPr>
              <w:t>毛矿。</w:t>
            </w:r>
          </w:p>
        </w:tc>
      </w:tr>
      <w:tr w14:paraId="6504C5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Merge w:val="continue"/>
            <w:vAlign w:val="center"/>
          </w:tcPr>
          <w:p w14:paraId="1706AF2D">
            <w:pPr>
              <w:widowControl/>
              <w:jc w:val="left"/>
              <w:rPr>
                <w:rFonts w:ascii="Times New Roman" w:hAnsi="Times New Roman"/>
                <w:spacing w:val="-2"/>
                <w:kern w:val="0"/>
                <w:szCs w:val="21"/>
              </w:rPr>
            </w:pPr>
          </w:p>
        </w:tc>
        <w:tc>
          <w:tcPr>
            <w:tcW w:w="1489" w:type="dxa"/>
            <w:vAlign w:val="center"/>
          </w:tcPr>
          <w:p w14:paraId="767B159B">
            <w:pPr>
              <w:jc w:val="center"/>
              <w:rPr>
                <w:rFonts w:ascii="Times New Roman" w:hAnsi="Times New Roman"/>
                <w:spacing w:val="-2"/>
                <w:kern w:val="0"/>
                <w:szCs w:val="21"/>
              </w:rPr>
            </w:pPr>
            <w:r>
              <w:rPr>
                <w:rFonts w:ascii="Times New Roman" w:hAnsi="Times New Roman"/>
                <w:spacing w:val="-2"/>
                <w:kern w:val="0"/>
                <w:szCs w:val="21"/>
              </w:rPr>
              <w:t>消防</w:t>
            </w:r>
          </w:p>
        </w:tc>
        <w:tc>
          <w:tcPr>
            <w:tcW w:w="7123" w:type="dxa"/>
            <w:vAlign w:val="center"/>
          </w:tcPr>
          <w:p w14:paraId="6AF8C75A">
            <w:pPr>
              <w:ind w:firstLine="412" w:firstLineChars="200"/>
              <w:rPr>
                <w:rFonts w:ascii="Times New Roman" w:hAnsi="Times New Roman"/>
                <w:spacing w:val="-2"/>
                <w:kern w:val="0"/>
                <w:szCs w:val="21"/>
              </w:rPr>
            </w:pPr>
            <w:r>
              <w:rPr>
                <w:rFonts w:ascii="Times New Roman" w:hAnsi="Times New Roman"/>
                <w:spacing w:val="-2"/>
                <w:kern w:val="0"/>
                <w:szCs w:val="21"/>
              </w:rPr>
              <w:t>项目室外消防设施依托</w:t>
            </w:r>
            <w:bookmarkStart w:id="80" w:name="OLE_LINK13"/>
            <w:r>
              <w:rPr>
                <w:rFonts w:ascii="Times New Roman" w:hAnsi="Times New Roman"/>
                <w:spacing w:val="-2"/>
                <w:kern w:val="0"/>
                <w:szCs w:val="21"/>
              </w:rPr>
              <w:t>创大进口汽车仓储物流园</w:t>
            </w:r>
            <w:bookmarkEnd w:id="80"/>
            <w:r>
              <w:rPr>
                <w:rFonts w:ascii="Times New Roman" w:hAnsi="Times New Roman"/>
                <w:spacing w:val="-2"/>
                <w:kern w:val="0"/>
                <w:szCs w:val="21"/>
              </w:rPr>
              <w:t>内的消防设施。</w:t>
            </w:r>
          </w:p>
        </w:tc>
      </w:tr>
      <w:tr w14:paraId="1A1729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Merge w:val="restart"/>
            <w:vAlign w:val="center"/>
          </w:tcPr>
          <w:p w14:paraId="030E18F6">
            <w:pPr>
              <w:widowControl/>
              <w:jc w:val="left"/>
              <w:rPr>
                <w:rFonts w:ascii="Times New Roman" w:hAnsi="Times New Roman"/>
                <w:spacing w:val="-2"/>
                <w:kern w:val="0"/>
                <w:szCs w:val="21"/>
              </w:rPr>
            </w:pPr>
            <w:r>
              <w:rPr>
                <w:rFonts w:ascii="Times New Roman" w:hAnsi="Times New Roman"/>
                <w:spacing w:val="-2"/>
                <w:kern w:val="0"/>
                <w:szCs w:val="21"/>
              </w:rPr>
              <w:t>环保工程</w:t>
            </w:r>
          </w:p>
        </w:tc>
        <w:tc>
          <w:tcPr>
            <w:tcW w:w="1489" w:type="dxa"/>
            <w:vMerge w:val="restart"/>
            <w:vAlign w:val="center"/>
          </w:tcPr>
          <w:p w14:paraId="4EE04A44">
            <w:pPr>
              <w:jc w:val="center"/>
              <w:rPr>
                <w:rFonts w:ascii="Times New Roman" w:hAnsi="Times New Roman"/>
                <w:spacing w:val="-2"/>
                <w:kern w:val="0"/>
                <w:szCs w:val="21"/>
              </w:rPr>
            </w:pPr>
            <w:r>
              <w:rPr>
                <w:rFonts w:ascii="Times New Roman" w:hAnsi="Times New Roman"/>
                <w:spacing w:val="-2"/>
                <w:kern w:val="0"/>
                <w:szCs w:val="21"/>
              </w:rPr>
              <w:t>废气处理措施</w:t>
            </w:r>
          </w:p>
        </w:tc>
        <w:tc>
          <w:tcPr>
            <w:tcW w:w="7123" w:type="dxa"/>
            <w:vAlign w:val="center"/>
          </w:tcPr>
          <w:p w14:paraId="0D8DF5B0">
            <w:pPr>
              <w:ind w:firstLine="412" w:firstLineChars="200"/>
              <w:rPr>
                <w:rFonts w:ascii="Times New Roman" w:hAnsi="Times New Roman"/>
                <w:spacing w:val="-2"/>
                <w:kern w:val="0"/>
                <w:szCs w:val="21"/>
              </w:rPr>
            </w:pPr>
            <w:r>
              <w:rPr>
                <w:rFonts w:ascii="Times New Roman" w:hAnsi="Times New Roman"/>
                <w:spacing w:val="-2"/>
                <w:kern w:val="0"/>
                <w:szCs w:val="21"/>
              </w:rPr>
              <w:t>毛矿烘干炉烟气经布袋除尘器处理，粉尘去除率达99%，烟气经1</w:t>
            </w:r>
            <w:r>
              <w:rPr>
                <w:rFonts w:hint="eastAsia" w:ascii="Times New Roman" w:hAnsi="Times New Roman"/>
                <w:spacing w:val="-2"/>
                <w:kern w:val="0"/>
                <w:szCs w:val="21"/>
              </w:rPr>
              <w:t>9</w:t>
            </w:r>
            <w:r>
              <w:rPr>
                <w:rFonts w:ascii="Times New Roman" w:hAnsi="Times New Roman"/>
                <w:spacing w:val="-2"/>
                <w:kern w:val="0"/>
                <w:szCs w:val="21"/>
              </w:rPr>
              <w:t>m高排气筒DA001排放。</w:t>
            </w:r>
          </w:p>
        </w:tc>
      </w:tr>
      <w:tr w14:paraId="288E2E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Merge w:val="continue"/>
            <w:vAlign w:val="center"/>
          </w:tcPr>
          <w:p w14:paraId="059BD3F9">
            <w:pPr>
              <w:widowControl/>
              <w:jc w:val="left"/>
              <w:rPr>
                <w:rFonts w:ascii="Times New Roman" w:hAnsi="Times New Roman"/>
                <w:spacing w:val="-2"/>
                <w:kern w:val="0"/>
                <w:szCs w:val="21"/>
              </w:rPr>
            </w:pPr>
          </w:p>
        </w:tc>
        <w:tc>
          <w:tcPr>
            <w:tcW w:w="1489" w:type="dxa"/>
            <w:vMerge w:val="continue"/>
            <w:vAlign w:val="center"/>
          </w:tcPr>
          <w:p w14:paraId="461FA77C">
            <w:pPr>
              <w:jc w:val="center"/>
              <w:rPr>
                <w:rFonts w:ascii="Times New Roman" w:hAnsi="Times New Roman"/>
                <w:spacing w:val="-2"/>
                <w:kern w:val="0"/>
                <w:szCs w:val="21"/>
              </w:rPr>
            </w:pPr>
          </w:p>
        </w:tc>
        <w:tc>
          <w:tcPr>
            <w:tcW w:w="7123" w:type="dxa"/>
            <w:vAlign w:val="center"/>
          </w:tcPr>
          <w:p w14:paraId="47692A72">
            <w:pPr>
              <w:ind w:firstLine="412" w:firstLineChars="200"/>
              <w:rPr>
                <w:rFonts w:ascii="Times New Roman" w:hAnsi="Times New Roman"/>
                <w:spacing w:val="-2"/>
                <w:kern w:val="0"/>
                <w:szCs w:val="21"/>
                <w:u w:val="single"/>
              </w:rPr>
            </w:pPr>
            <w:r>
              <w:rPr>
                <w:rFonts w:hint="eastAsia" w:ascii="Times New Roman" w:hAnsi="Times New Roman"/>
                <w:spacing w:val="-2"/>
                <w:kern w:val="0"/>
                <w:szCs w:val="21"/>
                <w:u w:val="single"/>
              </w:rPr>
              <w:t>1#生产</w:t>
            </w:r>
            <w:r>
              <w:rPr>
                <w:rFonts w:ascii="Times New Roman" w:hAnsi="Times New Roman"/>
                <w:spacing w:val="-2"/>
                <w:kern w:val="0"/>
                <w:szCs w:val="21"/>
                <w:u w:val="single"/>
              </w:rPr>
              <w:t>车间</w:t>
            </w:r>
            <w:r>
              <w:rPr>
                <w:rFonts w:hint="eastAsia" w:ascii="Times New Roman" w:hAnsi="Times New Roman"/>
                <w:spacing w:val="-2"/>
                <w:kern w:val="0"/>
                <w:szCs w:val="21"/>
                <w:u w:val="single"/>
              </w:rPr>
              <w:t>、2#生产车间设备进出料</w:t>
            </w:r>
            <w:r>
              <w:rPr>
                <w:rFonts w:ascii="Times New Roman" w:hAnsi="Times New Roman"/>
                <w:spacing w:val="-2"/>
                <w:kern w:val="0"/>
                <w:szCs w:val="21"/>
                <w:u w:val="single"/>
              </w:rPr>
              <w:t>粉尘排放口</w:t>
            </w:r>
            <w:r>
              <w:rPr>
                <w:rFonts w:hint="eastAsia" w:ascii="Times New Roman" w:hAnsi="Times New Roman"/>
                <w:spacing w:val="-2"/>
                <w:kern w:val="0"/>
                <w:szCs w:val="21"/>
                <w:u w:val="single"/>
              </w:rPr>
              <w:t>均</w:t>
            </w:r>
            <w:r>
              <w:rPr>
                <w:rFonts w:ascii="Times New Roman" w:hAnsi="Times New Roman"/>
                <w:spacing w:val="-2"/>
                <w:kern w:val="0"/>
                <w:szCs w:val="21"/>
                <w:u w:val="single"/>
              </w:rPr>
              <w:t>安装集气罩进行收集，收集后的粉尘</w:t>
            </w:r>
            <w:r>
              <w:rPr>
                <w:rFonts w:hint="eastAsia" w:ascii="Times New Roman" w:hAnsi="Times New Roman"/>
                <w:spacing w:val="-2"/>
                <w:kern w:val="0"/>
                <w:szCs w:val="21"/>
                <w:u w:val="single"/>
              </w:rPr>
              <w:t>分别</w:t>
            </w:r>
            <w:r>
              <w:rPr>
                <w:rFonts w:ascii="Times New Roman" w:hAnsi="Times New Roman"/>
                <w:spacing w:val="-2"/>
                <w:kern w:val="0"/>
                <w:szCs w:val="21"/>
                <w:u w:val="single"/>
              </w:rPr>
              <w:t>经</w:t>
            </w:r>
            <w:r>
              <w:rPr>
                <w:rFonts w:hint="eastAsia" w:ascii="Times New Roman" w:hAnsi="Times New Roman"/>
                <w:spacing w:val="-2"/>
                <w:kern w:val="0"/>
                <w:szCs w:val="21"/>
                <w:u w:val="single"/>
              </w:rPr>
              <w:t>过2套袋式</w:t>
            </w:r>
            <w:r>
              <w:rPr>
                <w:rFonts w:ascii="Times New Roman" w:hAnsi="Times New Roman"/>
                <w:spacing w:val="-2"/>
                <w:kern w:val="0"/>
                <w:szCs w:val="21"/>
                <w:u w:val="single"/>
              </w:rPr>
              <w:t>除尘</w:t>
            </w:r>
            <w:r>
              <w:rPr>
                <w:rFonts w:hint="eastAsia" w:ascii="Times New Roman" w:hAnsi="Times New Roman"/>
                <w:spacing w:val="-2"/>
                <w:kern w:val="0"/>
                <w:szCs w:val="21"/>
                <w:u w:val="single"/>
              </w:rPr>
              <w:t>系统</w:t>
            </w:r>
            <w:r>
              <w:rPr>
                <w:rFonts w:ascii="Times New Roman" w:hAnsi="Times New Roman"/>
                <w:spacing w:val="-2"/>
                <w:kern w:val="0"/>
                <w:szCs w:val="21"/>
                <w:u w:val="single"/>
              </w:rPr>
              <w:t>处理，粉尘去除率达99%，除尘尾气经</w:t>
            </w:r>
            <w:r>
              <w:rPr>
                <w:rFonts w:hint="eastAsia" w:ascii="Times New Roman" w:hAnsi="Times New Roman"/>
                <w:spacing w:val="-2"/>
                <w:kern w:val="0"/>
                <w:szCs w:val="21"/>
                <w:u w:val="single"/>
              </w:rPr>
              <w:t>2根19</w:t>
            </w:r>
            <w:r>
              <w:rPr>
                <w:rFonts w:ascii="Times New Roman" w:hAnsi="Times New Roman"/>
                <w:spacing w:val="-2"/>
                <w:kern w:val="0"/>
                <w:szCs w:val="21"/>
                <w:u w:val="single"/>
              </w:rPr>
              <w:t>m高排气筒DA002</w:t>
            </w:r>
            <w:r>
              <w:rPr>
                <w:rFonts w:hint="eastAsia" w:ascii="Times New Roman" w:hAnsi="Times New Roman"/>
                <w:spacing w:val="-2"/>
                <w:kern w:val="0"/>
                <w:szCs w:val="21"/>
                <w:u w:val="single"/>
              </w:rPr>
              <w:t>、DA003</w:t>
            </w:r>
            <w:r>
              <w:rPr>
                <w:rFonts w:ascii="Times New Roman" w:hAnsi="Times New Roman"/>
                <w:spacing w:val="-2"/>
                <w:kern w:val="0"/>
                <w:szCs w:val="21"/>
                <w:u w:val="single"/>
              </w:rPr>
              <w:t>排放。</w:t>
            </w:r>
          </w:p>
        </w:tc>
      </w:tr>
      <w:tr w14:paraId="6FA5B2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Merge w:val="continue"/>
            <w:vAlign w:val="center"/>
          </w:tcPr>
          <w:p w14:paraId="7DB817DC">
            <w:pPr>
              <w:widowControl/>
              <w:jc w:val="left"/>
              <w:rPr>
                <w:rFonts w:ascii="Times New Roman" w:hAnsi="Times New Roman"/>
                <w:spacing w:val="-2"/>
                <w:kern w:val="0"/>
                <w:szCs w:val="21"/>
              </w:rPr>
            </w:pPr>
          </w:p>
        </w:tc>
        <w:tc>
          <w:tcPr>
            <w:tcW w:w="1489" w:type="dxa"/>
            <w:vMerge w:val="continue"/>
            <w:vAlign w:val="center"/>
          </w:tcPr>
          <w:p w14:paraId="1A784172">
            <w:pPr>
              <w:jc w:val="center"/>
              <w:rPr>
                <w:rFonts w:ascii="Times New Roman" w:hAnsi="Times New Roman"/>
                <w:spacing w:val="-2"/>
                <w:kern w:val="0"/>
                <w:szCs w:val="21"/>
              </w:rPr>
            </w:pPr>
          </w:p>
        </w:tc>
        <w:tc>
          <w:tcPr>
            <w:tcW w:w="7123" w:type="dxa"/>
            <w:vAlign w:val="center"/>
          </w:tcPr>
          <w:p w14:paraId="255B2C89">
            <w:pPr>
              <w:ind w:firstLine="412" w:firstLineChars="200"/>
              <w:rPr>
                <w:rFonts w:ascii="Times New Roman" w:hAnsi="Times New Roman"/>
                <w:spacing w:val="-2"/>
                <w:kern w:val="0"/>
                <w:szCs w:val="21"/>
                <w:u w:val="single"/>
              </w:rPr>
            </w:pPr>
            <w:r>
              <w:rPr>
                <w:rFonts w:hint="eastAsia" w:ascii="Times New Roman" w:hAnsi="Times New Roman"/>
                <w:spacing w:val="-2"/>
                <w:kern w:val="0"/>
                <w:szCs w:val="21"/>
                <w:u w:val="single"/>
              </w:rPr>
              <w:t>毛矿进厂卸车、铲车转运至烘干、铲车转运至磁选、铲车产品移堆等铲车装卸区域安装水雾喷淋系统降尘；</w:t>
            </w:r>
          </w:p>
          <w:p w14:paraId="06D3F211">
            <w:pPr>
              <w:ind w:firstLine="412" w:firstLineChars="200"/>
              <w:rPr>
                <w:rFonts w:ascii="Times New Roman" w:hAnsi="Times New Roman"/>
                <w:spacing w:val="-2"/>
                <w:kern w:val="0"/>
                <w:szCs w:val="21"/>
                <w:u w:val="single"/>
              </w:rPr>
            </w:pPr>
            <w:r>
              <w:rPr>
                <w:rFonts w:hint="eastAsia" w:ascii="Times New Roman" w:hAnsi="Times New Roman"/>
                <w:spacing w:val="-2"/>
                <w:kern w:val="0"/>
                <w:szCs w:val="21"/>
                <w:u w:val="single"/>
              </w:rPr>
              <w:t>在磁选机组两侧安装水雾喷淋系统除尘；</w:t>
            </w:r>
          </w:p>
          <w:p w14:paraId="127362E5">
            <w:pPr>
              <w:ind w:firstLine="412" w:firstLineChars="200"/>
              <w:rPr>
                <w:rFonts w:ascii="Times New Roman" w:hAnsi="Times New Roman"/>
                <w:spacing w:val="-2"/>
                <w:kern w:val="0"/>
                <w:szCs w:val="21"/>
              </w:rPr>
            </w:pPr>
            <w:r>
              <w:rPr>
                <w:rFonts w:hint="eastAsia" w:ascii="Times New Roman" w:hAnsi="Times New Roman"/>
                <w:spacing w:val="-2"/>
                <w:kern w:val="0"/>
                <w:szCs w:val="21"/>
                <w:u w:val="single"/>
              </w:rPr>
              <w:t>在车间出入口处安装水雾喷淋系统除尘。</w:t>
            </w:r>
          </w:p>
        </w:tc>
      </w:tr>
      <w:tr w14:paraId="644042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Merge w:val="continue"/>
            <w:vAlign w:val="center"/>
          </w:tcPr>
          <w:p w14:paraId="719CE0F0">
            <w:pPr>
              <w:widowControl/>
              <w:jc w:val="left"/>
              <w:rPr>
                <w:rFonts w:ascii="Times New Roman" w:hAnsi="Times New Roman"/>
                <w:spacing w:val="-2"/>
                <w:kern w:val="0"/>
                <w:szCs w:val="21"/>
              </w:rPr>
            </w:pPr>
          </w:p>
        </w:tc>
        <w:tc>
          <w:tcPr>
            <w:tcW w:w="1489" w:type="dxa"/>
            <w:vAlign w:val="center"/>
          </w:tcPr>
          <w:p w14:paraId="2A6E51D9">
            <w:pPr>
              <w:jc w:val="center"/>
              <w:rPr>
                <w:rFonts w:ascii="Times New Roman" w:hAnsi="Times New Roman"/>
                <w:spacing w:val="-2"/>
                <w:kern w:val="0"/>
                <w:szCs w:val="21"/>
              </w:rPr>
            </w:pPr>
            <w:r>
              <w:rPr>
                <w:rFonts w:ascii="Times New Roman" w:hAnsi="Times New Roman"/>
                <w:spacing w:val="-2"/>
                <w:kern w:val="0"/>
                <w:szCs w:val="21"/>
              </w:rPr>
              <w:t>废水处理措施</w:t>
            </w:r>
          </w:p>
        </w:tc>
        <w:tc>
          <w:tcPr>
            <w:tcW w:w="7123" w:type="dxa"/>
            <w:vAlign w:val="center"/>
          </w:tcPr>
          <w:p w14:paraId="6546B2A5">
            <w:pPr>
              <w:ind w:firstLine="412" w:firstLineChars="200"/>
              <w:rPr>
                <w:rFonts w:ascii="Times New Roman" w:hAnsi="Times New Roman"/>
                <w:spacing w:val="-2"/>
                <w:kern w:val="0"/>
                <w:szCs w:val="21"/>
              </w:rPr>
            </w:pPr>
            <w:r>
              <w:rPr>
                <w:rFonts w:ascii="Times New Roman" w:hAnsi="Times New Roman"/>
                <w:spacing w:val="-2"/>
                <w:kern w:val="0"/>
                <w:szCs w:val="21"/>
              </w:rPr>
              <w:t>生活污水经化粪池处理后经园区纳污管网排入大榄坪污水处理厂处理。</w:t>
            </w:r>
          </w:p>
        </w:tc>
      </w:tr>
      <w:tr w14:paraId="6081F8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Merge w:val="continue"/>
            <w:vAlign w:val="center"/>
          </w:tcPr>
          <w:p w14:paraId="103E4B71">
            <w:pPr>
              <w:widowControl/>
              <w:jc w:val="left"/>
              <w:rPr>
                <w:rFonts w:ascii="Times New Roman" w:hAnsi="Times New Roman"/>
                <w:spacing w:val="-2"/>
                <w:kern w:val="0"/>
                <w:szCs w:val="21"/>
              </w:rPr>
            </w:pPr>
          </w:p>
        </w:tc>
        <w:tc>
          <w:tcPr>
            <w:tcW w:w="1489" w:type="dxa"/>
            <w:vAlign w:val="center"/>
          </w:tcPr>
          <w:p w14:paraId="40E0F23C">
            <w:pPr>
              <w:jc w:val="center"/>
              <w:rPr>
                <w:rFonts w:ascii="Times New Roman" w:hAnsi="Times New Roman"/>
                <w:spacing w:val="-2"/>
                <w:kern w:val="0"/>
                <w:szCs w:val="21"/>
              </w:rPr>
            </w:pPr>
            <w:r>
              <w:rPr>
                <w:rFonts w:ascii="Times New Roman" w:hAnsi="Times New Roman"/>
                <w:spacing w:val="-2"/>
                <w:kern w:val="0"/>
                <w:szCs w:val="21"/>
              </w:rPr>
              <w:t>固体废物</w:t>
            </w:r>
            <w:r>
              <w:rPr>
                <w:rFonts w:hint="eastAsia" w:ascii="Times New Roman" w:hAnsi="Times New Roman"/>
                <w:spacing w:val="-2"/>
                <w:kern w:val="0"/>
                <w:szCs w:val="21"/>
              </w:rPr>
              <w:t>处置</w:t>
            </w:r>
          </w:p>
        </w:tc>
        <w:tc>
          <w:tcPr>
            <w:tcW w:w="7123" w:type="dxa"/>
            <w:vAlign w:val="center"/>
          </w:tcPr>
          <w:p w14:paraId="3D834359">
            <w:pPr>
              <w:ind w:firstLine="412" w:firstLineChars="200"/>
              <w:rPr>
                <w:rFonts w:ascii="Times New Roman" w:hAnsi="Times New Roman"/>
                <w:spacing w:val="-2"/>
                <w:kern w:val="0"/>
                <w:szCs w:val="21"/>
                <w:u w:val="single"/>
              </w:rPr>
            </w:pPr>
            <w:r>
              <w:rPr>
                <w:rFonts w:ascii="Times New Roman" w:hAnsi="Times New Roman"/>
                <w:spacing w:val="-2"/>
                <w:kern w:val="0"/>
                <w:szCs w:val="21"/>
                <w:u w:val="single"/>
              </w:rPr>
              <w:t>烘干炉炉渣</w:t>
            </w:r>
            <w:r>
              <w:rPr>
                <w:rFonts w:hint="eastAsia" w:ascii="Times New Roman" w:hAnsi="Times New Roman"/>
                <w:spacing w:val="-2"/>
                <w:kern w:val="0"/>
                <w:szCs w:val="21"/>
                <w:u w:val="single"/>
              </w:rPr>
              <w:t>外售给有机肥原料生产企业</w:t>
            </w:r>
            <w:r>
              <w:rPr>
                <w:rFonts w:ascii="Times New Roman" w:hAnsi="Times New Roman"/>
                <w:spacing w:val="-2"/>
                <w:kern w:val="0"/>
                <w:szCs w:val="21"/>
                <w:u w:val="single"/>
              </w:rPr>
              <w:t>；</w:t>
            </w:r>
          </w:p>
          <w:p w14:paraId="08BECED7">
            <w:pPr>
              <w:ind w:firstLine="412" w:firstLineChars="200"/>
              <w:rPr>
                <w:rFonts w:ascii="Times New Roman" w:hAnsi="Times New Roman"/>
                <w:spacing w:val="-2"/>
                <w:kern w:val="0"/>
                <w:szCs w:val="21"/>
                <w:u w:val="single"/>
              </w:rPr>
            </w:pPr>
            <w:r>
              <w:rPr>
                <w:rFonts w:ascii="Times New Roman" w:hAnsi="Times New Roman"/>
                <w:spacing w:val="-2"/>
                <w:kern w:val="0"/>
                <w:szCs w:val="21"/>
                <w:u w:val="single"/>
              </w:rPr>
              <w:t>烘干炉除尘器收集的粉尘</w:t>
            </w:r>
            <w:r>
              <w:rPr>
                <w:rFonts w:hint="eastAsia" w:ascii="Times New Roman" w:hAnsi="Times New Roman"/>
                <w:spacing w:val="-2"/>
                <w:kern w:val="0"/>
                <w:szCs w:val="21"/>
                <w:u w:val="single"/>
              </w:rPr>
              <w:t>与</w:t>
            </w:r>
            <w:r>
              <w:rPr>
                <w:rFonts w:ascii="Times New Roman" w:hAnsi="Times New Roman"/>
                <w:spacing w:val="-2"/>
                <w:kern w:val="0"/>
                <w:szCs w:val="21"/>
                <w:u w:val="single"/>
              </w:rPr>
              <w:t>生产车间除尘器收集的含矿粉尘掺入</w:t>
            </w:r>
            <w:r>
              <w:rPr>
                <w:rFonts w:hint="eastAsia" w:ascii="Times New Roman" w:hAnsi="Times New Roman"/>
                <w:spacing w:val="-2"/>
                <w:kern w:val="0"/>
                <w:szCs w:val="21"/>
                <w:u w:val="single"/>
              </w:rPr>
              <w:t>锆中矿</w:t>
            </w:r>
            <w:r>
              <w:rPr>
                <w:rFonts w:ascii="Times New Roman" w:hAnsi="Times New Roman"/>
                <w:spacing w:val="-2"/>
                <w:kern w:val="0"/>
                <w:szCs w:val="21"/>
                <w:u w:val="single"/>
              </w:rPr>
              <w:t>堆放区临时存放，外售给深度分选加工企业综合利用；</w:t>
            </w:r>
          </w:p>
          <w:p w14:paraId="7A551711">
            <w:pPr>
              <w:ind w:firstLine="412" w:firstLineChars="200"/>
              <w:rPr>
                <w:rFonts w:ascii="Times New Roman" w:hAnsi="Times New Roman"/>
                <w:spacing w:val="-2"/>
                <w:kern w:val="0"/>
                <w:szCs w:val="21"/>
                <w:u w:val="single"/>
              </w:rPr>
            </w:pPr>
            <w:r>
              <w:rPr>
                <w:rFonts w:ascii="Times New Roman" w:hAnsi="Times New Roman"/>
                <w:spacing w:val="-2"/>
                <w:kern w:val="0"/>
                <w:szCs w:val="21"/>
                <w:u w:val="single"/>
              </w:rPr>
              <w:t>生产车间地面沉降的含矿粉尘</w:t>
            </w:r>
            <w:r>
              <w:rPr>
                <w:rFonts w:hint="eastAsia" w:ascii="Times New Roman" w:hAnsi="Times New Roman"/>
                <w:spacing w:val="-2"/>
                <w:kern w:val="0"/>
                <w:szCs w:val="21"/>
                <w:u w:val="single"/>
              </w:rPr>
              <w:t>收集后放置到原料堆放区，作为原料重新投入到生产线进行分选</w:t>
            </w:r>
            <w:r>
              <w:rPr>
                <w:rFonts w:ascii="Times New Roman" w:hAnsi="Times New Roman"/>
                <w:spacing w:val="-2"/>
                <w:kern w:val="0"/>
                <w:szCs w:val="21"/>
                <w:u w:val="single"/>
              </w:rPr>
              <w:t>；</w:t>
            </w:r>
          </w:p>
          <w:p w14:paraId="08DBBF99">
            <w:pPr>
              <w:ind w:firstLine="412" w:firstLineChars="200"/>
              <w:rPr>
                <w:rFonts w:ascii="Times New Roman" w:hAnsi="Times New Roman"/>
                <w:spacing w:val="-2"/>
                <w:kern w:val="0"/>
                <w:szCs w:val="21"/>
                <w:u w:val="single"/>
              </w:rPr>
            </w:pPr>
            <w:r>
              <w:rPr>
                <w:rFonts w:ascii="Times New Roman" w:hAnsi="Times New Roman"/>
                <w:spacing w:val="-2"/>
                <w:kern w:val="0"/>
                <w:szCs w:val="21"/>
                <w:u w:val="single"/>
              </w:rPr>
              <w:t>生活垃圾交由环卫部门处理；</w:t>
            </w:r>
          </w:p>
          <w:p w14:paraId="10B9CCE1">
            <w:pPr>
              <w:ind w:firstLine="412" w:firstLineChars="200"/>
              <w:rPr>
                <w:rFonts w:ascii="Times New Roman" w:hAnsi="Times New Roman"/>
                <w:spacing w:val="-2"/>
                <w:kern w:val="0"/>
                <w:szCs w:val="21"/>
                <w:u w:val="single"/>
              </w:rPr>
            </w:pPr>
            <w:r>
              <w:rPr>
                <w:rFonts w:hint="eastAsia" w:ascii="Times New Roman" w:hAnsi="Times New Roman"/>
                <w:spacing w:val="-2"/>
                <w:kern w:val="0"/>
                <w:szCs w:val="21"/>
                <w:u w:val="single"/>
              </w:rPr>
              <w:t>除尘器废除尘袋暂存于专用贮存场地，定期外售综合利用或处置。</w:t>
            </w:r>
          </w:p>
          <w:p w14:paraId="42F5887D">
            <w:pPr>
              <w:ind w:firstLine="412" w:firstLineChars="200"/>
              <w:rPr>
                <w:rFonts w:ascii="Times New Roman" w:hAnsi="Times New Roman"/>
                <w:spacing w:val="-2"/>
                <w:kern w:val="0"/>
                <w:szCs w:val="21"/>
              </w:rPr>
            </w:pPr>
            <w:r>
              <w:rPr>
                <w:rFonts w:ascii="Times New Roman" w:hAnsi="Times New Roman"/>
                <w:spacing w:val="-2"/>
                <w:kern w:val="0"/>
                <w:szCs w:val="21"/>
              </w:rPr>
              <w:t>废机油委托有资质单位妥善处置。</w:t>
            </w:r>
          </w:p>
        </w:tc>
      </w:tr>
    </w:tbl>
    <w:p w14:paraId="75255A32">
      <w:pPr>
        <w:spacing w:line="360" w:lineRule="auto"/>
        <w:ind w:firstLine="420" w:firstLineChars="200"/>
        <w:rPr>
          <w:rFonts w:ascii="Times New Roman" w:hAnsi="Times New Roman"/>
        </w:rPr>
      </w:pPr>
    </w:p>
    <w:p w14:paraId="35022B1F">
      <w:pPr>
        <w:pStyle w:val="6"/>
      </w:pPr>
      <w:r>
        <w:t>项目总平面图布置</w:t>
      </w:r>
    </w:p>
    <w:p w14:paraId="2F3D20F3">
      <w:pPr>
        <w:spacing w:line="360" w:lineRule="auto"/>
        <w:ind w:firstLine="480" w:firstLineChars="200"/>
        <w:rPr>
          <w:rFonts w:ascii="Times New Roman" w:hAnsi="Times New Roman"/>
          <w:sz w:val="24"/>
          <w:szCs w:val="24"/>
          <w:u w:val="single"/>
        </w:rPr>
      </w:pPr>
      <w:bookmarkStart w:id="81" w:name="_Hlk193709489"/>
      <w:r>
        <w:rPr>
          <w:rFonts w:ascii="Times New Roman" w:hAnsi="Times New Roman"/>
          <w:sz w:val="24"/>
          <w:szCs w:val="24"/>
        </w:rPr>
        <w:t>本项目租用广西钦州保税区创大冷链物流公司</w:t>
      </w:r>
      <w:r>
        <w:rPr>
          <w:rFonts w:ascii="Times New Roman" w:hAnsi="Times New Roman"/>
          <w:spacing w:val="-2"/>
          <w:kern w:val="0"/>
          <w:sz w:val="24"/>
          <w:szCs w:val="24"/>
        </w:rPr>
        <w:t>进口汽车仓储物流园内</w:t>
      </w:r>
      <w:r>
        <w:rPr>
          <w:rFonts w:ascii="Times New Roman" w:hAnsi="Times New Roman"/>
          <w:sz w:val="24"/>
          <w:szCs w:val="24"/>
        </w:rPr>
        <w:t>的3号仓库进行生产，本项目生产线及原料、产品等物料的存放均设置在室内，无新增室外建筑物，项目的总平面布局均在3号仓库内。</w:t>
      </w:r>
      <w:bookmarkStart w:id="82" w:name="_Hlk193709498"/>
      <w:r>
        <w:rPr>
          <w:rFonts w:hint="eastAsia" w:ascii="Times New Roman" w:hAnsi="Times New Roman"/>
          <w:sz w:val="24"/>
          <w:szCs w:val="24"/>
          <w:u w:val="single"/>
        </w:rPr>
        <w:t>本项目的厂界保守以项目租用的3号仓库用地边界作为项目的厂界进行控制。</w:t>
      </w:r>
      <w:bookmarkEnd w:id="82"/>
    </w:p>
    <w:p w14:paraId="5725D834">
      <w:pPr>
        <w:spacing w:line="360" w:lineRule="auto"/>
        <w:ind w:firstLine="480" w:firstLineChars="200"/>
        <w:rPr>
          <w:rFonts w:ascii="Times New Roman" w:hAnsi="Times New Roman"/>
          <w:sz w:val="24"/>
          <w:szCs w:val="24"/>
          <w:u w:val="single"/>
        </w:rPr>
      </w:pPr>
      <w:r>
        <w:rPr>
          <w:rFonts w:ascii="Times New Roman" w:hAnsi="Times New Roman"/>
          <w:sz w:val="24"/>
          <w:szCs w:val="24"/>
        </w:rPr>
        <w:t>本项目生产用地较小，厂房内仅布置与生产相关的设施设备，不设置生活区、办公区等，厂房的供电、给排水、消防等设施均依托园区现有的公辅设施。项目厂房</w:t>
      </w:r>
      <w:r>
        <w:rPr>
          <w:rFonts w:hint="eastAsia" w:ascii="Times New Roman" w:hAnsi="Times New Roman"/>
          <w:sz w:val="24"/>
          <w:szCs w:val="24"/>
        </w:rPr>
        <w:t>为</w:t>
      </w:r>
      <w:r>
        <w:rPr>
          <w:rFonts w:hint="eastAsia" w:ascii="Times New Roman" w:hAnsi="Times New Roman"/>
          <w:sz w:val="24"/>
          <w:szCs w:val="24"/>
          <w:lang w:eastAsia="zh-CN"/>
        </w:rPr>
        <w:t>狭长形</w:t>
      </w:r>
      <w:r>
        <w:rPr>
          <w:rFonts w:hint="eastAsia" w:ascii="Times New Roman" w:hAnsi="Times New Roman"/>
          <w:sz w:val="24"/>
          <w:szCs w:val="24"/>
        </w:rPr>
        <w:t>布局，生产线</w:t>
      </w:r>
      <w:r>
        <w:rPr>
          <w:rFonts w:ascii="Times New Roman" w:hAnsi="Times New Roman"/>
          <w:sz w:val="24"/>
          <w:szCs w:val="24"/>
        </w:rPr>
        <w:t>布局</w:t>
      </w:r>
      <w:r>
        <w:rPr>
          <w:rFonts w:hint="eastAsia" w:ascii="Times New Roman" w:hAnsi="Times New Roman"/>
          <w:sz w:val="24"/>
          <w:szCs w:val="24"/>
        </w:rPr>
        <w:t>优先</w:t>
      </w:r>
      <w:r>
        <w:rPr>
          <w:rFonts w:ascii="Times New Roman" w:hAnsi="Times New Roman"/>
          <w:sz w:val="24"/>
          <w:szCs w:val="24"/>
        </w:rPr>
        <w:t>按照工艺流程顺捷的原则</w:t>
      </w:r>
      <w:r>
        <w:rPr>
          <w:rFonts w:hint="eastAsia" w:ascii="Times New Roman" w:hAnsi="Times New Roman"/>
          <w:sz w:val="24"/>
          <w:szCs w:val="24"/>
        </w:rPr>
        <w:t>考虑</w:t>
      </w:r>
      <w:r>
        <w:rPr>
          <w:rFonts w:ascii="Times New Roman" w:hAnsi="Times New Roman"/>
          <w:sz w:val="24"/>
          <w:szCs w:val="24"/>
        </w:rPr>
        <w:t>，充分利用厂房内的地形条件，减少物料的反向运输；在满足安全防护距离要求的情况下，达到流程顺、距离短、减少分散布置、达到节能降耗的目的。</w:t>
      </w:r>
      <w:bookmarkStart w:id="83" w:name="_Hlk193709512"/>
      <w:r>
        <w:rPr>
          <w:rFonts w:ascii="Times New Roman" w:hAnsi="Times New Roman"/>
          <w:sz w:val="24"/>
          <w:szCs w:val="24"/>
          <w:u w:val="single"/>
        </w:rPr>
        <w:t>根据项目厂房平面布局，项目厂房为矩形，厂房内分为2个车间，项目原料</w:t>
      </w:r>
      <w:r>
        <w:rPr>
          <w:rFonts w:hint="eastAsia" w:ascii="Times New Roman" w:hAnsi="Times New Roman"/>
          <w:sz w:val="24"/>
          <w:szCs w:val="24"/>
          <w:u w:val="single"/>
        </w:rPr>
        <w:t>采用集装箱运输，运输车由创大物流园南门进入，在项目</w:t>
      </w:r>
      <w:r>
        <w:rPr>
          <w:rFonts w:ascii="Times New Roman" w:hAnsi="Times New Roman"/>
          <w:sz w:val="24"/>
          <w:szCs w:val="24"/>
          <w:u w:val="single"/>
        </w:rPr>
        <w:t>厂房西大门</w:t>
      </w:r>
      <w:r>
        <w:rPr>
          <w:rFonts w:hint="eastAsia" w:ascii="Times New Roman" w:hAnsi="Times New Roman"/>
          <w:sz w:val="24"/>
          <w:szCs w:val="24"/>
          <w:u w:val="single"/>
        </w:rPr>
        <w:t>整箱拖入</w:t>
      </w:r>
      <w:r>
        <w:rPr>
          <w:rFonts w:ascii="Times New Roman" w:hAnsi="Times New Roman"/>
          <w:sz w:val="24"/>
          <w:szCs w:val="24"/>
          <w:u w:val="single"/>
        </w:rPr>
        <w:t>1#原料处理车间</w:t>
      </w:r>
      <w:r>
        <w:rPr>
          <w:rFonts w:hint="eastAsia" w:ascii="Times New Roman" w:hAnsi="Times New Roman"/>
          <w:sz w:val="24"/>
          <w:szCs w:val="24"/>
          <w:u w:val="single"/>
        </w:rPr>
        <w:t>内拆箱卸货</w:t>
      </w:r>
      <w:r>
        <w:rPr>
          <w:rFonts w:ascii="Times New Roman" w:hAnsi="Times New Roman"/>
          <w:sz w:val="24"/>
          <w:szCs w:val="24"/>
          <w:u w:val="single"/>
        </w:rPr>
        <w:t>，</w:t>
      </w:r>
      <w:r>
        <w:rPr>
          <w:rFonts w:hint="eastAsia" w:ascii="Times New Roman" w:hAnsi="Times New Roman"/>
          <w:sz w:val="24"/>
          <w:szCs w:val="24"/>
          <w:u w:val="single"/>
        </w:rPr>
        <w:t>项目生产车间内按照生产流程物料</w:t>
      </w:r>
      <w:r>
        <w:rPr>
          <w:rFonts w:ascii="Times New Roman" w:hAnsi="Times New Roman"/>
          <w:sz w:val="24"/>
          <w:szCs w:val="24"/>
          <w:u w:val="single"/>
        </w:rPr>
        <w:t>依次</w:t>
      </w:r>
      <w:r>
        <w:rPr>
          <w:rFonts w:hint="eastAsia" w:ascii="Times New Roman" w:hAnsi="Times New Roman"/>
          <w:sz w:val="24"/>
          <w:szCs w:val="24"/>
          <w:u w:val="single"/>
        </w:rPr>
        <w:t>从</w:t>
      </w:r>
      <w:r>
        <w:rPr>
          <w:rFonts w:ascii="Times New Roman" w:hAnsi="Times New Roman"/>
          <w:sz w:val="24"/>
          <w:szCs w:val="24"/>
          <w:u w:val="single"/>
        </w:rPr>
        <w:t>1#原料处理车间</w:t>
      </w:r>
      <w:r>
        <w:rPr>
          <w:rFonts w:hint="eastAsia" w:ascii="Times New Roman" w:hAnsi="Times New Roman"/>
          <w:sz w:val="24"/>
          <w:szCs w:val="24"/>
          <w:u w:val="single"/>
        </w:rPr>
        <w:t>，到</w:t>
      </w:r>
      <w:r>
        <w:rPr>
          <w:rFonts w:ascii="Times New Roman" w:hAnsi="Times New Roman"/>
          <w:sz w:val="24"/>
          <w:szCs w:val="24"/>
          <w:u w:val="single"/>
        </w:rPr>
        <w:t>2#分选车间，毛矿经过磁选后</w:t>
      </w:r>
      <w:r>
        <w:rPr>
          <w:rFonts w:hint="eastAsia" w:ascii="Times New Roman" w:hAnsi="Times New Roman"/>
          <w:sz w:val="24"/>
          <w:szCs w:val="24"/>
          <w:u w:val="single"/>
        </w:rPr>
        <w:t>产生的产品及副产品</w:t>
      </w:r>
      <w:r>
        <w:rPr>
          <w:rFonts w:ascii="Times New Roman" w:hAnsi="Times New Roman"/>
          <w:sz w:val="24"/>
          <w:szCs w:val="24"/>
          <w:u w:val="single"/>
        </w:rPr>
        <w:t>暂存在2#分选车间的</w:t>
      </w:r>
      <w:r>
        <w:rPr>
          <w:rFonts w:hint="eastAsia" w:ascii="Times New Roman" w:hAnsi="Times New Roman"/>
          <w:sz w:val="24"/>
          <w:szCs w:val="24"/>
          <w:u w:val="single"/>
        </w:rPr>
        <w:t>精矿堆场及中矿堆场</w:t>
      </w:r>
      <w:r>
        <w:rPr>
          <w:rFonts w:ascii="Times New Roman" w:hAnsi="Times New Roman"/>
          <w:sz w:val="24"/>
          <w:szCs w:val="24"/>
          <w:u w:val="single"/>
        </w:rPr>
        <w:t>待售，</w:t>
      </w:r>
      <w:r>
        <w:rPr>
          <w:rFonts w:hint="eastAsia" w:ascii="Times New Roman" w:hAnsi="Times New Roman"/>
          <w:sz w:val="24"/>
          <w:szCs w:val="24"/>
          <w:u w:val="single"/>
        </w:rPr>
        <w:t>产品由小型货车在</w:t>
      </w:r>
      <w:r>
        <w:rPr>
          <w:rFonts w:ascii="Times New Roman" w:hAnsi="Times New Roman"/>
          <w:sz w:val="24"/>
          <w:szCs w:val="24"/>
          <w:u w:val="single"/>
        </w:rPr>
        <w:t>2#分选车间</w:t>
      </w:r>
      <w:r>
        <w:rPr>
          <w:rFonts w:hint="eastAsia" w:ascii="Times New Roman" w:hAnsi="Times New Roman"/>
          <w:sz w:val="24"/>
          <w:szCs w:val="24"/>
          <w:u w:val="single"/>
        </w:rPr>
        <w:t>内进行装车后，覆盖篷布从</w:t>
      </w:r>
      <w:r>
        <w:rPr>
          <w:rFonts w:ascii="Times New Roman" w:hAnsi="Times New Roman"/>
          <w:sz w:val="24"/>
          <w:szCs w:val="24"/>
          <w:u w:val="single"/>
        </w:rPr>
        <w:t>2#分选车间</w:t>
      </w:r>
      <w:r>
        <w:rPr>
          <w:rFonts w:hint="eastAsia" w:ascii="Times New Roman" w:hAnsi="Times New Roman"/>
          <w:sz w:val="24"/>
          <w:szCs w:val="24"/>
          <w:u w:val="single"/>
        </w:rPr>
        <w:t>东大门运出，运输车由创大物流园东门发往产品购买企业。</w:t>
      </w:r>
      <w:r>
        <w:rPr>
          <w:rFonts w:ascii="Times New Roman" w:hAnsi="Times New Roman"/>
          <w:sz w:val="24"/>
          <w:szCs w:val="24"/>
          <w:u w:val="single"/>
        </w:rPr>
        <w:t>项目总平面</w:t>
      </w:r>
      <w:r>
        <w:rPr>
          <w:rFonts w:hint="eastAsia" w:ascii="Times New Roman" w:hAnsi="Times New Roman"/>
          <w:sz w:val="24"/>
          <w:szCs w:val="24"/>
          <w:u w:val="single"/>
        </w:rPr>
        <w:t>根据项目生产、物流路径进行布局，</w:t>
      </w:r>
      <w:r>
        <w:rPr>
          <w:rFonts w:ascii="Times New Roman" w:hAnsi="Times New Roman"/>
          <w:sz w:val="24"/>
          <w:szCs w:val="24"/>
          <w:u w:val="single"/>
        </w:rPr>
        <w:t>布局紧凑合理。</w:t>
      </w:r>
      <w:bookmarkEnd w:id="81"/>
      <w:bookmarkEnd w:id="83"/>
    </w:p>
    <w:p w14:paraId="61E41922">
      <w:pPr>
        <w:pStyle w:val="6"/>
      </w:pPr>
      <w:r>
        <w:t>项目产品方案</w:t>
      </w:r>
    </w:p>
    <w:p w14:paraId="06A509D1">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本项目进口毛矿作原料，采用磁选工艺进行分选加工生产钛铁精矿。整个筛选过程只</w:t>
      </w:r>
      <w:r>
        <w:rPr>
          <w:rFonts w:hint="eastAsia" w:ascii="Times New Roman" w:hAnsi="Times New Roman"/>
          <w:spacing w:val="-2"/>
          <w:kern w:val="0"/>
          <w:sz w:val="24"/>
          <w:szCs w:val="24"/>
        </w:rPr>
        <w:t>需用</w:t>
      </w:r>
      <w:r>
        <w:rPr>
          <w:rFonts w:ascii="Times New Roman" w:hAnsi="Times New Roman"/>
          <w:spacing w:val="-2"/>
          <w:kern w:val="0"/>
          <w:sz w:val="24"/>
          <w:szCs w:val="24"/>
        </w:rPr>
        <w:t>电，利用钛</w:t>
      </w:r>
      <w:r>
        <w:rPr>
          <w:rFonts w:hint="eastAsia" w:ascii="Times New Roman" w:hAnsi="Times New Roman"/>
          <w:spacing w:val="-2"/>
          <w:kern w:val="0"/>
          <w:sz w:val="24"/>
          <w:szCs w:val="24"/>
        </w:rPr>
        <w:t>铁</w:t>
      </w:r>
      <w:r>
        <w:rPr>
          <w:rFonts w:ascii="Times New Roman" w:hAnsi="Times New Roman"/>
          <w:spacing w:val="-2"/>
          <w:kern w:val="0"/>
          <w:sz w:val="24"/>
          <w:szCs w:val="24"/>
        </w:rPr>
        <w:t>精矿</w:t>
      </w:r>
      <w:r>
        <w:rPr>
          <w:rFonts w:hint="eastAsia" w:ascii="Times New Roman" w:hAnsi="Times New Roman"/>
          <w:spacing w:val="-2"/>
          <w:kern w:val="0"/>
          <w:sz w:val="24"/>
          <w:szCs w:val="24"/>
        </w:rPr>
        <w:t>与其他元素物质</w:t>
      </w:r>
      <w:r>
        <w:rPr>
          <w:rFonts w:ascii="Times New Roman" w:hAnsi="Times New Roman"/>
          <w:spacing w:val="-2"/>
          <w:kern w:val="0"/>
          <w:sz w:val="24"/>
          <w:szCs w:val="24"/>
        </w:rPr>
        <w:t>的物理性质不同，进行物理手段分选，获得更高品位的钛铁精矿。</w:t>
      </w:r>
    </w:p>
    <w:p w14:paraId="04764FF3">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u w:val="single"/>
        </w:rPr>
        <w:t>项目年加工</w:t>
      </w:r>
      <w:r>
        <w:rPr>
          <w:rFonts w:hint="eastAsia" w:ascii="Times New Roman" w:hAnsi="Times New Roman"/>
          <w:spacing w:val="-2"/>
          <w:kern w:val="0"/>
          <w:sz w:val="24"/>
          <w:szCs w:val="24"/>
          <w:u w:val="single"/>
        </w:rPr>
        <w:t>分选锆钛</w:t>
      </w:r>
      <w:r>
        <w:rPr>
          <w:rFonts w:ascii="Times New Roman" w:hAnsi="Times New Roman"/>
          <w:spacing w:val="-2"/>
          <w:kern w:val="0"/>
          <w:sz w:val="24"/>
          <w:szCs w:val="24"/>
          <w:u w:val="single"/>
        </w:rPr>
        <w:t>毛矿</w:t>
      </w:r>
      <w:r>
        <w:rPr>
          <w:rFonts w:hint="eastAsia" w:ascii="Times New Roman" w:hAnsi="Times New Roman"/>
          <w:spacing w:val="-2"/>
          <w:kern w:val="0"/>
          <w:sz w:val="24"/>
          <w:szCs w:val="24"/>
          <w:u w:val="single"/>
        </w:rPr>
        <w:t>24</w:t>
      </w:r>
      <w:r>
        <w:rPr>
          <w:rFonts w:ascii="Times New Roman" w:hAnsi="Times New Roman"/>
          <w:spacing w:val="-2"/>
          <w:kern w:val="0"/>
          <w:sz w:val="24"/>
          <w:szCs w:val="24"/>
          <w:u w:val="single"/>
        </w:rPr>
        <w:t>万吨，年产出钛铁精矿</w:t>
      </w:r>
      <w:r>
        <w:rPr>
          <w:rFonts w:hint="eastAsia" w:ascii="Times New Roman" w:hAnsi="Times New Roman"/>
          <w:spacing w:val="-2"/>
          <w:kern w:val="0"/>
          <w:sz w:val="24"/>
          <w:szCs w:val="24"/>
          <w:u w:val="single"/>
        </w:rPr>
        <w:t>约16.5</w:t>
      </w:r>
      <w:r>
        <w:rPr>
          <w:rFonts w:ascii="Times New Roman" w:hAnsi="Times New Roman"/>
          <w:spacing w:val="-2"/>
          <w:kern w:val="0"/>
          <w:sz w:val="24"/>
          <w:szCs w:val="24"/>
          <w:u w:val="single"/>
        </w:rPr>
        <w:t>万吨，</w:t>
      </w:r>
      <w:r>
        <w:rPr>
          <w:rFonts w:hint="eastAsia" w:ascii="Times New Roman" w:hAnsi="Times New Roman"/>
          <w:spacing w:val="-2"/>
          <w:kern w:val="0"/>
          <w:sz w:val="24"/>
          <w:szCs w:val="24"/>
          <w:u w:val="single"/>
        </w:rPr>
        <w:t>副产品锆中矿约7.18万吨</w:t>
      </w:r>
      <w:r>
        <w:rPr>
          <w:rFonts w:ascii="Times New Roman" w:hAnsi="Times New Roman"/>
          <w:spacing w:val="-2"/>
          <w:kern w:val="0"/>
          <w:sz w:val="24"/>
          <w:szCs w:val="24"/>
          <w:u w:val="single"/>
        </w:rPr>
        <w:t>。</w:t>
      </w:r>
      <w:r>
        <w:rPr>
          <w:rFonts w:ascii="Times New Roman" w:hAnsi="Times New Roman"/>
          <w:spacing w:val="-2"/>
          <w:kern w:val="0"/>
          <w:sz w:val="24"/>
          <w:szCs w:val="24"/>
        </w:rPr>
        <w:t>项目产品方案见表2.1-2。</w:t>
      </w:r>
    </w:p>
    <w:p w14:paraId="49E5D985">
      <w:pPr>
        <w:pStyle w:val="8"/>
        <w:rPr>
          <w:sz w:val="24"/>
          <w:szCs w:val="24"/>
        </w:rPr>
      </w:pPr>
      <w:r>
        <w:rPr>
          <w:sz w:val="24"/>
          <w:szCs w:val="24"/>
        </w:rPr>
        <w:t>项目产品方案一览表</w:t>
      </w:r>
    </w:p>
    <w:tbl>
      <w:tblPr>
        <w:tblStyle w:val="88"/>
        <w:tblW w:w="928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68"/>
        <w:gridCol w:w="3118"/>
        <w:gridCol w:w="2313"/>
        <w:gridCol w:w="2187"/>
      </w:tblGrid>
      <w:tr w14:paraId="075967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1668" w:type="dxa"/>
            <w:vAlign w:val="center"/>
          </w:tcPr>
          <w:p w14:paraId="11D69EA8">
            <w:pPr>
              <w:jc w:val="center"/>
              <w:rPr>
                <w:rFonts w:ascii="Times New Roman" w:hAnsi="Times New Roman"/>
                <w:b/>
                <w:bCs/>
                <w:spacing w:val="-2"/>
                <w:kern w:val="0"/>
                <w:szCs w:val="21"/>
              </w:rPr>
            </w:pPr>
            <w:r>
              <w:rPr>
                <w:rFonts w:ascii="Times New Roman" w:hAnsi="Times New Roman"/>
                <w:b/>
                <w:bCs/>
                <w:spacing w:val="-2"/>
                <w:kern w:val="0"/>
                <w:szCs w:val="21"/>
              </w:rPr>
              <w:t>类别</w:t>
            </w:r>
          </w:p>
        </w:tc>
        <w:tc>
          <w:tcPr>
            <w:tcW w:w="3118" w:type="dxa"/>
            <w:vAlign w:val="center"/>
          </w:tcPr>
          <w:p w14:paraId="7191569D">
            <w:pPr>
              <w:jc w:val="center"/>
              <w:rPr>
                <w:rFonts w:ascii="Times New Roman" w:hAnsi="Times New Roman"/>
                <w:b/>
                <w:bCs/>
                <w:spacing w:val="-2"/>
                <w:kern w:val="0"/>
                <w:szCs w:val="21"/>
              </w:rPr>
            </w:pPr>
            <w:r>
              <w:rPr>
                <w:rFonts w:ascii="Times New Roman" w:hAnsi="Times New Roman"/>
                <w:b/>
                <w:bCs/>
                <w:spacing w:val="-2"/>
                <w:kern w:val="0"/>
                <w:szCs w:val="21"/>
              </w:rPr>
              <w:t>产品名称</w:t>
            </w:r>
          </w:p>
        </w:tc>
        <w:tc>
          <w:tcPr>
            <w:tcW w:w="2313" w:type="dxa"/>
            <w:vAlign w:val="center"/>
          </w:tcPr>
          <w:p w14:paraId="6FB4BF17">
            <w:pPr>
              <w:jc w:val="center"/>
              <w:rPr>
                <w:rFonts w:ascii="Times New Roman" w:hAnsi="Times New Roman"/>
                <w:b/>
                <w:bCs/>
                <w:spacing w:val="-2"/>
                <w:kern w:val="0"/>
                <w:szCs w:val="21"/>
              </w:rPr>
            </w:pPr>
            <w:r>
              <w:rPr>
                <w:rFonts w:ascii="Times New Roman" w:hAnsi="Times New Roman"/>
                <w:b/>
                <w:bCs/>
                <w:spacing w:val="-2"/>
                <w:kern w:val="0"/>
                <w:szCs w:val="21"/>
              </w:rPr>
              <w:t>产量（吨）</w:t>
            </w:r>
          </w:p>
        </w:tc>
        <w:tc>
          <w:tcPr>
            <w:tcW w:w="2187" w:type="dxa"/>
            <w:vAlign w:val="center"/>
          </w:tcPr>
          <w:p w14:paraId="0413D184">
            <w:pPr>
              <w:jc w:val="center"/>
              <w:rPr>
                <w:rFonts w:ascii="Times New Roman" w:hAnsi="Times New Roman"/>
                <w:b/>
                <w:bCs/>
                <w:spacing w:val="-2"/>
                <w:kern w:val="0"/>
                <w:szCs w:val="21"/>
              </w:rPr>
            </w:pPr>
            <w:r>
              <w:rPr>
                <w:rFonts w:hint="eastAsia" w:ascii="Times New Roman" w:hAnsi="Times New Roman"/>
                <w:b/>
                <w:bCs/>
                <w:spacing w:val="-2"/>
                <w:kern w:val="0"/>
                <w:szCs w:val="21"/>
              </w:rPr>
              <w:t>备注</w:t>
            </w:r>
          </w:p>
        </w:tc>
      </w:tr>
      <w:tr w14:paraId="6897CD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68" w:type="dxa"/>
            <w:vAlign w:val="center"/>
          </w:tcPr>
          <w:p w14:paraId="0BEB56EE">
            <w:pPr>
              <w:jc w:val="center"/>
              <w:rPr>
                <w:rFonts w:ascii="Times New Roman" w:hAnsi="Times New Roman"/>
                <w:spacing w:val="-2"/>
                <w:kern w:val="0"/>
                <w:szCs w:val="21"/>
              </w:rPr>
            </w:pPr>
            <w:r>
              <w:rPr>
                <w:rFonts w:ascii="Times New Roman" w:hAnsi="Times New Roman"/>
                <w:spacing w:val="-2"/>
                <w:kern w:val="0"/>
                <w:szCs w:val="21"/>
              </w:rPr>
              <w:t>产品</w:t>
            </w:r>
          </w:p>
        </w:tc>
        <w:tc>
          <w:tcPr>
            <w:tcW w:w="3118" w:type="dxa"/>
            <w:vAlign w:val="center"/>
          </w:tcPr>
          <w:p w14:paraId="5E729E55">
            <w:pPr>
              <w:jc w:val="center"/>
              <w:rPr>
                <w:rFonts w:ascii="Times New Roman" w:hAnsi="Times New Roman"/>
                <w:spacing w:val="-2"/>
                <w:kern w:val="0"/>
                <w:szCs w:val="21"/>
              </w:rPr>
            </w:pPr>
            <w:r>
              <w:rPr>
                <w:rFonts w:ascii="Times New Roman" w:hAnsi="Times New Roman"/>
                <w:spacing w:val="-2"/>
                <w:kern w:val="0"/>
                <w:szCs w:val="21"/>
              </w:rPr>
              <w:t>钛铁精矿</w:t>
            </w:r>
          </w:p>
        </w:tc>
        <w:tc>
          <w:tcPr>
            <w:tcW w:w="2313" w:type="dxa"/>
            <w:vAlign w:val="center"/>
          </w:tcPr>
          <w:p w14:paraId="6E3113B8">
            <w:pPr>
              <w:jc w:val="center"/>
              <w:rPr>
                <w:rFonts w:ascii="Times New Roman" w:hAnsi="Times New Roman"/>
                <w:szCs w:val="21"/>
                <w:u w:val="single"/>
              </w:rPr>
            </w:pPr>
            <w:r>
              <w:rPr>
                <w:rFonts w:hint="eastAsia" w:ascii="Times New Roman" w:hAnsi="Times New Roman"/>
                <w:szCs w:val="21"/>
                <w:u w:val="single"/>
              </w:rPr>
              <w:t>165000</w:t>
            </w:r>
          </w:p>
        </w:tc>
        <w:tc>
          <w:tcPr>
            <w:tcW w:w="2187" w:type="dxa"/>
            <w:vAlign w:val="center"/>
          </w:tcPr>
          <w:p w14:paraId="6BCE68CF">
            <w:pPr>
              <w:jc w:val="center"/>
              <w:rPr>
                <w:rFonts w:ascii="Times New Roman" w:hAnsi="Times New Roman"/>
                <w:spacing w:val="-2"/>
                <w:kern w:val="0"/>
                <w:szCs w:val="21"/>
                <w:lang w:val="pt-BR"/>
              </w:rPr>
            </w:pPr>
          </w:p>
        </w:tc>
      </w:tr>
      <w:tr w14:paraId="28C52A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68" w:type="dxa"/>
            <w:vAlign w:val="center"/>
          </w:tcPr>
          <w:p w14:paraId="22C0F964">
            <w:pPr>
              <w:jc w:val="center"/>
              <w:rPr>
                <w:rFonts w:ascii="Times New Roman" w:hAnsi="Times New Roman"/>
                <w:spacing w:val="-2"/>
                <w:kern w:val="0"/>
                <w:szCs w:val="21"/>
              </w:rPr>
            </w:pPr>
            <w:r>
              <w:rPr>
                <w:rFonts w:ascii="Times New Roman" w:hAnsi="Times New Roman"/>
                <w:spacing w:val="-2"/>
                <w:kern w:val="0"/>
                <w:szCs w:val="21"/>
              </w:rPr>
              <w:t>副产品</w:t>
            </w:r>
          </w:p>
        </w:tc>
        <w:tc>
          <w:tcPr>
            <w:tcW w:w="3118" w:type="dxa"/>
            <w:vAlign w:val="center"/>
          </w:tcPr>
          <w:p w14:paraId="602C38F5">
            <w:pPr>
              <w:jc w:val="center"/>
              <w:rPr>
                <w:rFonts w:ascii="Times New Roman" w:hAnsi="Times New Roman"/>
                <w:spacing w:val="-2"/>
                <w:kern w:val="0"/>
                <w:szCs w:val="21"/>
              </w:rPr>
            </w:pPr>
            <w:r>
              <w:rPr>
                <w:rFonts w:hint="eastAsia" w:ascii="Times New Roman" w:hAnsi="Times New Roman"/>
                <w:spacing w:val="-2"/>
                <w:kern w:val="0"/>
                <w:szCs w:val="21"/>
              </w:rPr>
              <w:t>锆中矿</w:t>
            </w:r>
          </w:p>
        </w:tc>
        <w:tc>
          <w:tcPr>
            <w:tcW w:w="2313" w:type="dxa"/>
            <w:vAlign w:val="center"/>
          </w:tcPr>
          <w:p w14:paraId="1B9201B9">
            <w:pPr>
              <w:jc w:val="center"/>
              <w:rPr>
                <w:rFonts w:ascii="Times New Roman" w:hAnsi="Times New Roman"/>
                <w:szCs w:val="21"/>
                <w:u w:val="single"/>
              </w:rPr>
            </w:pPr>
            <w:r>
              <w:rPr>
                <w:rFonts w:hint="eastAsia" w:ascii="Times New Roman" w:hAnsi="Times New Roman"/>
                <w:szCs w:val="21"/>
                <w:u w:val="single"/>
              </w:rPr>
              <w:t>71767</w:t>
            </w:r>
          </w:p>
        </w:tc>
        <w:tc>
          <w:tcPr>
            <w:tcW w:w="2187" w:type="dxa"/>
            <w:vAlign w:val="center"/>
          </w:tcPr>
          <w:p w14:paraId="4B58CD34">
            <w:pPr>
              <w:jc w:val="center"/>
              <w:rPr>
                <w:rFonts w:ascii="Times New Roman" w:hAnsi="Times New Roman"/>
                <w:spacing w:val="-2"/>
                <w:kern w:val="0"/>
                <w:szCs w:val="21"/>
                <w:lang w:val="pt-BR"/>
              </w:rPr>
            </w:pPr>
          </w:p>
        </w:tc>
      </w:tr>
    </w:tbl>
    <w:p w14:paraId="2EEF8B24">
      <w:pPr>
        <w:spacing w:line="360" w:lineRule="auto"/>
        <w:ind w:firstLine="482"/>
        <w:rPr>
          <w:rFonts w:ascii="Times New Roman" w:hAnsi="Times New Roman"/>
        </w:rPr>
      </w:pPr>
    </w:p>
    <w:p w14:paraId="36B99D8D">
      <w:pPr>
        <w:pStyle w:val="6"/>
      </w:pPr>
      <w:r>
        <w:t>项目原辅材料</w:t>
      </w:r>
    </w:p>
    <w:p w14:paraId="09DDE9EA">
      <w:pPr>
        <w:spacing w:line="360" w:lineRule="auto"/>
        <w:ind w:firstLine="474" w:firstLineChars="200"/>
        <w:rPr>
          <w:rFonts w:ascii="Times New Roman" w:hAnsi="Times New Roman"/>
          <w:b/>
          <w:bCs/>
          <w:spacing w:val="-2"/>
          <w:kern w:val="0"/>
          <w:sz w:val="24"/>
          <w:szCs w:val="24"/>
        </w:rPr>
      </w:pPr>
      <w:r>
        <w:rPr>
          <w:rFonts w:ascii="Times New Roman" w:hAnsi="Times New Roman"/>
          <w:b/>
          <w:bCs/>
          <w:spacing w:val="-2"/>
          <w:kern w:val="0"/>
          <w:sz w:val="24"/>
          <w:szCs w:val="24"/>
        </w:rPr>
        <w:t>（1）原辅材料用量</w:t>
      </w:r>
    </w:p>
    <w:p w14:paraId="2163789F">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根据建设单位提供资料，项目毛矿大部分来自非洲</w:t>
      </w:r>
      <w:r>
        <w:rPr>
          <w:rFonts w:hint="eastAsia" w:ascii="Times New Roman" w:hAnsi="Times New Roman"/>
          <w:spacing w:val="-2"/>
          <w:kern w:val="0"/>
          <w:sz w:val="24"/>
          <w:szCs w:val="24"/>
        </w:rPr>
        <w:t>、东南亚</w:t>
      </w:r>
      <w:r>
        <w:rPr>
          <w:rFonts w:ascii="Times New Roman" w:hAnsi="Times New Roman"/>
          <w:spacing w:val="-2"/>
          <w:kern w:val="0"/>
          <w:sz w:val="24"/>
          <w:szCs w:val="24"/>
        </w:rPr>
        <w:t>，</w:t>
      </w:r>
      <w:r>
        <w:rPr>
          <w:rFonts w:hint="eastAsia" w:ascii="Times New Roman" w:hAnsi="Times New Roman"/>
          <w:spacing w:val="-2"/>
          <w:kern w:val="0"/>
          <w:sz w:val="24"/>
          <w:szCs w:val="24"/>
        </w:rPr>
        <w:t>主要为滨海矿砂。</w:t>
      </w:r>
      <w:r>
        <w:rPr>
          <w:rFonts w:ascii="Times New Roman" w:hAnsi="Times New Roman"/>
          <w:spacing w:val="-2"/>
          <w:kern w:val="0"/>
          <w:sz w:val="24"/>
          <w:szCs w:val="24"/>
        </w:rPr>
        <w:t>海滨砂矿矿物种类多，单体解离度高，颗粒均匀且含泥量少，不需要破碎筛分工序，项目原、辅材料消耗以及来源见表2.1-3。</w:t>
      </w:r>
    </w:p>
    <w:p w14:paraId="00173199">
      <w:pPr>
        <w:pStyle w:val="8"/>
        <w:rPr>
          <w:sz w:val="24"/>
          <w:szCs w:val="24"/>
        </w:rPr>
      </w:pPr>
      <w:r>
        <w:rPr>
          <w:sz w:val="24"/>
          <w:szCs w:val="24"/>
        </w:rPr>
        <w:t>项目原辅材料用量一览表</w:t>
      </w:r>
    </w:p>
    <w:tbl>
      <w:tblPr>
        <w:tblStyle w:val="88"/>
        <w:tblW w:w="928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75"/>
        <w:gridCol w:w="1720"/>
        <w:gridCol w:w="1701"/>
        <w:gridCol w:w="4376"/>
        <w:gridCol w:w="814"/>
      </w:tblGrid>
      <w:tr w14:paraId="158964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75" w:type="dxa"/>
            <w:vAlign w:val="center"/>
          </w:tcPr>
          <w:p w14:paraId="14D67926">
            <w:pPr>
              <w:jc w:val="center"/>
              <w:rPr>
                <w:rFonts w:ascii="Times New Roman" w:hAnsi="Times New Roman"/>
                <w:b/>
                <w:bCs/>
                <w:spacing w:val="-2"/>
                <w:kern w:val="0"/>
                <w:szCs w:val="21"/>
              </w:rPr>
            </w:pPr>
            <w:r>
              <w:rPr>
                <w:rFonts w:ascii="Times New Roman" w:hAnsi="Times New Roman"/>
                <w:b/>
                <w:bCs/>
                <w:spacing w:val="-2"/>
                <w:kern w:val="0"/>
                <w:szCs w:val="21"/>
              </w:rPr>
              <w:t>序号</w:t>
            </w:r>
          </w:p>
        </w:tc>
        <w:tc>
          <w:tcPr>
            <w:tcW w:w="1720" w:type="dxa"/>
            <w:vAlign w:val="center"/>
          </w:tcPr>
          <w:p w14:paraId="02F273FC">
            <w:pPr>
              <w:jc w:val="center"/>
              <w:rPr>
                <w:rFonts w:ascii="Times New Roman" w:hAnsi="Times New Roman"/>
                <w:b/>
                <w:bCs/>
                <w:spacing w:val="-2"/>
                <w:kern w:val="0"/>
                <w:szCs w:val="21"/>
              </w:rPr>
            </w:pPr>
            <w:r>
              <w:rPr>
                <w:rFonts w:ascii="Times New Roman" w:hAnsi="Times New Roman"/>
                <w:b/>
                <w:bCs/>
                <w:spacing w:val="-2"/>
                <w:kern w:val="0"/>
                <w:szCs w:val="21"/>
              </w:rPr>
              <w:t>名称</w:t>
            </w:r>
          </w:p>
        </w:tc>
        <w:tc>
          <w:tcPr>
            <w:tcW w:w="1701" w:type="dxa"/>
            <w:vAlign w:val="center"/>
          </w:tcPr>
          <w:p w14:paraId="2A584F20">
            <w:pPr>
              <w:jc w:val="center"/>
              <w:rPr>
                <w:rFonts w:ascii="Times New Roman" w:hAnsi="Times New Roman"/>
                <w:b/>
                <w:bCs/>
                <w:spacing w:val="-2"/>
                <w:kern w:val="0"/>
                <w:szCs w:val="21"/>
              </w:rPr>
            </w:pPr>
            <w:r>
              <w:rPr>
                <w:rFonts w:ascii="Times New Roman" w:hAnsi="Times New Roman"/>
                <w:b/>
                <w:bCs/>
                <w:spacing w:val="-2"/>
                <w:kern w:val="0"/>
                <w:szCs w:val="21"/>
              </w:rPr>
              <w:t>消耗量</w:t>
            </w:r>
          </w:p>
        </w:tc>
        <w:tc>
          <w:tcPr>
            <w:tcW w:w="4376" w:type="dxa"/>
            <w:vAlign w:val="center"/>
          </w:tcPr>
          <w:p w14:paraId="18E05857">
            <w:pPr>
              <w:jc w:val="center"/>
              <w:rPr>
                <w:rFonts w:ascii="Times New Roman" w:hAnsi="Times New Roman"/>
                <w:b/>
                <w:bCs/>
                <w:spacing w:val="-2"/>
                <w:kern w:val="0"/>
                <w:szCs w:val="21"/>
              </w:rPr>
            </w:pPr>
            <w:r>
              <w:rPr>
                <w:rFonts w:ascii="Times New Roman" w:hAnsi="Times New Roman"/>
                <w:b/>
                <w:bCs/>
                <w:spacing w:val="-2"/>
                <w:kern w:val="0"/>
                <w:szCs w:val="21"/>
              </w:rPr>
              <w:t>备注</w:t>
            </w:r>
          </w:p>
        </w:tc>
        <w:tc>
          <w:tcPr>
            <w:tcW w:w="814" w:type="dxa"/>
            <w:vAlign w:val="center"/>
          </w:tcPr>
          <w:p w14:paraId="71A9AE1C">
            <w:pPr>
              <w:jc w:val="center"/>
              <w:rPr>
                <w:rFonts w:ascii="Times New Roman" w:hAnsi="Times New Roman"/>
                <w:b/>
                <w:bCs/>
                <w:spacing w:val="-2"/>
                <w:kern w:val="0"/>
                <w:szCs w:val="21"/>
              </w:rPr>
            </w:pPr>
            <w:r>
              <w:rPr>
                <w:rFonts w:ascii="Times New Roman" w:hAnsi="Times New Roman"/>
                <w:b/>
                <w:bCs/>
                <w:spacing w:val="-2"/>
                <w:kern w:val="0"/>
                <w:szCs w:val="21"/>
              </w:rPr>
              <w:t>来源</w:t>
            </w:r>
          </w:p>
        </w:tc>
      </w:tr>
      <w:tr w14:paraId="3B31A3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5" w:type="dxa"/>
            <w:vAlign w:val="center"/>
          </w:tcPr>
          <w:p w14:paraId="52DAC39B">
            <w:pPr>
              <w:autoSpaceDE w:val="0"/>
              <w:autoSpaceDN w:val="0"/>
              <w:adjustRightInd w:val="0"/>
              <w:jc w:val="center"/>
              <w:rPr>
                <w:rFonts w:ascii="Times New Roman" w:hAnsi="Times New Roman"/>
                <w:spacing w:val="-2"/>
                <w:kern w:val="0"/>
                <w:szCs w:val="21"/>
              </w:rPr>
            </w:pPr>
            <w:r>
              <w:rPr>
                <w:rFonts w:ascii="Times New Roman" w:hAnsi="Times New Roman"/>
                <w:spacing w:val="-2"/>
                <w:kern w:val="0"/>
                <w:szCs w:val="21"/>
              </w:rPr>
              <w:t>1</w:t>
            </w:r>
          </w:p>
        </w:tc>
        <w:tc>
          <w:tcPr>
            <w:tcW w:w="1720" w:type="dxa"/>
            <w:vAlign w:val="center"/>
          </w:tcPr>
          <w:p w14:paraId="2D8EEA06">
            <w:pPr>
              <w:jc w:val="center"/>
              <w:rPr>
                <w:rFonts w:ascii="Times New Roman" w:hAnsi="Times New Roman"/>
                <w:spacing w:val="-2"/>
                <w:kern w:val="0"/>
                <w:szCs w:val="21"/>
                <w:u w:val="single"/>
              </w:rPr>
            </w:pPr>
            <w:r>
              <w:rPr>
                <w:rFonts w:ascii="Times New Roman" w:hAnsi="Times New Roman"/>
                <w:spacing w:val="-2"/>
                <w:kern w:val="0"/>
                <w:szCs w:val="21"/>
                <w:u w:val="single"/>
              </w:rPr>
              <w:t>毛矿</w:t>
            </w:r>
          </w:p>
        </w:tc>
        <w:tc>
          <w:tcPr>
            <w:tcW w:w="1701" w:type="dxa"/>
            <w:vAlign w:val="center"/>
          </w:tcPr>
          <w:p w14:paraId="5EB4C46A">
            <w:pPr>
              <w:widowControl/>
              <w:jc w:val="center"/>
              <w:rPr>
                <w:rFonts w:ascii="Times New Roman" w:hAnsi="Times New Roman"/>
                <w:spacing w:val="-2"/>
                <w:kern w:val="0"/>
                <w:szCs w:val="21"/>
                <w:u w:val="single"/>
              </w:rPr>
            </w:pPr>
            <w:r>
              <w:rPr>
                <w:rFonts w:hint="eastAsia" w:ascii="Times New Roman" w:hAnsi="Times New Roman"/>
                <w:spacing w:val="-2"/>
                <w:kern w:val="0"/>
                <w:szCs w:val="21"/>
                <w:u w:val="single"/>
              </w:rPr>
              <w:t>24</w:t>
            </w:r>
            <w:r>
              <w:rPr>
                <w:rFonts w:ascii="Times New Roman" w:hAnsi="Times New Roman"/>
                <w:spacing w:val="-2"/>
                <w:kern w:val="0"/>
                <w:szCs w:val="21"/>
                <w:u w:val="single"/>
              </w:rPr>
              <w:t>0000t/a</w:t>
            </w:r>
          </w:p>
        </w:tc>
        <w:tc>
          <w:tcPr>
            <w:tcW w:w="4376" w:type="dxa"/>
            <w:vAlign w:val="center"/>
          </w:tcPr>
          <w:p w14:paraId="57E00759">
            <w:pPr>
              <w:ind w:firstLine="412" w:firstLineChars="200"/>
              <w:rPr>
                <w:rFonts w:ascii="Times New Roman" w:hAnsi="Times New Roman"/>
                <w:spacing w:val="-2"/>
                <w:kern w:val="0"/>
                <w:szCs w:val="21"/>
                <w:u w:val="single"/>
              </w:rPr>
            </w:pPr>
            <w:r>
              <w:rPr>
                <w:rFonts w:ascii="Times New Roman" w:hAnsi="Times New Roman"/>
                <w:spacing w:val="-2"/>
                <w:kern w:val="0"/>
                <w:szCs w:val="21"/>
                <w:u w:val="single"/>
              </w:rPr>
              <w:t>大部分非洲</w:t>
            </w:r>
            <w:r>
              <w:rPr>
                <w:rFonts w:hint="eastAsia" w:ascii="Times New Roman" w:hAnsi="Times New Roman"/>
                <w:spacing w:val="-2"/>
                <w:kern w:val="0"/>
                <w:szCs w:val="21"/>
                <w:u w:val="single"/>
              </w:rPr>
              <w:t>、东南亚</w:t>
            </w:r>
            <w:r>
              <w:rPr>
                <w:rFonts w:ascii="Times New Roman" w:hAnsi="Times New Roman"/>
                <w:spacing w:val="-2"/>
                <w:kern w:val="0"/>
                <w:szCs w:val="21"/>
                <w:u w:val="single"/>
              </w:rPr>
              <w:t>等国家进口，</w:t>
            </w:r>
            <w:r>
              <w:rPr>
                <w:rFonts w:hint="eastAsia" w:ascii="Times New Roman" w:hAnsi="Times New Roman"/>
                <w:spacing w:val="-2"/>
                <w:kern w:val="0"/>
                <w:szCs w:val="21"/>
                <w:u w:val="single"/>
              </w:rPr>
              <w:t>粒度以0.01～0.25mm粒级为主，其中0.01～0.1mm粒级占25.31%，0.1～0.15mm粒级占42.68%，0.15～0.25mm级占28.14%，其他粒级的矿砂仅占4.78%。矿砂以细粒砂为主，</w:t>
            </w:r>
            <w:r>
              <w:rPr>
                <w:rFonts w:ascii="Times New Roman" w:hAnsi="Times New Roman"/>
                <w:spacing w:val="-2"/>
                <w:kern w:val="0"/>
                <w:szCs w:val="21"/>
                <w:u w:val="single"/>
              </w:rPr>
              <w:t>粒度比较均匀，厂区内不再破碎，直接进行分选。</w:t>
            </w:r>
          </w:p>
        </w:tc>
        <w:tc>
          <w:tcPr>
            <w:tcW w:w="814" w:type="dxa"/>
            <w:vAlign w:val="center"/>
          </w:tcPr>
          <w:p w14:paraId="4886D04D">
            <w:pPr>
              <w:rPr>
                <w:rFonts w:ascii="Times New Roman" w:hAnsi="Times New Roman"/>
                <w:spacing w:val="-2"/>
                <w:kern w:val="0"/>
                <w:szCs w:val="21"/>
              </w:rPr>
            </w:pPr>
            <w:r>
              <w:rPr>
                <w:rFonts w:ascii="Times New Roman" w:hAnsi="Times New Roman"/>
                <w:spacing w:val="-2"/>
                <w:kern w:val="0"/>
                <w:szCs w:val="21"/>
              </w:rPr>
              <w:t>国外</w:t>
            </w:r>
          </w:p>
          <w:p w14:paraId="76F1F42F">
            <w:pPr>
              <w:rPr>
                <w:rFonts w:ascii="Times New Roman" w:hAnsi="Times New Roman"/>
                <w:spacing w:val="-2"/>
                <w:kern w:val="0"/>
                <w:szCs w:val="21"/>
              </w:rPr>
            </w:pPr>
            <w:r>
              <w:rPr>
                <w:rFonts w:ascii="Times New Roman" w:hAnsi="Times New Roman"/>
                <w:spacing w:val="-2"/>
                <w:kern w:val="0"/>
                <w:szCs w:val="21"/>
              </w:rPr>
              <w:t>进口</w:t>
            </w:r>
          </w:p>
        </w:tc>
      </w:tr>
      <w:tr w14:paraId="329A0B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5" w:type="dxa"/>
            <w:vAlign w:val="center"/>
          </w:tcPr>
          <w:p w14:paraId="7A5D9CB6">
            <w:pPr>
              <w:autoSpaceDE w:val="0"/>
              <w:autoSpaceDN w:val="0"/>
              <w:adjustRightInd w:val="0"/>
              <w:jc w:val="center"/>
              <w:rPr>
                <w:rFonts w:ascii="Times New Roman" w:hAnsi="Times New Roman"/>
                <w:spacing w:val="-2"/>
                <w:kern w:val="0"/>
                <w:szCs w:val="21"/>
              </w:rPr>
            </w:pPr>
            <w:r>
              <w:rPr>
                <w:rFonts w:ascii="Times New Roman" w:hAnsi="Times New Roman"/>
                <w:spacing w:val="-2"/>
                <w:kern w:val="0"/>
                <w:szCs w:val="21"/>
              </w:rPr>
              <w:t>2</w:t>
            </w:r>
          </w:p>
        </w:tc>
        <w:tc>
          <w:tcPr>
            <w:tcW w:w="1720" w:type="dxa"/>
            <w:vAlign w:val="center"/>
          </w:tcPr>
          <w:p w14:paraId="7451EF8B">
            <w:pPr>
              <w:jc w:val="center"/>
              <w:rPr>
                <w:rFonts w:ascii="Times New Roman" w:hAnsi="Times New Roman"/>
                <w:spacing w:val="-2"/>
                <w:kern w:val="0"/>
                <w:szCs w:val="21"/>
              </w:rPr>
            </w:pPr>
            <w:r>
              <w:rPr>
                <w:rFonts w:ascii="Times New Roman" w:hAnsi="Times New Roman"/>
                <w:spacing w:val="-2"/>
                <w:kern w:val="0"/>
                <w:szCs w:val="21"/>
              </w:rPr>
              <w:t>生物质</w:t>
            </w:r>
            <w:r>
              <w:rPr>
                <w:rFonts w:hint="eastAsia" w:ascii="Times New Roman" w:hAnsi="Times New Roman"/>
                <w:spacing w:val="-2"/>
                <w:kern w:val="0"/>
                <w:szCs w:val="21"/>
              </w:rPr>
              <w:t>成型</w:t>
            </w:r>
            <w:r>
              <w:rPr>
                <w:rFonts w:ascii="Times New Roman" w:hAnsi="Times New Roman"/>
                <w:spacing w:val="-2"/>
                <w:kern w:val="0"/>
                <w:szCs w:val="21"/>
              </w:rPr>
              <w:t>颗粒</w:t>
            </w:r>
          </w:p>
        </w:tc>
        <w:tc>
          <w:tcPr>
            <w:tcW w:w="1701" w:type="dxa"/>
            <w:vAlign w:val="center"/>
          </w:tcPr>
          <w:p w14:paraId="065FAA66">
            <w:pPr>
              <w:widowControl/>
              <w:jc w:val="center"/>
              <w:rPr>
                <w:rFonts w:ascii="Times New Roman" w:hAnsi="Times New Roman"/>
                <w:spacing w:val="-2"/>
                <w:kern w:val="0"/>
                <w:szCs w:val="21"/>
                <w:u w:val="single"/>
              </w:rPr>
            </w:pPr>
            <w:r>
              <w:rPr>
                <w:rFonts w:hint="eastAsia" w:ascii="Times New Roman" w:hAnsi="Times New Roman"/>
                <w:spacing w:val="-2"/>
                <w:kern w:val="0"/>
                <w:szCs w:val="21"/>
                <w:u w:val="single"/>
              </w:rPr>
              <w:t>613.42</w:t>
            </w:r>
            <w:r>
              <w:rPr>
                <w:rFonts w:ascii="Times New Roman" w:hAnsi="Times New Roman"/>
                <w:spacing w:val="-2"/>
                <w:kern w:val="0"/>
                <w:szCs w:val="21"/>
                <w:u w:val="single"/>
              </w:rPr>
              <w:t xml:space="preserve"> t/a</w:t>
            </w:r>
          </w:p>
        </w:tc>
        <w:tc>
          <w:tcPr>
            <w:tcW w:w="4376" w:type="dxa"/>
            <w:vAlign w:val="center"/>
          </w:tcPr>
          <w:p w14:paraId="1F18CB1F">
            <w:pPr>
              <w:jc w:val="center"/>
              <w:rPr>
                <w:rFonts w:ascii="Times New Roman" w:hAnsi="Times New Roman"/>
                <w:spacing w:val="-2"/>
                <w:kern w:val="0"/>
                <w:szCs w:val="21"/>
              </w:rPr>
            </w:pPr>
            <w:r>
              <w:rPr>
                <w:rFonts w:ascii="Times New Roman" w:hAnsi="Times New Roman"/>
                <w:spacing w:val="-2"/>
                <w:kern w:val="0"/>
                <w:szCs w:val="21"/>
              </w:rPr>
              <w:t>/</w:t>
            </w:r>
          </w:p>
        </w:tc>
        <w:tc>
          <w:tcPr>
            <w:tcW w:w="814" w:type="dxa"/>
            <w:vAlign w:val="center"/>
          </w:tcPr>
          <w:p w14:paraId="1535235B">
            <w:pPr>
              <w:rPr>
                <w:rFonts w:ascii="Times New Roman" w:hAnsi="Times New Roman"/>
                <w:spacing w:val="-2"/>
                <w:kern w:val="0"/>
                <w:szCs w:val="21"/>
              </w:rPr>
            </w:pPr>
            <w:r>
              <w:rPr>
                <w:rFonts w:ascii="Times New Roman" w:hAnsi="Times New Roman"/>
                <w:spacing w:val="-2"/>
                <w:kern w:val="0"/>
                <w:szCs w:val="21"/>
              </w:rPr>
              <w:t>外购</w:t>
            </w:r>
          </w:p>
        </w:tc>
      </w:tr>
      <w:tr w14:paraId="0F9C25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5" w:type="dxa"/>
            <w:vAlign w:val="center"/>
          </w:tcPr>
          <w:p w14:paraId="5AAFD652">
            <w:pPr>
              <w:autoSpaceDE w:val="0"/>
              <w:autoSpaceDN w:val="0"/>
              <w:adjustRightInd w:val="0"/>
              <w:jc w:val="center"/>
              <w:rPr>
                <w:rFonts w:ascii="Times New Roman" w:hAnsi="Times New Roman"/>
                <w:spacing w:val="-2"/>
                <w:kern w:val="0"/>
                <w:szCs w:val="21"/>
              </w:rPr>
            </w:pPr>
            <w:r>
              <w:rPr>
                <w:rFonts w:ascii="Times New Roman" w:hAnsi="Times New Roman"/>
                <w:spacing w:val="-2"/>
                <w:kern w:val="0"/>
                <w:szCs w:val="21"/>
              </w:rPr>
              <w:t>3</w:t>
            </w:r>
          </w:p>
        </w:tc>
        <w:tc>
          <w:tcPr>
            <w:tcW w:w="1720" w:type="dxa"/>
            <w:vAlign w:val="center"/>
          </w:tcPr>
          <w:p w14:paraId="26BDE9B9">
            <w:pPr>
              <w:jc w:val="center"/>
              <w:rPr>
                <w:rFonts w:ascii="Times New Roman" w:hAnsi="Times New Roman"/>
                <w:spacing w:val="-2"/>
                <w:kern w:val="0"/>
                <w:szCs w:val="21"/>
              </w:rPr>
            </w:pPr>
            <w:r>
              <w:rPr>
                <w:rFonts w:ascii="Times New Roman" w:hAnsi="Times New Roman"/>
                <w:spacing w:val="-2"/>
                <w:kern w:val="0"/>
                <w:szCs w:val="21"/>
              </w:rPr>
              <w:t>水</w:t>
            </w:r>
          </w:p>
        </w:tc>
        <w:tc>
          <w:tcPr>
            <w:tcW w:w="1701" w:type="dxa"/>
            <w:vAlign w:val="center"/>
          </w:tcPr>
          <w:p w14:paraId="5EBC2131">
            <w:pPr>
              <w:widowControl/>
              <w:jc w:val="center"/>
              <w:rPr>
                <w:rFonts w:ascii="Times New Roman" w:hAnsi="Times New Roman"/>
                <w:spacing w:val="-2"/>
                <w:kern w:val="0"/>
                <w:szCs w:val="21"/>
                <w:vertAlign w:val="superscript"/>
              </w:rPr>
            </w:pPr>
            <w:r>
              <w:rPr>
                <w:rFonts w:ascii="Times New Roman" w:hAnsi="Times New Roman"/>
                <w:spacing w:val="-2"/>
                <w:kern w:val="0"/>
                <w:szCs w:val="21"/>
              </w:rPr>
              <w:t>150m</w:t>
            </w:r>
            <w:r>
              <w:rPr>
                <w:rFonts w:ascii="Times New Roman" w:hAnsi="Times New Roman"/>
                <w:spacing w:val="-2"/>
                <w:kern w:val="0"/>
                <w:szCs w:val="21"/>
                <w:vertAlign w:val="superscript"/>
              </w:rPr>
              <w:t>3</w:t>
            </w:r>
          </w:p>
        </w:tc>
        <w:tc>
          <w:tcPr>
            <w:tcW w:w="4376" w:type="dxa"/>
          </w:tcPr>
          <w:p w14:paraId="72523D79">
            <w:pPr>
              <w:jc w:val="center"/>
              <w:rPr>
                <w:rFonts w:ascii="Times New Roman" w:hAnsi="Times New Roman"/>
                <w:spacing w:val="-2"/>
                <w:kern w:val="0"/>
                <w:szCs w:val="21"/>
              </w:rPr>
            </w:pPr>
            <w:r>
              <w:rPr>
                <w:rFonts w:ascii="Times New Roman" w:hAnsi="Times New Roman"/>
                <w:spacing w:val="-2"/>
                <w:kern w:val="0"/>
                <w:szCs w:val="21"/>
              </w:rPr>
              <w:t>/</w:t>
            </w:r>
          </w:p>
        </w:tc>
        <w:tc>
          <w:tcPr>
            <w:tcW w:w="814" w:type="dxa"/>
            <w:vAlign w:val="center"/>
          </w:tcPr>
          <w:p w14:paraId="580D41A4">
            <w:pPr>
              <w:rPr>
                <w:rFonts w:ascii="Times New Roman" w:hAnsi="Times New Roman"/>
                <w:spacing w:val="-2"/>
                <w:kern w:val="0"/>
                <w:szCs w:val="21"/>
              </w:rPr>
            </w:pPr>
            <w:r>
              <w:rPr>
                <w:rFonts w:ascii="Times New Roman" w:hAnsi="Times New Roman"/>
                <w:spacing w:val="-2"/>
                <w:kern w:val="0"/>
                <w:szCs w:val="21"/>
              </w:rPr>
              <w:t>园区</w:t>
            </w:r>
          </w:p>
        </w:tc>
      </w:tr>
      <w:tr w14:paraId="193E85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5" w:type="dxa"/>
            <w:vAlign w:val="center"/>
          </w:tcPr>
          <w:p w14:paraId="746A4CF3">
            <w:pPr>
              <w:autoSpaceDE w:val="0"/>
              <w:autoSpaceDN w:val="0"/>
              <w:adjustRightInd w:val="0"/>
              <w:jc w:val="center"/>
              <w:rPr>
                <w:rFonts w:ascii="Times New Roman" w:hAnsi="Times New Roman"/>
                <w:spacing w:val="-2"/>
                <w:kern w:val="0"/>
                <w:szCs w:val="21"/>
              </w:rPr>
            </w:pPr>
            <w:r>
              <w:rPr>
                <w:rFonts w:ascii="Times New Roman" w:hAnsi="Times New Roman"/>
                <w:spacing w:val="-2"/>
                <w:kern w:val="0"/>
                <w:szCs w:val="21"/>
              </w:rPr>
              <w:t>4</w:t>
            </w:r>
          </w:p>
        </w:tc>
        <w:tc>
          <w:tcPr>
            <w:tcW w:w="1720" w:type="dxa"/>
            <w:vAlign w:val="center"/>
          </w:tcPr>
          <w:p w14:paraId="2D16F1A7">
            <w:pPr>
              <w:jc w:val="center"/>
              <w:rPr>
                <w:rFonts w:ascii="Times New Roman" w:hAnsi="Times New Roman"/>
                <w:spacing w:val="-2"/>
                <w:kern w:val="0"/>
                <w:szCs w:val="21"/>
              </w:rPr>
            </w:pPr>
            <w:r>
              <w:rPr>
                <w:rFonts w:ascii="Times New Roman" w:hAnsi="Times New Roman"/>
                <w:spacing w:val="-2"/>
                <w:kern w:val="0"/>
                <w:szCs w:val="21"/>
              </w:rPr>
              <w:t>电</w:t>
            </w:r>
          </w:p>
        </w:tc>
        <w:tc>
          <w:tcPr>
            <w:tcW w:w="1701" w:type="dxa"/>
            <w:vAlign w:val="center"/>
          </w:tcPr>
          <w:p w14:paraId="64415262">
            <w:pPr>
              <w:widowControl/>
              <w:jc w:val="center"/>
              <w:rPr>
                <w:rFonts w:ascii="Times New Roman" w:hAnsi="Times New Roman"/>
                <w:spacing w:val="-2"/>
                <w:kern w:val="0"/>
                <w:szCs w:val="21"/>
              </w:rPr>
            </w:pPr>
            <w:r>
              <w:rPr>
                <w:rFonts w:ascii="Times New Roman" w:hAnsi="Times New Roman"/>
                <w:kern w:val="0"/>
                <w:szCs w:val="21"/>
              </w:rPr>
              <w:t>70万</w:t>
            </w:r>
            <w:r>
              <w:rPr>
                <w:rFonts w:ascii="Times New Roman" w:hAnsi="Times New Roman" w:eastAsia="TimesNewRomanPSMT"/>
                <w:kern w:val="0"/>
                <w:szCs w:val="21"/>
              </w:rPr>
              <w:t>kWh</w:t>
            </w:r>
          </w:p>
        </w:tc>
        <w:tc>
          <w:tcPr>
            <w:tcW w:w="4376" w:type="dxa"/>
          </w:tcPr>
          <w:p w14:paraId="390254B7">
            <w:pPr>
              <w:jc w:val="center"/>
              <w:rPr>
                <w:rFonts w:ascii="Times New Roman" w:hAnsi="Times New Roman"/>
                <w:spacing w:val="-2"/>
                <w:kern w:val="0"/>
                <w:szCs w:val="21"/>
              </w:rPr>
            </w:pPr>
            <w:r>
              <w:rPr>
                <w:rFonts w:ascii="Times New Roman" w:hAnsi="Times New Roman"/>
                <w:spacing w:val="-2"/>
                <w:kern w:val="0"/>
                <w:szCs w:val="21"/>
              </w:rPr>
              <w:t>/</w:t>
            </w:r>
          </w:p>
        </w:tc>
        <w:tc>
          <w:tcPr>
            <w:tcW w:w="814" w:type="dxa"/>
            <w:vAlign w:val="center"/>
          </w:tcPr>
          <w:p w14:paraId="2978C587">
            <w:pPr>
              <w:rPr>
                <w:rFonts w:ascii="Times New Roman" w:hAnsi="Times New Roman"/>
                <w:spacing w:val="-2"/>
                <w:kern w:val="0"/>
                <w:szCs w:val="21"/>
              </w:rPr>
            </w:pPr>
            <w:r>
              <w:rPr>
                <w:rFonts w:ascii="Times New Roman" w:hAnsi="Times New Roman"/>
                <w:spacing w:val="-2"/>
                <w:kern w:val="0"/>
                <w:szCs w:val="21"/>
              </w:rPr>
              <w:t>园区</w:t>
            </w:r>
          </w:p>
        </w:tc>
      </w:tr>
    </w:tbl>
    <w:p w14:paraId="75945AFD">
      <w:pPr>
        <w:tabs>
          <w:tab w:val="center" w:pos="4693"/>
        </w:tabs>
        <w:adjustRightInd w:val="0"/>
        <w:snapToGrid w:val="0"/>
        <w:spacing w:line="360" w:lineRule="auto"/>
        <w:ind w:firstLine="482" w:firstLineChars="200"/>
        <w:rPr>
          <w:rFonts w:ascii="Times New Roman" w:hAnsi="Times New Roman"/>
          <w:b/>
          <w:bCs/>
          <w:sz w:val="24"/>
          <w:szCs w:val="24"/>
        </w:rPr>
      </w:pPr>
    </w:p>
    <w:p w14:paraId="0E9D7842">
      <w:pPr>
        <w:tabs>
          <w:tab w:val="center" w:pos="4693"/>
        </w:tabs>
        <w:adjustRightInd w:val="0"/>
        <w:snapToGrid w:val="0"/>
        <w:spacing w:line="360" w:lineRule="auto"/>
        <w:ind w:firstLine="482" w:firstLineChars="200"/>
        <w:rPr>
          <w:rFonts w:ascii="Times New Roman" w:hAnsi="Times New Roman"/>
          <w:b/>
          <w:bCs/>
          <w:sz w:val="24"/>
          <w:szCs w:val="24"/>
        </w:rPr>
      </w:pPr>
      <w:r>
        <w:rPr>
          <w:rFonts w:ascii="Times New Roman" w:hAnsi="Times New Roman"/>
          <w:b/>
          <w:bCs/>
          <w:sz w:val="24"/>
          <w:szCs w:val="24"/>
        </w:rPr>
        <w:t>（2）原料简介</w:t>
      </w:r>
    </w:p>
    <w:p w14:paraId="4A1B3239">
      <w:pPr>
        <w:spacing w:line="360" w:lineRule="auto"/>
        <w:ind w:firstLine="482"/>
        <w:rPr>
          <w:rFonts w:ascii="Times New Roman" w:hAnsi="Times New Roman"/>
          <w:spacing w:val="-2"/>
          <w:kern w:val="0"/>
          <w:sz w:val="24"/>
          <w:szCs w:val="24"/>
        </w:rPr>
      </w:pPr>
      <w:r>
        <w:rPr>
          <w:rFonts w:ascii="Times New Roman" w:hAnsi="Times New Roman"/>
          <w:b/>
          <w:bCs/>
          <w:spacing w:val="-2"/>
          <w:kern w:val="0"/>
          <w:sz w:val="24"/>
          <w:szCs w:val="24"/>
        </w:rPr>
        <w:t>毛矿：</w:t>
      </w:r>
      <w:r>
        <w:rPr>
          <w:rFonts w:ascii="Times New Roman" w:hAnsi="Times New Roman"/>
          <w:spacing w:val="-2"/>
          <w:kern w:val="0"/>
          <w:sz w:val="24"/>
          <w:szCs w:val="24"/>
        </w:rPr>
        <w:t>企业钛毛矿主要来自海滨砂，海滨砂是在海滨地带由河流、波浪、潮汐和海流作用，使重矿物碎屑聚集而形成的次生富集矿床。它既包括现处在海滨地带的砂矿，也包括在地质时期形成于海滨，后因海面上升或海岸下降而处在海面以下的砂矿。它主要有金红石、锆中矿、独居石、磁铁矿、磷钇矿、金矿、铁矿、金刚石、石英砂、煤等矿种组成，主要元素为钛、铁、硅等元素。</w:t>
      </w:r>
    </w:p>
    <w:p w14:paraId="1062A208">
      <w:pPr>
        <w:tabs>
          <w:tab w:val="center" w:pos="4693"/>
        </w:tabs>
        <w:adjustRightInd w:val="0"/>
        <w:snapToGrid w:val="0"/>
        <w:spacing w:line="360" w:lineRule="auto"/>
        <w:ind w:firstLine="482" w:firstLineChars="200"/>
        <w:rPr>
          <w:rFonts w:ascii="Times New Roman" w:hAnsi="Times New Roman"/>
          <w:b/>
          <w:bCs/>
          <w:sz w:val="24"/>
          <w:szCs w:val="24"/>
        </w:rPr>
      </w:pPr>
      <w:r>
        <w:rPr>
          <w:rFonts w:ascii="Times New Roman" w:hAnsi="Times New Roman"/>
          <w:b/>
          <w:bCs/>
          <w:sz w:val="24"/>
          <w:szCs w:val="24"/>
        </w:rPr>
        <w:t>（2）产品及</w:t>
      </w:r>
      <w:r>
        <w:rPr>
          <w:rFonts w:hint="eastAsia" w:ascii="Times New Roman" w:hAnsi="Times New Roman"/>
          <w:b/>
          <w:bCs/>
          <w:sz w:val="24"/>
          <w:szCs w:val="24"/>
        </w:rPr>
        <w:t>副产品</w:t>
      </w:r>
      <w:r>
        <w:rPr>
          <w:rFonts w:ascii="Times New Roman" w:hAnsi="Times New Roman"/>
          <w:b/>
          <w:bCs/>
          <w:sz w:val="24"/>
          <w:szCs w:val="24"/>
        </w:rPr>
        <w:t>简介</w:t>
      </w:r>
    </w:p>
    <w:p w14:paraId="32EEC0E8">
      <w:pPr>
        <w:spacing w:line="360" w:lineRule="auto"/>
        <w:ind w:firstLine="482"/>
        <w:rPr>
          <w:rFonts w:ascii="Times New Roman" w:hAnsi="Times New Roman"/>
          <w:spacing w:val="-2"/>
          <w:kern w:val="0"/>
          <w:sz w:val="24"/>
          <w:szCs w:val="24"/>
        </w:rPr>
      </w:pPr>
      <w:r>
        <w:rPr>
          <w:rFonts w:ascii="Times New Roman" w:hAnsi="Times New Roman"/>
          <w:b/>
          <w:bCs/>
          <w:spacing w:val="-2"/>
          <w:kern w:val="0"/>
          <w:sz w:val="24"/>
          <w:szCs w:val="24"/>
        </w:rPr>
        <w:t>钛铁精矿：</w:t>
      </w:r>
      <w:r>
        <w:rPr>
          <w:rFonts w:ascii="Times New Roman" w:hAnsi="Times New Roman"/>
          <w:spacing w:val="-2"/>
          <w:kern w:val="0"/>
          <w:sz w:val="24"/>
          <w:szCs w:val="24"/>
        </w:rPr>
        <w:t>钛铁精矿为本项目的主要产品，钛精矿主要成分为二氧化钛（TiO</w:t>
      </w:r>
      <w:r>
        <w:rPr>
          <w:rFonts w:ascii="Times New Roman" w:hAnsi="Times New Roman"/>
          <w:spacing w:val="-2"/>
          <w:kern w:val="0"/>
          <w:sz w:val="24"/>
          <w:szCs w:val="24"/>
          <w:vertAlign w:val="subscript"/>
        </w:rPr>
        <w:t>2</w:t>
      </w:r>
      <w:r>
        <w:rPr>
          <w:rFonts w:ascii="Times New Roman" w:hAnsi="Times New Roman"/>
          <w:spacing w:val="-2"/>
          <w:kern w:val="0"/>
          <w:sz w:val="24"/>
          <w:szCs w:val="24"/>
        </w:rPr>
        <w:t>）、三氧化二铁（Fe</w:t>
      </w:r>
      <w:r>
        <w:rPr>
          <w:rFonts w:ascii="Times New Roman" w:hAnsi="Times New Roman"/>
          <w:spacing w:val="-2"/>
          <w:kern w:val="0"/>
          <w:sz w:val="24"/>
          <w:szCs w:val="24"/>
          <w:vertAlign w:val="subscript"/>
        </w:rPr>
        <w:t>2</w:t>
      </w:r>
      <w:r>
        <w:rPr>
          <w:rFonts w:ascii="Times New Roman" w:hAnsi="Times New Roman"/>
          <w:spacing w:val="-2"/>
          <w:kern w:val="0"/>
          <w:sz w:val="24"/>
          <w:szCs w:val="24"/>
        </w:rPr>
        <w:t>O</w:t>
      </w:r>
      <w:r>
        <w:rPr>
          <w:rFonts w:ascii="Times New Roman" w:hAnsi="Times New Roman"/>
          <w:spacing w:val="-2"/>
          <w:kern w:val="0"/>
          <w:sz w:val="24"/>
          <w:szCs w:val="24"/>
          <w:vertAlign w:val="subscript"/>
        </w:rPr>
        <w:t>3</w:t>
      </w:r>
      <w:r>
        <w:rPr>
          <w:rFonts w:ascii="Times New Roman" w:hAnsi="Times New Roman"/>
          <w:spacing w:val="-2"/>
          <w:kern w:val="0"/>
          <w:sz w:val="24"/>
          <w:szCs w:val="24"/>
        </w:rPr>
        <w:t>）、氧化亚铁（FeO）</w:t>
      </w:r>
      <w:r>
        <w:rPr>
          <w:rFonts w:hint="eastAsia" w:ascii="Times New Roman" w:hAnsi="Times New Roman"/>
          <w:spacing w:val="-2"/>
          <w:kern w:val="0"/>
          <w:sz w:val="24"/>
          <w:szCs w:val="24"/>
        </w:rPr>
        <w:t>等为主</w:t>
      </w:r>
      <w:r>
        <w:rPr>
          <w:rFonts w:ascii="Times New Roman" w:hAnsi="Times New Roman"/>
          <w:spacing w:val="-2"/>
          <w:kern w:val="0"/>
          <w:sz w:val="24"/>
          <w:szCs w:val="24"/>
        </w:rPr>
        <w:t>，一般为粉末形态，黑色，化学性质稳定。可主要用于制作钛白粉，同时还能制作酸渣、四氯化钛、海绵钛。钛白粉主要应用于涂料、塑料、油墨、造纸等领域；海绵钛经过熔铸加工，可制取晶体结构致密的钛锭，用于生产钛材及各种钛合金，广泛应用于航空、船舶、化学、冶金、电力、医药等领域。</w:t>
      </w:r>
    </w:p>
    <w:p w14:paraId="0C6B605F">
      <w:pPr>
        <w:tabs>
          <w:tab w:val="center" w:pos="4693"/>
        </w:tabs>
        <w:adjustRightInd w:val="0"/>
        <w:snapToGrid w:val="0"/>
        <w:spacing w:line="360" w:lineRule="auto"/>
        <w:ind w:firstLine="482" w:firstLineChars="200"/>
        <w:rPr>
          <w:rFonts w:ascii="Times New Roman" w:hAnsi="Times New Roman"/>
          <w:sz w:val="24"/>
          <w:szCs w:val="24"/>
        </w:rPr>
      </w:pPr>
      <w:r>
        <w:rPr>
          <w:rFonts w:hint="eastAsia" w:ascii="Times New Roman" w:hAnsi="Times New Roman"/>
          <w:b/>
          <w:bCs/>
          <w:sz w:val="24"/>
          <w:szCs w:val="24"/>
        </w:rPr>
        <w:t>锆中矿</w:t>
      </w:r>
      <w:r>
        <w:rPr>
          <w:rFonts w:ascii="Times New Roman" w:hAnsi="Times New Roman"/>
          <w:b/>
          <w:bCs/>
          <w:sz w:val="24"/>
          <w:szCs w:val="24"/>
        </w:rPr>
        <w:t>：</w:t>
      </w:r>
      <w:r>
        <w:rPr>
          <w:rFonts w:ascii="Times New Roman" w:hAnsi="Times New Roman"/>
          <w:sz w:val="24"/>
          <w:szCs w:val="24"/>
        </w:rPr>
        <w:t>项目钛矿毛矿</w:t>
      </w:r>
      <w:r>
        <w:rPr>
          <w:rFonts w:hint="eastAsia" w:ascii="Times New Roman" w:hAnsi="Times New Roman"/>
          <w:sz w:val="24"/>
          <w:szCs w:val="24"/>
        </w:rPr>
        <w:t>经磁选</w:t>
      </w:r>
      <w:r>
        <w:rPr>
          <w:rFonts w:ascii="Times New Roman" w:hAnsi="Times New Roman"/>
          <w:sz w:val="24"/>
          <w:szCs w:val="24"/>
        </w:rPr>
        <w:t>后得到钛精矿和</w:t>
      </w:r>
      <w:r>
        <w:rPr>
          <w:rFonts w:hint="eastAsia" w:ascii="Times New Roman" w:hAnsi="Times New Roman"/>
          <w:sz w:val="24"/>
          <w:szCs w:val="24"/>
        </w:rPr>
        <w:t>锆中矿</w:t>
      </w:r>
      <w:r>
        <w:rPr>
          <w:rFonts w:ascii="Times New Roman" w:hAnsi="Times New Roman"/>
          <w:sz w:val="24"/>
          <w:szCs w:val="24"/>
        </w:rPr>
        <w:t>，</w:t>
      </w:r>
      <w:r>
        <w:rPr>
          <w:rFonts w:hint="eastAsia" w:ascii="Times New Roman" w:hAnsi="Times New Roman"/>
          <w:sz w:val="24"/>
          <w:szCs w:val="24"/>
        </w:rPr>
        <w:t>分选得到的副产品锆中矿</w:t>
      </w:r>
      <w:r>
        <w:rPr>
          <w:rFonts w:ascii="Times New Roman" w:hAnsi="Times New Roman"/>
          <w:sz w:val="24"/>
          <w:szCs w:val="24"/>
        </w:rPr>
        <w:t>主要为不导磁矿或弱磁性的矿砂混合物，含有一定量锆元素的矿石，可作为深度分选加工企业的锆中矿原料外售。锆中矿是一个更为宽泛的原料类型，它指的是任何含有一定量锆元素的矿石。矿石可能还包含其他多种金属元素和非金属元素，成分相对复杂多样，</w:t>
      </w:r>
      <w:r>
        <w:rPr>
          <w:rFonts w:hint="eastAsia" w:ascii="Times New Roman" w:hAnsi="Times New Roman"/>
          <w:sz w:val="24"/>
          <w:szCs w:val="24"/>
        </w:rPr>
        <w:t>可能</w:t>
      </w:r>
      <w:r>
        <w:rPr>
          <w:rFonts w:ascii="Times New Roman" w:hAnsi="Times New Roman"/>
          <w:sz w:val="24"/>
          <w:szCs w:val="24"/>
        </w:rPr>
        <w:t>以锆石为主要成分，也可能以含锆矿物为主。</w:t>
      </w:r>
    </w:p>
    <w:p w14:paraId="0E5CD90F">
      <w:pPr>
        <w:tabs>
          <w:tab w:val="center" w:pos="4693"/>
        </w:tabs>
        <w:adjustRightInd w:val="0"/>
        <w:snapToGrid w:val="0"/>
        <w:spacing w:line="360" w:lineRule="auto"/>
        <w:ind w:firstLine="482" w:firstLineChars="200"/>
        <w:rPr>
          <w:rFonts w:ascii="Times New Roman" w:hAnsi="Times New Roman"/>
          <w:b/>
          <w:bCs/>
          <w:sz w:val="24"/>
          <w:szCs w:val="24"/>
        </w:rPr>
      </w:pPr>
      <w:r>
        <w:rPr>
          <w:rFonts w:ascii="Times New Roman" w:hAnsi="Times New Roman"/>
          <w:b/>
          <w:bCs/>
          <w:sz w:val="24"/>
          <w:szCs w:val="24"/>
        </w:rPr>
        <w:t>（3）原料</w:t>
      </w:r>
      <w:r>
        <w:rPr>
          <w:rFonts w:hint="eastAsia" w:ascii="Times New Roman" w:hAnsi="Times New Roman"/>
          <w:b/>
          <w:bCs/>
          <w:sz w:val="24"/>
          <w:szCs w:val="24"/>
        </w:rPr>
        <w:t>、产品</w:t>
      </w:r>
      <w:r>
        <w:rPr>
          <w:rFonts w:ascii="Times New Roman" w:hAnsi="Times New Roman"/>
          <w:b/>
          <w:bCs/>
          <w:sz w:val="24"/>
          <w:szCs w:val="24"/>
        </w:rPr>
        <w:t>成分</w:t>
      </w:r>
    </w:p>
    <w:p w14:paraId="1AFFBEF0">
      <w:pPr>
        <w:tabs>
          <w:tab w:val="center" w:pos="4693"/>
        </w:tabs>
        <w:adjustRightInd w:val="0"/>
        <w:snapToGrid w:val="0"/>
        <w:spacing w:line="360" w:lineRule="auto"/>
        <w:ind w:firstLine="480" w:firstLineChars="200"/>
        <w:rPr>
          <w:rFonts w:ascii="Times New Roman" w:hAnsi="Times New Roman"/>
          <w:spacing w:val="-2"/>
          <w:kern w:val="0"/>
          <w:sz w:val="24"/>
          <w:szCs w:val="24"/>
          <w:u w:val="single"/>
        </w:rPr>
      </w:pPr>
      <w:r>
        <w:rPr>
          <w:rFonts w:ascii="Times New Roman" w:hAnsi="Times New Roman"/>
          <w:sz w:val="24"/>
          <w:szCs w:val="24"/>
          <w:u w:val="single"/>
        </w:rPr>
        <w:t>项目毛矿大部分来自非洲，毛矿来源受进口渠道及价格的波动影响，具有一定的不确定性，</w:t>
      </w:r>
      <w:r>
        <w:rPr>
          <w:rFonts w:ascii="Times New Roman" w:hAnsi="Times New Roman"/>
          <w:spacing w:val="-2"/>
          <w:kern w:val="0"/>
          <w:sz w:val="24"/>
          <w:szCs w:val="24"/>
          <w:u w:val="single"/>
        </w:rPr>
        <w:t>各原料中</w:t>
      </w:r>
      <w:r>
        <w:rPr>
          <w:rFonts w:hint="eastAsia" w:ascii="Times New Roman" w:hAnsi="Times New Roman"/>
          <w:spacing w:val="-2"/>
          <w:kern w:val="0"/>
          <w:sz w:val="24"/>
          <w:szCs w:val="24"/>
          <w:u w:val="single"/>
          <w:lang w:eastAsia="zh-CN"/>
        </w:rPr>
        <w:t>成分</w:t>
      </w:r>
      <w:r>
        <w:rPr>
          <w:rFonts w:ascii="Times New Roman" w:hAnsi="Times New Roman"/>
          <w:spacing w:val="-2"/>
          <w:kern w:val="0"/>
          <w:sz w:val="24"/>
          <w:szCs w:val="24"/>
          <w:u w:val="single"/>
        </w:rPr>
        <w:t>会有不同程度的差异</w:t>
      </w:r>
      <w:r>
        <w:rPr>
          <w:rFonts w:hint="eastAsia" w:ascii="Times New Roman" w:hAnsi="Times New Roman"/>
          <w:spacing w:val="-2"/>
          <w:kern w:val="0"/>
          <w:sz w:val="24"/>
          <w:szCs w:val="24"/>
          <w:u w:val="single"/>
        </w:rPr>
        <w:t>。项目毛矿的成分类比相同来源的上海佰特锐新能源材料有限公司毛矿的全量分析报告结果，见表2.1-4。</w:t>
      </w:r>
    </w:p>
    <w:p w14:paraId="604CB049">
      <w:pPr>
        <w:pStyle w:val="8"/>
        <w:rPr>
          <w:sz w:val="24"/>
          <w:szCs w:val="24"/>
          <w:u w:val="single"/>
        </w:rPr>
      </w:pPr>
      <w:r>
        <w:rPr>
          <w:rFonts w:hint="eastAsia"/>
          <w:sz w:val="24"/>
          <w:szCs w:val="24"/>
          <w:u w:val="single"/>
        </w:rPr>
        <w:t>百特锐</w:t>
      </w:r>
      <w:r>
        <w:rPr>
          <w:sz w:val="24"/>
          <w:szCs w:val="24"/>
          <w:u w:val="single"/>
        </w:rPr>
        <w:t>毛矿</w:t>
      </w:r>
      <w:r>
        <w:rPr>
          <w:rFonts w:hint="eastAsia"/>
          <w:sz w:val="24"/>
          <w:szCs w:val="24"/>
          <w:u w:val="single"/>
        </w:rPr>
        <w:t>全量分析</w:t>
      </w:r>
      <w:r>
        <w:rPr>
          <w:sz w:val="24"/>
          <w:szCs w:val="24"/>
          <w:u w:val="single"/>
        </w:rPr>
        <w:t>结果（%）</w:t>
      </w:r>
    </w:p>
    <w:tbl>
      <w:tblPr>
        <w:tblStyle w:val="88"/>
        <w:tblW w:w="904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78"/>
        <w:gridCol w:w="895"/>
        <w:gridCol w:w="896"/>
        <w:gridCol w:w="896"/>
        <w:gridCol w:w="896"/>
        <w:gridCol w:w="895"/>
        <w:gridCol w:w="896"/>
        <w:gridCol w:w="896"/>
        <w:gridCol w:w="896"/>
        <w:gridCol w:w="896"/>
      </w:tblGrid>
      <w:tr w14:paraId="15F4FB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78" w:type="dxa"/>
            <w:vAlign w:val="center"/>
          </w:tcPr>
          <w:p w14:paraId="7913DC13">
            <w:pPr>
              <w:widowControl/>
              <w:jc w:val="center"/>
              <w:rPr>
                <w:rFonts w:ascii="Times New Roman" w:hAnsi="Times New Roman"/>
                <w:b/>
                <w:bCs/>
                <w:kern w:val="0"/>
                <w:szCs w:val="21"/>
                <w:u w:val="single"/>
              </w:rPr>
            </w:pPr>
            <w:r>
              <w:rPr>
                <w:rFonts w:hint="eastAsia" w:ascii="Times New Roman" w:hAnsi="Times New Roman"/>
                <w:b/>
                <w:bCs/>
                <w:kern w:val="0"/>
                <w:szCs w:val="21"/>
                <w:u w:val="single"/>
              </w:rPr>
              <w:t>成分</w:t>
            </w:r>
          </w:p>
        </w:tc>
        <w:tc>
          <w:tcPr>
            <w:tcW w:w="895" w:type="dxa"/>
            <w:vAlign w:val="center"/>
          </w:tcPr>
          <w:p w14:paraId="09EEB2E7">
            <w:pPr>
              <w:widowControl/>
              <w:jc w:val="center"/>
              <w:rPr>
                <w:rFonts w:ascii="Times New Roman" w:hAnsi="Times New Roman"/>
                <w:b/>
                <w:bCs/>
                <w:kern w:val="0"/>
                <w:szCs w:val="21"/>
                <w:u w:val="single"/>
              </w:rPr>
            </w:pPr>
            <w:r>
              <w:rPr>
                <w:rFonts w:hint="eastAsia"/>
                <w:b/>
                <w:bCs/>
                <w:szCs w:val="21"/>
                <w:u w:val="single"/>
              </w:rPr>
              <w:t>三氧化二铝</w:t>
            </w:r>
          </w:p>
        </w:tc>
        <w:tc>
          <w:tcPr>
            <w:tcW w:w="896" w:type="dxa"/>
            <w:vAlign w:val="center"/>
          </w:tcPr>
          <w:p w14:paraId="2551EDE9">
            <w:pPr>
              <w:widowControl/>
              <w:jc w:val="center"/>
              <w:rPr>
                <w:rFonts w:ascii="Times New Roman" w:hAnsi="Times New Roman"/>
                <w:b/>
                <w:bCs/>
                <w:kern w:val="0"/>
                <w:szCs w:val="21"/>
                <w:u w:val="single"/>
              </w:rPr>
            </w:pPr>
            <w:r>
              <w:rPr>
                <w:rFonts w:hint="eastAsia"/>
                <w:b/>
                <w:bCs/>
                <w:szCs w:val="21"/>
                <w:u w:val="single"/>
              </w:rPr>
              <w:t>二氧化硅</w:t>
            </w:r>
          </w:p>
        </w:tc>
        <w:tc>
          <w:tcPr>
            <w:tcW w:w="896" w:type="dxa"/>
            <w:vAlign w:val="center"/>
          </w:tcPr>
          <w:p w14:paraId="5320BAA4">
            <w:pPr>
              <w:widowControl/>
              <w:jc w:val="center"/>
              <w:rPr>
                <w:rFonts w:ascii="Times New Roman" w:hAnsi="Times New Roman"/>
                <w:b/>
                <w:bCs/>
                <w:kern w:val="0"/>
                <w:szCs w:val="21"/>
                <w:u w:val="single"/>
              </w:rPr>
            </w:pPr>
            <w:r>
              <w:rPr>
                <w:rFonts w:hint="eastAsia"/>
                <w:b/>
                <w:bCs/>
                <w:szCs w:val="21"/>
                <w:u w:val="single"/>
              </w:rPr>
              <w:t>全铁</w:t>
            </w:r>
          </w:p>
        </w:tc>
        <w:tc>
          <w:tcPr>
            <w:tcW w:w="896" w:type="dxa"/>
            <w:vAlign w:val="center"/>
          </w:tcPr>
          <w:p w14:paraId="29A50BDB">
            <w:pPr>
              <w:widowControl/>
              <w:jc w:val="center"/>
              <w:rPr>
                <w:rFonts w:ascii="Times New Roman" w:hAnsi="Times New Roman"/>
                <w:b/>
                <w:bCs/>
                <w:kern w:val="0"/>
                <w:szCs w:val="21"/>
                <w:u w:val="single"/>
              </w:rPr>
            </w:pPr>
            <w:r>
              <w:rPr>
                <w:rFonts w:hint="eastAsia"/>
                <w:b/>
                <w:bCs/>
                <w:szCs w:val="21"/>
                <w:u w:val="single"/>
              </w:rPr>
              <w:t>氧化亚铁</w:t>
            </w:r>
          </w:p>
        </w:tc>
        <w:tc>
          <w:tcPr>
            <w:tcW w:w="895" w:type="dxa"/>
            <w:vAlign w:val="center"/>
          </w:tcPr>
          <w:p w14:paraId="3BC4A813">
            <w:pPr>
              <w:widowControl/>
              <w:jc w:val="center"/>
              <w:rPr>
                <w:rFonts w:ascii="Times New Roman" w:hAnsi="Times New Roman"/>
                <w:b/>
                <w:bCs/>
                <w:kern w:val="0"/>
                <w:szCs w:val="21"/>
                <w:u w:val="single"/>
              </w:rPr>
            </w:pPr>
            <w:r>
              <w:rPr>
                <w:rFonts w:hint="eastAsia"/>
                <w:b/>
                <w:bCs/>
                <w:szCs w:val="21"/>
                <w:u w:val="single"/>
              </w:rPr>
              <w:t>三氧化二铁</w:t>
            </w:r>
          </w:p>
        </w:tc>
        <w:tc>
          <w:tcPr>
            <w:tcW w:w="896" w:type="dxa"/>
            <w:vAlign w:val="center"/>
          </w:tcPr>
          <w:p w14:paraId="0270C0BD">
            <w:pPr>
              <w:widowControl/>
              <w:jc w:val="center"/>
              <w:rPr>
                <w:rFonts w:ascii="Times New Roman" w:hAnsi="Times New Roman"/>
                <w:b/>
                <w:bCs/>
                <w:kern w:val="0"/>
                <w:szCs w:val="21"/>
                <w:u w:val="single"/>
              </w:rPr>
            </w:pPr>
            <w:r>
              <w:rPr>
                <w:rFonts w:hint="eastAsia"/>
                <w:b/>
                <w:bCs/>
                <w:szCs w:val="21"/>
                <w:u w:val="single"/>
              </w:rPr>
              <w:t>氧化钙</w:t>
            </w:r>
          </w:p>
        </w:tc>
        <w:tc>
          <w:tcPr>
            <w:tcW w:w="896" w:type="dxa"/>
            <w:vAlign w:val="center"/>
          </w:tcPr>
          <w:p w14:paraId="3A9ED25A">
            <w:pPr>
              <w:widowControl/>
              <w:jc w:val="center"/>
              <w:rPr>
                <w:rFonts w:ascii="Times New Roman" w:hAnsi="Times New Roman"/>
                <w:b/>
                <w:bCs/>
                <w:kern w:val="0"/>
                <w:szCs w:val="21"/>
                <w:u w:val="single"/>
              </w:rPr>
            </w:pPr>
            <w:r>
              <w:rPr>
                <w:rFonts w:hint="eastAsia"/>
                <w:b/>
                <w:bCs/>
                <w:szCs w:val="21"/>
                <w:u w:val="single"/>
              </w:rPr>
              <w:t>氧化镁</w:t>
            </w:r>
          </w:p>
        </w:tc>
        <w:tc>
          <w:tcPr>
            <w:tcW w:w="896" w:type="dxa"/>
            <w:vAlign w:val="center"/>
          </w:tcPr>
          <w:p w14:paraId="79F8894E">
            <w:pPr>
              <w:widowControl/>
              <w:jc w:val="center"/>
              <w:rPr>
                <w:rFonts w:ascii="Times New Roman" w:hAnsi="Times New Roman"/>
                <w:b/>
                <w:bCs/>
                <w:kern w:val="0"/>
                <w:szCs w:val="21"/>
                <w:u w:val="single"/>
              </w:rPr>
            </w:pPr>
            <w:r>
              <w:rPr>
                <w:rFonts w:hint="eastAsia"/>
                <w:b/>
                <w:bCs/>
                <w:szCs w:val="21"/>
                <w:u w:val="single"/>
              </w:rPr>
              <w:t>氧化钾</w:t>
            </w:r>
          </w:p>
        </w:tc>
        <w:tc>
          <w:tcPr>
            <w:tcW w:w="896" w:type="dxa"/>
            <w:vAlign w:val="center"/>
          </w:tcPr>
          <w:p w14:paraId="4EB87889">
            <w:pPr>
              <w:widowControl/>
              <w:jc w:val="center"/>
              <w:rPr>
                <w:rFonts w:ascii="Times New Roman" w:hAnsi="Times New Roman"/>
                <w:b/>
                <w:bCs/>
                <w:kern w:val="0"/>
                <w:szCs w:val="21"/>
                <w:u w:val="single"/>
              </w:rPr>
            </w:pPr>
            <w:r>
              <w:rPr>
                <w:rFonts w:hint="eastAsia"/>
                <w:b/>
                <w:bCs/>
                <w:szCs w:val="21"/>
                <w:u w:val="single"/>
              </w:rPr>
              <w:t>氧化钠</w:t>
            </w:r>
          </w:p>
        </w:tc>
      </w:tr>
      <w:tr w14:paraId="4A46C8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78" w:type="dxa"/>
            <w:noWrap/>
            <w:vAlign w:val="center"/>
          </w:tcPr>
          <w:p w14:paraId="726923B8">
            <w:pPr>
              <w:widowControl/>
              <w:jc w:val="center"/>
              <w:rPr>
                <w:rFonts w:ascii="Times New Roman" w:hAnsi="Times New Roman"/>
                <w:kern w:val="0"/>
                <w:szCs w:val="21"/>
                <w:u w:val="single"/>
              </w:rPr>
            </w:pPr>
            <w:r>
              <w:rPr>
                <w:rFonts w:hint="eastAsia" w:ascii="Times New Roman" w:hAnsi="Times New Roman"/>
                <w:kern w:val="0"/>
                <w:szCs w:val="21"/>
                <w:u w:val="single"/>
              </w:rPr>
              <w:t>占比</w:t>
            </w:r>
          </w:p>
        </w:tc>
        <w:tc>
          <w:tcPr>
            <w:tcW w:w="895" w:type="dxa"/>
            <w:noWrap/>
            <w:vAlign w:val="center"/>
          </w:tcPr>
          <w:p w14:paraId="468C494C">
            <w:pPr>
              <w:widowControl/>
              <w:jc w:val="center"/>
              <w:rPr>
                <w:rFonts w:ascii="Times New Roman" w:hAnsi="Times New Roman"/>
                <w:kern w:val="0"/>
                <w:szCs w:val="21"/>
                <w:u w:val="single"/>
              </w:rPr>
            </w:pPr>
            <w:r>
              <w:rPr>
                <w:rFonts w:ascii="Times New Roman" w:hAnsi="Times New Roman" w:eastAsia="等线"/>
                <w:szCs w:val="21"/>
                <w:u w:val="single"/>
              </w:rPr>
              <w:t>1.12</w:t>
            </w:r>
          </w:p>
        </w:tc>
        <w:tc>
          <w:tcPr>
            <w:tcW w:w="896" w:type="dxa"/>
            <w:noWrap/>
            <w:vAlign w:val="center"/>
          </w:tcPr>
          <w:p w14:paraId="0EE4C167">
            <w:pPr>
              <w:widowControl/>
              <w:jc w:val="center"/>
              <w:rPr>
                <w:rFonts w:ascii="Times New Roman" w:hAnsi="Times New Roman"/>
                <w:kern w:val="0"/>
                <w:szCs w:val="21"/>
                <w:u w:val="single"/>
              </w:rPr>
            </w:pPr>
            <w:r>
              <w:rPr>
                <w:rFonts w:ascii="Times New Roman" w:hAnsi="Times New Roman" w:eastAsia="等线"/>
                <w:szCs w:val="21"/>
                <w:u w:val="single"/>
              </w:rPr>
              <w:t>16.69</w:t>
            </w:r>
          </w:p>
        </w:tc>
        <w:tc>
          <w:tcPr>
            <w:tcW w:w="896" w:type="dxa"/>
            <w:noWrap/>
            <w:vAlign w:val="center"/>
          </w:tcPr>
          <w:p w14:paraId="78DC4942">
            <w:pPr>
              <w:widowControl/>
              <w:jc w:val="center"/>
              <w:rPr>
                <w:rFonts w:ascii="Times New Roman" w:hAnsi="Times New Roman"/>
                <w:kern w:val="0"/>
                <w:szCs w:val="21"/>
                <w:u w:val="single"/>
              </w:rPr>
            </w:pPr>
            <w:r>
              <w:rPr>
                <w:rFonts w:ascii="Times New Roman" w:hAnsi="Times New Roman" w:eastAsia="等线"/>
                <w:szCs w:val="21"/>
                <w:u w:val="single"/>
              </w:rPr>
              <w:t>28.63</w:t>
            </w:r>
          </w:p>
        </w:tc>
        <w:tc>
          <w:tcPr>
            <w:tcW w:w="896" w:type="dxa"/>
            <w:noWrap/>
            <w:vAlign w:val="center"/>
          </w:tcPr>
          <w:p w14:paraId="35F355B3">
            <w:pPr>
              <w:widowControl/>
              <w:jc w:val="center"/>
              <w:rPr>
                <w:rFonts w:ascii="Times New Roman" w:hAnsi="Times New Roman"/>
                <w:kern w:val="0"/>
                <w:szCs w:val="21"/>
                <w:u w:val="single"/>
              </w:rPr>
            </w:pPr>
            <w:r>
              <w:rPr>
                <w:rFonts w:ascii="Times New Roman" w:hAnsi="Times New Roman" w:eastAsia="等线"/>
                <w:szCs w:val="21"/>
                <w:u w:val="single"/>
              </w:rPr>
              <w:t>26.45</w:t>
            </w:r>
          </w:p>
        </w:tc>
        <w:tc>
          <w:tcPr>
            <w:tcW w:w="895" w:type="dxa"/>
            <w:noWrap/>
            <w:vAlign w:val="center"/>
          </w:tcPr>
          <w:p w14:paraId="532B7D15">
            <w:pPr>
              <w:widowControl/>
              <w:jc w:val="center"/>
              <w:rPr>
                <w:rFonts w:ascii="Times New Roman" w:hAnsi="Times New Roman"/>
                <w:kern w:val="0"/>
                <w:szCs w:val="21"/>
                <w:u w:val="single"/>
              </w:rPr>
            </w:pPr>
            <w:r>
              <w:rPr>
                <w:rFonts w:ascii="Times New Roman" w:hAnsi="Times New Roman" w:eastAsia="等线"/>
                <w:szCs w:val="21"/>
                <w:u w:val="single"/>
              </w:rPr>
              <w:t>11.54</w:t>
            </w:r>
          </w:p>
        </w:tc>
        <w:tc>
          <w:tcPr>
            <w:tcW w:w="896" w:type="dxa"/>
            <w:noWrap/>
            <w:vAlign w:val="center"/>
          </w:tcPr>
          <w:p w14:paraId="466A6C4A">
            <w:pPr>
              <w:widowControl/>
              <w:jc w:val="center"/>
              <w:rPr>
                <w:rFonts w:ascii="Times New Roman" w:hAnsi="Times New Roman"/>
                <w:kern w:val="0"/>
                <w:szCs w:val="21"/>
                <w:u w:val="single"/>
              </w:rPr>
            </w:pPr>
            <w:r>
              <w:rPr>
                <w:rFonts w:ascii="Times New Roman" w:hAnsi="Times New Roman" w:eastAsia="等线"/>
                <w:szCs w:val="21"/>
                <w:u w:val="single"/>
              </w:rPr>
              <w:t>0.31</w:t>
            </w:r>
          </w:p>
        </w:tc>
        <w:tc>
          <w:tcPr>
            <w:tcW w:w="896" w:type="dxa"/>
            <w:noWrap/>
            <w:vAlign w:val="center"/>
          </w:tcPr>
          <w:p w14:paraId="7BC92EAB">
            <w:pPr>
              <w:widowControl/>
              <w:jc w:val="center"/>
              <w:rPr>
                <w:rFonts w:ascii="Times New Roman" w:hAnsi="Times New Roman"/>
                <w:kern w:val="0"/>
                <w:szCs w:val="21"/>
                <w:u w:val="single"/>
              </w:rPr>
            </w:pPr>
            <w:r>
              <w:rPr>
                <w:rFonts w:ascii="Times New Roman" w:hAnsi="Times New Roman" w:eastAsia="等线"/>
                <w:szCs w:val="21"/>
                <w:u w:val="single"/>
              </w:rPr>
              <w:t>0.25</w:t>
            </w:r>
          </w:p>
        </w:tc>
        <w:tc>
          <w:tcPr>
            <w:tcW w:w="896" w:type="dxa"/>
            <w:noWrap/>
            <w:vAlign w:val="center"/>
          </w:tcPr>
          <w:p w14:paraId="70104384">
            <w:pPr>
              <w:widowControl/>
              <w:jc w:val="center"/>
              <w:rPr>
                <w:rFonts w:ascii="Times New Roman" w:hAnsi="Times New Roman"/>
                <w:kern w:val="0"/>
                <w:szCs w:val="21"/>
                <w:u w:val="single"/>
              </w:rPr>
            </w:pPr>
            <w:r>
              <w:rPr>
                <w:rFonts w:ascii="Times New Roman" w:hAnsi="Times New Roman" w:eastAsia="等线"/>
                <w:szCs w:val="21"/>
                <w:u w:val="single"/>
              </w:rPr>
              <w:t>0.26</w:t>
            </w:r>
          </w:p>
        </w:tc>
        <w:tc>
          <w:tcPr>
            <w:tcW w:w="896" w:type="dxa"/>
            <w:noWrap/>
            <w:vAlign w:val="center"/>
          </w:tcPr>
          <w:p w14:paraId="3AFB0049">
            <w:pPr>
              <w:widowControl/>
              <w:jc w:val="center"/>
              <w:rPr>
                <w:rFonts w:ascii="Times New Roman" w:hAnsi="Times New Roman"/>
                <w:kern w:val="0"/>
                <w:szCs w:val="21"/>
                <w:u w:val="single"/>
              </w:rPr>
            </w:pPr>
            <w:r>
              <w:rPr>
                <w:rFonts w:ascii="Times New Roman" w:hAnsi="Times New Roman" w:eastAsia="等线"/>
                <w:szCs w:val="21"/>
                <w:u w:val="single"/>
              </w:rPr>
              <w:t>0.15</w:t>
            </w:r>
          </w:p>
        </w:tc>
      </w:tr>
      <w:tr w14:paraId="374787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78" w:type="dxa"/>
            <w:noWrap/>
            <w:vAlign w:val="center"/>
          </w:tcPr>
          <w:p w14:paraId="18890033">
            <w:pPr>
              <w:widowControl/>
              <w:jc w:val="center"/>
              <w:rPr>
                <w:rFonts w:ascii="Times New Roman" w:hAnsi="Times New Roman"/>
                <w:kern w:val="0"/>
                <w:szCs w:val="21"/>
                <w:u w:val="single"/>
              </w:rPr>
            </w:pPr>
            <w:r>
              <w:rPr>
                <w:rFonts w:hint="eastAsia" w:ascii="Times New Roman" w:hAnsi="Times New Roman"/>
                <w:b/>
                <w:bCs/>
                <w:kern w:val="0"/>
                <w:szCs w:val="21"/>
                <w:u w:val="single"/>
              </w:rPr>
              <w:t>成分</w:t>
            </w:r>
          </w:p>
        </w:tc>
        <w:tc>
          <w:tcPr>
            <w:tcW w:w="895" w:type="dxa"/>
            <w:noWrap/>
            <w:vAlign w:val="center"/>
          </w:tcPr>
          <w:p w14:paraId="5AD96DBB">
            <w:pPr>
              <w:widowControl/>
              <w:jc w:val="center"/>
              <w:rPr>
                <w:rFonts w:ascii="Times New Roman" w:hAnsi="Times New Roman"/>
                <w:b/>
                <w:bCs/>
                <w:kern w:val="0"/>
                <w:szCs w:val="21"/>
                <w:u w:val="single"/>
              </w:rPr>
            </w:pPr>
            <w:r>
              <w:rPr>
                <w:rFonts w:hint="eastAsia"/>
                <w:b/>
                <w:bCs/>
                <w:szCs w:val="21"/>
                <w:u w:val="single"/>
              </w:rPr>
              <w:t>二氧化钛</w:t>
            </w:r>
          </w:p>
        </w:tc>
        <w:tc>
          <w:tcPr>
            <w:tcW w:w="896" w:type="dxa"/>
            <w:noWrap/>
            <w:vAlign w:val="center"/>
          </w:tcPr>
          <w:p w14:paraId="62538A87">
            <w:pPr>
              <w:widowControl/>
              <w:jc w:val="center"/>
              <w:rPr>
                <w:rFonts w:ascii="Times New Roman" w:hAnsi="Times New Roman"/>
                <w:b/>
                <w:bCs/>
                <w:kern w:val="0"/>
                <w:szCs w:val="21"/>
                <w:u w:val="single"/>
              </w:rPr>
            </w:pPr>
            <w:r>
              <w:rPr>
                <w:rFonts w:hint="eastAsia"/>
                <w:b/>
                <w:bCs/>
                <w:szCs w:val="21"/>
                <w:u w:val="single"/>
              </w:rPr>
              <w:t>二氧化锆</w:t>
            </w:r>
          </w:p>
        </w:tc>
        <w:tc>
          <w:tcPr>
            <w:tcW w:w="896" w:type="dxa"/>
            <w:noWrap/>
            <w:vAlign w:val="center"/>
          </w:tcPr>
          <w:p w14:paraId="39F656F4">
            <w:pPr>
              <w:widowControl/>
              <w:jc w:val="center"/>
              <w:rPr>
                <w:rFonts w:ascii="Times New Roman" w:hAnsi="Times New Roman"/>
                <w:b/>
                <w:bCs/>
                <w:kern w:val="0"/>
                <w:szCs w:val="21"/>
                <w:u w:val="single"/>
              </w:rPr>
            </w:pPr>
            <w:r>
              <w:rPr>
                <w:rFonts w:hint="eastAsia"/>
                <w:b/>
                <w:bCs/>
                <w:szCs w:val="21"/>
                <w:u w:val="single"/>
              </w:rPr>
              <w:t>三氧化二硼</w:t>
            </w:r>
          </w:p>
        </w:tc>
        <w:tc>
          <w:tcPr>
            <w:tcW w:w="896" w:type="dxa"/>
            <w:noWrap/>
            <w:vAlign w:val="center"/>
          </w:tcPr>
          <w:p w14:paraId="3A72966C">
            <w:pPr>
              <w:widowControl/>
              <w:jc w:val="center"/>
              <w:rPr>
                <w:rFonts w:ascii="Times New Roman" w:hAnsi="Times New Roman"/>
                <w:b/>
                <w:bCs/>
                <w:kern w:val="0"/>
                <w:szCs w:val="21"/>
                <w:u w:val="single"/>
              </w:rPr>
            </w:pPr>
            <w:r>
              <w:rPr>
                <w:rFonts w:hint="eastAsia"/>
                <w:b/>
                <w:bCs/>
                <w:szCs w:val="21"/>
                <w:u w:val="single"/>
              </w:rPr>
              <w:t>一氧化铅</w:t>
            </w:r>
          </w:p>
        </w:tc>
        <w:tc>
          <w:tcPr>
            <w:tcW w:w="895" w:type="dxa"/>
            <w:noWrap/>
            <w:vAlign w:val="center"/>
          </w:tcPr>
          <w:p w14:paraId="59018786">
            <w:pPr>
              <w:widowControl/>
              <w:jc w:val="center"/>
              <w:rPr>
                <w:rFonts w:ascii="Times New Roman" w:hAnsi="Times New Roman"/>
                <w:b/>
                <w:bCs/>
                <w:kern w:val="0"/>
                <w:szCs w:val="21"/>
                <w:u w:val="single"/>
              </w:rPr>
            </w:pPr>
            <w:r>
              <w:rPr>
                <w:rFonts w:hint="eastAsia"/>
                <w:b/>
                <w:bCs/>
                <w:szCs w:val="21"/>
                <w:u w:val="single"/>
              </w:rPr>
              <w:t>氧化锌</w:t>
            </w:r>
          </w:p>
        </w:tc>
        <w:tc>
          <w:tcPr>
            <w:tcW w:w="896" w:type="dxa"/>
            <w:noWrap/>
            <w:vAlign w:val="center"/>
          </w:tcPr>
          <w:p w14:paraId="2AB8F4CD">
            <w:pPr>
              <w:widowControl/>
              <w:jc w:val="center"/>
              <w:rPr>
                <w:rFonts w:ascii="Times New Roman" w:hAnsi="Times New Roman"/>
                <w:b/>
                <w:bCs/>
                <w:kern w:val="0"/>
                <w:szCs w:val="21"/>
                <w:u w:val="single"/>
              </w:rPr>
            </w:pPr>
            <w:r>
              <w:rPr>
                <w:rFonts w:hint="eastAsia"/>
                <w:b/>
                <w:bCs/>
                <w:szCs w:val="21"/>
                <w:u w:val="single"/>
              </w:rPr>
              <w:t>一氧化锰</w:t>
            </w:r>
          </w:p>
        </w:tc>
        <w:tc>
          <w:tcPr>
            <w:tcW w:w="896" w:type="dxa"/>
            <w:noWrap/>
            <w:vAlign w:val="center"/>
          </w:tcPr>
          <w:p w14:paraId="14941D24">
            <w:pPr>
              <w:widowControl/>
              <w:jc w:val="center"/>
              <w:rPr>
                <w:rFonts w:ascii="Times New Roman" w:hAnsi="Times New Roman"/>
                <w:b/>
                <w:bCs/>
                <w:kern w:val="0"/>
                <w:szCs w:val="21"/>
                <w:u w:val="single"/>
              </w:rPr>
            </w:pPr>
            <w:r>
              <w:rPr>
                <w:rFonts w:hint="eastAsia"/>
                <w:b/>
                <w:bCs/>
                <w:szCs w:val="21"/>
                <w:u w:val="single"/>
              </w:rPr>
              <w:t>氧化镉</w:t>
            </w:r>
          </w:p>
        </w:tc>
        <w:tc>
          <w:tcPr>
            <w:tcW w:w="896" w:type="dxa"/>
            <w:noWrap/>
            <w:vAlign w:val="center"/>
          </w:tcPr>
          <w:p w14:paraId="112E9831">
            <w:pPr>
              <w:widowControl/>
              <w:jc w:val="center"/>
              <w:rPr>
                <w:rFonts w:ascii="Times New Roman" w:hAnsi="Times New Roman"/>
                <w:b/>
                <w:bCs/>
                <w:kern w:val="0"/>
                <w:szCs w:val="21"/>
                <w:u w:val="single"/>
              </w:rPr>
            </w:pPr>
            <w:r>
              <w:rPr>
                <w:rFonts w:hint="eastAsia"/>
                <w:b/>
                <w:bCs/>
                <w:szCs w:val="21"/>
                <w:u w:val="single"/>
              </w:rPr>
              <w:t>五氧化二磷</w:t>
            </w:r>
          </w:p>
        </w:tc>
        <w:tc>
          <w:tcPr>
            <w:tcW w:w="896" w:type="dxa"/>
            <w:noWrap/>
            <w:vAlign w:val="center"/>
          </w:tcPr>
          <w:p w14:paraId="4391466C">
            <w:pPr>
              <w:widowControl/>
              <w:jc w:val="center"/>
              <w:rPr>
                <w:rFonts w:ascii="Times New Roman" w:hAnsi="Times New Roman"/>
                <w:b/>
                <w:bCs/>
                <w:kern w:val="0"/>
                <w:szCs w:val="21"/>
                <w:u w:val="single"/>
              </w:rPr>
            </w:pPr>
            <w:r>
              <w:rPr>
                <w:rFonts w:hint="eastAsia"/>
                <w:b/>
                <w:bCs/>
                <w:szCs w:val="21"/>
                <w:u w:val="single"/>
              </w:rPr>
              <w:t>三氧化硫</w:t>
            </w:r>
          </w:p>
        </w:tc>
      </w:tr>
      <w:tr w14:paraId="34B5C1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78" w:type="dxa"/>
            <w:noWrap/>
            <w:vAlign w:val="center"/>
          </w:tcPr>
          <w:p w14:paraId="4E142A07">
            <w:pPr>
              <w:widowControl/>
              <w:jc w:val="center"/>
              <w:rPr>
                <w:rFonts w:ascii="Times New Roman" w:hAnsi="Times New Roman"/>
                <w:kern w:val="0"/>
                <w:szCs w:val="21"/>
                <w:u w:val="single"/>
              </w:rPr>
            </w:pPr>
            <w:r>
              <w:rPr>
                <w:rFonts w:hint="eastAsia" w:ascii="Times New Roman" w:hAnsi="Times New Roman"/>
                <w:kern w:val="0"/>
                <w:szCs w:val="21"/>
                <w:u w:val="single"/>
              </w:rPr>
              <w:t>占比</w:t>
            </w:r>
          </w:p>
        </w:tc>
        <w:tc>
          <w:tcPr>
            <w:tcW w:w="895" w:type="dxa"/>
            <w:noWrap/>
            <w:vAlign w:val="center"/>
          </w:tcPr>
          <w:p w14:paraId="769D2C80">
            <w:pPr>
              <w:widowControl/>
              <w:jc w:val="center"/>
              <w:rPr>
                <w:rFonts w:ascii="Times New Roman" w:hAnsi="Times New Roman"/>
                <w:kern w:val="0"/>
                <w:szCs w:val="21"/>
                <w:u w:val="single"/>
              </w:rPr>
            </w:pPr>
            <w:r>
              <w:rPr>
                <w:rFonts w:ascii="Times New Roman" w:hAnsi="Times New Roman" w:eastAsia="等线"/>
                <w:szCs w:val="21"/>
                <w:u w:val="single"/>
              </w:rPr>
              <w:t>39.43</w:t>
            </w:r>
          </w:p>
        </w:tc>
        <w:tc>
          <w:tcPr>
            <w:tcW w:w="896" w:type="dxa"/>
            <w:noWrap/>
            <w:vAlign w:val="center"/>
          </w:tcPr>
          <w:p w14:paraId="06C1222A">
            <w:pPr>
              <w:widowControl/>
              <w:jc w:val="center"/>
              <w:rPr>
                <w:rFonts w:ascii="Times New Roman" w:hAnsi="Times New Roman"/>
                <w:kern w:val="0"/>
                <w:szCs w:val="21"/>
                <w:u w:val="single"/>
              </w:rPr>
            </w:pPr>
            <w:r>
              <w:rPr>
                <w:rFonts w:ascii="Times New Roman" w:hAnsi="Times New Roman" w:eastAsia="等线"/>
                <w:szCs w:val="21"/>
                <w:u w:val="single"/>
              </w:rPr>
              <w:t>1.65</w:t>
            </w:r>
          </w:p>
        </w:tc>
        <w:tc>
          <w:tcPr>
            <w:tcW w:w="896" w:type="dxa"/>
            <w:noWrap/>
            <w:vAlign w:val="center"/>
          </w:tcPr>
          <w:p w14:paraId="3A485BE2">
            <w:pPr>
              <w:widowControl/>
              <w:jc w:val="center"/>
              <w:rPr>
                <w:rFonts w:ascii="Times New Roman" w:hAnsi="Times New Roman"/>
                <w:kern w:val="0"/>
                <w:szCs w:val="21"/>
                <w:u w:val="single"/>
              </w:rPr>
            </w:pPr>
            <w:r>
              <w:rPr>
                <w:rFonts w:ascii="Times New Roman" w:hAnsi="Times New Roman" w:eastAsia="等线"/>
                <w:szCs w:val="21"/>
                <w:u w:val="single"/>
              </w:rPr>
              <w:t>0.05</w:t>
            </w:r>
          </w:p>
        </w:tc>
        <w:tc>
          <w:tcPr>
            <w:tcW w:w="896" w:type="dxa"/>
            <w:noWrap/>
            <w:vAlign w:val="center"/>
          </w:tcPr>
          <w:p w14:paraId="04F9B08A">
            <w:pPr>
              <w:widowControl/>
              <w:jc w:val="center"/>
              <w:rPr>
                <w:rFonts w:ascii="Times New Roman" w:hAnsi="Times New Roman"/>
                <w:kern w:val="0"/>
                <w:szCs w:val="21"/>
                <w:u w:val="single"/>
              </w:rPr>
            </w:pPr>
            <w:r>
              <w:rPr>
                <w:rFonts w:ascii="Times New Roman" w:hAnsi="Times New Roman" w:eastAsia="等线"/>
                <w:szCs w:val="21"/>
                <w:u w:val="single"/>
              </w:rPr>
              <w:t>0.01</w:t>
            </w:r>
          </w:p>
        </w:tc>
        <w:tc>
          <w:tcPr>
            <w:tcW w:w="895" w:type="dxa"/>
            <w:noWrap/>
            <w:vAlign w:val="center"/>
          </w:tcPr>
          <w:p w14:paraId="79F663E3">
            <w:pPr>
              <w:widowControl/>
              <w:jc w:val="center"/>
              <w:rPr>
                <w:rFonts w:ascii="Times New Roman" w:hAnsi="Times New Roman"/>
                <w:kern w:val="0"/>
                <w:szCs w:val="21"/>
                <w:u w:val="single"/>
              </w:rPr>
            </w:pPr>
            <w:r>
              <w:rPr>
                <w:rFonts w:ascii="Times New Roman" w:hAnsi="Times New Roman" w:eastAsia="等线"/>
                <w:szCs w:val="21"/>
                <w:u w:val="single"/>
              </w:rPr>
              <w:t>0.04</w:t>
            </w:r>
          </w:p>
        </w:tc>
        <w:tc>
          <w:tcPr>
            <w:tcW w:w="896" w:type="dxa"/>
            <w:noWrap/>
            <w:vAlign w:val="center"/>
          </w:tcPr>
          <w:p w14:paraId="7C62FFC9">
            <w:pPr>
              <w:widowControl/>
              <w:jc w:val="center"/>
              <w:rPr>
                <w:rFonts w:ascii="Times New Roman" w:hAnsi="Times New Roman"/>
                <w:kern w:val="0"/>
                <w:szCs w:val="21"/>
                <w:u w:val="single"/>
              </w:rPr>
            </w:pPr>
            <w:r>
              <w:rPr>
                <w:rFonts w:ascii="Times New Roman" w:hAnsi="Times New Roman" w:eastAsia="等线"/>
                <w:szCs w:val="21"/>
                <w:u w:val="single"/>
              </w:rPr>
              <w:t>1.41</w:t>
            </w:r>
          </w:p>
        </w:tc>
        <w:tc>
          <w:tcPr>
            <w:tcW w:w="896" w:type="dxa"/>
            <w:noWrap/>
            <w:vAlign w:val="center"/>
          </w:tcPr>
          <w:p w14:paraId="7CFBB9D4">
            <w:pPr>
              <w:widowControl/>
              <w:jc w:val="center"/>
              <w:rPr>
                <w:rFonts w:ascii="Times New Roman" w:hAnsi="Times New Roman"/>
                <w:kern w:val="0"/>
                <w:szCs w:val="21"/>
                <w:u w:val="single"/>
              </w:rPr>
            </w:pPr>
            <w:r>
              <w:rPr>
                <w:rFonts w:ascii="Times New Roman" w:hAnsi="Times New Roman" w:eastAsia="等线"/>
                <w:szCs w:val="21"/>
                <w:u w:val="single"/>
              </w:rPr>
              <w:t>0.01</w:t>
            </w:r>
          </w:p>
        </w:tc>
        <w:tc>
          <w:tcPr>
            <w:tcW w:w="896" w:type="dxa"/>
            <w:noWrap/>
            <w:vAlign w:val="center"/>
          </w:tcPr>
          <w:p w14:paraId="6014E4F0">
            <w:pPr>
              <w:widowControl/>
              <w:jc w:val="center"/>
              <w:rPr>
                <w:rFonts w:ascii="Times New Roman" w:hAnsi="Times New Roman"/>
                <w:kern w:val="0"/>
                <w:szCs w:val="21"/>
                <w:u w:val="single"/>
              </w:rPr>
            </w:pPr>
            <w:r>
              <w:rPr>
                <w:rFonts w:ascii="Times New Roman" w:hAnsi="Times New Roman" w:eastAsia="等线"/>
                <w:szCs w:val="21"/>
                <w:u w:val="single"/>
              </w:rPr>
              <w:t>0.18</w:t>
            </w:r>
          </w:p>
        </w:tc>
        <w:tc>
          <w:tcPr>
            <w:tcW w:w="896" w:type="dxa"/>
            <w:noWrap/>
            <w:vAlign w:val="center"/>
          </w:tcPr>
          <w:p w14:paraId="1C9FACD2">
            <w:pPr>
              <w:widowControl/>
              <w:jc w:val="center"/>
              <w:rPr>
                <w:rFonts w:ascii="Times New Roman" w:hAnsi="Times New Roman"/>
                <w:kern w:val="0"/>
                <w:szCs w:val="21"/>
                <w:u w:val="single"/>
              </w:rPr>
            </w:pPr>
            <w:r>
              <w:rPr>
                <w:rFonts w:ascii="Times New Roman" w:hAnsi="Times New Roman" w:eastAsia="等线"/>
                <w:szCs w:val="21"/>
                <w:u w:val="single"/>
              </w:rPr>
              <w:t>0.01</w:t>
            </w:r>
          </w:p>
        </w:tc>
      </w:tr>
      <w:tr w14:paraId="2C5672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78" w:type="dxa"/>
            <w:noWrap/>
            <w:vAlign w:val="center"/>
          </w:tcPr>
          <w:p w14:paraId="3BD74F00">
            <w:pPr>
              <w:widowControl/>
              <w:jc w:val="center"/>
              <w:rPr>
                <w:rFonts w:ascii="Times New Roman" w:hAnsi="Times New Roman"/>
                <w:kern w:val="0"/>
                <w:szCs w:val="21"/>
                <w:u w:val="single"/>
              </w:rPr>
            </w:pPr>
            <w:r>
              <w:rPr>
                <w:rFonts w:hint="eastAsia" w:ascii="Times New Roman" w:hAnsi="Times New Roman"/>
                <w:b/>
                <w:bCs/>
                <w:kern w:val="0"/>
                <w:szCs w:val="21"/>
                <w:u w:val="single"/>
              </w:rPr>
              <w:t>成分</w:t>
            </w:r>
          </w:p>
        </w:tc>
        <w:tc>
          <w:tcPr>
            <w:tcW w:w="895" w:type="dxa"/>
            <w:noWrap/>
            <w:vAlign w:val="center"/>
          </w:tcPr>
          <w:p w14:paraId="4DFE81D3">
            <w:pPr>
              <w:widowControl/>
              <w:jc w:val="center"/>
              <w:rPr>
                <w:rFonts w:ascii="Times New Roman" w:hAnsi="Times New Roman"/>
                <w:b/>
                <w:bCs/>
                <w:kern w:val="0"/>
                <w:szCs w:val="21"/>
                <w:u w:val="single"/>
              </w:rPr>
            </w:pPr>
            <w:r>
              <w:rPr>
                <w:rFonts w:hint="eastAsia"/>
                <w:b/>
                <w:bCs/>
                <w:szCs w:val="21"/>
                <w:u w:val="single"/>
              </w:rPr>
              <w:t>三氧化二铬</w:t>
            </w:r>
          </w:p>
        </w:tc>
        <w:tc>
          <w:tcPr>
            <w:tcW w:w="896" w:type="dxa"/>
            <w:noWrap/>
            <w:vAlign w:val="center"/>
          </w:tcPr>
          <w:p w14:paraId="37C758CA">
            <w:pPr>
              <w:widowControl/>
              <w:jc w:val="center"/>
              <w:rPr>
                <w:rFonts w:ascii="Times New Roman" w:hAnsi="Times New Roman"/>
                <w:b/>
                <w:bCs/>
                <w:kern w:val="0"/>
                <w:szCs w:val="21"/>
                <w:u w:val="single"/>
              </w:rPr>
            </w:pPr>
            <w:r>
              <w:rPr>
                <w:rFonts w:hint="eastAsia"/>
                <w:b/>
                <w:bCs/>
                <w:szCs w:val="21"/>
                <w:u w:val="single"/>
              </w:rPr>
              <w:t>一氧化镍</w:t>
            </w:r>
          </w:p>
        </w:tc>
        <w:tc>
          <w:tcPr>
            <w:tcW w:w="896" w:type="dxa"/>
            <w:noWrap/>
            <w:vAlign w:val="center"/>
          </w:tcPr>
          <w:p w14:paraId="75A60EC1">
            <w:pPr>
              <w:widowControl/>
              <w:jc w:val="center"/>
              <w:rPr>
                <w:rFonts w:ascii="Times New Roman" w:hAnsi="Times New Roman"/>
                <w:b/>
                <w:bCs/>
                <w:kern w:val="0"/>
                <w:szCs w:val="21"/>
                <w:u w:val="single"/>
              </w:rPr>
            </w:pPr>
            <w:r>
              <w:rPr>
                <w:rFonts w:hint="eastAsia"/>
                <w:b/>
                <w:bCs/>
                <w:szCs w:val="21"/>
                <w:u w:val="single"/>
              </w:rPr>
              <w:t>一氧化钴</w:t>
            </w:r>
          </w:p>
        </w:tc>
        <w:tc>
          <w:tcPr>
            <w:tcW w:w="896" w:type="dxa"/>
            <w:noWrap/>
            <w:vAlign w:val="center"/>
          </w:tcPr>
          <w:p w14:paraId="7E90E5FD">
            <w:pPr>
              <w:widowControl/>
              <w:jc w:val="center"/>
              <w:rPr>
                <w:rFonts w:ascii="Times New Roman" w:hAnsi="Times New Roman"/>
                <w:b/>
                <w:bCs/>
                <w:kern w:val="0"/>
                <w:szCs w:val="21"/>
                <w:u w:val="single"/>
              </w:rPr>
            </w:pPr>
            <w:r>
              <w:rPr>
                <w:rFonts w:hint="eastAsia"/>
                <w:b/>
                <w:bCs/>
                <w:szCs w:val="21"/>
                <w:u w:val="single"/>
              </w:rPr>
              <w:t>氧化铜</w:t>
            </w:r>
          </w:p>
        </w:tc>
        <w:tc>
          <w:tcPr>
            <w:tcW w:w="895" w:type="dxa"/>
            <w:noWrap/>
            <w:vAlign w:val="center"/>
          </w:tcPr>
          <w:p w14:paraId="17D4200F">
            <w:pPr>
              <w:widowControl/>
              <w:jc w:val="center"/>
              <w:rPr>
                <w:rFonts w:ascii="Times New Roman" w:hAnsi="Times New Roman"/>
                <w:b/>
                <w:bCs/>
                <w:kern w:val="0"/>
                <w:szCs w:val="21"/>
                <w:u w:val="single"/>
              </w:rPr>
            </w:pPr>
            <w:r>
              <w:rPr>
                <w:rFonts w:hint="eastAsia"/>
                <w:b/>
                <w:bCs/>
                <w:szCs w:val="21"/>
                <w:u w:val="single"/>
              </w:rPr>
              <w:t>五氧化二铌</w:t>
            </w:r>
          </w:p>
        </w:tc>
        <w:tc>
          <w:tcPr>
            <w:tcW w:w="896" w:type="dxa"/>
            <w:noWrap/>
            <w:vAlign w:val="center"/>
          </w:tcPr>
          <w:p w14:paraId="3FDEB0BF">
            <w:pPr>
              <w:widowControl/>
              <w:jc w:val="center"/>
              <w:rPr>
                <w:rFonts w:ascii="Times New Roman" w:hAnsi="Times New Roman"/>
                <w:b/>
                <w:bCs/>
                <w:kern w:val="0"/>
                <w:szCs w:val="21"/>
                <w:u w:val="single"/>
              </w:rPr>
            </w:pPr>
            <w:r>
              <w:rPr>
                <w:rFonts w:hint="eastAsia"/>
                <w:b/>
                <w:bCs/>
                <w:szCs w:val="21"/>
                <w:u w:val="single"/>
              </w:rPr>
              <w:t>五氧化二钒</w:t>
            </w:r>
          </w:p>
        </w:tc>
        <w:tc>
          <w:tcPr>
            <w:tcW w:w="896" w:type="dxa"/>
            <w:noWrap/>
            <w:vAlign w:val="center"/>
          </w:tcPr>
          <w:p w14:paraId="5D2F6C4C">
            <w:pPr>
              <w:widowControl/>
              <w:jc w:val="center"/>
              <w:rPr>
                <w:rFonts w:ascii="Times New Roman" w:hAnsi="Times New Roman"/>
                <w:b/>
                <w:bCs/>
                <w:kern w:val="0"/>
                <w:szCs w:val="21"/>
                <w:u w:val="single"/>
              </w:rPr>
            </w:pPr>
            <w:r>
              <w:rPr>
                <w:rFonts w:hint="eastAsia"/>
                <w:b/>
                <w:bCs/>
                <w:szCs w:val="21"/>
                <w:u w:val="single"/>
              </w:rPr>
              <w:t>二氧化锡</w:t>
            </w:r>
          </w:p>
        </w:tc>
        <w:tc>
          <w:tcPr>
            <w:tcW w:w="896" w:type="dxa"/>
            <w:noWrap/>
            <w:vAlign w:val="center"/>
          </w:tcPr>
          <w:p w14:paraId="7F5A8270">
            <w:pPr>
              <w:widowControl/>
              <w:jc w:val="center"/>
              <w:rPr>
                <w:rFonts w:ascii="Times New Roman" w:hAnsi="Times New Roman"/>
                <w:b/>
                <w:bCs/>
                <w:kern w:val="0"/>
                <w:szCs w:val="21"/>
                <w:u w:val="single"/>
              </w:rPr>
            </w:pPr>
          </w:p>
        </w:tc>
        <w:tc>
          <w:tcPr>
            <w:tcW w:w="896" w:type="dxa"/>
            <w:noWrap/>
            <w:vAlign w:val="center"/>
          </w:tcPr>
          <w:p w14:paraId="4E4AF2EE">
            <w:pPr>
              <w:widowControl/>
              <w:jc w:val="center"/>
              <w:rPr>
                <w:rFonts w:ascii="Times New Roman" w:hAnsi="Times New Roman"/>
                <w:b/>
                <w:bCs/>
                <w:kern w:val="0"/>
                <w:szCs w:val="21"/>
                <w:u w:val="single"/>
              </w:rPr>
            </w:pPr>
          </w:p>
        </w:tc>
      </w:tr>
      <w:tr w14:paraId="22E3F0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78" w:type="dxa"/>
            <w:noWrap/>
            <w:vAlign w:val="center"/>
          </w:tcPr>
          <w:p w14:paraId="0B67CAEC">
            <w:pPr>
              <w:widowControl/>
              <w:jc w:val="center"/>
              <w:rPr>
                <w:rFonts w:ascii="Times New Roman" w:hAnsi="Times New Roman"/>
                <w:kern w:val="0"/>
                <w:szCs w:val="21"/>
                <w:u w:val="single"/>
              </w:rPr>
            </w:pPr>
            <w:r>
              <w:rPr>
                <w:rFonts w:hint="eastAsia" w:ascii="Times New Roman" w:hAnsi="Times New Roman"/>
                <w:kern w:val="0"/>
                <w:szCs w:val="21"/>
                <w:u w:val="single"/>
              </w:rPr>
              <w:t>占比</w:t>
            </w:r>
          </w:p>
        </w:tc>
        <w:tc>
          <w:tcPr>
            <w:tcW w:w="895" w:type="dxa"/>
            <w:noWrap/>
            <w:vAlign w:val="center"/>
          </w:tcPr>
          <w:p w14:paraId="27E082A6">
            <w:pPr>
              <w:widowControl/>
              <w:jc w:val="center"/>
              <w:rPr>
                <w:rFonts w:ascii="Times New Roman" w:hAnsi="Times New Roman"/>
                <w:kern w:val="0"/>
                <w:szCs w:val="21"/>
                <w:u w:val="single"/>
              </w:rPr>
            </w:pPr>
            <w:r>
              <w:rPr>
                <w:rFonts w:ascii="Times New Roman" w:hAnsi="Times New Roman" w:eastAsia="等线"/>
                <w:szCs w:val="21"/>
                <w:u w:val="single"/>
              </w:rPr>
              <w:t>0.04</w:t>
            </w:r>
          </w:p>
        </w:tc>
        <w:tc>
          <w:tcPr>
            <w:tcW w:w="896" w:type="dxa"/>
            <w:noWrap/>
            <w:vAlign w:val="center"/>
          </w:tcPr>
          <w:p w14:paraId="6B00D5A5">
            <w:pPr>
              <w:widowControl/>
              <w:jc w:val="center"/>
              <w:rPr>
                <w:rFonts w:ascii="Times New Roman" w:hAnsi="Times New Roman"/>
                <w:kern w:val="0"/>
                <w:szCs w:val="21"/>
                <w:u w:val="single"/>
              </w:rPr>
            </w:pPr>
            <w:r>
              <w:rPr>
                <w:rFonts w:ascii="Times New Roman" w:hAnsi="Times New Roman" w:eastAsia="等线"/>
                <w:szCs w:val="21"/>
                <w:u w:val="single"/>
              </w:rPr>
              <w:t>0.01</w:t>
            </w:r>
          </w:p>
        </w:tc>
        <w:tc>
          <w:tcPr>
            <w:tcW w:w="896" w:type="dxa"/>
            <w:noWrap/>
            <w:vAlign w:val="center"/>
          </w:tcPr>
          <w:p w14:paraId="1A1115C0">
            <w:pPr>
              <w:widowControl/>
              <w:jc w:val="center"/>
              <w:rPr>
                <w:rFonts w:ascii="Times New Roman" w:hAnsi="Times New Roman"/>
                <w:kern w:val="0"/>
                <w:szCs w:val="21"/>
                <w:u w:val="single"/>
              </w:rPr>
            </w:pPr>
            <w:r>
              <w:rPr>
                <w:rFonts w:ascii="Times New Roman" w:hAnsi="Times New Roman" w:eastAsia="等线"/>
                <w:szCs w:val="21"/>
                <w:u w:val="single"/>
              </w:rPr>
              <w:t>0.01</w:t>
            </w:r>
          </w:p>
        </w:tc>
        <w:tc>
          <w:tcPr>
            <w:tcW w:w="896" w:type="dxa"/>
            <w:noWrap/>
            <w:vAlign w:val="center"/>
          </w:tcPr>
          <w:p w14:paraId="1C7C3581">
            <w:pPr>
              <w:widowControl/>
              <w:jc w:val="center"/>
              <w:rPr>
                <w:rFonts w:ascii="Times New Roman" w:hAnsi="Times New Roman"/>
                <w:kern w:val="0"/>
                <w:szCs w:val="21"/>
                <w:u w:val="single"/>
              </w:rPr>
            </w:pPr>
            <w:r>
              <w:rPr>
                <w:rFonts w:ascii="Times New Roman" w:hAnsi="Times New Roman" w:eastAsia="等线"/>
                <w:szCs w:val="21"/>
                <w:u w:val="single"/>
              </w:rPr>
              <w:t>0.01</w:t>
            </w:r>
          </w:p>
        </w:tc>
        <w:tc>
          <w:tcPr>
            <w:tcW w:w="895" w:type="dxa"/>
            <w:noWrap/>
            <w:vAlign w:val="center"/>
          </w:tcPr>
          <w:p w14:paraId="641D45AA">
            <w:pPr>
              <w:widowControl/>
              <w:jc w:val="center"/>
              <w:rPr>
                <w:rFonts w:ascii="Times New Roman" w:hAnsi="Times New Roman"/>
                <w:kern w:val="0"/>
                <w:szCs w:val="21"/>
                <w:u w:val="single"/>
              </w:rPr>
            </w:pPr>
            <w:r>
              <w:rPr>
                <w:rFonts w:ascii="Times New Roman" w:hAnsi="Times New Roman" w:eastAsia="等线"/>
                <w:szCs w:val="21"/>
                <w:u w:val="single"/>
              </w:rPr>
              <w:t>0.08</w:t>
            </w:r>
          </w:p>
        </w:tc>
        <w:tc>
          <w:tcPr>
            <w:tcW w:w="896" w:type="dxa"/>
            <w:noWrap/>
            <w:vAlign w:val="center"/>
          </w:tcPr>
          <w:p w14:paraId="5206869D">
            <w:pPr>
              <w:widowControl/>
              <w:jc w:val="center"/>
              <w:rPr>
                <w:rFonts w:ascii="Times New Roman" w:hAnsi="Times New Roman"/>
                <w:kern w:val="0"/>
                <w:szCs w:val="21"/>
                <w:u w:val="single"/>
              </w:rPr>
            </w:pPr>
            <w:r>
              <w:rPr>
                <w:rFonts w:ascii="Times New Roman" w:hAnsi="Times New Roman" w:eastAsia="等线"/>
                <w:szCs w:val="21"/>
                <w:u w:val="single"/>
              </w:rPr>
              <w:t>0.07</w:t>
            </w:r>
          </w:p>
        </w:tc>
        <w:tc>
          <w:tcPr>
            <w:tcW w:w="896" w:type="dxa"/>
            <w:noWrap/>
            <w:vAlign w:val="center"/>
          </w:tcPr>
          <w:p w14:paraId="5F67188A">
            <w:pPr>
              <w:widowControl/>
              <w:jc w:val="center"/>
              <w:rPr>
                <w:rFonts w:ascii="Times New Roman" w:hAnsi="Times New Roman"/>
                <w:kern w:val="0"/>
                <w:szCs w:val="21"/>
                <w:u w:val="single"/>
              </w:rPr>
            </w:pPr>
            <w:r>
              <w:rPr>
                <w:rFonts w:ascii="Times New Roman" w:hAnsi="Times New Roman" w:eastAsia="等线"/>
                <w:szCs w:val="21"/>
                <w:u w:val="single"/>
              </w:rPr>
              <w:t>0.01</w:t>
            </w:r>
          </w:p>
        </w:tc>
        <w:tc>
          <w:tcPr>
            <w:tcW w:w="896" w:type="dxa"/>
            <w:noWrap/>
            <w:vAlign w:val="center"/>
          </w:tcPr>
          <w:p w14:paraId="1125485E">
            <w:pPr>
              <w:widowControl/>
              <w:jc w:val="center"/>
              <w:rPr>
                <w:rFonts w:ascii="Times New Roman" w:hAnsi="Times New Roman"/>
                <w:kern w:val="0"/>
                <w:szCs w:val="21"/>
                <w:u w:val="single"/>
              </w:rPr>
            </w:pPr>
          </w:p>
        </w:tc>
        <w:tc>
          <w:tcPr>
            <w:tcW w:w="896" w:type="dxa"/>
            <w:noWrap/>
            <w:vAlign w:val="center"/>
          </w:tcPr>
          <w:p w14:paraId="5E55F6A5">
            <w:pPr>
              <w:widowControl/>
              <w:jc w:val="center"/>
              <w:rPr>
                <w:rFonts w:ascii="Times New Roman" w:hAnsi="Times New Roman"/>
                <w:kern w:val="0"/>
                <w:szCs w:val="21"/>
                <w:u w:val="single"/>
              </w:rPr>
            </w:pPr>
          </w:p>
        </w:tc>
      </w:tr>
    </w:tbl>
    <w:p w14:paraId="1D801A2D">
      <w:pPr>
        <w:tabs>
          <w:tab w:val="center" w:pos="4693"/>
        </w:tabs>
        <w:adjustRightInd w:val="0"/>
        <w:snapToGrid w:val="0"/>
        <w:spacing w:line="360" w:lineRule="auto"/>
        <w:ind w:firstLine="472" w:firstLineChars="200"/>
        <w:rPr>
          <w:rFonts w:ascii="Times New Roman" w:hAnsi="Times New Roman"/>
          <w:spacing w:val="-2"/>
          <w:kern w:val="0"/>
          <w:sz w:val="24"/>
          <w:szCs w:val="24"/>
        </w:rPr>
      </w:pPr>
    </w:p>
    <w:p w14:paraId="5678F14F">
      <w:pPr>
        <w:tabs>
          <w:tab w:val="center" w:pos="4693"/>
        </w:tabs>
        <w:adjustRightInd w:val="0"/>
        <w:snapToGrid w:val="0"/>
        <w:spacing w:line="360" w:lineRule="auto"/>
        <w:ind w:firstLine="472" w:firstLineChars="200"/>
        <w:rPr>
          <w:rFonts w:ascii="Times New Roman" w:hAnsi="Times New Roman"/>
          <w:spacing w:val="-2"/>
          <w:kern w:val="0"/>
          <w:sz w:val="24"/>
          <w:szCs w:val="24"/>
          <w:u w:val="single"/>
        </w:rPr>
      </w:pPr>
      <w:r>
        <w:rPr>
          <w:rFonts w:hint="eastAsia" w:ascii="Times New Roman" w:hAnsi="Times New Roman"/>
          <w:spacing w:val="-2"/>
          <w:kern w:val="0"/>
          <w:sz w:val="24"/>
          <w:szCs w:val="24"/>
          <w:u w:val="single"/>
        </w:rPr>
        <w:t>毛矿中钛、铁、锆、硅、锡等元素主要以化合态存在，上海佰特锐新能源材料有限公司毛矿的全量分析的金属化合态占比见表2.1-5，换算为金属单元素的占比后，毛矿中主要金属元素的比例见表2.1-6。</w:t>
      </w:r>
    </w:p>
    <w:p w14:paraId="78CE500B">
      <w:pPr>
        <w:pStyle w:val="8"/>
        <w:rPr>
          <w:sz w:val="24"/>
          <w:szCs w:val="24"/>
          <w:u w:val="single"/>
        </w:rPr>
      </w:pPr>
      <w:r>
        <w:rPr>
          <w:rFonts w:hint="eastAsia"/>
          <w:sz w:val="24"/>
          <w:szCs w:val="24"/>
          <w:u w:val="single"/>
        </w:rPr>
        <w:t>百特锐</w:t>
      </w:r>
      <w:r>
        <w:rPr>
          <w:sz w:val="24"/>
          <w:szCs w:val="24"/>
          <w:u w:val="single"/>
        </w:rPr>
        <w:t>毛矿</w:t>
      </w:r>
      <w:r>
        <w:rPr>
          <w:rFonts w:hint="eastAsia"/>
          <w:sz w:val="24"/>
          <w:szCs w:val="24"/>
          <w:u w:val="single"/>
        </w:rPr>
        <w:t>金属化合态占比情况</w:t>
      </w:r>
      <w:r>
        <w:rPr>
          <w:sz w:val="24"/>
          <w:szCs w:val="24"/>
          <w:u w:val="single"/>
        </w:rPr>
        <w:t>表（%）</w:t>
      </w:r>
    </w:p>
    <w:tbl>
      <w:tblPr>
        <w:tblStyle w:val="88"/>
        <w:tblW w:w="928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86"/>
        <w:gridCol w:w="1266"/>
        <w:gridCol w:w="1267"/>
        <w:gridCol w:w="1267"/>
        <w:gridCol w:w="1266"/>
        <w:gridCol w:w="1267"/>
        <w:gridCol w:w="1267"/>
      </w:tblGrid>
      <w:tr w14:paraId="5FE934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86" w:type="dxa"/>
            <w:vAlign w:val="center"/>
          </w:tcPr>
          <w:p w14:paraId="1DE1A8DD">
            <w:pPr>
              <w:widowControl/>
              <w:jc w:val="center"/>
              <w:rPr>
                <w:rFonts w:ascii="Times New Roman" w:hAnsi="Times New Roman"/>
                <w:b/>
                <w:bCs/>
                <w:spacing w:val="-2"/>
                <w:kern w:val="0"/>
                <w:szCs w:val="21"/>
                <w:u w:val="single"/>
              </w:rPr>
            </w:pPr>
            <w:r>
              <w:rPr>
                <w:rFonts w:hint="eastAsia" w:ascii="Times New Roman" w:hAnsi="Times New Roman"/>
                <w:b/>
                <w:bCs/>
                <w:spacing w:val="-2"/>
                <w:kern w:val="0"/>
                <w:szCs w:val="21"/>
                <w:u w:val="single"/>
              </w:rPr>
              <w:t>主要金属化合态</w:t>
            </w:r>
          </w:p>
        </w:tc>
        <w:tc>
          <w:tcPr>
            <w:tcW w:w="1266" w:type="dxa"/>
            <w:vAlign w:val="center"/>
          </w:tcPr>
          <w:p w14:paraId="7517EB4B">
            <w:pPr>
              <w:widowControl/>
              <w:jc w:val="center"/>
              <w:rPr>
                <w:rFonts w:ascii="Times New Roman" w:hAnsi="Times New Roman"/>
                <w:b/>
                <w:bCs/>
                <w:spacing w:val="-2"/>
                <w:kern w:val="0"/>
                <w:szCs w:val="21"/>
                <w:u w:val="single"/>
              </w:rPr>
            </w:pPr>
            <w:r>
              <w:rPr>
                <w:rFonts w:hint="eastAsia" w:ascii="Times New Roman" w:hAnsi="Times New Roman"/>
                <w:b/>
                <w:bCs/>
                <w:spacing w:val="-2"/>
                <w:kern w:val="0"/>
                <w:szCs w:val="21"/>
                <w:u w:val="single"/>
              </w:rPr>
              <w:t>二氧化</w:t>
            </w:r>
            <w:r>
              <w:rPr>
                <w:rFonts w:ascii="Times New Roman" w:hAnsi="Times New Roman"/>
                <w:b/>
                <w:bCs/>
                <w:spacing w:val="-2"/>
                <w:kern w:val="0"/>
                <w:szCs w:val="21"/>
                <w:u w:val="single"/>
              </w:rPr>
              <w:t>钛（Ti</w:t>
            </w:r>
            <w:r>
              <w:rPr>
                <w:rFonts w:hint="eastAsia" w:ascii="Times New Roman" w:hAnsi="Times New Roman"/>
                <w:b/>
                <w:bCs/>
                <w:spacing w:val="-2"/>
                <w:kern w:val="0"/>
                <w:szCs w:val="21"/>
                <w:u w:val="single"/>
              </w:rPr>
              <w:t>O</w:t>
            </w:r>
            <w:r>
              <w:rPr>
                <w:rFonts w:hint="eastAsia" w:ascii="Times New Roman" w:hAnsi="Times New Roman"/>
                <w:b/>
                <w:bCs/>
                <w:spacing w:val="-2"/>
                <w:kern w:val="0"/>
                <w:szCs w:val="21"/>
                <w:u w:val="single"/>
                <w:vertAlign w:val="subscript"/>
              </w:rPr>
              <w:t>2</w:t>
            </w:r>
            <w:r>
              <w:rPr>
                <w:rFonts w:ascii="Times New Roman" w:hAnsi="Times New Roman"/>
                <w:b/>
                <w:bCs/>
                <w:spacing w:val="-2"/>
                <w:kern w:val="0"/>
                <w:szCs w:val="21"/>
                <w:u w:val="single"/>
              </w:rPr>
              <w:t>）</w:t>
            </w:r>
          </w:p>
        </w:tc>
        <w:tc>
          <w:tcPr>
            <w:tcW w:w="1267" w:type="dxa"/>
            <w:vAlign w:val="center"/>
          </w:tcPr>
          <w:p w14:paraId="31AA8140">
            <w:pPr>
              <w:widowControl/>
              <w:jc w:val="center"/>
              <w:rPr>
                <w:rFonts w:ascii="Times New Roman" w:hAnsi="Times New Roman"/>
                <w:b/>
                <w:bCs/>
                <w:spacing w:val="-2"/>
                <w:kern w:val="0"/>
                <w:szCs w:val="21"/>
                <w:u w:val="single"/>
              </w:rPr>
            </w:pPr>
            <w:r>
              <w:rPr>
                <w:rFonts w:hint="eastAsia" w:ascii="Times New Roman" w:hAnsi="Times New Roman"/>
                <w:b/>
                <w:bCs/>
                <w:spacing w:val="-2"/>
                <w:kern w:val="0"/>
                <w:szCs w:val="21"/>
                <w:u w:val="single"/>
              </w:rPr>
              <w:t>全</w:t>
            </w:r>
            <w:r>
              <w:rPr>
                <w:rFonts w:ascii="Times New Roman" w:hAnsi="Times New Roman"/>
                <w:b/>
                <w:bCs/>
                <w:spacing w:val="-2"/>
                <w:kern w:val="0"/>
                <w:szCs w:val="21"/>
                <w:u w:val="single"/>
              </w:rPr>
              <w:t>铁（</w:t>
            </w:r>
            <w:r>
              <w:rPr>
                <w:rFonts w:hint="eastAsia" w:ascii="Times New Roman" w:hAnsi="Times New Roman"/>
                <w:b/>
                <w:bCs/>
                <w:spacing w:val="-2"/>
                <w:kern w:val="0"/>
                <w:szCs w:val="21"/>
                <w:u w:val="single"/>
              </w:rPr>
              <w:t>T</w:t>
            </w:r>
            <w:r>
              <w:rPr>
                <w:rFonts w:ascii="Times New Roman" w:hAnsi="Times New Roman"/>
                <w:b/>
                <w:bCs/>
                <w:spacing w:val="-2"/>
                <w:kern w:val="0"/>
                <w:szCs w:val="21"/>
                <w:u w:val="single"/>
              </w:rPr>
              <w:t>Fe）</w:t>
            </w:r>
          </w:p>
        </w:tc>
        <w:tc>
          <w:tcPr>
            <w:tcW w:w="1267" w:type="dxa"/>
            <w:vAlign w:val="center"/>
          </w:tcPr>
          <w:p w14:paraId="752D4864">
            <w:pPr>
              <w:widowControl/>
              <w:jc w:val="center"/>
              <w:rPr>
                <w:rFonts w:ascii="Times New Roman" w:hAnsi="Times New Roman"/>
                <w:b/>
                <w:bCs/>
                <w:spacing w:val="-2"/>
                <w:kern w:val="0"/>
                <w:szCs w:val="21"/>
                <w:u w:val="single"/>
              </w:rPr>
            </w:pPr>
            <w:r>
              <w:rPr>
                <w:rFonts w:hint="eastAsia" w:ascii="Times New Roman" w:hAnsi="Times New Roman"/>
                <w:b/>
                <w:bCs/>
                <w:spacing w:val="-2"/>
                <w:kern w:val="0"/>
                <w:szCs w:val="21"/>
                <w:u w:val="single"/>
              </w:rPr>
              <w:t>二氧化</w:t>
            </w:r>
            <w:r>
              <w:rPr>
                <w:rFonts w:ascii="Times New Roman" w:hAnsi="Times New Roman"/>
                <w:b/>
                <w:bCs/>
                <w:spacing w:val="-2"/>
                <w:kern w:val="0"/>
                <w:szCs w:val="21"/>
                <w:u w:val="single"/>
              </w:rPr>
              <w:t>锆（Zr</w:t>
            </w:r>
            <w:r>
              <w:rPr>
                <w:rFonts w:hint="eastAsia" w:ascii="Times New Roman" w:hAnsi="Times New Roman"/>
                <w:b/>
                <w:bCs/>
                <w:spacing w:val="-2"/>
                <w:kern w:val="0"/>
                <w:szCs w:val="21"/>
                <w:u w:val="single"/>
              </w:rPr>
              <w:t>O</w:t>
            </w:r>
            <w:r>
              <w:rPr>
                <w:rFonts w:hint="eastAsia" w:ascii="Times New Roman" w:hAnsi="Times New Roman"/>
                <w:b/>
                <w:bCs/>
                <w:spacing w:val="-2"/>
                <w:kern w:val="0"/>
                <w:szCs w:val="21"/>
                <w:u w:val="single"/>
                <w:vertAlign w:val="subscript"/>
              </w:rPr>
              <w:t>2</w:t>
            </w:r>
            <w:r>
              <w:rPr>
                <w:rFonts w:ascii="Times New Roman" w:hAnsi="Times New Roman"/>
                <w:b/>
                <w:bCs/>
                <w:spacing w:val="-2"/>
                <w:kern w:val="0"/>
                <w:szCs w:val="21"/>
                <w:u w:val="single"/>
              </w:rPr>
              <w:t>）</w:t>
            </w:r>
          </w:p>
        </w:tc>
        <w:tc>
          <w:tcPr>
            <w:tcW w:w="1266" w:type="dxa"/>
            <w:vAlign w:val="center"/>
          </w:tcPr>
          <w:p w14:paraId="653F23DB">
            <w:pPr>
              <w:widowControl/>
              <w:jc w:val="center"/>
              <w:rPr>
                <w:rFonts w:ascii="Times New Roman" w:hAnsi="Times New Roman"/>
                <w:b/>
                <w:bCs/>
                <w:spacing w:val="-2"/>
                <w:kern w:val="0"/>
                <w:szCs w:val="21"/>
                <w:u w:val="single"/>
              </w:rPr>
            </w:pPr>
            <w:r>
              <w:rPr>
                <w:rFonts w:hint="eastAsia" w:ascii="Times New Roman" w:hAnsi="Times New Roman"/>
                <w:b/>
                <w:bCs/>
                <w:spacing w:val="-2"/>
                <w:kern w:val="0"/>
                <w:szCs w:val="21"/>
                <w:u w:val="single"/>
              </w:rPr>
              <w:t>二氧化</w:t>
            </w:r>
            <w:r>
              <w:rPr>
                <w:rFonts w:ascii="Times New Roman" w:hAnsi="Times New Roman"/>
                <w:b/>
                <w:bCs/>
                <w:spacing w:val="-2"/>
                <w:kern w:val="0"/>
                <w:szCs w:val="21"/>
                <w:u w:val="single"/>
              </w:rPr>
              <w:t>硅（Si</w:t>
            </w:r>
            <w:r>
              <w:rPr>
                <w:rFonts w:hint="eastAsia" w:ascii="Times New Roman" w:hAnsi="Times New Roman"/>
                <w:b/>
                <w:bCs/>
                <w:spacing w:val="-2"/>
                <w:kern w:val="0"/>
                <w:szCs w:val="21"/>
                <w:u w:val="single"/>
              </w:rPr>
              <w:t>O</w:t>
            </w:r>
            <w:r>
              <w:rPr>
                <w:rFonts w:hint="eastAsia" w:ascii="Times New Roman" w:hAnsi="Times New Roman"/>
                <w:b/>
                <w:bCs/>
                <w:spacing w:val="-2"/>
                <w:kern w:val="0"/>
                <w:szCs w:val="21"/>
                <w:u w:val="single"/>
                <w:vertAlign w:val="subscript"/>
              </w:rPr>
              <w:t>2</w:t>
            </w:r>
            <w:r>
              <w:rPr>
                <w:rFonts w:ascii="Times New Roman" w:hAnsi="Times New Roman"/>
                <w:b/>
                <w:bCs/>
                <w:spacing w:val="-2"/>
                <w:kern w:val="0"/>
                <w:szCs w:val="21"/>
                <w:u w:val="single"/>
              </w:rPr>
              <w:t>）</w:t>
            </w:r>
          </w:p>
        </w:tc>
        <w:tc>
          <w:tcPr>
            <w:tcW w:w="1267" w:type="dxa"/>
            <w:tcBorders>
              <w:right w:val="single" w:color="auto" w:sz="4" w:space="0"/>
            </w:tcBorders>
            <w:vAlign w:val="center"/>
          </w:tcPr>
          <w:p w14:paraId="424F6864">
            <w:pPr>
              <w:widowControl/>
              <w:jc w:val="center"/>
              <w:rPr>
                <w:rFonts w:ascii="Times New Roman" w:hAnsi="Times New Roman"/>
                <w:b/>
                <w:bCs/>
                <w:spacing w:val="-2"/>
                <w:kern w:val="0"/>
                <w:szCs w:val="21"/>
                <w:u w:val="single"/>
              </w:rPr>
            </w:pPr>
            <w:r>
              <w:rPr>
                <w:rFonts w:hint="eastAsia" w:ascii="Times New Roman" w:hAnsi="Times New Roman"/>
                <w:b/>
                <w:bCs/>
                <w:spacing w:val="-2"/>
                <w:kern w:val="0"/>
                <w:szCs w:val="21"/>
                <w:u w:val="single"/>
              </w:rPr>
              <w:t>二氧化</w:t>
            </w:r>
            <w:r>
              <w:rPr>
                <w:rFonts w:ascii="Times New Roman" w:hAnsi="Times New Roman"/>
                <w:b/>
                <w:bCs/>
                <w:spacing w:val="-2"/>
                <w:kern w:val="0"/>
                <w:szCs w:val="21"/>
                <w:u w:val="single"/>
              </w:rPr>
              <w:t>锡（Sn</w:t>
            </w:r>
            <w:r>
              <w:rPr>
                <w:rFonts w:hint="eastAsia" w:ascii="Times New Roman" w:hAnsi="Times New Roman"/>
                <w:b/>
                <w:bCs/>
                <w:spacing w:val="-2"/>
                <w:kern w:val="0"/>
                <w:szCs w:val="21"/>
                <w:u w:val="single"/>
              </w:rPr>
              <w:t>O</w:t>
            </w:r>
            <w:r>
              <w:rPr>
                <w:rFonts w:hint="eastAsia" w:ascii="Times New Roman" w:hAnsi="Times New Roman"/>
                <w:b/>
                <w:bCs/>
                <w:spacing w:val="-2"/>
                <w:kern w:val="0"/>
                <w:szCs w:val="21"/>
                <w:u w:val="single"/>
                <w:vertAlign w:val="subscript"/>
              </w:rPr>
              <w:t>2</w:t>
            </w:r>
            <w:r>
              <w:rPr>
                <w:rFonts w:ascii="Times New Roman" w:hAnsi="Times New Roman"/>
                <w:b/>
                <w:bCs/>
                <w:spacing w:val="-2"/>
                <w:kern w:val="0"/>
                <w:szCs w:val="21"/>
                <w:u w:val="single"/>
              </w:rPr>
              <w:t>）</w:t>
            </w:r>
          </w:p>
        </w:tc>
        <w:tc>
          <w:tcPr>
            <w:tcW w:w="1267" w:type="dxa"/>
            <w:tcBorders>
              <w:left w:val="single" w:color="auto" w:sz="4" w:space="0"/>
            </w:tcBorders>
            <w:vAlign w:val="center"/>
          </w:tcPr>
          <w:p w14:paraId="7B64AA61">
            <w:pPr>
              <w:widowControl/>
              <w:jc w:val="center"/>
              <w:rPr>
                <w:rFonts w:ascii="Times New Roman" w:hAnsi="Times New Roman"/>
                <w:b/>
                <w:bCs/>
                <w:spacing w:val="-2"/>
                <w:kern w:val="0"/>
                <w:szCs w:val="21"/>
                <w:u w:val="single"/>
              </w:rPr>
            </w:pPr>
            <w:r>
              <w:rPr>
                <w:rFonts w:hint="eastAsia" w:ascii="Times New Roman" w:hAnsi="Times New Roman"/>
                <w:b/>
                <w:bCs/>
                <w:spacing w:val="-2"/>
                <w:kern w:val="0"/>
                <w:szCs w:val="21"/>
                <w:u w:val="single"/>
              </w:rPr>
              <w:t>其他</w:t>
            </w:r>
          </w:p>
        </w:tc>
      </w:tr>
      <w:tr w14:paraId="4B44F6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86" w:type="dxa"/>
            <w:vAlign w:val="center"/>
          </w:tcPr>
          <w:p w14:paraId="1084E7E4">
            <w:pPr>
              <w:widowControl/>
              <w:jc w:val="center"/>
              <w:rPr>
                <w:rFonts w:ascii="Times New Roman" w:hAnsi="Times New Roman"/>
                <w:b/>
                <w:bCs/>
                <w:spacing w:val="-2"/>
                <w:kern w:val="0"/>
                <w:szCs w:val="21"/>
                <w:u w:val="single"/>
              </w:rPr>
            </w:pPr>
            <w:r>
              <w:rPr>
                <w:rFonts w:hint="eastAsia" w:ascii="Times New Roman" w:hAnsi="Times New Roman"/>
                <w:spacing w:val="-2"/>
                <w:kern w:val="0"/>
                <w:szCs w:val="21"/>
                <w:u w:val="single"/>
              </w:rPr>
              <w:t>化合态占比</w:t>
            </w:r>
          </w:p>
        </w:tc>
        <w:tc>
          <w:tcPr>
            <w:tcW w:w="1266" w:type="dxa"/>
            <w:vAlign w:val="center"/>
          </w:tcPr>
          <w:p w14:paraId="55C0DB5C">
            <w:pPr>
              <w:widowControl/>
              <w:jc w:val="center"/>
              <w:rPr>
                <w:rFonts w:ascii="Times New Roman" w:hAnsi="Times New Roman"/>
                <w:b/>
                <w:bCs/>
                <w:spacing w:val="-2"/>
                <w:kern w:val="0"/>
                <w:szCs w:val="21"/>
                <w:u w:val="single"/>
              </w:rPr>
            </w:pPr>
            <w:r>
              <w:rPr>
                <w:rFonts w:ascii="Times New Roman" w:hAnsi="Times New Roman" w:eastAsia="等线"/>
                <w:szCs w:val="21"/>
                <w:u w:val="single"/>
              </w:rPr>
              <w:t>39.43</w:t>
            </w:r>
          </w:p>
        </w:tc>
        <w:tc>
          <w:tcPr>
            <w:tcW w:w="1267" w:type="dxa"/>
            <w:vAlign w:val="center"/>
          </w:tcPr>
          <w:p w14:paraId="62AC47D7">
            <w:pPr>
              <w:widowControl/>
              <w:jc w:val="center"/>
              <w:rPr>
                <w:rFonts w:ascii="Times New Roman" w:hAnsi="Times New Roman"/>
                <w:b/>
                <w:bCs/>
                <w:spacing w:val="-2"/>
                <w:kern w:val="0"/>
                <w:szCs w:val="21"/>
                <w:u w:val="single"/>
              </w:rPr>
            </w:pPr>
            <w:r>
              <w:rPr>
                <w:rFonts w:ascii="Times New Roman" w:hAnsi="Times New Roman" w:eastAsia="等线"/>
                <w:szCs w:val="21"/>
                <w:u w:val="single"/>
              </w:rPr>
              <w:t>28.63</w:t>
            </w:r>
          </w:p>
        </w:tc>
        <w:tc>
          <w:tcPr>
            <w:tcW w:w="1267" w:type="dxa"/>
            <w:vAlign w:val="center"/>
          </w:tcPr>
          <w:p w14:paraId="064CE0C5">
            <w:pPr>
              <w:widowControl/>
              <w:jc w:val="center"/>
              <w:rPr>
                <w:rFonts w:ascii="Times New Roman" w:hAnsi="Times New Roman"/>
                <w:b/>
                <w:bCs/>
                <w:spacing w:val="-2"/>
                <w:kern w:val="0"/>
                <w:szCs w:val="21"/>
                <w:u w:val="single"/>
              </w:rPr>
            </w:pPr>
            <w:r>
              <w:rPr>
                <w:rFonts w:ascii="Times New Roman" w:hAnsi="Times New Roman" w:eastAsia="等线"/>
                <w:szCs w:val="21"/>
                <w:u w:val="single"/>
              </w:rPr>
              <w:t>1.65</w:t>
            </w:r>
          </w:p>
        </w:tc>
        <w:tc>
          <w:tcPr>
            <w:tcW w:w="1266" w:type="dxa"/>
            <w:vAlign w:val="center"/>
          </w:tcPr>
          <w:p w14:paraId="4E579AFD">
            <w:pPr>
              <w:widowControl/>
              <w:jc w:val="center"/>
              <w:rPr>
                <w:rFonts w:ascii="Times New Roman" w:hAnsi="Times New Roman"/>
                <w:b/>
                <w:bCs/>
                <w:spacing w:val="-2"/>
                <w:kern w:val="0"/>
                <w:szCs w:val="21"/>
                <w:u w:val="single"/>
              </w:rPr>
            </w:pPr>
            <w:r>
              <w:rPr>
                <w:rFonts w:ascii="Times New Roman" w:hAnsi="Times New Roman" w:eastAsia="等线"/>
                <w:szCs w:val="21"/>
                <w:u w:val="single"/>
              </w:rPr>
              <w:t>16.69</w:t>
            </w:r>
          </w:p>
        </w:tc>
        <w:tc>
          <w:tcPr>
            <w:tcW w:w="1267" w:type="dxa"/>
            <w:tcBorders>
              <w:right w:val="single" w:color="auto" w:sz="4" w:space="0"/>
            </w:tcBorders>
            <w:vAlign w:val="center"/>
          </w:tcPr>
          <w:p w14:paraId="11E1C94F">
            <w:pPr>
              <w:widowControl/>
              <w:jc w:val="center"/>
              <w:rPr>
                <w:rFonts w:ascii="Times New Roman" w:hAnsi="Times New Roman"/>
                <w:b/>
                <w:bCs/>
                <w:spacing w:val="-2"/>
                <w:kern w:val="0"/>
                <w:szCs w:val="21"/>
                <w:u w:val="single"/>
              </w:rPr>
            </w:pPr>
            <w:r>
              <w:rPr>
                <w:rFonts w:ascii="Times New Roman" w:hAnsi="Times New Roman" w:eastAsia="等线"/>
                <w:szCs w:val="21"/>
                <w:u w:val="single"/>
              </w:rPr>
              <w:t>0.010</w:t>
            </w:r>
            <w:r>
              <w:rPr>
                <w:rFonts w:hint="eastAsia" w:ascii="Times New Roman" w:hAnsi="Times New Roman" w:eastAsia="等线"/>
                <w:szCs w:val="21"/>
                <w:u w:val="single"/>
              </w:rPr>
              <w:t>0</w:t>
            </w:r>
          </w:p>
        </w:tc>
        <w:tc>
          <w:tcPr>
            <w:tcW w:w="1267" w:type="dxa"/>
            <w:tcBorders>
              <w:left w:val="single" w:color="auto" w:sz="4" w:space="0"/>
            </w:tcBorders>
            <w:vAlign w:val="center"/>
          </w:tcPr>
          <w:p w14:paraId="1DF496AC">
            <w:pPr>
              <w:widowControl/>
              <w:jc w:val="center"/>
              <w:rPr>
                <w:rFonts w:ascii="Times New Roman" w:hAnsi="Times New Roman" w:eastAsia="等线"/>
                <w:szCs w:val="21"/>
                <w:u w:val="single"/>
              </w:rPr>
            </w:pPr>
            <w:r>
              <w:rPr>
                <w:rFonts w:hint="eastAsia" w:ascii="Times New Roman" w:hAnsi="Times New Roman" w:eastAsia="等线"/>
                <w:szCs w:val="21"/>
                <w:u w:val="single"/>
              </w:rPr>
              <w:t>13.59</w:t>
            </w:r>
          </w:p>
        </w:tc>
      </w:tr>
    </w:tbl>
    <w:p w14:paraId="2FA18D46">
      <w:pPr>
        <w:tabs>
          <w:tab w:val="center" w:pos="4693"/>
        </w:tabs>
        <w:adjustRightInd w:val="0"/>
        <w:snapToGrid w:val="0"/>
        <w:spacing w:line="360" w:lineRule="auto"/>
        <w:ind w:firstLine="480" w:firstLineChars="200"/>
        <w:rPr>
          <w:rFonts w:ascii="Times New Roman" w:hAnsi="Times New Roman"/>
          <w:sz w:val="24"/>
          <w:szCs w:val="24"/>
        </w:rPr>
      </w:pPr>
    </w:p>
    <w:p w14:paraId="63B583C1">
      <w:pPr>
        <w:pStyle w:val="8"/>
        <w:rPr>
          <w:sz w:val="24"/>
          <w:szCs w:val="24"/>
          <w:u w:val="single"/>
        </w:rPr>
      </w:pPr>
      <w:r>
        <w:rPr>
          <w:rFonts w:hint="eastAsia"/>
          <w:sz w:val="24"/>
          <w:szCs w:val="24"/>
          <w:u w:val="single"/>
        </w:rPr>
        <w:t>百特锐</w:t>
      </w:r>
      <w:r>
        <w:rPr>
          <w:sz w:val="24"/>
          <w:szCs w:val="24"/>
          <w:u w:val="single"/>
        </w:rPr>
        <w:t>毛矿</w:t>
      </w:r>
      <w:r>
        <w:rPr>
          <w:rFonts w:hint="eastAsia"/>
          <w:sz w:val="24"/>
          <w:szCs w:val="24"/>
          <w:u w:val="single"/>
        </w:rPr>
        <w:t>金属元素占比情况</w:t>
      </w:r>
      <w:r>
        <w:rPr>
          <w:sz w:val="24"/>
          <w:szCs w:val="24"/>
          <w:u w:val="single"/>
        </w:rPr>
        <w:t>表（%）</w:t>
      </w:r>
    </w:p>
    <w:tbl>
      <w:tblPr>
        <w:tblStyle w:val="88"/>
        <w:tblW w:w="928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86"/>
        <w:gridCol w:w="1266"/>
        <w:gridCol w:w="1267"/>
        <w:gridCol w:w="1267"/>
        <w:gridCol w:w="1266"/>
        <w:gridCol w:w="1267"/>
        <w:gridCol w:w="1267"/>
      </w:tblGrid>
      <w:tr w14:paraId="7357CF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86" w:type="dxa"/>
            <w:vAlign w:val="center"/>
          </w:tcPr>
          <w:p w14:paraId="458C6E56">
            <w:pPr>
              <w:widowControl/>
              <w:jc w:val="center"/>
              <w:rPr>
                <w:rFonts w:ascii="Times New Roman" w:hAnsi="Times New Roman"/>
                <w:b/>
                <w:bCs/>
                <w:spacing w:val="-2"/>
                <w:kern w:val="0"/>
                <w:szCs w:val="21"/>
                <w:u w:val="single"/>
              </w:rPr>
            </w:pPr>
            <w:r>
              <w:rPr>
                <w:rFonts w:hint="eastAsia" w:ascii="Times New Roman" w:hAnsi="Times New Roman"/>
                <w:b/>
                <w:bCs/>
                <w:spacing w:val="-2"/>
                <w:kern w:val="0"/>
                <w:szCs w:val="21"/>
                <w:u w:val="single"/>
              </w:rPr>
              <w:t>主要金属元素</w:t>
            </w:r>
          </w:p>
        </w:tc>
        <w:tc>
          <w:tcPr>
            <w:tcW w:w="1266" w:type="dxa"/>
            <w:vAlign w:val="center"/>
          </w:tcPr>
          <w:p w14:paraId="3771B04F">
            <w:pPr>
              <w:widowControl/>
              <w:jc w:val="center"/>
              <w:rPr>
                <w:rFonts w:ascii="Times New Roman" w:hAnsi="Times New Roman"/>
                <w:b/>
                <w:bCs/>
                <w:spacing w:val="-2"/>
                <w:kern w:val="0"/>
                <w:szCs w:val="21"/>
                <w:u w:val="single"/>
              </w:rPr>
            </w:pPr>
            <w:r>
              <w:rPr>
                <w:rFonts w:ascii="Times New Roman" w:hAnsi="Times New Roman"/>
                <w:b/>
                <w:bCs/>
                <w:spacing w:val="-2"/>
                <w:kern w:val="0"/>
                <w:szCs w:val="21"/>
                <w:u w:val="single"/>
              </w:rPr>
              <w:t>钛（Ti）</w:t>
            </w:r>
          </w:p>
        </w:tc>
        <w:tc>
          <w:tcPr>
            <w:tcW w:w="1267" w:type="dxa"/>
            <w:vAlign w:val="center"/>
          </w:tcPr>
          <w:p w14:paraId="1F85A317">
            <w:pPr>
              <w:widowControl/>
              <w:jc w:val="center"/>
              <w:rPr>
                <w:rFonts w:ascii="Times New Roman" w:hAnsi="Times New Roman"/>
                <w:b/>
                <w:bCs/>
                <w:spacing w:val="-2"/>
                <w:kern w:val="0"/>
                <w:szCs w:val="21"/>
                <w:u w:val="single"/>
              </w:rPr>
            </w:pPr>
            <w:r>
              <w:rPr>
                <w:rFonts w:ascii="Times New Roman" w:hAnsi="Times New Roman"/>
                <w:b/>
                <w:bCs/>
                <w:spacing w:val="-2"/>
                <w:kern w:val="0"/>
                <w:szCs w:val="21"/>
                <w:u w:val="single"/>
              </w:rPr>
              <w:t>铁（Fe）</w:t>
            </w:r>
          </w:p>
        </w:tc>
        <w:tc>
          <w:tcPr>
            <w:tcW w:w="1267" w:type="dxa"/>
            <w:vAlign w:val="center"/>
          </w:tcPr>
          <w:p w14:paraId="64CE5B68">
            <w:pPr>
              <w:widowControl/>
              <w:jc w:val="center"/>
              <w:rPr>
                <w:rFonts w:ascii="Times New Roman" w:hAnsi="Times New Roman"/>
                <w:b/>
                <w:bCs/>
                <w:spacing w:val="-2"/>
                <w:kern w:val="0"/>
                <w:szCs w:val="21"/>
                <w:u w:val="single"/>
              </w:rPr>
            </w:pPr>
            <w:r>
              <w:rPr>
                <w:rFonts w:ascii="Times New Roman" w:hAnsi="Times New Roman"/>
                <w:b/>
                <w:bCs/>
                <w:spacing w:val="-2"/>
                <w:kern w:val="0"/>
                <w:szCs w:val="21"/>
                <w:u w:val="single"/>
              </w:rPr>
              <w:t>锆（Zr）</w:t>
            </w:r>
          </w:p>
        </w:tc>
        <w:tc>
          <w:tcPr>
            <w:tcW w:w="1266" w:type="dxa"/>
            <w:vAlign w:val="center"/>
          </w:tcPr>
          <w:p w14:paraId="5B958B82">
            <w:pPr>
              <w:widowControl/>
              <w:jc w:val="center"/>
              <w:rPr>
                <w:rFonts w:ascii="Times New Roman" w:hAnsi="Times New Roman"/>
                <w:b/>
                <w:bCs/>
                <w:spacing w:val="-2"/>
                <w:kern w:val="0"/>
                <w:szCs w:val="21"/>
                <w:u w:val="single"/>
              </w:rPr>
            </w:pPr>
            <w:r>
              <w:rPr>
                <w:rFonts w:ascii="Times New Roman" w:hAnsi="Times New Roman"/>
                <w:b/>
                <w:bCs/>
                <w:spacing w:val="-2"/>
                <w:kern w:val="0"/>
                <w:szCs w:val="21"/>
                <w:u w:val="single"/>
              </w:rPr>
              <w:t>硅（Si）</w:t>
            </w:r>
          </w:p>
        </w:tc>
        <w:tc>
          <w:tcPr>
            <w:tcW w:w="1267" w:type="dxa"/>
            <w:tcBorders>
              <w:right w:val="single" w:color="auto" w:sz="4" w:space="0"/>
            </w:tcBorders>
            <w:vAlign w:val="center"/>
          </w:tcPr>
          <w:p w14:paraId="1315D531">
            <w:pPr>
              <w:widowControl/>
              <w:jc w:val="center"/>
              <w:rPr>
                <w:rFonts w:ascii="Times New Roman" w:hAnsi="Times New Roman"/>
                <w:b/>
                <w:bCs/>
                <w:spacing w:val="-2"/>
                <w:kern w:val="0"/>
                <w:szCs w:val="21"/>
                <w:u w:val="single"/>
              </w:rPr>
            </w:pPr>
            <w:r>
              <w:rPr>
                <w:rFonts w:ascii="Times New Roman" w:hAnsi="Times New Roman"/>
                <w:b/>
                <w:bCs/>
                <w:spacing w:val="-2"/>
                <w:kern w:val="0"/>
                <w:szCs w:val="21"/>
                <w:u w:val="single"/>
              </w:rPr>
              <w:t>锡（Sn）</w:t>
            </w:r>
          </w:p>
        </w:tc>
        <w:tc>
          <w:tcPr>
            <w:tcW w:w="1267" w:type="dxa"/>
            <w:tcBorders>
              <w:left w:val="single" w:color="auto" w:sz="4" w:space="0"/>
            </w:tcBorders>
            <w:vAlign w:val="center"/>
          </w:tcPr>
          <w:p w14:paraId="47A07FE8">
            <w:pPr>
              <w:widowControl/>
              <w:jc w:val="center"/>
              <w:rPr>
                <w:rFonts w:ascii="Times New Roman" w:hAnsi="Times New Roman" w:eastAsia="等线"/>
                <w:szCs w:val="21"/>
                <w:u w:val="single"/>
              </w:rPr>
            </w:pPr>
            <w:r>
              <w:rPr>
                <w:rFonts w:hint="eastAsia" w:ascii="Times New Roman" w:hAnsi="Times New Roman"/>
                <w:b/>
                <w:bCs/>
                <w:spacing w:val="-2"/>
                <w:kern w:val="0"/>
                <w:szCs w:val="21"/>
                <w:u w:val="single"/>
              </w:rPr>
              <w:t>其他</w:t>
            </w:r>
          </w:p>
        </w:tc>
      </w:tr>
      <w:tr w14:paraId="411260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86" w:type="dxa"/>
            <w:vAlign w:val="center"/>
          </w:tcPr>
          <w:p w14:paraId="0AC35AFA">
            <w:pPr>
              <w:widowControl/>
              <w:jc w:val="center"/>
              <w:rPr>
                <w:rFonts w:ascii="Times New Roman" w:hAnsi="Times New Roman"/>
                <w:b/>
                <w:bCs/>
                <w:spacing w:val="-2"/>
                <w:kern w:val="0"/>
                <w:szCs w:val="21"/>
                <w:u w:val="single"/>
              </w:rPr>
            </w:pPr>
            <w:r>
              <w:rPr>
                <w:rFonts w:hint="eastAsia" w:ascii="Times New Roman" w:hAnsi="Times New Roman"/>
                <w:spacing w:val="-2"/>
                <w:kern w:val="0"/>
                <w:szCs w:val="21"/>
                <w:u w:val="single"/>
              </w:rPr>
              <w:t>金属元素占比</w:t>
            </w:r>
          </w:p>
        </w:tc>
        <w:tc>
          <w:tcPr>
            <w:tcW w:w="1266" w:type="dxa"/>
            <w:vAlign w:val="center"/>
          </w:tcPr>
          <w:p w14:paraId="0385E631">
            <w:pPr>
              <w:widowControl/>
              <w:jc w:val="center"/>
              <w:rPr>
                <w:rFonts w:ascii="Times New Roman" w:hAnsi="Times New Roman"/>
                <w:b/>
                <w:bCs/>
                <w:spacing w:val="-2"/>
                <w:kern w:val="0"/>
                <w:szCs w:val="21"/>
                <w:u w:val="single"/>
              </w:rPr>
            </w:pPr>
            <w:r>
              <w:rPr>
                <w:rFonts w:ascii="Times New Roman" w:hAnsi="Times New Roman" w:eastAsia="等线"/>
                <w:szCs w:val="21"/>
                <w:u w:val="single"/>
              </w:rPr>
              <w:t>22.83</w:t>
            </w:r>
          </w:p>
        </w:tc>
        <w:tc>
          <w:tcPr>
            <w:tcW w:w="1267" w:type="dxa"/>
            <w:vAlign w:val="center"/>
          </w:tcPr>
          <w:p w14:paraId="42DC9036">
            <w:pPr>
              <w:widowControl/>
              <w:jc w:val="center"/>
              <w:rPr>
                <w:rFonts w:ascii="Times New Roman" w:hAnsi="Times New Roman"/>
                <w:b/>
                <w:bCs/>
                <w:spacing w:val="-2"/>
                <w:kern w:val="0"/>
                <w:szCs w:val="21"/>
                <w:u w:val="single"/>
              </w:rPr>
            </w:pPr>
            <w:r>
              <w:rPr>
                <w:rFonts w:ascii="Times New Roman" w:hAnsi="Times New Roman" w:eastAsia="等线"/>
                <w:szCs w:val="21"/>
                <w:u w:val="single"/>
              </w:rPr>
              <w:t>28.63</w:t>
            </w:r>
          </w:p>
        </w:tc>
        <w:tc>
          <w:tcPr>
            <w:tcW w:w="1267" w:type="dxa"/>
            <w:vAlign w:val="center"/>
          </w:tcPr>
          <w:p w14:paraId="22953A1E">
            <w:pPr>
              <w:widowControl/>
              <w:jc w:val="center"/>
              <w:rPr>
                <w:rFonts w:ascii="Times New Roman" w:hAnsi="Times New Roman"/>
                <w:b/>
                <w:bCs/>
                <w:spacing w:val="-2"/>
                <w:kern w:val="0"/>
                <w:szCs w:val="21"/>
                <w:u w:val="single"/>
              </w:rPr>
            </w:pPr>
            <w:r>
              <w:rPr>
                <w:rFonts w:ascii="Times New Roman" w:hAnsi="Times New Roman" w:eastAsia="等线"/>
                <w:szCs w:val="21"/>
                <w:u w:val="single"/>
              </w:rPr>
              <w:t>1.18</w:t>
            </w:r>
          </w:p>
        </w:tc>
        <w:tc>
          <w:tcPr>
            <w:tcW w:w="1266" w:type="dxa"/>
            <w:vAlign w:val="center"/>
          </w:tcPr>
          <w:p w14:paraId="51E343D9">
            <w:pPr>
              <w:widowControl/>
              <w:jc w:val="center"/>
              <w:rPr>
                <w:rFonts w:ascii="Times New Roman" w:hAnsi="Times New Roman"/>
                <w:b/>
                <w:bCs/>
                <w:spacing w:val="-2"/>
                <w:kern w:val="0"/>
                <w:szCs w:val="21"/>
                <w:u w:val="single"/>
              </w:rPr>
            </w:pPr>
            <w:r>
              <w:rPr>
                <w:rFonts w:ascii="Times New Roman" w:hAnsi="Times New Roman" w:eastAsia="等线"/>
                <w:szCs w:val="21"/>
                <w:u w:val="single"/>
              </w:rPr>
              <w:t>7.79</w:t>
            </w:r>
          </w:p>
        </w:tc>
        <w:tc>
          <w:tcPr>
            <w:tcW w:w="1267" w:type="dxa"/>
            <w:tcBorders>
              <w:right w:val="single" w:color="auto" w:sz="4" w:space="0"/>
            </w:tcBorders>
            <w:vAlign w:val="center"/>
          </w:tcPr>
          <w:p w14:paraId="16AEC974">
            <w:pPr>
              <w:widowControl/>
              <w:jc w:val="center"/>
              <w:rPr>
                <w:rFonts w:ascii="Times New Roman" w:hAnsi="Times New Roman"/>
                <w:b/>
                <w:bCs/>
                <w:spacing w:val="-2"/>
                <w:kern w:val="0"/>
                <w:szCs w:val="21"/>
                <w:u w:val="single"/>
              </w:rPr>
            </w:pPr>
            <w:r>
              <w:rPr>
                <w:rFonts w:ascii="Times New Roman" w:hAnsi="Times New Roman" w:eastAsia="等线"/>
                <w:szCs w:val="21"/>
                <w:u w:val="single"/>
              </w:rPr>
              <w:t>0.0</w:t>
            </w:r>
            <w:r>
              <w:rPr>
                <w:rFonts w:hint="eastAsia" w:ascii="Times New Roman" w:hAnsi="Times New Roman" w:eastAsia="等线"/>
                <w:szCs w:val="21"/>
                <w:u w:val="single"/>
              </w:rPr>
              <w:t>076</w:t>
            </w:r>
          </w:p>
        </w:tc>
        <w:tc>
          <w:tcPr>
            <w:tcW w:w="1267" w:type="dxa"/>
            <w:tcBorders>
              <w:left w:val="single" w:color="auto" w:sz="4" w:space="0"/>
            </w:tcBorders>
            <w:vAlign w:val="center"/>
          </w:tcPr>
          <w:p w14:paraId="4A733704">
            <w:pPr>
              <w:widowControl/>
              <w:jc w:val="center"/>
              <w:rPr>
                <w:rFonts w:ascii="Times New Roman" w:hAnsi="Times New Roman" w:eastAsia="等线"/>
                <w:szCs w:val="21"/>
                <w:u w:val="single"/>
              </w:rPr>
            </w:pPr>
            <w:r>
              <w:rPr>
                <w:rFonts w:hint="eastAsia" w:ascii="Times New Roman" w:hAnsi="Times New Roman" w:eastAsia="等线"/>
                <w:szCs w:val="21"/>
                <w:u w:val="single"/>
              </w:rPr>
              <w:t>39.56</w:t>
            </w:r>
          </w:p>
        </w:tc>
      </w:tr>
    </w:tbl>
    <w:p w14:paraId="78FBDD7D">
      <w:pPr>
        <w:tabs>
          <w:tab w:val="center" w:pos="4693"/>
        </w:tabs>
        <w:adjustRightInd w:val="0"/>
        <w:snapToGrid w:val="0"/>
        <w:spacing w:line="360" w:lineRule="auto"/>
        <w:ind w:firstLine="480" w:firstLineChars="200"/>
        <w:rPr>
          <w:rFonts w:ascii="Times New Roman" w:hAnsi="Times New Roman"/>
          <w:sz w:val="24"/>
          <w:szCs w:val="24"/>
          <w:u w:val="single"/>
        </w:rPr>
      </w:pPr>
    </w:p>
    <w:p w14:paraId="716CED88">
      <w:pPr>
        <w:tabs>
          <w:tab w:val="center" w:pos="4693"/>
        </w:tabs>
        <w:adjustRightInd w:val="0"/>
        <w:snapToGrid w:val="0"/>
        <w:spacing w:line="360" w:lineRule="auto"/>
        <w:ind w:firstLine="480" w:firstLineChars="200"/>
        <w:rPr>
          <w:rFonts w:ascii="Times New Roman" w:hAnsi="Times New Roman"/>
          <w:sz w:val="24"/>
          <w:szCs w:val="24"/>
          <w:u w:val="single"/>
        </w:rPr>
      </w:pPr>
      <w:r>
        <w:rPr>
          <w:rFonts w:hint="eastAsia" w:ascii="Times New Roman" w:hAnsi="Times New Roman"/>
          <w:sz w:val="24"/>
          <w:szCs w:val="24"/>
          <w:u w:val="single"/>
        </w:rPr>
        <w:t>为了反映项目毛矿磁选前后的主要金属元素成分变化，</w:t>
      </w:r>
      <w:r>
        <w:rPr>
          <w:rFonts w:ascii="Times New Roman" w:hAnsi="Times New Roman"/>
          <w:sz w:val="24"/>
          <w:szCs w:val="24"/>
          <w:u w:val="single"/>
        </w:rPr>
        <w:t>建设单位委托</w:t>
      </w:r>
      <w:bookmarkStart w:id="84" w:name="_Hlk187594971"/>
      <w:r>
        <w:rPr>
          <w:rFonts w:ascii="Times New Roman" w:hAnsi="Times New Roman"/>
          <w:sz w:val="24"/>
          <w:szCs w:val="24"/>
          <w:u w:val="single"/>
        </w:rPr>
        <w:t>中国检验认证集团广西有限公司对</w:t>
      </w:r>
      <w:bookmarkStart w:id="85" w:name="_Hlk187645485"/>
      <w:r>
        <w:rPr>
          <w:rFonts w:hint="eastAsia" w:ascii="Times New Roman" w:hAnsi="Times New Roman"/>
          <w:sz w:val="24"/>
          <w:szCs w:val="24"/>
          <w:u w:val="single"/>
        </w:rPr>
        <w:t>建设单位其他厂区磁选前的毛矿、磁选后的钛铁精矿样品进行了主要金属元素成分分析，毛矿及</w:t>
      </w:r>
      <w:bookmarkEnd w:id="84"/>
      <w:bookmarkEnd w:id="85"/>
      <w:r>
        <w:rPr>
          <w:rFonts w:hint="eastAsia" w:ascii="Times New Roman" w:hAnsi="Times New Roman"/>
          <w:sz w:val="24"/>
          <w:szCs w:val="24"/>
          <w:u w:val="single"/>
        </w:rPr>
        <w:t>钛铁精矿中的</w:t>
      </w:r>
      <w:r>
        <w:rPr>
          <w:rFonts w:ascii="Times New Roman" w:hAnsi="Times New Roman"/>
          <w:sz w:val="24"/>
          <w:szCs w:val="24"/>
          <w:u w:val="single"/>
        </w:rPr>
        <w:t>钛、铁、硅、锆、锡等元素</w:t>
      </w:r>
      <w:r>
        <w:rPr>
          <w:rFonts w:hint="eastAsia" w:ascii="Times New Roman" w:hAnsi="Times New Roman"/>
          <w:sz w:val="24"/>
          <w:szCs w:val="24"/>
          <w:u w:val="single"/>
        </w:rPr>
        <w:t>成分（干绝量）占比</w:t>
      </w:r>
      <w:r>
        <w:rPr>
          <w:rFonts w:ascii="Times New Roman" w:hAnsi="Times New Roman"/>
          <w:sz w:val="24"/>
          <w:szCs w:val="24"/>
          <w:u w:val="single"/>
        </w:rPr>
        <w:t>结果见表2.1-</w:t>
      </w:r>
      <w:r>
        <w:rPr>
          <w:rFonts w:hint="eastAsia" w:ascii="Times New Roman" w:hAnsi="Times New Roman"/>
          <w:sz w:val="24"/>
          <w:szCs w:val="24"/>
          <w:u w:val="single"/>
        </w:rPr>
        <w:t>7</w:t>
      </w:r>
      <w:r>
        <w:rPr>
          <w:rFonts w:ascii="Times New Roman" w:hAnsi="Times New Roman"/>
          <w:sz w:val="24"/>
          <w:szCs w:val="24"/>
          <w:u w:val="single"/>
        </w:rPr>
        <w:t>。</w:t>
      </w:r>
    </w:p>
    <w:p w14:paraId="7AE1749C">
      <w:pPr>
        <w:pStyle w:val="8"/>
        <w:rPr>
          <w:sz w:val="24"/>
          <w:szCs w:val="24"/>
          <w:u w:val="single"/>
        </w:rPr>
      </w:pPr>
      <w:r>
        <w:rPr>
          <w:sz w:val="24"/>
          <w:szCs w:val="24"/>
          <w:u w:val="single"/>
        </w:rPr>
        <w:t>项目毛矿及</w:t>
      </w:r>
      <w:r>
        <w:rPr>
          <w:rFonts w:hint="eastAsia"/>
          <w:sz w:val="24"/>
          <w:szCs w:val="24"/>
          <w:u w:val="single"/>
        </w:rPr>
        <w:t>钛铁精矿金属元素占比</w:t>
      </w:r>
      <w:r>
        <w:rPr>
          <w:sz w:val="24"/>
          <w:szCs w:val="24"/>
          <w:u w:val="single"/>
        </w:rPr>
        <w:t>结果表（%）</w:t>
      </w:r>
    </w:p>
    <w:tbl>
      <w:tblPr>
        <w:tblStyle w:val="88"/>
        <w:tblW w:w="928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75"/>
        <w:gridCol w:w="1525"/>
        <w:gridCol w:w="1525"/>
        <w:gridCol w:w="1525"/>
        <w:gridCol w:w="1521"/>
        <w:gridCol w:w="1515"/>
      </w:tblGrid>
      <w:tr w14:paraId="1BDA59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675" w:type="dxa"/>
            <w:vAlign w:val="center"/>
          </w:tcPr>
          <w:p w14:paraId="36438EC4">
            <w:pPr>
              <w:widowControl/>
              <w:jc w:val="center"/>
              <w:rPr>
                <w:rFonts w:ascii="Times New Roman" w:hAnsi="Times New Roman"/>
                <w:b/>
                <w:bCs/>
                <w:spacing w:val="-2"/>
                <w:kern w:val="0"/>
                <w:szCs w:val="21"/>
                <w:u w:val="single"/>
              </w:rPr>
            </w:pPr>
            <w:r>
              <w:rPr>
                <w:rFonts w:ascii="Times New Roman" w:hAnsi="Times New Roman"/>
                <w:b/>
                <w:bCs/>
                <w:spacing w:val="-2"/>
                <w:kern w:val="0"/>
                <w:szCs w:val="21"/>
                <w:u w:val="single"/>
              </w:rPr>
              <w:t>矿石类别</w:t>
            </w:r>
          </w:p>
        </w:tc>
        <w:tc>
          <w:tcPr>
            <w:tcW w:w="1525" w:type="dxa"/>
            <w:vAlign w:val="center"/>
          </w:tcPr>
          <w:p w14:paraId="58C8C60D">
            <w:pPr>
              <w:widowControl/>
              <w:jc w:val="center"/>
              <w:rPr>
                <w:rFonts w:ascii="Times New Roman" w:hAnsi="Times New Roman"/>
                <w:b/>
                <w:bCs/>
                <w:spacing w:val="-2"/>
                <w:kern w:val="0"/>
                <w:szCs w:val="21"/>
                <w:u w:val="single"/>
              </w:rPr>
            </w:pPr>
            <w:r>
              <w:rPr>
                <w:rFonts w:ascii="Times New Roman" w:hAnsi="Times New Roman"/>
                <w:b/>
                <w:bCs/>
                <w:spacing w:val="-2"/>
                <w:kern w:val="0"/>
                <w:szCs w:val="21"/>
                <w:u w:val="single"/>
              </w:rPr>
              <w:t>钛（Ti）</w:t>
            </w:r>
          </w:p>
        </w:tc>
        <w:tc>
          <w:tcPr>
            <w:tcW w:w="1525" w:type="dxa"/>
            <w:vAlign w:val="center"/>
          </w:tcPr>
          <w:p w14:paraId="2962BA30">
            <w:pPr>
              <w:widowControl/>
              <w:jc w:val="center"/>
              <w:rPr>
                <w:rFonts w:ascii="Times New Roman" w:hAnsi="Times New Roman"/>
                <w:b/>
                <w:bCs/>
                <w:spacing w:val="-2"/>
                <w:kern w:val="0"/>
                <w:szCs w:val="21"/>
                <w:u w:val="single"/>
              </w:rPr>
            </w:pPr>
            <w:r>
              <w:rPr>
                <w:rFonts w:ascii="Times New Roman" w:hAnsi="Times New Roman"/>
                <w:b/>
                <w:bCs/>
                <w:spacing w:val="-2"/>
                <w:kern w:val="0"/>
                <w:szCs w:val="21"/>
                <w:u w:val="single"/>
              </w:rPr>
              <w:t>铁（Fe）</w:t>
            </w:r>
          </w:p>
        </w:tc>
        <w:tc>
          <w:tcPr>
            <w:tcW w:w="1525" w:type="dxa"/>
            <w:vAlign w:val="center"/>
          </w:tcPr>
          <w:p w14:paraId="4B8D98A1">
            <w:pPr>
              <w:widowControl/>
              <w:jc w:val="center"/>
              <w:rPr>
                <w:rFonts w:ascii="Times New Roman" w:hAnsi="Times New Roman"/>
                <w:b/>
                <w:bCs/>
                <w:spacing w:val="-2"/>
                <w:kern w:val="0"/>
                <w:szCs w:val="21"/>
                <w:u w:val="single"/>
              </w:rPr>
            </w:pPr>
            <w:r>
              <w:rPr>
                <w:rFonts w:ascii="Times New Roman" w:hAnsi="Times New Roman"/>
                <w:b/>
                <w:bCs/>
                <w:spacing w:val="-2"/>
                <w:kern w:val="0"/>
                <w:szCs w:val="21"/>
                <w:u w:val="single"/>
              </w:rPr>
              <w:t>锆（Zr）</w:t>
            </w:r>
          </w:p>
        </w:tc>
        <w:tc>
          <w:tcPr>
            <w:tcW w:w="1521" w:type="dxa"/>
            <w:vAlign w:val="center"/>
          </w:tcPr>
          <w:p w14:paraId="1225467C">
            <w:pPr>
              <w:widowControl/>
              <w:jc w:val="center"/>
              <w:rPr>
                <w:rFonts w:ascii="Times New Roman" w:hAnsi="Times New Roman"/>
                <w:b/>
                <w:bCs/>
                <w:spacing w:val="-2"/>
                <w:kern w:val="0"/>
                <w:szCs w:val="21"/>
                <w:u w:val="single"/>
              </w:rPr>
            </w:pPr>
            <w:r>
              <w:rPr>
                <w:rFonts w:ascii="Times New Roman" w:hAnsi="Times New Roman"/>
                <w:b/>
                <w:bCs/>
                <w:spacing w:val="-2"/>
                <w:kern w:val="0"/>
                <w:szCs w:val="21"/>
                <w:u w:val="single"/>
              </w:rPr>
              <w:t>硅（Si）</w:t>
            </w:r>
          </w:p>
        </w:tc>
        <w:tc>
          <w:tcPr>
            <w:tcW w:w="1515" w:type="dxa"/>
            <w:vAlign w:val="center"/>
          </w:tcPr>
          <w:p w14:paraId="3B0DCF66">
            <w:pPr>
              <w:widowControl/>
              <w:jc w:val="center"/>
              <w:rPr>
                <w:rFonts w:ascii="Times New Roman" w:hAnsi="Times New Roman"/>
                <w:b/>
                <w:bCs/>
                <w:spacing w:val="-2"/>
                <w:kern w:val="0"/>
                <w:szCs w:val="21"/>
                <w:u w:val="single"/>
              </w:rPr>
            </w:pPr>
            <w:r>
              <w:rPr>
                <w:rFonts w:ascii="Times New Roman" w:hAnsi="Times New Roman"/>
                <w:b/>
                <w:bCs/>
                <w:spacing w:val="-2"/>
                <w:kern w:val="0"/>
                <w:szCs w:val="21"/>
                <w:u w:val="single"/>
              </w:rPr>
              <w:t>锡（Sn）</w:t>
            </w:r>
          </w:p>
        </w:tc>
      </w:tr>
      <w:tr w14:paraId="6ABBA3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675" w:type="dxa"/>
            <w:vAlign w:val="center"/>
          </w:tcPr>
          <w:p w14:paraId="22A51DC9">
            <w:pPr>
              <w:widowControl/>
              <w:jc w:val="center"/>
              <w:rPr>
                <w:rFonts w:ascii="Times New Roman" w:hAnsi="Times New Roman"/>
                <w:spacing w:val="-2"/>
                <w:kern w:val="0"/>
                <w:szCs w:val="21"/>
                <w:u w:val="single"/>
              </w:rPr>
            </w:pPr>
            <w:r>
              <w:rPr>
                <w:rFonts w:ascii="Times New Roman" w:hAnsi="Times New Roman"/>
                <w:spacing w:val="-2"/>
                <w:kern w:val="0"/>
                <w:szCs w:val="21"/>
                <w:u w:val="single"/>
              </w:rPr>
              <w:t>毛矿样品</w:t>
            </w:r>
          </w:p>
        </w:tc>
        <w:tc>
          <w:tcPr>
            <w:tcW w:w="1525" w:type="dxa"/>
            <w:vAlign w:val="center"/>
          </w:tcPr>
          <w:p w14:paraId="33747F89">
            <w:pPr>
              <w:widowControl/>
              <w:jc w:val="center"/>
              <w:rPr>
                <w:rFonts w:ascii="Times New Roman" w:hAnsi="Times New Roman"/>
                <w:spacing w:val="-2"/>
                <w:kern w:val="0"/>
                <w:szCs w:val="21"/>
                <w:u w:val="single"/>
              </w:rPr>
            </w:pPr>
            <w:r>
              <w:rPr>
                <w:rFonts w:ascii="Times New Roman" w:hAnsi="Times New Roman"/>
                <w:spacing w:val="-2"/>
                <w:kern w:val="0"/>
                <w:szCs w:val="21"/>
                <w:u w:val="single"/>
              </w:rPr>
              <w:t>20.98</w:t>
            </w:r>
          </w:p>
        </w:tc>
        <w:tc>
          <w:tcPr>
            <w:tcW w:w="1525" w:type="dxa"/>
            <w:vAlign w:val="center"/>
          </w:tcPr>
          <w:p w14:paraId="174D8A9B">
            <w:pPr>
              <w:widowControl/>
              <w:jc w:val="center"/>
              <w:rPr>
                <w:rFonts w:ascii="Times New Roman" w:hAnsi="Times New Roman"/>
                <w:spacing w:val="-2"/>
                <w:kern w:val="0"/>
                <w:szCs w:val="21"/>
                <w:u w:val="single"/>
              </w:rPr>
            </w:pPr>
            <w:r>
              <w:rPr>
                <w:rFonts w:ascii="Times New Roman" w:hAnsi="Times New Roman"/>
                <w:spacing w:val="-2"/>
                <w:kern w:val="0"/>
                <w:szCs w:val="21"/>
                <w:u w:val="single"/>
              </w:rPr>
              <w:t>26.14</w:t>
            </w:r>
          </w:p>
        </w:tc>
        <w:tc>
          <w:tcPr>
            <w:tcW w:w="1525" w:type="dxa"/>
            <w:vAlign w:val="center"/>
          </w:tcPr>
          <w:p w14:paraId="14CB1C00">
            <w:pPr>
              <w:widowControl/>
              <w:jc w:val="center"/>
              <w:rPr>
                <w:rFonts w:ascii="Times New Roman" w:hAnsi="Times New Roman"/>
                <w:spacing w:val="-2"/>
                <w:kern w:val="0"/>
                <w:szCs w:val="21"/>
                <w:u w:val="single"/>
              </w:rPr>
            </w:pPr>
            <w:r>
              <w:rPr>
                <w:rFonts w:ascii="Times New Roman" w:hAnsi="Times New Roman"/>
                <w:spacing w:val="-2"/>
                <w:kern w:val="0"/>
                <w:szCs w:val="21"/>
                <w:u w:val="single"/>
              </w:rPr>
              <w:t>1.12</w:t>
            </w:r>
          </w:p>
        </w:tc>
        <w:tc>
          <w:tcPr>
            <w:tcW w:w="1521" w:type="dxa"/>
            <w:vAlign w:val="center"/>
          </w:tcPr>
          <w:p w14:paraId="4EFDEE9C">
            <w:pPr>
              <w:widowControl/>
              <w:jc w:val="center"/>
              <w:rPr>
                <w:rFonts w:ascii="Times New Roman" w:hAnsi="Times New Roman"/>
                <w:spacing w:val="-2"/>
                <w:kern w:val="0"/>
                <w:szCs w:val="21"/>
                <w:u w:val="single"/>
              </w:rPr>
            </w:pPr>
            <w:r>
              <w:rPr>
                <w:rFonts w:ascii="Times New Roman" w:hAnsi="Times New Roman"/>
                <w:spacing w:val="-2"/>
                <w:kern w:val="0"/>
                <w:szCs w:val="21"/>
                <w:u w:val="single"/>
              </w:rPr>
              <w:t>9.78</w:t>
            </w:r>
          </w:p>
        </w:tc>
        <w:tc>
          <w:tcPr>
            <w:tcW w:w="1515" w:type="dxa"/>
            <w:vAlign w:val="center"/>
          </w:tcPr>
          <w:p w14:paraId="7EB7C2DD">
            <w:pPr>
              <w:widowControl/>
              <w:jc w:val="center"/>
              <w:rPr>
                <w:rFonts w:ascii="Times New Roman" w:hAnsi="Times New Roman"/>
                <w:spacing w:val="-2"/>
                <w:kern w:val="0"/>
                <w:szCs w:val="21"/>
                <w:u w:val="single"/>
              </w:rPr>
            </w:pPr>
            <w:r>
              <w:rPr>
                <w:rFonts w:ascii="Times New Roman" w:hAnsi="Times New Roman"/>
                <w:spacing w:val="-2"/>
                <w:kern w:val="0"/>
                <w:szCs w:val="21"/>
                <w:u w:val="single"/>
              </w:rPr>
              <w:t>&lt;0.01</w:t>
            </w:r>
          </w:p>
        </w:tc>
      </w:tr>
      <w:tr w14:paraId="2306FB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675" w:type="dxa"/>
            <w:vAlign w:val="center"/>
          </w:tcPr>
          <w:p w14:paraId="3B7F3204">
            <w:pPr>
              <w:widowControl/>
              <w:jc w:val="center"/>
              <w:rPr>
                <w:rFonts w:ascii="Times New Roman" w:hAnsi="Times New Roman"/>
                <w:spacing w:val="-2"/>
                <w:kern w:val="0"/>
                <w:szCs w:val="21"/>
                <w:u w:val="single"/>
              </w:rPr>
            </w:pPr>
            <w:r>
              <w:rPr>
                <w:rFonts w:ascii="Times New Roman" w:hAnsi="Times New Roman"/>
                <w:spacing w:val="-2"/>
                <w:kern w:val="0"/>
                <w:szCs w:val="21"/>
                <w:u w:val="single"/>
              </w:rPr>
              <w:t>精矿样品</w:t>
            </w:r>
          </w:p>
        </w:tc>
        <w:tc>
          <w:tcPr>
            <w:tcW w:w="1525" w:type="dxa"/>
            <w:vAlign w:val="center"/>
          </w:tcPr>
          <w:p w14:paraId="19AEA7B6">
            <w:pPr>
              <w:widowControl/>
              <w:jc w:val="center"/>
              <w:rPr>
                <w:rFonts w:ascii="Times New Roman" w:hAnsi="Times New Roman"/>
                <w:spacing w:val="-2"/>
                <w:kern w:val="0"/>
                <w:szCs w:val="21"/>
                <w:u w:val="single"/>
              </w:rPr>
            </w:pPr>
            <w:r>
              <w:rPr>
                <w:rFonts w:ascii="Times New Roman" w:hAnsi="Times New Roman"/>
                <w:spacing w:val="-2"/>
                <w:kern w:val="0"/>
                <w:szCs w:val="21"/>
                <w:u w:val="single"/>
              </w:rPr>
              <w:t>29.19</w:t>
            </w:r>
          </w:p>
        </w:tc>
        <w:tc>
          <w:tcPr>
            <w:tcW w:w="1525" w:type="dxa"/>
            <w:vAlign w:val="center"/>
          </w:tcPr>
          <w:p w14:paraId="5C64A5F1">
            <w:pPr>
              <w:widowControl/>
              <w:jc w:val="center"/>
              <w:rPr>
                <w:rFonts w:ascii="Times New Roman" w:hAnsi="Times New Roman"/>
                <w:spacing w:val="-2"/>
                <w:kern w:val="0"/>
                <w:szCs w:val="21"/>
                <w:u w:val="single"/>
              </w:rPr>
            </w:pPr>
            <w:r>
              <w:rPr>
                <w:rFonts w:ascii="Times New Roman" w:hAnsi="Times New Roman"/>
                <w:spacing w:val="-2"/>
                <w:kern w:val="0"/>
                <w:szCs w:val="21"/>
                <w:u w:val="single"/>
              </w:rPr>
              <w:t>34.66</w:t>
            </w:r>
          </w:p>
        </w:tc>
        <w:tc>
          <w:tcPr>
            <w:tcW w:w="1525" w:type="dxa"/>
            <w:vAlign w:val="center"/>
          </w:tcPr>
          <w:p w14:paraId="1C3EEA91">
            <w:pPr>
              <w:widowControl/>
              <w:jc w:val="center"/>
              <w:rPr>
                <w:rFonts w:ascii="Times New Roman" w:hAnsi="Times New Roman"/>
                <w:spacing w:val="-2"/>
                <w:kern w:val="0"/>
                <w:szCs w:val="21"/>
                <w:u w:val="single"/>
              </w:rPr>
            </w:pPr>
            <w:r>
              <w:rPr>
                <w:rFonts w:ascii="Times New Roman" w:hAnsi="Times New Roman"/>
                <w:spacing w:val="-2"/>
                <w:kern w:val="0"/>
                <w:szCs w:val="21"/>
                <w:u w:val="single"/>
              </w:rPr>
              <w:t>0.11</w:t>
            </w:r>
          </w:p>
        </w:tc>
        <w:tc>
          <w:tcPr>
            <w:tcW w:w="1521" w:type="dxa"/>
            <w:vAlign w:val="center"/>
          </w:tcPr>
          <w:p w14:paraId="34B97240">
            <w:pPr>
              <w:widowControl/>
              <w:jc w:val="center"/>
              <w:rPr>
                <w:rFonts w:ascii="Times New Roman" w:hAnsi="Times New Roman"/>
                <w:spacing w:val="-2"/>
                <w:kern w:val="0"/>
                <w:szCs w:val="21"/>
                <w:u w:val="single"/>
              </w:rPr>
            </w:pPr>
            <w:r>
              <w:rPr>
                <w:rFonts w:ascii="Times New Roman" w:hAnsi="Times New Roman"/>
                <w:spacing w:val="-2"/>
                <w:kern w:val="0"/>
                <w:szCs w:val="21"/>
                <w:u w:val="single"/>
              </w:rPr>
              <w:t>0.7</w:t>
            </w:r>
          </w:p>
        </w:tc>
        <w:tc>
          <w:tcPr>
            <w:tcW w:w="1515" w:type="dxa"/>
            <w:vAlign w:val="center"/>
          </w:tcPr>
          <w:p w14:paraId="4960D638">
            <w:pPr>
              <w:widowControl/>
              <w:jc w:val="center"/>
              <w:rPr>
                <w:rFonts w:ascii="Times New Roman" w:hAnsi="Times New Roman"/>
                <w:spacing w:val="-2"/>
                <w:kern w:val="0"/>
                <w:szCs w:val="21"/>
                <w:u w:val="single"/>
              </w:rPr>
            </w:pPr>
            <w:r>
              <w:rPr>
                <w:rFonts w:ascii="Times New Roman" w:hAnsi="Times New Roman"/>
                <w:spacing w:val="-2"/>
                <w:kern w:val="0"/>
                <w:szCs w:val="21"/>
                <w:u w:val="single"/>
              </w:rPr>
              <w:t>&lt;0.01</w:t>
            </w:r>
          </w:p>
        </w:tc>
      </w:tr>
      <w:tr w14:paraId="11389D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675" w:type="dxa"/>
            <w:vAlign w:val="center"/>
          </w:tcPr>
          <w:p w14:paraId="5DE8AA0A">
            <w:pPr>
              <w:widowControl/>
              <w:jc w:val="center"/>
              <w:rPr>
                <w:rFonts w:ascii="Times New Roman" w:hAnsi="Times New Roman"/>
                <w:spacing w:val="-2"/>
                <w:kern w:val="0"/>
                <w:szCs w:val="21"/>
                <w:u w:val="single"/>
              </w:rPr>
            </w:pPr>
            <w:r>
              <w:rPr>
                <w:rFonts w:hint="eastAsia" w:ascii="Times New Roman" w:hAnsi="Times New Roman"/>
                <w:spacing w:val="-2"/>
                <w:kern w:val="0"/>
                <w:szCs w:val="21"/>
                <w:u w:val="single"/>
              </w:rPr>
              <w:t>佰特锐毛矿</w:t>
            </w:r>
          </w:p>
        </w:tc>
        <w:tc>
          <w:tcPr>
            <w:tcW w:w="1525" w:type="dxa"/>
            <w:vAlign w:val="center"/>
          </w:tcPr>
          <w:p w14:paraId="41D01DDF">
            <w:pPr>
              <w:widowControl/>
              <w:jc w:val="center"/>
              <w:rPr>
                <w:rFonts w:ascii="Times New Roman" w:hAnsi="Times New Roman"/>
                <w:spacing w:val="-2"/>
                <w:kern w:val="0"/>
                <w:szCs w:val="21"/>
                <w:u w:val="single"/>
              </w:rPr>
            </w:pPr>
            <w:r>
              <w:rPr>
                <w:rFonts w:ascii="Times New Roman" w:hAnsi="Times New Roman" w:eastAsia="等线"/>
                <w:szCs w:val="21"/>
                <w:u w:val="single"/>
              </w:rPr>
              <w:t>22.83</w:t>
            </w:r>
          </w:p>
        </w:tc>
        <w:tc>
          <w:tcPr>
            <w:tcW w:w="1525" w:type="dxa"/>
            <w:vAlign w:val="center"/>
          </w:tcPr>
          <w:p w14:paraId="6816BE7D">
            <w:pPr>
              <w:widowControl/>
              <w:jc w:val="center"/>
              <w:rPr>
                <w:rFonts w:ascii="Times New Roman" w:hAnsi="Times New Roman"/>
                <w:spacing w:val="-2"/>
                <w:kern w:val="0"/>
                <w:szCs w:val="21"/>
                <w:u w:val="single"/>
              </w:rPr>
            </w:pPr>
            <w:r>
              <w:rPr>
                <w:rFonts w:ascii="Times New Roman" w:hAnsi="Times New Roman" w:eastAsia="等线"/>
                <w:szCs w:val="21"/>
                <w:u w:val="single"/>
              </w:rPr>
              <w:t>28.63</w:t>
            </w:r>
          </w:p>
        </w:tc>
        <w:tc>
          <w:tcPr>
            <w:tcW w:w="1525" w:type="dxa"/>
            <w:vAlign w:val="center"/>
          </w:tcPr>
          <w:p w14:paraId="4B96B061">
            <w:pPr>
              <w:widowControl/>
              <w:jc w:val="center"/>
              <w:rPr>
                <w:rFonts w:ascii="Times New Roman" w:hAnsi="Times New Roman"/>
                <w:spacing w:val="-2"/>
                <w:kern w:val="0"/>
                <w:szCs w:val="21"/>
                <w:u w:val="single"/>
              </w:rPr>
            </w:pPr>
            <w:r>
              <w:rPr>
                <w:rFonts w:ascii="Times New Roman" w:hAnsi="Times New Roman" w:eastAsia="等线"/>
                <w:szCs w:val="21"/>
                <w:u w:val="single"/>
              </w:rPr>
              <w:t>1.18</w:t>
            </w:r>
          </w:p>
        </w:tc>
        <w:tc>
          <w:tcPr>
            <w:tcW w:w="1521" w:type="dxa"/>
            <w:vAlign w:val="center"/>
          </w:tcPr>
          <w:p w14:paraId="6EF95373">
            <w:pPr>
              <w:widowControl/>
              <w:jc w:val="center"/>
              <w:rPr>
                <w:rFonts w:ascii="Times New Roman" w:hAnsi="Times New Roman"/>
                <w:spacing w:val="-2"/>
                <w:kern w:val="0"/>
                <w:szCs w:val="21"/>
                <w:u w:val="single"/>
              </w:rPr>
            </w:pPr>
            <w:r>
              <w:rPr>
                <w:rFonts w:ascii="Times New Roman" w:hAnsi="Times New Roman" w:eastAsia="等线"/>
                <w:szCs w:val="21"/>
                <w:u w:val="single"/>
              </w:rPr>
              <w:t>7.79</w:t>
            </w:r>
          </w:p>
        </w:tc>
        <w:tc>
          <w:tcPr>
            <w:tcW w:w="1515" w:type="dxa"/>
            <w:vAlign w:val="center"/>
          </w:tcPr>
          <w:p w14:paraId="6E03574A">
            <w:pPr>
              <w:widowControl/>
              <w:jc w:val="center"/>
              <w:rPr>
                <w:rFonts w:ascii="Times New Roman" w:hAnsi="Times New Roman"/>
                <w:spacing w:val="-2"/>
                <w:kern w:val="0"/>
                <w:szCs w:val="21"/>
                <w:u w:val="single"/>
              </w:rPr>
            </w:pPr>
            <w:r>
              <w:rPr>
                <w:rFonts w:ascii="Times New Roman" w:hAnsi="Times New Roman" w:eastAsia="等线"/>
                <w:szCs w:val="21"/>
                <w:u w:val="single"/>
              </w:rPr>
              <w:t>0.0</w:t>
            </w:r>
            <w:r>
              <w:rPr>
                <w:rFonts w:hint="eastAsia" w:ascii="Times New Roman" w:hAnsi="Times New Roman" w:eastAsia="等线"/>
                <w:szCs w:val="21"/>
                <w:u w:val="single"/>
              </w:rPr>
              <w:t>076</w:t>
            </w:r>
          </w:p>
        </w:tc>
      </w:tr>
    </w:tbl>
    <w:p w14:paraId="43EFEBF3">
      <w:pPr>
        <w:tabs>
          <w:tab w:val="center" w:pos="4693"/>
        </w:tabs>
        <w:adjustRightInd w:val="0"/>
        <w:snapToGrid w:val="0"/>
        <w:spacing w:line="360" w:lineRule="auto"/>
        <w:ind w:firstLine="480" w:firstLineChars="200"/>
        <w:rPr>
          <w:rFonts w:ascii="Times New Roman" w:hAnsi="Times New Roman"/>
          <w:sz w:val="24"/>
          <w:szCs w:val="24"/>
        </w:rPr>
      </w:pPr>
    </w:p>
    <w:p w14:paraId="663BACA1">
      <w:pPr>
        <w:tabs>
          <w:tab w:val="center" w:pos="4693"/>
        </w:tabs>
        <w:adjustRightInd w:val="0"/>
        <w:snapToGrid w:val="0"/>
        <w:spacing w:line="360" w:lineRule="auto"/>
        <w:ind w:firstLine="480" w:firstLineChars="200"/>
        <w:rPr>
          <w:rFonts w:ascii="Times New Roman" w:hAnsi="Times New Roman"/>
          <w:sz w:val="24"/>
          <w:szCs w:val="24"/>
          <w:u w:val="single"/>
        </w:rPr>
      </w:pPr>
      <w:r>
        <w:rPr>
          <w:rFonts w:hint="eastAsia" w:ascii="Times New Roman" w:hAnsi="Times New Roman"/>
          <w:sz w:val="24"/>
          <w:szCs w:val="24"/>
          <w:u w:val="single"/>
        </w:rPr>
        <w:t>根据建设单位送测的毛矿的金属元素占比，对比上海佰特锐新能源材料有限公司毛矿的金属元素占比，钛、铁、硅、锆、锡等主要金属元素的占比接近，具有可比性，因此项目毛矿的全量成分分析，可参考上海佰特锐新能源材料有限公司的毛矿。</w:t>
      </w:r>
    </w:p>
    <w:p w14:paraId="1A5A9726">
      <w:pPr>
        <w:tabs>
          <w:tab w:val="center" w:pos="4693"/>
        </w:tabs>
        <w:adjustRightInd w:val="0"/>
        <w:snapToGrid w:val="0"/>
        <w:spacing w:line="360" w:lineRule="auto"/>
        <w:ind w:firstLine="480" w:firstLineChars="200"/>
        <w:rPr>
          <w:rFonts w:ascii="Times New Roman" w:hAnsi="Times New Roman"/>
          <w:sz w:val="24"/>
          <w:szCs w:val="24"/>
          <w:u w:val="single"/>
        </w:rPr>
      </w:pPr>
      <w:r>
        <w:rPr>
          <w:rFonts w:hint="eastAsia" w:ascii="Times New Roman" w:hAnsi="Times New Roman"/>
          <w:sz w:val="24"/>
          <w:szCs w:val="24"/>
          <w:u w:val="single"/>
        </w:rPr>
        <w:t>毛矿中铈、钍等金属元素类比毛矿相同来源的广西道丰新材料有限公司毛矿及钛铁精矿的铈、钍金属占比进行分析，毛矿及钛铁精矿的铈、钍进占比情况见表2.1-8。</w:t>
      </w:r>
    </w:p>
    <w:p w14:paraId="20654D8C">
      <w:pPr>
        <w:pStyle w:val="8"/>
        <w:rPr>
          <w:sz w:val="24"/>
          <w:szCs w:val="24"/>
          <w:u w:val="single"/>
        </w:rPr>
      </w:pPr>
      <w:r>
        <w:rPr>
          <w:rFonts w:hint="eastAsia"/>
          <w:spacing w:val="-2"/>
          <w:kern w:val="0"/>
          <w:sz w:val="24"/>
          <w:szCs w:val="24"/>
          <w:u w:val="single"/>
        </w:rPr>
        <w:t>广西道丰毛矿、锆中矿的铈、钍</w:t>
      </w:r>
      <w:r>
        <w:rPr>
          <w:rFonts w:hint="eastAsia"/>
          <w:sz w:val="24"/>
          <w:szCs w:val="24"/>
          <w:u w:val="single"/>
        </w:rPr>
        <w:t>金属元素占比</w:t>
      </w:r>
      <w:r>
        <w:rPr>
          <w:sz w:val="24"/>
          <w:szCs w:val="24"/>
          <w:u w:val="single"/>
        </w:rPr>
        <w:t>（%）</w:t>
      </w:r>
    </w:p>
    <w:tbl>
      <w:tblPr>
        <w:tblStyle w:val="88"/>
        <w:tblW w:w="904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906"/>
        <w:gridCol w:w="1907"/>
        <w:gridCol w:w="2613"/>
        <w:gridCol w:w="2614"/>
      </w:tblGrid>
      <w:tr w14:paraId="3DF19A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906" w:type="dxa"/>
            <w:vAlign w:val="center"/>
          </w:tcPr>
          <w:p w14:paraId="695CA4EF">
            <w:pPr>
              <w:widowControl/>
              <w:jc w:val="center"/>
              <w:rPr>
                <w:rFonts w:ascii="Times New Roman" w:hAnsi="Times New Roman"/>
                <w:b/>
                <w:bCs/>
                <w:kern w:val="0"/>
                <w:szCs w:val="21"/>
                <w:u w:val="single"/>
              </w:rPr>
            </w:pPr>
            <w:r>
              <w:rPr>
                <w:rFonts w:ascii="Times New Roman" w:hAnsi="Times New Roman"/>
                <w:b/>
                <w:bCs/>
                <w:kern w:val="0"/>
                <w:szCs w:val="21"/>
                <w:u w:val="single"/>
              </w:rPr>
              <w:t>企业</w:t>
            </w:r>
          </w:p>
        </w:tc>
        <w:tc>
          <w:tcPr>
            <w:tcW w:w="1907" w:type="dxa"/>
            <w:vAlign w:val="center"/>
          </w:tcPr>
          <w:p w14:paraId="2230640E">
            <w:pPr>
              <w:widowControl/>
              <w:jc w:val="center"/>
              <w:rPr>
                <w:rFonts w:ascii="Times New Roman" w:hAnsi="Times New Roman"/>
                <w:b/>
                <w:bCs/>
                <w:kern w:val="0"/>
                <w:szCs w:val="21"/>
                <w:u w:val="single"/>
              </w:rPr>
            </w:pPr>
            <w:r>
              <w:rPr>
                <w:rFonts w:ascii="Times New Roman" w:hAnsi="Times New Roman"/>
                <w:b/>
                <w:bCs/>
                <w:kern w:val="0"/>
                <w:szCs w:val="21"/>
                <w:u w:val="single"/>
              </w:rPr>
              <w:t>矿种</w:t>
            </w:r>
          </w:p>
        </w:tc>
        <w:tc>
          <w:tcPr>
            <w:tcW w:w="2613" w:type="dxa"/>
            <w:vAlign w:val="center"/>
          </w:tcPr>
          <w:p w14:paraId="357B30E6">
            <w:pPr>
              <w:widowControl/>
              <w:jc w:val="center"/>
              <w:rPr>
                <w:rFonts w:ascii="Times New Roman" w:hAnsi="Times New Roman"/>
                <w:b/>
                <w:bCs/>
                <w:kern w:val="0"/>
                <w:szCs w:val="21"/>
                <w:u w:val="single"/>
              </w:rPr>
            </w:pPr>
            <w:r>
              <w:rPr>
                <w:rFonts w:ascii="Times New Roman" w:hAnsi="Times New Roman"/>
                <w:b/>
                <w:bCs/>
                <w:kern w:val="0"/>
                <w:szCs w:val="21"/>
                <w:u w:val="single"/>
              </w:rPr>
              <w:t>Ce</w:t>
            </w:r>
          </w:p>
        </w:tc>
        <w:tc>
          <w:tcPr>
            <w:tcW w:w="2614" w:type="dxa"/>
            <w:vAlign w:val="center"/>
          </w:tcPr>
          <w:p w14:paraId="520FA9CA">
            <w:pPr>
              <w:widowControl/>
              <w:jc w:val="center"/>
              <w:rPr>
                <w:rFonts w:ascii="Times New Roman" w:hAnsi="Times New Roman"/>
                <w:b/>
                <w:bCs/>
                <w:kern w:val="0"/>
                <w:szCs w:val="21"/>
                <w:u w:val="single"/>
              </w:rPr>
            </w:pPr>
            <w:r>
              <w:rPr>
                <w:rFonts w:ascii="Times New Roman" w:hAnsi="Times New Roman"/>
                <w:b/>
                <w:bCs/>
                <w:kern w:val="0"/>
                <w:szCs w:val="21"/>
                <w:u w:val="single"/>
              </w:rPr>
              <w:t>Th</w:t>
            </w:r>
          </w:p>
        </w:tc>
      </w:tr>
      <w:tr w14:paraId="6DB5F4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906" w:type="dxa"/>
            <w:noWrap/>
            <w:vAlign w:val="center"/>
          </w:tcPr>
          <w:p w14:paraId="78B1AA9D">
            <w:pPr>
              <w:widowControl/>
              <w:jc w:val="center"/>
              <w:rPr>
                <w:rFonts w:ascii="Times New Roman" w:hAnsi="Times New Roman"/>
                <w:kern w:val="0"/>
                <w:szCs w:val="21"/>
                <w:u w:val="single"/>
              </w:rPr>
            </w:pPr>
            <w:r>
              <w:rPr>
                <w:rFonts w:ascii="Times New Roman" w:hAnsi="Times New Roman"/>
                <w:kern w:val="0"/>
                <w:szCs w:val="21"/>
                <w:u w:val="single"/>
              </w:rPr>
              <w:t>广西道丰</w:t>
            </w:r>
          </w:p>
        </w:tc>
        <w:tc>
          <w:tcPr>
            <w:tcW w:w="1907" w:type="dxa"/>
            <w:noWrap/>
            <w:vAlign w:val="center"/>
          </w:tcPr>
          <w:p w14:paraId="52EB3AB3">
            <w:pPr>
              <w:widowControl/>
              <w:jc w:val="center"/>
              <w:rPr>
                <w:rFonts w:ascii="Times New Roman" w:hAnsi="Times New Roman"/>
                <w:kern w:val="0"/>
                <w:szCs w:val="21"/>
                <w:u w:val="single"/>
              </w:rPr>
            </w:pPr>
            <w:r>
              <w:rPr>
                <w:rFonts w:ascii="Times New Roman" w:hAnsi="Times New Roman"/>
                <w:kern w:val="0"/>
                <w:szCs w:val="21"/>
                <w:u w:val="single"/>
              </w:rPr>
              <w:t>毛矿</w:t>
            </w:r>
          </w:p>
        </w:tc>
        <w:tc>
          <w:tcPr>
            <w:tcW w:w="2613" w:type="dxa"/>
            <w:noWrap/>
            <w:vAlign w:val="center"/>
          </w:tcPr>
          <w:p w14:paraId="2537D400">
            <w:pPr>
              <w:widowControl/>
              <w:jc w:val="center"/>
              <w:rPr>
                <w:rFonts w:ascii="Times New Roman" w:hAnsi="Times New Roman"/>
                <w:kern w:val="0"/>
                <w:szCs w:val="21"/>
                <w:u w:val="single"/>
              </w:rPr>
            </w:pPr>
            <w:r>
              <w:rPr>
                <w:rFonts w:hint="eastAsia" w:ascii="Times New Roman" w:hAnsi="Times New Roman"/>
                <w:kern w:val="0"/>
                <w:szCs w:val="21"/>
                <w:u w:val="single"/>
              </w:rPr>
              <w:t>0.42</w:t>
            </w:r>
          </w:p>
        </w:tc>
        <w:tc>
          <w:tcPr>
            <w:tcW w:w="2614" w:type="dxa"/>
            <w:noWrap/>
            <w:vAlign w:val="center"/>
          </w:tcPr>
          <w:p w14:paraId="69CCB7D9">
            <w:pPr>
              <w:widowControl/>
              <w:jc w:val="center"/>
              <w:rPr>
                <w:rFonts w:ascii="Times New Roman" w:hAnsi="Times New Roman"/>
                <w:kern w:val="0"/>
                <w:szCs w:val="21"/>
                <w:u w:val="single"/>
              </w:rPr>
            </w:pPr>
            <w:r>
              <w:rPr>
                <w:rFonts w:hint="eastAsia" w:ascii="Times New Roman" w:hAnsi="Times New Roman"/>
                <w:kern w:val="0"/>
                <w:szCs w:val="21"/>
                <w:u w:val="single"/>
              </w:rPr>
              <w:t>0.07</w:t>
            </w:r>
          </w:p>
        </w:tc>
      </w:tr>
      <w:tr w14:paraId="3C8CDE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906" w:type="dxa"/>
            <w:noWrap/>
            <w:vAlign w:val="center"/>
          </w:tcPr>
          <w:p w14:paraId="786BBF1D">
            <w:pPr>
              <w:widowControl/>
              <w:jc w:val="center"/>
              <w:rPr>
                <w:rFonts w:ascii="Times New Roman" w:hAnsi="Times New Roman"/>
                <w:kern w:val="0"/>
                <w:szCs w:val="21"/>
                <w:u w:val="single"/>
              </w:rPr>
            </w:pPr>
            <w:r>
              <w:rPr>
                <w:rFonts w:ascii="Times New Roman" w:hAnsi="Times New Roman"/>
                <w:kern w:val="0"/>
                <w:szCs w:val="21"/>
                <w:u w:val="single"/>
              </w:rPr>
              <w:t>广西道丰</w:t>
            </w:r>
          </w:p>
        </w:tc>
        <w:tc>
          <w:tcPr>
            <w:tcW w:w="1907" w:type="dxa"/>
            <w:noWrap/>
            <w:vAlign w:val="center"/>
          </w:tcPr>
          <w:p w14:paraId="588FB225">
            <w:pPr>
              <w:widowControl/>
              <w:jc w:val="center"/>
              <w:rPr>
                <w:rFonts w:ascii="Times New Roman" w:hAnsi="Times New Roman"/>
                <w:kern w:val="0"/>
                <w:szCs w:val="21"/>
                <w:u w:val="single"/>
              </w:rPr>
            </w:pPr>
            <w:r>
              <w:rPr>
                <w:rFonts w:ascii="Times New Roman" w:hAnsi="Times New Roman"/>
                <w:kern w:val="0"/>
                <w:szCs w:val="21"/>
                <w:u w:val="single"/>
              </w:rPr>
              <w:t>锆中矿</w:t>
            </w:r>
          </w:p>
        </w:tc>
        <w:tc>
          <w:tcPr>
            <w:tcW w:w="2613" w:type="dxa"/>
            <w:noWrap/>
            <w:vAlign w:val="center"/>
          </w:tcPr>
          <w:p w14:paraId="1BB223F7">
            <w:pPr>
              <w:widowControl/>
              <w:jc w:val="center"/>
              <w:rPr>
                <w:rFonts w:ascii="Times New Roman" w:hAnsi="Times New Roman"/>
                <w:kern w:val="0"/>
                <w:szCs w:val="21"/>
                <w:u w:val="single"/>
              </w:rPr>
            </w:pPr>
            <w:r>
              <w:rPr>
                <w:rFonts w:hint="eastAsia" w:ascii="Times New Roman" w:hAnsi="Times New Roman"/>
                <w:kern w:val="0"/>
                <w:szCs w:val="21"/>
                <w:u w:val="single"/>
              </w:rPr>
              <w:t>0.07</w:t>
            </w:r>
          </w:p>
        </w:tc>
        <w:tc>
          <w:tcPr>
            <w:tcW w:w="2614" w:type="dxa"/>
            <w:noWrap/>
            <w:vAlign w:val="center"/>
          </w:tcPr>
          <w:p w14:paraId="1C1A6B23">
            <w:pPr>
              <w:widowControl/>
              <w:jc w:val="center"/>
              <w:rPr>
                <w:rFonts w:ascii="Times New Roman" w:hAnsi="Times New Roman"/>
                <w:kern w:val="0"/>
                <w:szCs w:val="21"/>
                <w:u w:val="single"/>
              </w:rPr>
            </w:pPr>
            <w:r>
              <w:rPr>
                <w:rFonts w:ascii="Times New Roman" w:hAnsi="Times New Roman"/>
                <w:kern w:val="0"/>
                <w:szCs w:val="21"/>
                <w:u w:val="single"/>
              </w:rPr>
              <w:t>0.</w:t>
            </w:r>
            <w:r>
              <w:rPr>
                <w:rFonts w:hint="eastAsia" w:ascii="Times New Roman" w:hAnsi="Times New Roman"/>
                <w:kern w:val="0"/>
                <w:szCs w:val="21"/>
                <w:u w:val="single"/>
              </w:rPr>
              <w:t>03</w:t>
            </w:r>
          </w:p>
        </w:tc>
      </w:tr>
    </w:tbl>
    <w:p w14:paraId="03363FF9">
      <w:pPr>
        <w:tabs>
          <w:tab w:val="center" w:pos="4693"/>
        </w:tabs>
        <w:adjustRightInd w:val="0"/>
        <w:snapToGrid w:val="0"/>
        <w:spacing w:line="360" w:lineRule="auto"/>
        <w:ind w:firstLine="480" w:firstLineChars="200"/>
        <w:rPr>
          <w:rFonts w:ascii="Times New Roman" w:hAnsi="Times New Roman"/>
          <w:sz w:val="24"/>
          <w:szCs w:val="24"/>
        </w:rPr>
      </w:pPr>
    </w:p>
    <w:p w14:paraId="5340F252">
      <w:pPr>
        <w:tabs>
          <w:tab w:val="center" w:pos="4693"/>
        </w:tabs>
        <w:adjustRightInd w:val="0"/>
        <w:snapToGrid w:val="0"/>
        <w:spacing w:line="360" w:lineRule="auto"/>
        <w:ind w:firstLine="480" w:firstLineChars="200"/>
        <w:rPr>
          <w:rFonts w:ascii="Times New Roman" w:hAnsi="Times New Roman"/>
          <w:sz w:val="24"/>
          <w:szCs w:val="24"/>
          <w:u w:val="single"/>
        </w:rPr>
      </w:pPr>
      <w:r>
        <w:rPr>
          <w:rFonts w:hint="eastAsia" w:ascii="Times New Roman" w:hAnsi="Times New Roman"/>
          <w:sz w:val="24"/>
          <w:szCs w:val="24"/>
          <w:u w:val="single"/>
        </w:rPr>
        <w:t>根据监测单位送测的毛矿的金属元素占比情况，结合广西道丰新材料有限公司毛矿及钛铁精矿的铈、钍金属占比数据，进行物料平衡分析。其中建设单位送检样本含锡元素较低，因此根据锡检出限0.01的50%取值，排放的粉尘按照毛矿的成分占比取值。项目的</w:t>
      </w:r>
      <w:r>
        <w:rPr>
          <w:rFonts w:ascii="Times New Roman" w:hAnsi="Times New Roman"/>
          <w:sz w:val="24"/>
          <w:szCs w:val="24"/>
          <w:u w:val="single"/>
        </w:rPr>
        <w:t>成分</w:t>
      </w:r>
      <w:r>
        <w:rPr>
          <w:rFonts w:hint="eastAsia" w:ascii="Times New Roman" w:hAnsi="Times New Roman"/>
          <w:sz w:val="24"/>
          <w:szCs w:val="24"/>
          <w:u w:val="single"/>
        </w:rPr>
        <w:t>干绝量</w:t>
      </w:r>
      <w:r>
        <w:rPr>
          <w:rFonts w:ascii="Times New Roman" w:hAnsi="Times New Roman"/>
          <w:sz w:val="24"/>
          <w:szCs w:val="24"/>
          <w:u w:val="single"/>
        </w:rPr>
        <w:t>参考值取值如表2.1-</w:t>
      </w:r>
      <w:r>
        <w:rPr>
          <w:rFonts w:hint="eastAsia" w:ascii="Times New Roman" w:hAnsi="Times New Roman"/>
          <w:sz w:val="24"/>
          <w:szCs w:val="24"/>
          <w:u w:val="single"/>
        </w:rPr>
        <w:t>9</w:t>
      </w:r>
      <w:r>
        <w:rPr>
          <w:rFonts w:ascii="Times New Roman" w:hAnsi="Times New Roman"/>
          <w:sz w:val="24"/>
          <w:szCs w:val="24"/>
          <w:u w:val="single"/>
        </w:rPr>
        <w:t>。</w:t>
      </w:r>
    </w:p>
    <w:p w14:paraId="7D9D1CD6">
      <w:pPr>
        <w:pStyle w:val="8"/>
        <w:rPr>
          <w:sz w:val="24"/>
          <w:szCs w:val="24"/>
          <w:u w:val="single"/>
        </w:rPr>
      </w:pPr>
      <w:r>
        <w:rPr>
          <w:spacing w:val="-2"/>
          <w:kern w:val="0"/>
          <w:sz w:val="24"/>
          <w:szCs w:val="24"/>
          <w:u w:val="single"/>
        </w:rPr>
        <w:t>项目原料、</w:t>
      </w:r>
      <w:r>
        <w:rPr>
          <w:rFonts w:hint="eastAsia"/>
          <w:spacing w:val="-2"/>
          <w:kern w:val="0"/>
          <w:sz w:val="24"/>
          <w:szCs w:val="24"/>
          <w:u w:val="single"/>
        </w:rPr>
        <w:t>产品、粉尘</w:t>
      </w:r>
      <w:r>
        <w:rPr>
          <w:spacing w:val="-2"/>
          <w:kern w:val="0"/>
          <w:sz w:val="24"/>
          <w:szCs w:val="24"/>
          <w:u w:val="single"/>
        </w:rPr>
        <w:t>成分</w:t>
      </w:r>
      <w:r>
        <w:rPr>
          <w:rFonts w:hint="eastAsia"/>
          <w:spacing w:val="-2"/>
          <w:kern w:val="0"/>
          <w:sz w:val="24"/>
          <w:szCs w:val="24"/>
          <w:u w:val="single"/>
        </w:rPr>
        <w:t>干绝量</w:t>
      </w:r>
      <w:r>
        <w:rPr>
          <w:spacing w:val="-2"/>
          <w:kern w:val="0"/>
          <w:sz w:val="24"/>
          <w:szCs w:val="24"/>
          <w:u w:val="single"/>
        </w:rPr>
        <w:t>参考值</w:t>
      </w:r>
      <w:r>
        <w:rPr>
          <w:sz w:val="24"/>
          <w:szCs w:val="24"/>
          <w:u w:val="single"/>
        </w:rPr>
        <w:t>（%）</w:t>
      </w:r>
    </w:p>
    <w:tbl>
      <w:tblPr>
        <w:tblStyle w:val="88"/>
        <w:tblW w:w="9199"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96"/>
        <w:gridCol w:w="1118"/>
        <w:gridCol w:w="904"/>
        <w:gridCol w:w="903"/>
        <w:gridCol w:w="903"/>
        <w:gridCol w:w="903"/>
        <w:gridCol w:w="903"/>
        <w:gridCol w:w="903"/>
        <w:gridCol w:w="903"/>
        <w:gridCol w:w="1063"/>
      </w:tblGrid>
      <w:tr w14:paraId="4B2F95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96" w:type="dxa"/>
            <w:noWrap/>
            <w:vAlign w:val="center"/>
          </w:tcPr>
          <w:p w14:paraId="0F6847EA">
            <w:pPr>
              <w:widowControl/>
              <w:jc w:val="center"/>
              <w:rPr>
                <w:rFonts w:ascii="Times New Roman" w:hAnsi="Times New Roman"/>
                <w:b/>
                <w:bCs/>
                <w:kern w:val="0"/>
                <w:szCs w:val="21"/>
                <w:u w:val="single"/>
              </w:rPr>
            </w:pPr>
            <w:r>
              <w:rPr>
                <w:rFonts w:ascii="Times New Roman" w:hAnsi="Times New Roman"/>
                <w:b/>
                <w:bCs/>
                <w:kern w:val="0"/>
                <w:szCs w:val="21"/>
                <w:u w:val="single"/>
              </w:rPr>
              <w:t>序号</w:t>
            </w:r>
          </w:p>
        </w:tc>
        <w:tc>
          <w:tcPr>
            <w:tcW w:w="1118" w:type="dxa"/>
            <w:vAlign w:val="center"/>
          </w:tcPr>
          <w:p w14:paraId="2E9B8D63">
            <w:pPr>
              <w:widowControl/>
              <w:jc w:val="center"/>
              <w:rPr>
                <w:rFonts w:ascii="Times New Roman" w:hAnsi="Times New Roman"/>
                <w:b/>
                <w:bCs/>
                <w:kern w:val="0"/>
                <w:szCs w:val="21"/>
                <w:u w:val="single"/>
              </w:rPr>
            </w:pPr>
            <w:r>
              <w:rPr>
                <w:rFonts w:ascii="Times New Roman" w:hAnsi="Times New Roman"/>
                <w:b/>
                <w:bCs/>
                <w:kern w:val="0"/>
                <w:szCs w:val="21"/>
                <w:u w:val="single"/>
              </w:rPr>
              <w:t>物料种类</w:t>
            </w:r>
          </w:p>
        </w:tc>
        <w:tc>
          <w:tcPr>
            <w:tcW w:w="904" w:type="dxa"/>
            <w:vAlign w:val="center"/>
          </w:tcPr>
          <w:p w14:paraId="208BDD58">
            <w:pPr>
              <w:widowControl/>
              <w:jc w:val="center"/>
              <w:rPr>
                <w:rFonts w:ascii="Times New Roman" w:hAnsi="Times New Roman"/>
                <w:b/>
                <w:bCs/>
                <w:kern w:val="0"/>
                <w:szCs w:val="21"/>
                <w:u w:val="single"/>
              </w:rPr>
            </w:pPr>
            <w:r>
              <w:rPr>
                <w:rFonts w:ascii="Times New Roman" w:hAnsi="Times New Roman"/>
                <w:b/>
                <w:bCs/>
                <w:kern w:val="0"/>
                <w:szCs w:val="21"/>
                <w:u w:val="single"/>
              </w:rPr>
              <w:t>Ti</w:t>
            </w:r>
          </w:p>
        </w:tc>
        <w:tc>
          <w:tcPr>
            <w:tcW w:w="903" w:type="dxa"/>
            <w:vAlign w:val="center"/>
          </w:tcPr>
          <w:p w14:paraId="30B72C4C">
            <w:pPr>
              <w:widowControl/>
              <w:jc w:val="center"/>
              <w:rPr>
                <w:rFonts w:ascii="Times New Roman" w:hAnsi="Times New Roman"/>
                <w:b/>
                <w:bCs/>
                <w:kern w:val="0"/>
                <w:szCs w:val="21"/>
                <w:u w:val="single"/>
              </w:rPr>
            </w:pPr>
            <w:r>
              <w:rPr>
                <w:rFonts w:ascii="Times New Roman" w:hAnsi="Times New Roman"/>
                <w:b/>
                <w:bCs/>
                <w:kern w:val="0"/>
                <w:szCs w:val="21"/>
                <w:u w:val="single"/>
              </w:rPr>
              <w:t>Fe</w:t>
            </w:r>
          </w:p>
        </w:tc>
        <w:tc>
          <w:tcPr>
            <w:tcW w:w="903" w:type="dxa"/>
            <w:vAlign w:val="center"/>
          </w:tcPr>
          <w:p w14:paraId="7E2B2357">
            <w:pPr>
              <w:widowControl/>
              <w:jc w:val="center"/>
              <w:rPr>
                <w:rFonts w:ascii="Times New Roman" w:hAnsi="Times New Roman"/>
                <w:b/>
                <w:bCs/>
                <w:kern w:val="0"/>
                <w:szCs w:val="21"/>
                <w:u w:val="single"/>
              </w:rPr>
            </w:pPr>
            <w:r>
              <w:rPr>
                <w:rFonts w:ascii="Times New Roman" w:hAnsi="Times New Roman"/>
                <w:b/>
                <w:bCs/>
                <w:kern w:val="0"/>
                <w:szCs w:val="21"/>
                <w:u w:val="single"/>
              </w:rPr>
              <w:t>Zr</w:t>
            </w:r>
          </w:p>
        </w:tc>
        <w:tc>
          <w:tcPr>
            <w:tcW w:w="903" w:type="dxa"/>
            <w:vAlign w:val="center"/>
          </w:tcPr>
          <w:p w14:paraId="57F7C899">
            <w:pPr>
              <w:widowControl/>
              <w:jc w:val="center"/>
              <w:rPr>
                <w:rFonts w:ascii="Times New Roman" w:hAnsi="Times New Roman"/>
                <w:b/>
                <w:bCs/>
                <w:kern w:val="0"/>
                <w:szCs w:val="21"/>
                <w:u w:val="single"/>
              </w:rPr>
            </w:pPr>
            <w:r>
              <w:rPr>
                <w:rFonts w:ascii="Times New Roman" w:hAnsi="Times New Roman"/>
                <w:b/>
                <w:bCs/>
                <w:kern w:val="0"/>
                <w:szCs w:val="21"/>
                <w:u w:val="single"/>
              </w:rPr>
              <w:t>Si</w:t>
            </w:r>
          </w:p>
        </w:tc>
        <w:tc>
          <w:tcPr>
            <w:tcW w:w="903" w:type="dxa"/>
            <w:vAlign w:val="center"/>
          </w:tcPr>
          <w:p w14:paraId="57D7897F">
            <w:pPr>
              <w:widowControl/>
              <w:jc w:val="center"/>
              <w:rPr>
                <w:rFonts w:ascii="Times New Roman" w:hAnsi="Times New Roman"/>
                <w:b/>
                <w:bCs/>
                <w:kern w:val="0"/>
                <w:szCs w:val="21"/>
                <w:u w:val="single"/>
              </w:rPr>
            </w:pPr>
            <w:r>
              <w:rPr>
                <w:rFonts w:ascii="Times New Roman" w:hAnsi="Times New Roman"/>
                <w:b/>
                <w:bCs/>
                <w:kern w:val="0"/>
                <w:szCs w:val="21"/>
                <w:u w:val="single"/>
              </w:rPr>
              <w:t>Sn</w:t>
            </w:r>
          </w:p>
        </w:tc>
        <w:tc>
          <w:tcPr>
            <w:tcW w:w="903" w:type="dxa"/>
            <w:vAlign w:val="center"/>
          </w:tcPr>
          <w:p w14:paraId="02C2A6E8">
            <w:pPr>
              <w:widowControl/>
              <w:jc w:val="center"/>
              <w:rPr>
                <w:rFonts w:ascii="Times New Roman" w:hAnsi="Times New Roman"/>
                <w:b/>
                <w:bCs/>
                <w:kern w:val="0"/>
                <w:szCs w:val="21"/>
                <w:u w:val="single"/>
              </w:rPr>
            </w:pPr>
            <w:r>
              <w:rPr>
                <w:rFonts w:ascii="Times New Roman" w:hAnsi="Times New Roman"/>
                <w:b/>
                <w:bCs/>
                <w:kern w:val="0"/>
                <w:szCs w:val="21"/>
                <w:u w:val="single"/>
              </w:rPr>
              <w:t>Ce</w:t>
            </w:r>
          </w:p>
        </w:tc>
        <w:tc>
          <w:tcPr>
            <w:tcW w:w="903" w:type="dxa"/>
            <w:vAlign w:val="center"/>
          </w:tcPr>
          <w:p w14:paraId="0089B6A0">
            <w:pPr>
              <w:widowControl/>
              <w:jc w:val="center"/>
              <w:rPr>
                <w:rFonts w:ascii="Times New Roman" w:hAnsi="Times New Roman"/>
                <w:b/>
                <w:bCs/>
                <w:kern w:val="0"/>
                <w:szCs w:val="21"/>
                <w:u w:val="single"/>
              </w:rPr>
            </w:pPr>
            <w:r>
              <w:rPr>
                <w:rFonts w:ascii="Times New Roman" w:hAnsi="Times New Roman"/>
                <w:b/>
                <w:bCs/>
                <w:kern w:val="0"/>
                <w:szCs w:val="21"/>
                <w:u w:val="single"/>
              </w:rPr>
              <w:t>Th</w:t>
            </w:r>
          </w:p>
        </w:tc>
        <w:tc>
          <w:tcPr>
            <w:tcW w:w="1063" w:type="dxa"/>
            <w:vAlign w:val="center"/>
          </w:tcPr>
          <w:p w14:paraId="3E2FCF46">
            <w:pPr>
              <w:widowControl/>
              <w:jc w:val="center"/>
              <w:rPr>
                <w:rFonts w:ascii="Times New Roman" w:hAnsi="Times New Roman"/>
                <w:b/>
                <w:bCs/>
                <w:kern w:val="0"/>
                <w:szCs w:val="21"/>
                <w:u w:val="single"/>
              </w:rPr>
            </w:pPr>
            <w:r>
              <w:rPr>
                <w:rFonts w:ascii="Times New Roman" w:hAnsi="Times New Roman"/>
                <w:b/>
                <w:bCs/>
                <w:kern w:val="0"/>
                <w:szCs w:val="21"/>
                <w:u w:val="single"/>
              </w:rPr>
              <w:t>其他</w:t>
            </w:r>
          </w:p>
        </w:tc>
      </w:tr>
      <w:tr w14:paraId="4F188C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96" w:type="dxa"/>
            <w:noWrap/>
            <w:vAlign w:val="center"/>
          </w:tcPr>
          <w:p w14:paraId="7B7E9E41">
            <w:pPr>
              <w:widowControl/>
              <w:jc w:val="center"/>
              <w:rPr>
                <w:rFonts w:ascii="Times New Roman" w:hAnsi="Times New Roman"/>
                <w:kern w:val="0"/>
                <w:szCs w:val="21"/>
                <w:u w:val="single"/>
              </w:rPr>
            </w:pPr>
            <w:r>
              <w:rPr>
                <w:rFonts w:ascii="Times New Roman" w:hAnsi="Times New Roman"/>
                <w:kern w:val="0"/>
                <w:szCs w:val="21"/>
                <w:u w:val="single"/>
              </w:rPr>
              <w:t>1</w:t>
            </w:r>
          </w:p>
        </w:tc>
        <w:tc>
          <w:tcPr>
            <w:tcW w:w="1118" w:type="dxa"/>
            <w:vAlign w:val="center"/>
          </w:tcPr>
          <w:p w14:paraId="438A1F2C">
            <w:pPr>
              <w:widowControl/>
              <w:jc w:val="center"/>
              <w:rPr>
                <w:rFonts w:ascii="Times New Roman" w:hAnsi="Times New Roman"/>
                <w:kern w:val="0"/>
                <w:szCs w:val="21"/>
                <w:u w:val="single"/>
              </w:rPr>
            </w:pPr>
            <w:r>
              <w:rPr>
                <w:rFonts w:ascii="Times New Roman" w:hAnsi="Times New Roman"/>
                <w:kern w:val="0"/>
                <w:szCs w:val="21"/>
                <w:u w:val="single"/>
              </w:rPr>
              <w:t>毛矿</w:t>
            </w:r>
          </w:p>
        </w:tc>
        <w:tc>
          <w:tcPr>
            <w:tcW w:w="904" w:type="dxa"/>
            <w:vAlign w:val="center"/>
          </w:tcPr>
          <w:p w14:paraId="24DAA2B1">
            <w:pPr>
              <w:widowControl/>
              <w:jc w:val="center"/>
              <w:rPr>
                <w:rFonts w:ascii="Times New Roman" w:hAnsi="Times New Roman"/>
                <w:kern w:val="0"/>
                <w:szCs w:val="21"/>
                <w:u w:val="single"/>
              </w:rPr>
            </w:pPr>
            <w:r>
              <w:rPr>
                <w:rFonts w:ascii="Times New Roman" w:hAnsi="Times New Roman"/>
                <w:kern w:val="0"/>
                <w:szCs w:val="21"/>
                <w:u w:val="single"/>
              </w:rPr>
              <w:t>20.98</w:t>
            </w:r>
          </w:p>
        </w:tc>
        <w:tc>
          <w:tcPr>
            <w:tcW w:w="903" w:type="dxa"/>
            <w:vAlign w:val="center"/>
          </w:tcPr>
          <w:p w14:paraId="72A0339E">
            <w:pPr>
              <w:widowControl/>
              <w:jc w:val="center"/>
              <w:rPr>
                <w:rFonts w:ascii="Times New Roman" w:hAnsi="Times New Roman"/>
                <w:kern w:val="0"/>
                <w:szCs w:val="21"/>
                <w:u w:val="single"/>
              </w:rPr>
            </w:pPr>
            <w:r>
              <w:rPr>
                <w:rFonts w:ascii="Times New Roman" w:hAnsi="Times New Roman"/>
                <w:kern w:val="0"/>
                <w:szCs w:val="21"/>
                <w:u w:val="single"/>
              </w:rPr>
              <w:t>26.14</w:t>
            </w:r>
          </w:p>
        </w:tc>
        <w:tc>
          <w:tcPr>
            <w:tcW w:w="903" w:type="dxa"/>
            <w:vAlign w:val="center"/>
          </w:tcPr>
          <w:p w14:paraId="06E93401">
            <w:pPr>
              <w:widowControl/>
              <w:jc w:val="center"/>
              <w:rPr>
                <w:rFonts w:ascii="Times New Roman" w:hAnsi="Times New Roman"/>
                <w:kern w:val="0"/>
                <w:szCs w:val="21"/>
                <w:u w:val="single"/>
              </w:rPr>
            </w:pPr>
            <w:r>
              <w:rPr>
                <w:rFonts w:ascii="Times New Roman" w:hAnsi="Times New Roman"/>
                <w:kern w:val="0"/>
                <w:szCs w:val="21"/>
                <w:u w:val="single"/>
              </w:rPr>
              <w:t>1.12</w:t>
            </w:r>
          </w:p>
        </w:tc>
        <w:tc>
          <w:tcPr>
            <w:tcW w:w="903" w:type="dxa"/>
            <w:vAlign w:val="center"/>
          </w:tcPr>
          <w:p w14:paraId="3B7CCABA">
            <w:pPr>
              <w:widowControl/>
              <w:jc w:val="center"/>
              <w:rPr>
                <w:rFonts w:ascii="Times New Roman" w:hAnsi="Times New Roman"/>
                <w:kern w:val="0"/>
                <w:szCs w:val="21"/>
                <w:u w:val="single"/>
              </w:rPr>
            </w:pPr>
            <w:r>
              <w:rPr>
                <w:rFonts w:ascii="Times New Roman" w:hAnsi="Times New Roman"/>
                <w:kern w:val="0"/>
                <w:szCs w:val="21"/>
                <w:u w:val="single"/>
              </w:rPr>
              <w:t>9.78</w:t>
            </w:r>
          </w:p>
        </w:tc>
        <w:tc>
          <w:tcPr>
            <w:tcW w:w="903" w:type="dxa"/>
            <w:vAlign w:val="center"/>
          </w:tcPr>
          <w:p w14:paraId="3D7A1C89">
            <w:pPr>
              <w:widowControl/>
              <w:jc w:val="center"/>
              <w:rPr>
                <w:rFonts w:ascii="Times New Roman" w:hAnsi="Times New Roman"/>
                <w:kern w:val="0"/>
                <w:szCs w:val="21"/>
                <w:u w:val="single"/>
              </w:rPr>
            </w:pPr>
            <w:r>
              <w:rPr>
                <w:rFonts w:ascii="Times New Roman" w:hAnsi="Times New Roman"/>
                <w:kern w:val="0"/>
                <w:szCs w:val="21"/>
                <w:u w:val="single"/>
              </w:rPr>
              <w:t>0.005</w:t>
            </w:r>
          </w:p>
        </w:tc>
        <w:tc>
          <w:tcPr>
            <w:tcW w:w="903" w:type="dxa"/>
            <w:vAlign w:val="center"/>
          </w:tcPr>
          <w:p w14:paraId="10A57AE1">
            <w:pPr>
              <w:widowControl/>
              <w:jc w:val="center"/>
              <w:rPr>
                <w:rFonts w:ascii="Times New Roman" w:hAnsi="Times New Roman"/>
                <w:kern w:val="0"/>
                <w:szCs w:val="21"/>
                <w:u w:val="single"/>
              </w:rPr>
            </w:pPr>
            <w:r>
              <w:rPr>
                <w:rFonts w:ascii="Times New Roman" w:hAnsi="Times New Roman"/>
                <w:kern w:val="0"/>
                <w:szCs w:val="21"/>
                <w:u w:val="single"/>
              </w:rPr>
              <w:t>0.42</w:t>
            </w:r>
          </w:p>
        </w:tc>
        <w:tc>
          <w:tcPr>
            <w:tcW w:w="903" w:type="dxa"/>
            <w:vAlign w:val="center"/>
          </w:tcPr>
          <w:p w14:paraId="3767CBAD">
            <w:pPr>
              <w:widowControl/>
              <w:jc w:val="center"/>
              <w:rPr>
                <w:rFonts w:ascii="Times New Roman" w:hAnsi="Times New Roman"/>
                <w:kern w:val="0"/>
                <w:szCs w:val="21"/>
                <w:u w:val="single"/>
              </w:rPr>
            </w:pPr>
            <w:r>
              <w:rPr>
                <w:rFonts w:ascii="Times New Roman" w:hAnsi="Times New Roman"/>
                <w:kern w:val="0"/>
                <w:szCs w:val="21"/>
                <w:u w:val="single"/>
              </w:rPr>
              <w:t>0.07</w:t>
            </w:r>
          </w:p>
        </w:tc>
        <w:tc>
          <w:tcPr>
            <w:tcW w:w="1063" w:type="dxa"/>
            <w:vAlign w:val="center"/>
          </w:tcPr>
          <w:p w14:paraId="23FD7FB2">
            <w:pPr>
              <w:widowControl/>
              <w:jc w:val="center"/>
              <w:rPr>
                <w:rFonts w:ascii="Times New Roman" w:hAnsi="Times New Roman"/>
                <w:kern w:val="0"/>
                <w:szCs w:val="21"/>
                <w:u w:val="single"/>
              </w:rPr>
            </w:pPr>
            <w:r>
              <w:rPr>
                <w:rFonts w:ascii="Times New Roman" w:hAnsi="Times New Roman"/>
                <w:kern w:val="0"/>
                <w:szCs w:val="21"/>
                <w:u w:val="single"/>
              </w:rPr>
              <w:t>41.485</w:t>
            </w:r>
          </w:p>
        </w:tc>
      </w:tr>
      <w:tr w14:paraId="58EFBF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96" w:type="dxa"/>
            <w:noWrap/>
            <w:vAlign w:val="center"/>
          </w:tcPr>
          <w:p w14:paraId="7BE45CCE">
            <w:pPr>
              <w:widowControl/>
              <w:jc w:val="center"/>
              <w:rPr>
                <w:rFonts w:ascii="Times New Roman" w:hAnsi="Times New Roman"/>
                <w:kern w:val="0"/>
                <w:szCs w:val="21"/>
                <w:u w:val="single"/>
              </w:rPr>
            </w:pPr>
            <w:r>
              <w:rPr>
                <w:rFonts w:ascii="Times New Roman" w:hAnsi="Times New Roman"/>
                <w:kern w:val="0"/>
                <w:szCs w:val="21"/>
                <w:u w:val="single"/>
              </w:rPr>
              <w:t>2</w:t>
            </w:r>
          </w:p>
        </w:tc>
        <w:tc>
          <w:tcPr>
            <w:tcW w:w="1118" w:type="dxa"/>
            <w:vAlign w:val="center"/>
          </w:tcPr>
          <w:p w14:paraId="02C947D2">
            <w:pPr>
              <w:widowControl/>
              <w:jc w:val="center"/>
              <w:rPr>
                <w:rFonts w:ascii="Times New Roman" w:hAnsi="Times New Roman"/>
                <w:kern w:val="0"/>
                <w:szCs w:val="21"/>
                <w:u w:val="single"/>
              </w:rPr>
            </w:pPr>
            <w:r>
              <w:rPr>
                <w:rFonts w:ascii="Times New Roman" w:hAnsi="Times New Roman"/>
                <w:kern w:val="0"/>
                <w:szCs w:val="21"/>
                <w:u w:val="single"/>
              </w:rPr>
              <w:t>钛铁精矿</w:t>
            </w:r>
          </w:p>
        </w:tc>
        <w:tc>
          <w:tcPr>
            <w:tcW w:w="904" w:type="dxa"/>
            <w:vAlign w:val="center"/>
          </w:tcPr>
          <w:p w14:paraId="7ED4F5DD">
            <w:pPr>
              <w:widowControl/>
              <w:jc w:val="center"/>
              <w:rPr>
                <w:rFonts w:ascii="Times New Roman" w:hAnsi="Times New Roman"/>
                <w:kern w:val="0"/>
                <w:szCs w:val="21"/>
                <w:u w:val="single"/>
              </w:rPr>
            </w:pPr>
            <w:r>
              <w:rPr>
                <w:rFonts w:ascii="Times New Roman" w:hAnsi="Times New Roman"/>
                <w:kern w:val="0"/>
                <w:szCs w:val="21"/>
                <w:u w:val="single"/>
              </w:rPr>
              <w:t>29.19</w:t>
            </w:r>
          </w:p>
        </w:tc>
        <w:tc>
          <w:tcPr>
            <w:tcW w:w="903" w:type="dxa"/>
            <w:vAlign w:val="center"/>
          </w:tcPr>
          <w:p w14:paraId="4AE9106E">
            <w:pPr>
              <w:widowControl/>
              <w:jc w:val="center"/>
              <w:rPr>
                <w:rFonts w:ascii="Times New Roman" w:hAnsi="Times New Roman"/>
                <w:kern w:val="0"/>
                <w:szCs w:val="21"/>
                <w:u w:val="single"/>
              </w:rPr>
            </w:pPr>
            <w:r>
              <w:rPr>
                <w:rFonts w:ascii="Times New Roman" w:hAnsi="Times New Roman"/>
                <w:kern w:val="0"/>
                <w:szCs w:val="21"/>
                <w:u w:val="single"/>
              </w:rPr>
              <w:t>34.66</w:t>
            </w:r>
          </w:p>
        </w:tc>
        <w:tc>
          <w:tcPr>
            <w:tcW w:w="903" w:type="dxa"/>
            <w:vAlign w:val="center"/>
          </w:tcPr>
          <w:p w14:paraId="6A282127">
            <w:pPr>
              <w:widowControl/>
              <w:jc w:val="center"/>
              <w:rPr>
                <w:rFonts w:ascii="Times New Roman" w:hAnsi="Times New Roman"/>
                <w:kern w:val="0"/>
                <w:szCs w:val="21"/>
                <w:u w:val="single"/>
              </w:rPr>
            </w:pPr>
            <w:r>
              <w:rPr>
                <w:rFonts w:ascii="Times New Roman" w:hAnsi="Times New Roman"/>
                <w:kern w:val="0"/>
                <w:szCs w:val="21"/>
                <w:u w:val="single"/>
              </w:rPr>
              <w:t>0.11</w:t>
            </w:r>
          </w:p>
        </w:tc>
        <w:tc>
          <w:tcPr>
            <w:tcW w:w="903" w:type="dxa"/>
            <w:vAlign w:val="center"/>
          </w:tcPr>
          <w:p w14:paraId="208CC32A">
            <w:pPr>
              <w:widowControl/>
              <w:jc w:val="center"/>
              <w:rPr>
                <w:rFonts w:ascii="Times New Roman" w:hAnsi="Times New Roman"/>
                <w:kern w:val="0"/>
                <w:szCs w:val="21"/>
                <w:u w:val="single"/>
              </w:rPr>
            </w:pPr>
            <w:r>
              <w:rPr>
                <w:rFonts w:ascii="Times New Roman" w:hAnsi="Times New Roman"/>
                <w:kern w:val="0"/>
                <w:szCs w:val="21"/>
                <w:u w:val="single"/>
              </w:rPr>
              <w:t>0.7</w:t>
            </w:r>
          </w:p>
        </w:tc>
        <w:tc>
          <w:tcPr>
            <w:tcW w:w="903" w:type="dxa"/>
            <w:vAlign w:val="center"/>
          </w:tcPr>
          <w:p w14:paraId="5327EE9C">
            <w:pPr>
              <w:widowControl/>
              <w:jc w:val="center"/>
              <w:rPr>
                <w:rFonts w:ascii="Times New Roman" w:hAnsi="Times New Roman"/>
                <w:kern w:val="0"/>
                <w:szCs w:val="21"/>
                <w:u w:val="single"/>
              </w:rPr>
            </w:pPr>
            <w:r>
              <w:rPr>
                <w:rFonts w:ascii="Times New Roman" w:hAnsi="Times New Roman"/>
                <w:kern w:val="0"/>
                <w:szCs w:val="21"/>
                <w:u w:val="single"/>
              </w:rPr>
              <w:t>0.005</w:t>
            </w:r>
          </w:p>
        </w:tc>
        <w:tc>
          <w:tcPr>
            <w:tcW w:w="903" w:type="dxa"/>
            <w:vAlign w:val="center"/>
          </w:tcPr>
          <w:p w14:paraId="3DF9B408">
            <w:pPr>
              <w:widowControl/>
              <w:jc w:val="center"/>
              <w:rPr>
                <w:rFonts w:ascii="Times New Roman" w:hAnsi="Times New Roman"/>
                <w:kern w:val="0"/>
                <w:szCs w:val="21"/>
                <w:u w:val="single"/>
              </w:rPr>
            </w:pPr>
            <w:r>
              <w:rPr>
                <w:rFonts w:ascii="Times New Roman" w:hAnsi="Times New Roman"/>
                <w:kern w:val="0"/>
                <w:szCs w:val="21"/>
                <w:u w:val="single"/>
              </w:rPr>
              <w:t>0.57</w:t>
            </w:r>
          </w:p>
        </w:tc>
        <w:tc>
          <w:tcPr>
            <w:tcW w:w="903" w:type="dxa"/>
            <w:vAlign w:val="center"/>
          </w:tcPr>
          <w:p w14:paraId="2F7C7D2F">
            <w:pPr>
              <w:widowControl/>
              <w:jc w:val="center"/>
              <w:rPr>
                <w:rFonts w:ascii="Times New Roman" w:hAnsi="Times New Roman"/>
                <w:kern w:val="0"/>
                <w:szCs w:val="21"/>
                <w:u w:val="single"/>
              </w:rPr>
            </w:pPr>
            <w:r>
              <w:rPr>
                <w:rFonts w:ascii="Times New Roman" w:hAnsi="Times New Roman"/>
                <w:kern w:val="0"/>
                <w:szCs w:val="21"/>
                <w:u w:val="single"/>
              </w:rPr>
              <w:t>0.09</w:t>
            </w:r>
          </w:p>
        </w:tc>
        <w:tc>
          <w:tcPr>
            <w:tcW w:w="1063" w:type="dxa"/>
            <w:vAlign w:val="center"/>
          </w:tcPr>
          <w:p w14:paraId="55DB4B97">
            <w:pPr>
              <w:widowControl/>
              <w:jc w:val="center"/>
              <w:rPr>
                <w:rFonts w:ascii="Times New Roman" w:hAnsi="Times New Roman"/>
                <w:kern w:val="0"/>
                <w:szCs w:val="21"/>
                <w:u w:val="single"/>
              </w:rPr>
            </w:pPr>
            <w:r>
              <w:rPr>
                <w:rFonts w:ascii="Times New Roman" w:hAnsi="Times New Roman"/>
                <w:kern w:val="0"/>
                <w:szCs w:val="21"/>
                <w:u w:val="single"/>
              </w:rPr>
              <w:t>34.675</w:t>
            </w:r>
          </w:p>
        </w:tc>
      </w:tr>
      <w:tr w14:paraId="2DE070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96" w:type="dxa"/>
            <w:noWrap/>
            <w:vAlign w:val="center"/>
          </w:tcPr>
          <w:p w14:paraId="0099A8FE">
            <w:pPr>
              <w:widowControl/>
              <w:jc w:val="center"/>
              <w:rPr>
                <w:rFonts w:ascii="Times New Roman" w:hAnsi="Times New Roman"/>
                <w:kern w:val="0"/>
                <w:szCs w:val="21"/>
                <w:u w:val="single"/>
              </w:rPr>
            </w:pPr>
            <w:r>
              <w:rPr>
                <w:rFonts w:hint="eastAsia" w:ascii="Times New Roman" w:hAnsi="Times New Roman"/>
                <w:kern w:val="0"/>
                <w:szCs w:val="21"/>
                <w:u w:val="single"/>
              </w:rPr>
              <w:t>3</w:t>
            </w:r>
          </w:p>
        </w:tc>
        <w:tc>
          <w:tcPr>
            <w:tcW w:w="1118" w:type="dxa"/>
            <w:vAlign w:val="center"/>
          </w:tcPr>
          <w:p w14:paraId="21F4DAE3">
            <w:pPr>
              <w:widowControl/>
              <w:jc w:val="center"/>
              <w:rPr>
                <w:rFonts w:ascii="Times New Roman" w:hAnsi="Times New Roman"/>
                <w:kern w:val="0"/>
                <w:szCs w:val="21"/>
                <w:u w:val="single"/>
              </w:rPr>
            </w:pPr>
            <w:r>
              <w:rPr>
                <w:rFonts w:hint="eastAsia" w:ascii="Times New Roman" w:hAnsi="Times New Roman"/>
                <w:kern w:val="0"/>
                <w:szCs w:val="21"/>
                <w:u w:val="single"/>
              </w:rPr>
              <w:t>锆中矿</w:t>
            </w:r>
          </w:p>
        </w:tc>
        <w:tc>
          <w:tcPr>
            <w:tcW w:w="904" w:type="dxa"/>
            <w:vAlign w:val="center"/>
          </w:tcPr>
          <w:p w14:paraId="497DFC4D">
            <w:pPr>
              <w:widowControl/>
              <w:jc w:val="center"/>
              <w:rPr>
                <w:rFonts w:ascii="Times New Roman" w:hAnsi="Times New Roman"/>
                <w:kern w:val="0"/>
                <w:szCs w:val="21"/>
                <w:u w:val="single"/>
              </w:rPr>
            </w:pPr>
            <w:r>
              <w:rPr>
                <w:rFonts w:ascii="Times New Roman" w:hAnsi="Times New Roman"/>
                <w:kern w:val="0"/>
                <w:szCs w:val="21"/>
                <w:u w:val="single"/>
              </w:rPr>
              <w:t>2.11</w:t>
            </w:r>
          </w:p>
        </w:tc>
        <w:tc>
          <w:tcPr>
            <w:tcW w:w="903" w:type="dxa"/>
            <w:vAlign w:val="center"/>
          </w:tcPr>
          <w:p w14:paraId="0144E00B">
            <w:pPr>
              <w:widowControl/>
              <w:jc w:val="center"/>
              <w:rPr>
                <w:rFonts w:ascii="Times New Roman" w:hAnsi="Times New Roman"/>
                <w:kern w:val="0"/>
                <w:szCs w:val="21"/>
                <w:u w:val="single"/>
              </w:rPr>
            </w:pPr>
            <w:r>
              <w:rPr>
                <w:rFonts w:ascii="Times New Roman" w:hAnsi="Times New Roman"/>
                <w:kern w:val="0"/>
                <w:szCs w:val="21"/>
                <w:u w:val="single"/>
              </w:rPr>
              <w:t>6.55</w:t>
            </w:r>
          </w:p>
        </w:tc>
        <w:tc>
          <w:tcPr>
            <w:tcW w:w="903" w:type="dxa"/>
            <w:vAlign w:val="center"/>
          </w:tcPr>
          <w:p w14:paraId="4A53BB7F">
            <w:pPr>
              <w:widowControl/>
              <w:jc w:val="center"/>
              <w:rPr>
                <w:rFonts w:ascii="Times New Roman" w:hAnsi="Times New Roman"/>
                <w:kern w:val="0"/>
                <w:szCs w:val="21"/>
                <w:u w:val="single"/>
              </w:rPr>
            </w:pPr>
            <w:r>
              <w:rPr>
                <w:rFonts w:ascii="Times New Roman" w:hAnsi="Times New Roman"/>
                <w:kern w:val="0"/>
                <w:szCs w:val="21"/>
                <w:u w:val="single"/>
              </w:rPr>
              <w:t>3.44</w:t>
            </w:r>
          </w:p>
        </w:tc>
        <w:tc>
          <w:tcPr>
            <w:tcW w:w="903" w:type="dxa"/>
            <w:vAlign w:val="center"/>
          </w:tcPr>
          <w:p w14:paraId="094CC524">
            <w:pPr>
              <w:widowControl/>
              <w:jc w:val="center"/>
              <w:rPr>
                <w:rFonts w:ascii="Times New Roman" w:hAnsi="Times New Roman"/>
                <w:kern w:val="0"/>
                <w:szCs w:val="21"/>
                <w:u w:val="single"/>
              </w:rPr>
            </w:pPr>
            <w:r>
              <w:rPr>
                <w:rFonts w:ascii="Times New Roman" w:hAnsi="Times New Roman"/>
                <w:kern w:val="0"/>
                <w:szCs w:val="21"/>
                <w:u w:val="single"/>
              </w:rPr>
              <w:t>30.66</w:t>
            </w:r>
          </w:p>
        </w:tc>
        <w:tc>
          <w:tcPr>
            <w:tcW w:w="903" w:type="dxa"/>
            <w:vAlign w:val="center"/>
          </w:tcPr>
          <w:p w14:paraId="6133B863">
            <w:pPr>
              <w:widowControl/>
              <w:jc w:val="center"/>
              <w:rPr>
                <w:rFonts w:ascii="Times New Roman" w:hAnsi="Times New Roman"/>
                <w:kern w:val="0"/>
                <w:szCs w:val="21"/>
                <w:u w:val="single"/>
              </w:rPr>
            </w:pPr>
            <w:r>
              <w:rPr>
                <w:rFonts w:ascii="Times New Roman" w:hAnsi="Times New Roman"/>
                <w:kern w:val="0"/>
                <w:szCs w:val="21"/>
                <w:u w:val="single"/>
              </w:rPr>
              <w:t>0.005</w:t>
            </w:r>
          </w:p>
        </w:tc>
        <w:tc>
          <w:tcPr>
            <w:tcW w:w="903" w:type="dxa"/>
            <w:vAlign w:val="center"/>
          </w:tcPr>
          <w:p w14:paraId="1835A4A7">
            <w:pPr>
              <w:widowControl/>
              <w:jc w:val="center"/>
              <w:rPr>
                <w:rFonts w:ascii="Times New Roman" w:hAnsi="Times New Roman"/>
                <w:kern w:val="0"/>
                <w:szCs w:val="21"/>
                <w:u w:val="single"/>
              </w:rPr>
            </w:pPr>
            <w:r>
              <w:rPr>
                <w:rFonts w:ascii="Times New Roman" w:hAnsi="Times New Roman"/>
                <w:kern w:val="0"/>
                <w:szCs w:val="21"/>
                <w:u w:val="single"/>
              </w:rPr>
              <w:t>0.07</w:t>
            </w:r>
          </w:p>
        </w:tc>
        <w:tc>
          <w:tcPr>
            <w:tcW w:w="903" w:type="dxa"/>
            <w:vAlign w:val="center"/>
          </w:tcPr>
          <w:p w14:paraId="5CFA69B7">
            <w:pPr>
              <w:widowControl/>
              <w:jc w:val="center"/>
              <w:rPr>
                <w:rFonts w:ascii="Times New Roman" w:hAnsi="Times New Roman"/>
                <w:kern w:val="0"/>
                <w:szCs w:val="21"/>
                <w:u w:val="single"/>
              </w:rPr>
            </w:pPr>
            <w:r>
              <w:rPr>
                <w:rFonts w:ascii="Times New Roman" w:hAnsi="Times New Roman"/>
                <w:kern w:val="0"/>
                <w:szCs w:val="21"/>
                <w:u w:val="single"/>
              </w:rPr>
              <w:t>0.03</w:t>
            </w:r>
          </w:p>
        </w:tc>
        <w:tc>
          <w:tcPr>
            <w:tcW w:w="1063" w:type="dxa"/>
            <w:vAlign w:val="center"/>
          </w:tcPr>
          <w:p w14:paraId="0DB68386">
            <w:pPr>
              <w:widowControl/>
              <w:jc w:val="center"/>
              <w:rPr>
                <w:rFonts w:ascii="Times New Roman" w:hAnsi="Times New Roman"/>
                <w:kern w:val="0"/>
                <w:szCs w:val="21"/>
                <w:u w:val="single"/>
              </w:rPr>
            </w:pPr>
            <w:r>
              <w:rPr>
                <w:rFonts w:ascii="Times New Roman" w:hAnsi="Times New Roman"/>
                <w:kern w:val="0"/>
                <w:szCs w:val="21"/>
                <w:u w:val="single"/>
              </w:rPr>
              <w:t>57.135</w:t>
            </w:r>
          </w:p>
        </w:tc>
      </w:tr>
      <w:tr w14:paraId="2CA34A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96" w:type="dxa"/>
            <w:noWrap/>
            <w:vAlign w:val="center"/>
          </w:tcPr>
          <w:p w14:paraId="164FF4F2">
            <w:pPr>
              <w:widowControl/>
              <w:jc w:val="center"/>
              <w:rPr>
                <w:rFonts w:ascii="Times New Roman" w:hAnsi="Times New Roman"/>
                <w:kern w:val="0"/>
                <w:szCs w:val="21"/>
                <w:u w:val="single"/>
              </w:rPr>
            </w:pPr>
            <w:r>
              <w:rPr>
                <w:rFonts w:hint="eastAsia" w:ascii="Times New Roman" w:hAnsi="Times New Roman"/>
                <w:kern w:val="0"/>
                <w:szCs w:val="21"/>
                <w:u w:val="single"/>
              </w:rPr>
              <w:t>4</w:t>
            </w:r>
          </w:p>
        </w:tc>
        <w:tc>
          <w:tcPr>
            <w:tcW w:w="1118" w:type="dxa"/>
            <w:noWrap/>
            <w:vAlign w:val="center"/>
          </w:tcPr>
          <w:p w14:paraId="147495B3">
            <w:pPr>
              <w:widowControl/>
              <w:jc w:val="center"/>
              <w:rPr>
                <w:rFonts w:ascii="Times New Roman" w:hAnsi="Times New Roman"/>
                <w:kern w:val="0"/>
                <w:szCs w:val="21"/>
                <w:u w:val="single"/>
              </w:rPr>
            </w:pPr>
            <w:r>
              <w:rPr>
                <w:rFonts w:ascii="Times New Roman" w:hAnsi="Times New Roman"/>
                <w:kern w:val="0"/>
                <w:szCs w:val="21"/>
                <w:u w:val="single"/>
              </w:rPr>
              <w:t>粉尘</w:t>
            </w:r>
          </w:p>
        </w:tc>
        <w:tc>
          <w:tcPr>
            <w:tcW w:w="904" w:type="dxa"/>
            <w:noWrap/>
            <w:vAlign w:val="center"/>
          </w:tcPr>
          <w:p w14:paraId="579FA6D4">
            <w:pPr>
              <w:widowControl/>
              <w:jc w:val="center"/>
              <w:rPr>
                <w:rFonts w:ascii="Times New Roman" w:hAnsi="Times New Roman"/>
                <w:kern w:val="0"/>
                <w:szCs w:val="21"/>
                <w:u w:val="single"/>
              </w:rPr>
            </w:pPr>
            <w:r>
              <w:rPr>
                <w:rFonts w:ascii="Times New Roman" w:hAnsi="Times New Roman"/>
                <w:kern w:val="0"/>
                <w:szCs w:val="21"/>
                <w:u w:val="single"/>
              </w:rPr>
              <w:t>20.98</w:t>
            </w:r>
          </w:p>
        </w:tc>
        <w:tc>
          <w:tcPr>
            <w:tcW w:w="903" w:type="dxa"/>
            <w:noWrap/>
            <w:vAlign w:val="center"/>
          </w:tcPr>
          <w:p w14:paraId="22CFF2B3">
            <w:pPr>
              <w:widowControl/>
              <w:jc w:val="center"/>
              <w:rPr>
                <w:rFonts w:ascii="Times New Roman" w:hAnsi="Times New Roman"/>
                <w:kern w:val="0"/>
                <w:szCs w:val="21"/>
                <w:u w:val="single"/>
              </w:rPr>
            </w:pPr>
            <w:r>
              <w:rPr>
                <w:rFonts w:ascii="Times New Roman" w:hAnsi="Times New Roman"/>
                <w:kern w:val="0"/>
                <w:szCs w:val="21"/>
                <w:u w:val="single"/>
              </w:rPr>
              <w:t>26.14</w:t>
            </w:r>
          </w:p>
        </w:tc>
        <w:tc>
          <w:tcPr>
            <w:tcW w:w="903" w:type="dxa"/>
            <w:noWrap/>
            <w:vAlign w:val="center"/>
          </w:tcPr>
          <w:p w14:paraId="1E9E9525">
            <w:pPr>
              <w:widowControl/>
              <w:jc w:val="center"/>
              <w:rPr>
                <w:rFonts w:ascii="Times New Roman" w:hAnsi="Times New Roman"/>
                <w:kern w:val="0"/>
                <w:szCs w:val="21"/>
                <w:u w:val="single"/>
              </w:rPr>
            </w:pPr>
            <w:r>
              <w:rPr>
                <w:rFonts w:ascii="Times New Roman" w:hAnsi="Times New Roman"/>
                <w:kern w:val="0"/>
                <w:szCs w:val="21"/>
                <w:u w:val="single"/>
              </w:rPr>
              <w:t>1.12</w:t>
            </w:r>
          </w:p>
        </w:tc>
        <w:tc>
          <w:tcPr>
            <w:tcW w:w="903" w:type="dxa"/>
            <w:noWrap/>
            <w:vAlign w:val="center"/>
          </w:tcPr>
          <w:p w14:paraId="44CC774B">
            <w:pPr>
              <w:widowControl/>
              <w:jc w:val="center"/>
              <w:rPr>
                <w:rFonts w:ascii="Times New Roman" w:hAnsi="Times New Roman"/>
                <w:kern w:val="0"/>
                <w:szCs w:val="21"/>
                <w:u w:val="single"/>
              </w:rPr>
            </w:pPr>
            <w:r>
              <w:rPr>
                <w:rFonts w:ascii="Times New Roman" w:hAnsi="Times New Roman"/>
                <w:kern w:val="0"/>
                <w:szCs w:val="21"/>
                <w:u w:val="single"/>
              </w:rPr>
              <w:t>9.78</w:t>
            </w:r>
          </w:p>
        </w:tc>
        <w:tc>
          <w:tcPr>
            <w:tcW w:w="903" w:type="dxa"/>
            <w:noWrap/>
            <w:vAlign w:val="center"/>
          </w:tcPr>
          <w:p w14:paraId="730963B1">
            <w:pPr>
              <w:widowControl/>
              <w:jc w:val="center"/>
              <w:rPr>
                <w:rFonts w:ascii="Times New Roman" w:hAnsi="Times New Roman"/>
                <w:kern w:val="0"/>
                <w:szCs w:val="21"/>
                <w:u w:val="single"/>
              </w:rPr>
            </w:pPr>
            <w:r>
              <w:rPr>
                <w:rFonts w:ascii="Times New Roman" w:hAnsi="Times New Roman"/>
                <w:kern w:val="0"/>
                <w:szCs w:val="21"/>
                <w:u w:val="single"/>
              </w:rPr>
              <w:t>0.005</w:t>
            </w:r>
          </w:p>
        </w:tc>
        <w:tc>
          <w:tcPr>
            <w:tcW w:w="903" w:type="dxa"/>
            <w:noWrap/>
            <w:vAlign w:val="center"/>
          </w:tcPr>
          <w:p w14:paraId="4A426946">
            <w:pPr>
              <w:widowControl/>
              <w:jc w:val="center"/>
              <w:rPr>
                <w:rFonts w:ascii="Times New Roman" w:hAnsi="Times New Roman"/>
                <w:kern w:val="0"/>
                <w:szCs w:val="21"/>
                <w:u w:val="single"/>
              </w:rPr>
            </w:pPr>
            <w:r>
              <w:rPr>
                <w:rFonts w:ascii="Times New Roman" w:hAnsi="Times New Roman"/>
                <w:kern w:val="0"/>
                <w:szCs w:val="21"/>
                <w:u w:val="single"/>
              </w:rPr>
              <w:t>0.42</w:t>
            </w:r>
          </w:p>
        </w:tc>
        <w:tc>
          <w:tcPr>
            <w:tcW w:w="903" w:type="dxa"/>
            <w:noWrap/>
            <w:vAlign w:val="center"/>
          </w:tcPr>
          <w:p w14:paraId="70CD7286">
            <w:pPr>
              <w:widowControl/>
              <w:jc w:val="center"/>
              <w:rPr>
                <w:rFonts w:ascii="Times New Roman" w:hAnsi="Times New Roman"/>
                <w:kern w:val="0"/>
                <w:szCs w:val="21"/>
                <w:u w:val="single"/>
              </w:rPr>
            </w:pPr>
            <w:r>
              <w:rPr>
                <w:rFonts w:ascii="Times New Roman" w:hAnsi="Times New Roman"/>
                <w:kern w:val="0"/>
                <w:szCs w:val="21"/>
                <w:u w:val="single"/>
              </w:rPr>
              <w:t>0.07</w:t>
            </w:r>
          </w:p>
        </w:tc>
        <w:tc>
          <w:tcPr>
            <w:tcW w:w="1063" w:type="dxa"/>
            <w:noWrap/>
            <w:vAlign w:val="center"/>
          </w:tcPr>
          <w:p w14:paraId="14AF858E">
            <w:pPr>
              <w:widowControl/>
              <w:jc w:val="center"/>
              <w:rPr>
                <w:rFonts w:ascii="Times New Roman" w:hAnsi="Times New Roman"/>
                <w:kern w:val="0"/>
                <w:szCs w:val="21"/>
                <w:u w:val="single"/>
              </w:rPr>
            </w:pPr>
            <w:r>
              <w:rPr>
                <w:rFonts w:ascii="Times New Roman" w:hAnsi="Times New Roman"/>
                <w:kern w:val="0"/>
                <w:szCs w:val="21"/>
                <w:u w:val="single"/>
              </w:rPr>
              <w:t>41.485</w:t>
            </w:r>
          </w:p>
        </w:tc>
      </w:tr>
    </w:tbl>
    <w:p w14:paraId="0F64D697">
      <w:pPr>
        <w:tabs>
          <w:tab w:val="center" w:pos="4693"/>
        </w:tabs>
        <w:adjustRightInd w:val="0"/>
        <w:snapToGrid w:val="0"/>
        <w:spacing w:line="360" w:lineRule="auto"/>
        <w:ind w:firstLine="472" w:firstLineChars="200"/>
        <w:rPr>
          <w:rFonts w:ascii="Times New Roman" w:hAnsi="Times New Roman"/>
          <w:spacing w:val="-2"/>
          <w:kern w:val="0"/>
          <w:sz w:val="24"/>
          <w:szCs w:val="20"/>
        </w:rPr>
      </w:pPr>
    </w:p>
    <w:p w14:paraId="2A892810">
      <w:pPr>
        <w:spacing w:line="360" w:lineRule="auto"/>
        <w:ind w:firstLine="474" w:firstLineChars="200"/>
        <w:rPr>
          <w:rFonts w:ascii="Times New Roman" w:hAnsi="Times New Roman"/>
          <w:b/>
          <w:bCs/>
          <w:spacing w:val="-2"/>
          <w:kern w:val="0"/>
          <w:sz w:val="24"/>
          <w:szCs w:val="20"/>
        </w:rPr>
      </w:pPr>
      <w:r>
        <w:rPr>
          <w:rFonts w:hint="eastAsia" w:ascii="Times New Roman" w:hAnsi="Times New Roman"/>
          <w:b/>
          <w:bCs/>
          <w:spacing w:val="-2"/>
          <w:kern w:val="0"/>
          <w:sz w:val="24"/>
          <w:szCs w:val="20"/>
        </w:rPr>
        <w:t>（4）生物质成型燃料</w:t>
      </w:r>
    </w:p>
    <w:p w14:paraId="6AD2B30B">
      <w:pPr>
        <w:spacing w:line="360" w:lineRule="auto"/>
        <w:ind w:firstLine="472" w:firstLineChars="200"/>
        <w:rPr>
          <w:rFonts w:ascii="Times New Roman" w:hAnsi="Times New Roman"/>
          <w:spacing w:val="-2"/>
          <w:kern w:val="0"/>
          <w:sz w:val="24"/>
          <w:szCs w:val="20"/>
        </w:rPr>
      </w:pPr>
      <w:r>
        <w:rPr>
          <w:rFonts w:hint="eastAsia" w:ascii="Times New Roman" w:hAnsi="Times New Roman"/>
          <w:spacing w:val="-2"/>
          <w:kern w:val="0"/>
          <w:sz w:val="24"/>
          <w:szCs w:val="20"/>
        </w:rPr>
        <w:t>项目烘干炉采用生物质成型燃料，项目采用的生物质成型燃料的具体参数参照《生物质固体成型燃料质量分级》（NY/T2909-2016）中木质生物质块状燃料最低A3等级要求取值，具体参数见表2.1-10。</w:t>
      </w:r>
    </w:p>
    <w:p w14:paraId="302BA6E8">
      <w:pPr>
        <w:pStyle w:val="8"/>
        <w:rPr>
          <w:spacing w:val="-2"/>
          <w:kern w:val="0"/>
          <w:sz w:val="24"/>
          <w:szCs w:val="20"/>
        </w:rPr>
      </w:pPr>
      <w:r>
        <w:rPr>
          <w:rFonts w:hint="eastAsia"/>
          <w:spacing w:val="-2"/>
          <w:kern w:val="0"/>
          <w:sz w:val="24"/>
          <w:szCs w:val="20"/>
        </w:rPr>
        <w:t>生物质成型燃料参数一览表</w:t>
      </w:r>
    </w:p>
    <w:tbl>
      <w:tblPr>
        <w:tblStyle w:val="88"/>
        <w:tblW w:w="9057"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140"/>
        <w:gridCol w:w="1383"/>
        <w:gridCol w:w="1383"/>
        <w:gridCol w:w="1384"/>
        <w:gridCol w:w="1383"/>
        <w:gridCol w:w="1384"/>
      </w:tblGrid>
      <w:tr w14:paraId="07203D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140" w:type="dxa"/>
            <w:shd w:val="clear" w:color="auto" w:fill="auto"/>
            <w:noWrap/>
            <w:vAlign w:val="center"/>
          </w:tcPr>
          <w:p w14:paraId="15AEDA24">
            <w:pPr>
              <w:widowControl/>
              <w:jc w:val="center"/>
              <w:rPr>
                <w:rFonts w:ascii="Times New Roman" w:hAnsi="Times New Roman"/>
                <w:b/>
                <w:bCs/>
                <w:kern w:val="0"/>
                <w:szCs w:val="21"/>
              </w:rPr>
            </w:pPr>
            <w:r>
              <w:rPr>
                <w:rFonts w:ascii="Times New Roman" w:hAnsi="Times New Roman"/>
                <w:b/>
                <w:bCs/>
                <w:kern w:val="0"/>
                <w:szCs w:val="21"/>
              </w:rPr>
              <w:t>产品名称</w:t>
            </w:r>
          </w:p>
        </w:tc>
        <w:tc>
          <w:tcPr>
            <w:tcW w:w="1383" w:type="dxa"/>
            <w:shd w:val="clear" w:color="auto" w:fill="auto"/>
            <w:noWrap/>
            <w:vAlign w:val="center"/>
          </w:tcPr>
          <w:p w14:paraId="6FF351F8">
            <w:pPr>
              <w:widowControl/>
              <w:jc w:val="center"/>
              <w:rPr>
                <w:rFonts w:ascii="Times New Roman" w:hAnsi="Times New Roman"/>
                <w:b/>
                <w:bCs/>
                <w:kern w:val="0"/>
                <w:szCs w:val="21"/>
              </w:rPr>
            </w:pPr>
            <w:r>
              <w:rPr>
                <w:rFonts w:ascii="Times New Roman" w:hAnsi="Times New Roman"/>
                <w:b/>
                <w:bCs/>
                <w:kern w:val="0"/>
                <w:szCs w:val="21"/>
              </w:rPr>
              <w:t>热值</w:t>
            </w:r>
          </w:p>
          <w:p w14:paraId="649C8E74">
            <w:pPr>
              <w:widowControl/>
              <w:jc w:val="center"/>
              <w:rPr>
                <w:rFonts w:ascii="Times New Roman" w:hAnsi="Times New Roman"/>
                <w:b/>
                <w:bCs/>
                <w:kern w:val="0"/>
                <w:szCs w:val="21"/>
              </w:rPr>
            </w:pPr>
            <w:r>
              <w:rPr>
                <w:rFonts w:hint="eastAsia" w:ascii="Times New Roman" w:hAnsi="Times New Roman"/>
                <w:b/>
                <w:bCs/>
                <w:kern w:val="0"/>
                <w:szCs w:val="21"/>
              </w:rPr>
              <w:t>（MJ/kg）</w:t>
            </w:r>
          </w:p>
        </w:tc>
        <w:tc>
          <w:tcPr>
            <w:tcW w:w="1383" w:type="dxa"/>
            <w:shd w:val="clear" w:color="auto" w:fill="auto"/>
            <w:noWrap/>
            <w:vAlign w:val="center"/>
          </w:tcPr>
          <w:p w14:paraId="6511DF9D">
            <w:pPr>
              <w:widowControl/>
              <w:jc w:val="center"/>
              <w:rPr>
                <w:rFonts w:ascii="Times New Roman" w:hAnsi="Times New Roman"/>
                <w:b/>
                <w:bCs/>
                <w:kern w:val="0"/>
                <w:szCs w:val="21"/>
              </w:rPr>
            </w:pPr>
            <w:r>
              <w:rPr>
                <w:rFonts w:ascii="Times New Roman" w:hAnsi="Times New Roman"/>
                <w:b/>
                <w:bCs/>
                <w:kern w:val="0"/>
                <w:szCs w:val="21"/>
              </w:rPr>
              <w:t>含水率</w:t>
            </w:r>
          </w:p>
          <w:p w14:paraId="79BC8451">
            <w:pPr>
              <w:widowControl/>
              <w:jc w:val="center"/>
              <w:rPr>
                <w:rFonts w:ascii="Times New Roman" w:hAnsi="Times New Roman"/>
                <w:b/>
                <w:bCs/>
                <w:kern w:val="0"/>
                <w:szCs w:val="21"/>
              </w:rPr>
            </w:pPr>
            <w:r>
              <w:rPr>
                <w:rFonts w:hint="eastAsia" w:ascii="Times New Roman" w:hAnsi="Times New Roman"/>
                <w:b/>
                <w:bCs/>
                <w:kern w:val="0"/>
                <w:szCs w:val="21"/>
              </w:rPr>
              <w:t>（%）</w:t>
            </w:r>
          </w:p>
        </w:tc>
        <w:tc>
          <w:tcPr>
            <w:tcW w:w="1384" w:type="dxa"/>
            <w:shd w:val="clear" w:color="auto" w:fill="auto"/>
            <w:noWrap/>
            <w:vAlign w:val="center"/>
          </w:tcPr>
          <w:p w14:paraId="502D020C">
            <w:pPr>
              <w:widowControl/>
              <w:jc w:val="center"/>
              <w:rPr>
                <w:rFonts w:ascii="Times New Roman" w:hAnsi="Times New Roman"/>
                <w:b/>
                <w:bCs/>
                <w:kern w:val="0"/>
                <w:szCs w:val="21"/>
              </w:rPr>
            </w:pPr>
            <w:r>
              <w:rPr>
                <w:rFonts w:ascii="Times New Roman" w:hAnsi="Times New Roman"/>
                <w:b/>
                <w:bCs/>
                <w:kern w:val="0"/>
                <w:szCs w:val="21"/>
              </w:rPr>
              <w:t>密度</w:t>
            </w:r>
          </w:p>
          <w:p w14:paraId="69B4727B">
            <w:pPr>
              <w:widowControl/>
              <w:jc w:val="center"/>
              <w:rPr>
                <w:rFonts w:ascii="Times New Roman" w:hAnsi="Times New Roman"/>
                <w:b/>
                <w:bCs/>
                <w:kern w:val="0"/>
                <w:szCs w:val="21"/>
              </w:rPr>
            </w:pPr>
            <w:r>
              <w:rPr>
                <w:rFonts w:hint="eastAsia" w:ascii="Times New Roman" w:hAnsi="Times New Roman"/>
                <w:b/>
                <w:bCs/>
                <w:kern w:val="0"/>
                <w:szCs w:val="21"/>
              </w:rPr>
              <w:t>（kg/m</w:t>
            </w:r>
            <w:r>
              <w:rPr>
                <w:rFonts w:hint="eastAsia" w:ascii="Times New Roman" w:hAnsi="Times New Roman"/>
                <w:b/>
                <w:bCs/>
                <w:kern w:val="0"/>
                <w:szCs w:val="21"/>
                <w:vertAlign w:val="superscript"/>
              </w:rPr>
              <w:t>3</w:t>
            </w:r>
            <w:r>
              <w:rPr>
                <w:rFonts w:hint="eastAsia" w:ascii="Times New Roman" w:hAnsi="Times New Roman"/>
                <w:b/>
                <w:bCs/>
                <w:kern w:val="0"/>
                <w:szCs w:val="21"/>
              </w:rPr>
              <w:t>）</w:t>
            </w:r>
          </w:p>
        </w:tc>
        <w:tc>
          <w:tcPr>
            <w:tcW w:w="1383" w:type="dxa"/>
            <w:shd w:val="clear" w:color="auto" w:fill="auto"/>
            <w:noWrap/>
            <w:vAlign w:val="center"/>
          </w:tcPr>
          <w:p w14:paraId="4A98B6A5">
            <w:pPr>
              <w:widowControl/>
              <w:jc w:val="center"/>
              <w:rPr>
                <w:rFonts w:ascii="Times New Roman" w:hAnsi="Times New Roman"/>
                <w:b/>
                <w:bCs/>
                <w:kern w:val="0"/>
                <w:szCs w:val="21"/>
              </w:rPr>
            </w:pPr>
            <w:r>
              <w:rPr>
                <w:rFonts w:ascii="Times New Roman" w:hAnsi="Times New Roman"/>
                <w:b/>
                <w:bCs/>
                <w:kern w:val="0"/>
                <w:szCs w:val="21"/>
              </w:rPr>
              <w:t>灰分</w:t>
            </w:r>
          </w:p>
          <w:p w14:paraId="5FA3A93D">
            <w:pPr>
              <w:widowControl/>
              <w:jc w:val="center"/>
              <w:rPr>
                <w:rFonts w:ascii="Times New Roman" w:hAnsi="Times New Roman"/>
                <w:b/>
                <w:bCs/>
                <w:kern w:val="0"/>
                <w:szCs w:val="21"/>
              </w:rPr>
            </w:pPr>
            <w:r>
              <w:rPr>
                <w:rFonts w:hint="eastAsia" w:ascii="Times New Roman" w:hAnsi="Times New Roman"/>
                <w:b/>
                <w:bCs/>
                <w:kern w:val="0"/>
                <w:szCs w:val="21"/>
              </w:rPr>
              <w:t>（%）</w:t>
            </w:r>
          </w:p>
        </w:tc>
        <w:tc>
          <w:tcPr>
            <w:tcW w:w="1384" w:type="dxa"/>
            <w:shd w:val="clear" w:color="auto" w:fill="auto"/>
            <w:noWrap/>
            <w:vAlign w:val="center"/>
          </w:tcPr>
          <w:p w14:paraId="24A06613">
            <w:pPr>
              <w:widowControl/>
              <w:jc w:val="center"/>
              <w:rPr>
                <w:rFonts w:ascii="Times New Roman" w:hAnsi="Times New Roman"/>
                <w:b/>
                <w:bCs/>
                <w:kern w:val="0"/>
                <w:szCs w:val="21"/>
              </w:rPr>
            </w:pPr>
            <w:r>
              <w:rPr>
                <w:rFonts w:ascii="Times New Roman" w:hAnsi="Times New Roman"/>
                <w:b/>
                <w:bCs/>
                <w:kern w:val="0"/>
                <w:szCs w:val="21"/>
              </w:rPr>
              <w:t>硫含量</w:t>
            </w:r>
          </w:p>
          <w:p w14:paraId="3878A35F">
            <w:pPr>
              <w:widowControl/>
              <w:jc w:val="center"/>
              <w:rPr>
                <w:rFonts w:ascii="Times New Roman" w:hAnsi="Times New Roman"/>
                <w:b/>
                <w:bCs/>
                <w:kern w:val="0"/>
                <w:szCs w:val="21"/>
              </w:rPr>
            </w:pPr>
            <w:r>
              <w:rPr>
                <w:rFonts w:hint="eastAsia" w:ascii="Times New Roman" w:hAnsi="Times New Roman"/>
                <w:b/>
                <w:bCs/>
                <w:kern w:val="0"/>
                <w:szCs w:val="21"/>
              </w:rPr>
              <w:t>（%）</w:t>
            </w:r>
          </w:p>
        </w:tc>
      </w:tr>
      <w:tr w14:paraId="7BFD25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140" w:type="dxa"/>
            <w:shd w:val="clear" w:color="auto" w:fill="auto"/>
            <w:noWrap/>
            <w:vAlign w:val="center"/>
          </w:tcPr>
          <w:p w14:paraId="7AE002E9">
            <w:pPr>
              <w:widowControl/>
              <w:jc w:val="center"/>
              <w:rPr>
                <w:rFonts w:ascii="Times New Roman" w:hAnsi="Times New Roman"/>
                <w:kern w:val="0"/>
                <w:szCs w:val="21"/>
              </w:rPr>
            </w:pPr>
            <w:r>
              <w:rPr>
                <w:rFonts w:ascii="Times New Roman" w:hAnsi="Times New Roman"/>
                <w:kern w:val="0"/>
                <w:szCs w:val="21"/>
              </w:rPr>
              <w:t>生物质成型燃料</w:t>
            </w:r>
          </w:p>
        </w:tc>
        <w:tc>
          <w:tcPr>
            <w:tcW w:w="1383" w:type="dxa"/>
            <w:shd w:val="clear" w:color="auto" w:fill="auto"/>
            <w:noWrap/>
            <w:vAlign w:val="center"/>
          </w:tcPr>
          <w:p w14:paraId="7EDC9FD3">
            <w:pPr>
              <w:widowControl/>
              <w:jc w:val="center"/>
              <w:rPr>
                <w:rFonts w:ascii="Times New Roman" w:hAnsi="Times New Roman"/>
                <w:kern w:val="0"/>
                <w:szCs w:val="21"/>
              </w:rPr>
            </w:pPr>
            <w:r>
              <w:rPr>
                <w:rFonts w:ascii="Times New Roman" w:hAnsi="Times New Roman"/>
                <w:kern w:val="0"/>
                <w:szCs w:val="21"/>
              </w:rPr>
              <w:t>14.6</w:t>
            </w:r>
          </w:p>
        </w:tc>
        <w:tc>
          <w:tcPr>
            <w:tcW w:w="1383" w:type="dxa"/>
            <w:shd w:val="clear" w:color="auto" w:fill="auto"/>
            <w:noWrap/>
            <w:vAlign w:val="center"/>
          </w:tcPr>
          <w:p w14:paraId="70EC532B">
            <w:pPr>
              <w:widowControl/>
              <w:jc w:val="center"/>
              <w:rPr>
                <w:rFonts w:ascii="Times New Roman" w:hAnsi="Times New Roman"/>
                <w:kern w:val="0"/>
                <w:szCs w:val="21"/>
              </w:rPr>
            </w:pPr>
            <w:r>
              <w:rPr>
                <w:rFonts w:ascii="Times New Roman" w:hAnsi="Times New Roman"/>
                <w:kern w:val="0"/>
                <w:szCs w:val="21"/>
              </w:rPr>
              <w:t>15</w:t>
            </w:r>
          </w:p>
        </w:tc>
        <w:tc>
          <w:tcPr>
            <w:tcW w:w="1384" w:type="dxa"/>
            <w:shd w:val="clear" w:color="auto" w:fill="auto"/>
            <w:noWrap/>
            <w:vAlign w:val="center"/>
          </w:tcPr>
          <w:p w14:paraId="353F79A7">
            <w:pPr>
              <w:widowControl/>
              <w:jc w:val="center"/>
              <w:rPr>
                <w:rFonts w:ascii="Times New Roman" w:hAnsi="Times New Roman"/>
                <w:kern w:val="0"/>
                <w:szCs w:val="21"/>
              </w:rPr>
            </w:pPr>
            <w:r>
              <w:rPr>
                <w:rFonts w:ascii="Times New Roman" w:hAnsi="Times New Roman"/>
                <w:kern w:val="0"/>
                <w:szCs w:val="21"/>
              </w:rPr>
              <w:t>800</w:t>
            </w:r>
          </w:p>
        </w:tc>
        <w:tc>
          <w:tcPr>
            <w:tcW w:w="1383" w:type="dxa"/>
            <w:shd w:val="clear" w:color="auto" w:fill="auto"/>
            <w:noWrap/>
            <w:vAlign w:val="center"/>
          </w:tcPr>
          <w:p w14:paraId="5F2ADE32">
            <w:pPr>
              <w:widowControl/>
              <w:jc w:val="center"/>
              <w:rPr>
                <w:rFonts w:ascii="Times New Roman" w:hAnsi="Times New Roman"/>
                <w:kern w:val="0"/>
                <w:szCs w:val="21"/>
              </w:rPr>
            </w:pPr>
            <w:r>
              <w:rPr>
                <w:rFonts w:ascii="Times New Roman" w:hAnsi="Times New Roman"/>
                <w:kern w:val="0"/>
                <w:szCs w:val="21"/>
              </w:rPr>
              <w:t>6</w:t>
            </w:r>
          </w:p>
        </w:tc>
        <w:tc>
          <w:tcPr>
            <w:tcW w:w="1384" w:type="dxa"/>
            <w:shd w:val="clear" w:color="auto" w:fill="auto"/>
            <w:noWrap/>
            <w:vAlign w:val="center"/>
          </w:tcPr>
          <w:p w14:paraId="0A9B1EE6">
            <w:pPr>
              <w:widowControl/>
              <w:jc w:val="center"/>
              <w:rPr>
                <w:rFonts w:ascii="Times New Roman" w:hAnsi="Times New Roman"/>
                <w:kern w:val="0"/>
                <w:szCs w:val="21"/>
              </w:rPr>
            </w:pPr>
            <w:r>
              <w:rPr>
                <w:rFonts w:ascii="Times New Roman" w:hAnsi="Times New Roman"/>
                <w:kern w:val="0"/>
                <w:szCs w:val="21"/>
              </w:rPr>
              <w:t>0.1</w:t>
            </w:r>
          </w:p>
        </w:tc>
      </w:tr>
    </w:tbl>
    <w:p w14:paraId="398B4EA9">
      <w:pPr>
        <w:spacing w:line="360" w:lineRule="auto"/>
        <w:ind w:firstLine="472" w:firstLineChars="200"/>
        <w:rPr>
          <w:rFonts w:ascii="Times New Roman" w:hAnsi="Times New Roman"/>
          <w:spacing w:val="-2"/>
          <w:kern w:val="0"/>
          <w:sz w:val="24"/>
          <w:szCs w:val="20"/>
        </w:rPr>
      </w:pPr>
    </w:p>
    <w:p w14:paraId="305582A3">
      <w:pPr>
        <w:spacing w:line="360" w:lineRule="auto"/>
        <w:ind w:firstLine="480" w:firstLineChars="200"/>
        <w:rPr>
          <w:rFonts w:ascii="Times New Roman" w:hAnsi="Times New Roman"/>
          <w:spacing w:val="-2"/>
          <w:kern w:val="0"/>
          <w:sz w:val="24"/>
          <w:szCs w:val="20"/>
        </w:rPr>
      </w:pPr>
      <w:r>
        <w:rPr>
          <w:rFonts w:hint="eastAsia" w:ascii="Times New Roman" w:hAnsi="Times New Roman"/>
          <w:sz w:val="24"/>
          <w:szCs w:val="24"/>
          <w:u w:val="single"/>
        </w:rPr>
        <w:t>项目年烘干蒸发水分约3224.61t/a，根据</w:t>
      </w:r>
      <w:r>
        <w:rPr>
          <w:rFonts w:hint="eastAsia" w:ascii="Times New Roman" w:hAnsi="Times New Roman"/>
          <w:sz w:val="24"/>
          <w:szCs w:val="24"/>
          <w:u w:val="single"/>
          <w:lang w:eastAsia="zh-CN"/>
        </w:rPr>
        <w:t>水气化</w:t>
      </w:r>
      <w:r>
        <w:rPr>
          <w:rFonts w:hint="eastAsia" w:ascii="Times New Roman" w:hAnsi="Times New Roman"/>
          <w:sz w:val="24"/>
          <w:szCs w:val="24"/>
          <w:u w:val="single"/>
        </w:rPr>
        <w:t>潜热2333kJ/kg计算，项目水分烘干需要热能约7.52×10</w:t>
      </w:r>
      <w:r>
        <w:rPr>
          <w:rFonts w:hint="eastAsia" w:ascii="Times New Roman" w:hAnsi="Times New Roman"/>
          <w:sz w:val="24"/>
          <w:szCs w:val="24"/>
          <w:u w:val="single"/>
          <w:vertAlign w:val="superscript"/>
        </w:rPr>
        <w:t>9</w:t>
      </w:r>
      <w:r>
        <w:rPr>
          <w:rFonts w:hint="eastAsia" w:ascii="Times New Roman" w:hAnsi="Times New Roman"/>
          <w:sz w:val="24"/>
          <w:szCs w:val="24"/>
          <w:u w:val="single"/>
        </w:rPr>
        <w:t>kJ/a，成型生物质颗粒低位热值约14600kJ/kg，则对应燃料量为515.78t/a；烘干炉的热效率约为84%，则原料毛矿烘干年需要燃料量为613.42t/a。</w:t>
      </w:r>
    </w:p>
    <w:p w14:paraId="5B816781">
      <w:pPr>
        <w:pStyle w:val="6"/>
      </w:pPr>
      <w:r>
        <w:t>项目主要生产设备</w:t>
      </w:r>
    </w:p>
    <w:p w14:paraId="0E6C93DC">
      <w:pPr>
        <w:spacing w:line="360" w:lineRule="auto"/>
        <w:ind w:firstLine="480"/>
        <w:rPr>
          <w:rFonts w:ascii="Times New Roman" w:hAnsi="Times New Roman"/>
          <w:spacing w:val="-2"/>
          <w:kern w:val="0"/>
          <w:sz w:val="24"/>
          <w:szCs w:val="24"/>
        </w:rPr>
      </w:pPr>
      <w:r>
        <w:rPr>
          <w:rFonts w:ascii="Times New Roman" w:hAnsi="Times New Roman"/>
          <w:spacing w:val="-2"/>
          <w:kern w:val="0"/>
          <w:sz w:val="24"/>
          <w:szCs w:val="24"/>
        </w:rPr>
        <w:t>项目主要设备情况见表2.1-</w:t>
      </w:r>
      <w:r>
        <w:rPr>
          <w:rFonts w:hint="eastAsia" w:ascii="Times New Roman" w:hAnsi="Times New Roman"/>
          <w:spacing w:val="-2"/>
          <w:kern w:val="0"/>
          <w:sz w:val="24"/>
          <w:szCs w:val="24"/>
        </w:rPr>
        <w:t>11</w:t>
      </w:r>
      <w:r>
        <w:rPr>
          <w:rFonts w:ascii="Times New Roman" w:hAnsi="Times New Roman"/>
          <w:spacing w:val="-2"/>
          <w:kern w:val="0"/>
          <w:sz w:val="24"/>
          <w:szCs w:val="24"/>
        </w:rPr>
        <w:t>。</w:t>
      </w:r>
    </w:p>
    <w:p w14:paraId="76712A26">
      <w:pPr>
        <w:pStyle w:val="8"/>
        <w:rPr>
          <w:sz w:val="24"/>
          <w:szCs w:val="24"/>
        </w:rPr>
      </w:pPr>
      <w:bookmarkStart w:id="86" w:name="OLE_LINK12"/>
      <w:r>
        <w:rPr>
          <w:sz w:val="24"/>
          <w:szCs w:val="24"/>
        </w:rPr>
        <w:t>项目主要生产设备一览表</w:t>
      </w:r>
    </w:p>
    <w:tbl>
      <w:tblPr>
        <w:tblStyle w:val="88"/>
        <w:tblW w:w="904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95"/>
        <w:gridCol w:w="1217"/>
        <w:gridCol w:w="3061"/>
        <w:gridCol w:w="1933"/>
        <w:gridCol w:w="1105"/>
        <w:gridCol w:w="929"/>
      </w:tblGrid>
      <w:tr w14:paraId="405464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795" w:type="dxa"/>
            <w:vAlign w:val="center"/>
          </w:tcPr>
          <w:p w14:paraId="6E6ADBBA">
            <w:pPr>
              <w:widowControl/>
              <w:jc w:val="center"/>
              <w:rPr>
                <w:rFonts w:ascii="Times New Roman" w:hAnsi="Times New Roman"/>
                <w:b/>
                <w:bCs/>
                <w:spacing w:val="-2"/>
                <w:kern w:val="0"/>
                <w:szCs w:val="21"/>
              </w:rPr>
            </w:pPr>
            <w:r>
              <w:rPr>
                <w:rFonts w:ascii="Times New Roman" w:hAnsi="Times New Roman"/>
                <w:b/>
                <w:bCs/>
                <w:spacing w:val="-2"/>
                <w:kern w:val="0"/>
                <w:szCs w:val="21"/>
              </w:rPr>
              <w:t>序号</w:t>
            </w:r>
          </w:p>
        </w:tc>
        <w:tc>
          <w:tcPr>
            <w:tcW w:w="1217" w:type="dxa"/>
            <w:tcBorders>
              <w:right w:val="single" w:color="auto" w:sz="4" w:space="0"/>
            </w:tcBorders>
            <w:vAlign w:val="center"/>
          </w:tcPr>
          <w:p w14:paraId="147C6C61">
            <w:pPr>
              <w:widowControl/>
              <w:jc w:val="center"/>
              <w:rPr>
                <w:rFonts w:ascii="Times New Roman" w:hAnsi="Times New Roman"/>
                <w:b/>
                <w:spacing w:val="-2"/>
                <w:kern w:val="0"/>
                <w:szCs w:val="21"/>
              </w:rPr>
            </w:pPr>
            <w:r>
              <w:rPr>
                <w:rFonts w:ascii="Times New Roman" w:hAnsi="Times New Roman"/>
                <w:b/>
                <w:spacing w:val="-2"/>
                <w:kern w:val="0"/>
                <w:szCs w:val="21"/>
              </w:rPr>
              <w:t>生产工序</w:t>
            </w:r>
          </w:p>
        </w:tc>
        <w:tc>
          <w:tcPr>
            <w:tcW w:w="3061" w:type="dxa"/>
            <w:tcBorders>
              <w:left w:val="single" w:color="auto" w:sz="4" w:space="0"/>
            </w:tcBorders>
            <w:vAlign w:val="center"/>
          </w:tcPr>
          <w:p w14:paraId="045677D2">
            <w:pPr>
              <w:jc w:val="center"/>
              <w:rPr>
                <w:rFonts w:ascii="Times New Roman" w:hAnsi="Times New Roman"/>
                <w:b/>
                <w:spacing w:val="-2"/>
                <w:kern w:val="0"/>
                <w:szCs w:val="21"/>
              </w:rPr>
            </w:pPr>
            <w:r>
              <w:rPr>
                <w:rFonts w:ascii="Times New Roman" w:hAnsi="Times New Roman"/>
                <w:b/>
                <w:spacing w:val="-2"/>
                <w:kern w:val="0"/>
                <w:szCs w:val="21"/>
              </w:rPr>
              <w:t>设备名称</w:t>
            </w:r>
          </w:p>
        </w:tc>
        <w:tc>
          <w:tcPr>
            <w:tcW w:w="1933" w:type="dxa"/>
            <w:tcBorders>
              <w:right w:val="single" w:color="auto" w:sz="4" w:space="0"/>
            </w:tcBorders>
            <w:vAlign w:val="center"/>
          </w:tcPr>
          <w:p w14:paraId="043F57B5">
            <w:pPr>
              <w:widowControl/>
              <w:jc w:val="center"/>
              <w:rPr>
                <w:rFonts w:ascii="Times New Roman" w:hAnsi="Times New Roman"/>
                <w:b/>
                <w:spacing w:val="-2"/>
                <w:kern w:val="0"/>
                <w:szCs w:val="21"/>
                <w:u w:val="single"/>
              </w:rPr>
            </w:pPr>
            <w:r>
              <w:rPr>
                <w:rFonts w:ascii="Times New Roman" w:hAnsi="Times New Roman"/>
                <w:b/>
                <w:spacing w:val="-2"/>
                <w:kern w:val="0"/>
                <w:szCs w:val="21"/>
                <w:u w:val="single"/>
              </w:rPr>
              <w:t>规格</w:t>
            </w:r>
          </w:p>
        </w:tc>
        <w:tc>
          <w:tcPr>
            <w:tcW w:w="1105" w:type="dxa"/>
            <w:tcBorders>
              <w:left w:val="single" w:color="auto" w:sz="4" w:space="0"/>
            </w:tcBorders>
            <w:vAlign w:val="center"/>
          </w:tcPr>
          <w:p w14:paraId="0D1478DF">
            <w:pPr>
              <w:jc w:val="center"/>
              <w:rPr>
                <w:rFonts w:ascii="Times New Roman" w:hAnsi="Times New Roman"/>
                <w:b/>
                <w:spacing w:val="-2"/>
                <w:kern w:val="0"/>
                <w:szCs w:val="21"/>
              </w:rPr>
            </w:pPr>
            <w:r>
              <w:rPr>
                <w:rFonts w:ascii="Times New Roman" w:hAnsi="Times New Roman"/>
                <w:b/>
                <w:spacing w:val="-2"/>
                <w:kern w:val="0"/>
                <w:szCs w:val="21"/>
              </w:rPr>
              <w:t>数量</w:t>
            </w:r>
          </w:p>
        </w:tc>
        <w:tc>
          <w:tcPr>
            <w:tcW w:w="929" w:type="dxa"/>
            <w:vAlign w:val="center"/>
          </w:tcPr>
          <w:p w14:paraId="656DCCBD">
            <w:pPr>
              <w:widowControl/>
              <w:jc w:val="center"/>
              <w:rPr>
                <w:rFonts w:ascii="Times New Roman" w:hAnsi="Times New Roman"/>
                <w:b/>
                <w:spacing w:val="-2"/>
                <w:kern w:val="0"/>
                <w:szCs w:val="21"/>
              </w:rPr>
            </w:pPr>
            <w:r>
              <w:rPr>
                <w:rFonts w:ascii="Times New Roman" w:hAnsi="Times New Roman"/>
                <w:b/>
                <w:spacing w:val="-2"/>
                <w:kern w:val="0"/>
                <w:szCs w:val="21"/>
              </w:rPr>
              <w:t>单位</w:t>
            </w:r>
          </w:p>
        </w:tc>
      </w:tr>
      <w:tr w14:paraId="5C81B2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95" w:type="dxa"/>
            <w:vAlign w:val="center"/>
          </w:tcPr>
          <w:p w14:paraId="00A6F78D">
            <w:pPr>
              <w:widowControl/>
              <w:jc w:val="center"/>
              <w:rPr>
                <w:rFonts w:ascii="Times New Roman" w:hAnsi="Times New Roman"/>
                <w:spacing w:val="-2"/>
                <w:kern w:val="0"/>
                <w:szCs w:val="21"/>
              </w:rPr>
            </w:pPr>
            <w:bookmarkStart w:id="87" w:name="_Hlk185797974"/>
            <w:r>
              <w:rPr>
                <w:rFonts w:ascii="Times New Roman" w:hAnsi="Times New Roman"/>
                <w:spacing w:val="-2"/>
                <w:kern w:val="0"/>
                <w:szCs w:val="21"/>
              </w:rPr>
              <w:t>1</w:t>
            </w:r>
          </w:p>
        </w:tc>
        <w:tc>
          <w:tcPr>
            <w:tcW w:w="1217" w:type="dxa"/>
            <w:tcBorders>
              <w:right w:val="single" w:color="auto" w:sz="4" w:space="0"/>
            </w:tcBorders>
            <w:vAlign w:val="center"/>
          </w:tcPr>
          <w:p w14:paraId="20738044">
            <w:pPr>
              <w:widowControl/>
              <w:jc w:val="center"/>
              <w:rPr>
                <w:rFonts w:ascii="Times New Roman" w:hAnsi="Times New Roman"/>
                <w:spacing w:val="-2"/>
                <w:kern w:val="0"/>
                <w:szCs w:val="21"/>
              </w:rPr>
            </w:pPr>
            <w:r>
              <w:rPr>
                <w:rFonts w:ascii="Times New Roman" w:hAnsi="Times New Roman"/>
                <w:spacing w:val="-2"/>
                <w:kern w:val="0"/>
                <w:szCs w:val="21"/>
              </w:rPr>
              <w:t>物料装卸</w:t>
            </w:r>
          </w:p>
        </w:tc>
        <w:tc>
          <w:tcPr>
            <w:tcW w:w="3061" w:type="dxa"/>
            <w:tcBorders>
              <w:left w:val="single" w:color="auto" w:sz="4" w:space="0"/>
            </w:tcBorders>
            <w:vAlign w:val="center"/>
          </w:tcPr>
          <w:p w14:paraId="0A0C7258">
            <w:pPr>
              <w:jc w:val="center"/>
              <w:rPr>
                <w:rFonts w:ascii="Times New Roman" w:hAnsi="Times New Roman"/>
                <w:spacing w:val="-2"/>
                <w:kern w:val="0"/>
                <w:szCs w:val="21"/>
              </w:rPr>
            </w:pPr>
            <w:r>
              <w:rPr>
                <w:rFonts w:ascii="Times New Roman" w:hAnsi="Times New Roman"/>
                <w:spacing w:val="-2"/>
                <w:kern w:val="0"/>
                <w:szCs w:val="21"/>
              </w:rPr>
              <w:t>装载机</w:t>
            </w:r>
            <w:r>
              <w:rPr>
                <w:rFonts w:hint="eastAsia" w:ascii="Times New Roman" w:hAnsi="Times New Roman"/>
                <w:spacing w:val="-2"/>
                <w:kern w:val="0"/>
                <w:szCs w:val="21"/>
              </w:rPr>
              <w:t>（铲车）</w:t>
            </w:r>
          </w:p>
        </w:tc>
        <w:tc>
          <w:tcPr>
            <w:tcW w:w="1933" w:type="dxa"/>
            <w:tcBorders>
              <w:right w:val="single" w:color="auto" w:sz="4" w:space="0"/>
            </w:tcBorders>
            <w:vAlign w:val="center"/>
          </w:tcPr>
          <w:p w14:paraId="1A8B5D72">
            <w:pPr>
              <w:widowControl/>
              <w:jc w:val="center"/>
              <w:rPr>
                <w:rFonts w:ascii="Times New Roman" w:hAnsi="Times New Roman"/>
                <w:spacing w:val="-2"/>
                <w:kern w:val="0"/>
                <w:szCs w:val="21"/>
                <w:u w:val="single"/>
              </w:rPr>
            </w:pPr>
            <w:r>
              <w:rPr>
                <w:rFonts w:hint="eastAsia" w:ascii="Times New Roman" w:hAnsi="Times New Roman"/>
                <w:spacing w:val="-2"/>
                <w:kern w:val="0"/>
                <w:szCs w:val="21"/>
                <w:u w:val="single"/>
              </w:rPr>
              <w:t>1.0t</w:t>
            </w:r>
          </w:p>
        </w:tc>
        <w:tc>
          <w:tcPr>
            <w:tcW w:w="1105" w:type="dxa"/>
            <w:tcBorders>
              <w:left w:val="single" w:color="auto" w:sz="4" w:space="0"/>
            </w:tcBorders>
            <w:vAlign w:val="center"/>
          </w:tcPr>
          <w:p w14:paraId="6F8C9479">
            <w:pPr>
              <w:widowControl/>
              <w:jc w:val="center"/>
              <w:rPr>
                <w:rFonts w:ascii="Times New Roman" w:hAnsi="Times New Roman"/>
                <w:spacing w:val="-2"/>
                <w:kern w:val="0"/>
                <w:szCs w:val="21"/>
              </w:rPr>
            </w:pPr>
            <w:r>
              <w:rPr>
                <w:rFonts w:ascii="Times New Roman" w:hAnsi="Times New Roman"/>
                <w:spacing w:val="-2"/>
                <w:kern w:val="0"/>
                <w:szCs w:val="21"/>
              </w:rPr>
              <w:t>2</w:t>
            </w:r>
          </w:p>
        </w:tc>
        <w:tc>
          <w:tcPr>
            <w:tcW w:w="929" w:type="dxa"/>
            <w:vAlign w:val="center"/>
          </w:tcPr>
          <w:p w14:paraId="7F28D509">
            <w:pPr>
              <w:jc w:val="center"/>
              <w:rPr>
                <w:rFonts w:ascii="Times New Roman" w:hAnsi="Times New Roman"/>
                <w:szCs w:val="21"/>
              </w:rPr>
            </w:pPr>
            <w:r>
              <w:rPr>
                <w:rFonts w:ascii="Times New Roman" w:hAnsi="Times New Roman"/>
                <w:szCs w:val="21"/>
              </w:rPr>
              <w:t>台</w:t>
            </w:r>
          </w:p>
        </w:tc>
      </w:tr>
      <w:tr w14:paraId="50F842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95" w:type="dxa"/>
            <w:vAlign w:val="center"/>
          </w:tcPr>
          <w:p w14:paraId="769F53ED">
            <w:pPr>
              <w:widowControl/>
              <w:jc w:val="center"/>
              <w:rPr>
                <w:rFonts w:ascii="Times New Roman" w:hAnsi="Times New Roman"/>
                <w:spacing w:val="-2"/>
                <w:kern w:val="0"/>
                <w:szCs w:val="21"/>
              </w:rPr>
            </w:pPr>
            <w:r>
              <w:rPr>
                <w:rFonts w:ascii="Times New Roman" w:hAnsi="Times New Roman"/>
                <w:spacing w:val="-2"/>
                <w:kern w:val="0"/>
                <w:szCs w:val="21"/>
              </w:rPr>
              <w:t>2</w:t>
            </w:r>
          </w:p>
        </w:tc>
        <w:tc>
          <w:tcPr>
            <w:tcW w:w="1217" w:type="dxa"/>
            <w:vMerge w:val="restart"/>
            <w:tcBorders>
              <w:right w:val="single" w:color="auto" w:sz="4" w:space="0"/>
            </w:tcBorders>
            <w:vAlign w:val="center"/>
          </w:tcPr>
          <w:p w14:paraId="5963AAC6">
            <w:pPr>
              <w:widowControl/>
              <w:jc w:val="center"/>
              <w:rPr>
                <w:rFonts w:ascii="Times New Roman" w:hAnsi="Times New Roman"/>
                <w:spacing w:val="-2"/>
                <w:kern w:val="0"/>
                <w:szCs w:val="21"/>
              </w:rPr>
            </w:pPr>
            <w:r>
              <w:rPr>
                <w:rFonts w:ascii="Times New Roman" w:hAnsi="Times New Roman"/>
                <w:spacing w:val="-2"/>
                <w:kern w:val="0"/>
                <w:szCs w:val="21"/>
              </w:rPr>
              <w:t>烘干工序</w:t>
            </w:r>
          </w:p>
        </w:tc>
        <w:tc>
          <w:tcPr>
            <w:tcW w:w="3061" w:type="dxa"/>
            <w:tcBorders>
              <w:left w:val="single" w:color="auto" w:sz="4" w:space="0"/>
            </w:tcBorders>
            <w:vAlign w:val="center"/>
          </w:tcPr>
          <w:p w14:paraId="5F9B5B8C">
            <w:pPr>
              <w:jc w:val="center"/>
              <w:rPr>
                <w:rFonts w:ascii="Times New Roman" w:hAnsi="Times New Roman"/>
                <w:spacing w:val="-2"/>
                <w:kern w:val="0"/>
                <w:szCs w:val="21"/>
              </w:rPr>
            </w:pPr>
            <w:r>
              <w:rPr>
                <w:rFonts w:ascii="Times New Roman" w:hAnsi="Times New Roman"/>
                <w:spacing w:val="-2"/>
                <w:kern w:val="0"/>
                <w:szCs w:val="21"/>
              </w:rPr>
              <w:t>料斗</w:t>
            </w:r>
          </w:p>
        </w:tc>
        <w:tc>
          <w:tcPr>
            <w:tcW w:w="1933" w:type="dxa"/>
            <w:tcBorders>
              <w:right w:val="single" w:color="auto" w:sz="4" w:space="0"/>
            </w:tcBorders>
            <w:vAlign w:val="center"/>
          </w:tcPr>
          <w:p w14:paraId="66140018">
            <w:pPr>
              <w:widowControl/>
              <w:jc w:val="center"/>
              <w:rPr>
                <w:rFonts w:ascii="Times New Roman" w:hAnsi="Times New Roman"/>
                <w:spacing w:val="-2"/>
                <w:kern w:val="0"/>
                <w:szCs w:val="21"/>
                <w:u w:val="single"/>
              </w:rPr>
            </w:pPr>
            <w:r>
              <w:rPr>
                <w:rFonts w:hint="eastAsia" w:ascii="Times New Roman" w:hAnsi="Times New Roman"/>
                <w:spacing w:val="-2"/>
                <w:kern w:val="0"/>
                <w:szCs w:val="21"/>
                <w:u w:val="single"/>
              </w:rPr>
              <w:t>2.8m×1.8m</w:t>
            </w:r>
          </w:p>
        </w:tc>
        <w:tc>
          <w:tcPr>
            <w:tcW w:w="1105" w:type="dxa"/>
            <w:tcBorders>
              <w:left w:val="single" w:color="auto" w:sz="4" w:space="0"/>
            </w:tcBorders>
            <w:vAlign w:val="center"/>
          </w:tcPr>
          <w:p w14:paraId="28548AB0">
            <w:pPr>
              <w:widowControl/>
              <w:jc w:val="center"/>
              <w:rPr>
                <w:rFonts w:ascii="Times New Roman" w:hAnsi="Times New Roman"/>
                <w:spacing w:val="-2"/>
                <w:kern w:val="0"/>
                <w:szCs w:val="21"/>
              </w:rPr>
            </w:pPr>
            <w:r>
              <w:rPr>
                <w:rFonts w:ascii="Times New Roman" w:hAnsi="Times New Roman"/>
                <w:spacing w:val="-2"/>
                <w:kern w:val="0"/>
                <w:szCs w:val="21"/>
              </w:rPr>
              <w:t>2</w:t>
            </w:r>
          </w:p>
        </w:tc>
        <w:tc>
          <w:tcPr>
            <w:tcW w:w="929" w:type="dxa"/>
            <w:vAlign w:val="center"/>
          </w:tcPr>
          <w:p w14:paraId="4E593FFA">
            <w:pPr>
              <w:jc w:val="center"/>
              <w:rPr>
                <w:rFonts w:ascii="Times New Roman" w:hAnsi="Times New Roman"/>
                <w:szCs w:val="21"/>
              </w:rPr>
            </w:pPr>
            <w:r>
              <w:rPr>
                <w:rFonts w:ascii="Times New Roman" w:hAnsi="Times New Roman"/>
                <w:szCs w:val="21"/>
              </w:rPr>
              <w:t>个</w:t>
            </w:r>
          </w:p>
        </w:tc>
      </w:tr>
      <w:tr w14:paraId="3A81D2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95" w:type="dxa"/>
            <w:vAlign w:val="center"/>
          </w:tcPr>
          <w:p w14:paraId="5F2D11AF">
            <w:pPr>
              <w:widowControl/>
              <w:jc w:val="center"/>
              <w:rPr>
                <w:rFonts w:ascii="Times New Roman" w:hAnsi="Times New Roman"/>
                <w:spacing w:val="-2"/>
                <w:kern w:val="0"/>
                <w:szCs w:val="21"/>
              </w:rPr>
            </w:pPr>
            <w:r>
              <w:rPr>
                <w:rFonts w:ascii="Times New Roman" w:hAnsi="Times New Roman"/>
                <w:spacing w:val="-2"/>
                <w:kern w:val="0"/>
                <w:szCs w:val="21"/>
              </w:rPr>
              <w:t>3</w:t>
            </w:r>
          </w:p>
        </w:tc>
        <w:tc>
          <w:tcPr>
            <w:tcW w:w="1217" w:type="dxa"/>
            <w:vMerge w:val="continue"/>
            <w:tcBorders>
              <w:right w:val="single" w:color="auto" w:sz="4" w:space="0"/>
            </w:tcBorders>
            <w:vAlign w:val="center"/>
          </w:tcPr>
          <w:p w14:paraId="5F0C4342">
            <w:pPr>
              <w:widowControl/>
              <w:jc w:val="center"/>
              <w:rPr>
                <w:rFonts w:ascii="Times New Roman" w:hAnsi="Times New Roman"/>
                <w:spacing w:val="-2"/>
                <w:kern w:val="0"/>
                <w:szCs w:val="21"/>
              </w:rPr>
            </w:pPr>
          </w:p>
        </w:tc>
        <w:tc>
          <w:tcPr>
            <w:tcW w:w="3061" w:type="dxa"/>
            <w:tcBorders>
              <w:left w:val="single" w:color="auto" w:sz="4" w:space="0"/>
            </w:tcBorders>
            <w:vAlign w:val="center"/>
          </w:tcPr>
          <w:p w14:paraId="747D2F43">
            <w:pPr>
              <w:jc w:val="center"/>
              <w:rPr>
                <w:rFonts w:ascii="Times New Roman" w:hAnsi="Times New Roman"/>
                <w:spacing w:val="-2"/>
                <w:kern w:val="0"/>
                <w:szCs w:val="21"/>
              </w:rPr>
            </w:pPr>
            <w:r>
              <w:rPr>
                <w:rFonts w:ascii="Times New Roman" w:hAnsi="Times New Roman"/>
                <w:spacing w:val="-2"/>
                <w:kern w:val="0"/>
                <w:szCs w:val="21"/>
              </w:rPr>
              <w:t>皮带输送机</w:t>
            </w:r>
          </w:p>
        </w:tc>
        <w:tc>
          <w:tcPr>
            <w:tcW w:w="1933" w:type="dxa"/>
            <w:tcBorders>
              <w:right w:val="single" w:color="auto" w:sz="4" w:space="0"/>
            </w:tcBorders>
            <w:vAlign w:val="center"/>
          </w:tcPr>
          <w:p w14:paraId="018B19F3">
            <w:pPr>
              <w:widowControl/>
              <w:jc w:val="center"/>
              <w:rPr>
                <w:rFonts w:ascii="Times New Roman" w:hAnsi="Times New Roman"/>
                <w:spacing w:val="-2"/>
                <w:kern w:val="0"/>
                <w:szCs w:val="21"/>
                <w:u w:val="single"/>
              </w:rPr>
            </w:pPr>
            <w:r>
              <w:rPr>
                <w:rFonts w:hint="eastAsia" w:ascii="Times New Roman" w:hAnsi="Times New Roman"/>
                <w:spacing w:val="-2"/>
                <w:kern w:val="0"/>
                <w:szCs w:val="21"/>
                <w:u w:val="single"/>
              </w:rPr>
              <w:t>L15m×H1.3m</w:t>
            </w:r>
          </w:p>
        </w:tc>
        <w:tc>
          <w:tcPr>
            <w:tcW w:w="1105" w:type="dxa"/>
            <w:tcBorders>
              <w:left w:val="single" w:color="auto" w:sz="4" w:space="0"/>
            </w:tcBorders>
            <w:vAlign w:val="center"/>
          </w:tcPr>
          <w:p w14:paraId="506F3573">
            <w:pPr>
              <w:widowControl/>
              <w:jc w:val="center"/>
              <w:rPr>
                <w:rFonts w:ascii="Times New Roman" w:hAnsi="Times New Roman"/>
                <w:spacing w:val="-2"/>
                <w:kern w:val="0"/>
                <w:szCs w:val="21"/>
              </w:rPr>
            </w:pPr>
            <w:r>
              <w:rPr>
                <w:rFonts w:ascii="Times New Roman" w:hAnsi="Times New Roman"/>
                <w:spacing w:val="-2"/>
                <w:kern w:val="0"/>
                <w:szCs w:val="21"/>
              </w:rPr>
              <w:t>1</w:t>
            </w:r>
          </w:p>
        </w:tc>
        <w:tc>
          <w:tcPr>
            <w:tcW w:w="929" w:type="dxa"/>
            <w:vAlign w:val="center"/>
          </w:tcPr>
          <w:p w14:paraId="55626321">
            <w:pPr>
              <w:jc w:val="center"/>
              <w:rPr>
                <w:rFonts w:ascii="Times New Roman" w:hAnsi="Times New Roman"/>
                <w:szCs w:val="21"/>
              </w:rPr>
            </w:pPr>
            <w:r>
              <w:rPr>
                <w:rFonts w:ascii="Times New Roman" w:hAnsi="Times New Roman"/>
                <w:szCs w:val="21"/>
              </w:rPr>
              <w:t>套</w:t>
            </w:r>
          </w:p>
        </w:tc>
      </w:tr>
      <w:tr w14:paraId="19DECF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95" w:type="dxa"/>
            <w:vAlign w:val="center"/>
          </w:tcPr>
          <w:p w14:paraId="218614E2">
            <w:pPr>
              <w:widowControl/>
              <w:jc w:val="center"/>
              <w:rPr>
                <w:rFonts w:ascii="Times New Roman" w:hAnsi="Times New Roman"/>
                <w:spacing w:val="-2"/>
                <w:kern w:val="0"/>
                <w:szCs w:val="21"/>
              </w:rPr>
            </w:pPr>
            <w:r>
              <w:rPr>
                <w:rFonts w:ascii="Times New Roman" w:hAnsi="Times New Roman"/>
                <w:spacing w:val="-2"/>
                <w:kern w:val="0"/>
                <w:szCs w:val="21"/>
              </w:rPr>
              <w:t>4</w:t>
            </w:r>
          </w:p>
        </w:tc>
        <w:tc>
          <w:tcPr>
            <w:tcW w:w="1217" w:type="dxa"/>
            <w:vMerge w:val="continue"/>
            <w:tcBorders>
              <w:right w:val="single" w:color="auto" w:sz="4" w:space="0"/>
            </w:tcBorders>
            <w:vAlign w:val="center"/>
          </w:tcPr>
          <w:p w14:paraId="2FDBF7D2">
            <w:pPr>
              <w:widowControl/>
              <w:jc w:val="center"/>
              <w:rPr>
                <w:rFonts w:ascii="Times New Roman" w:hAnsi="Times New Roman"/>
                <w:spacing w:val="-2"/>
                <w:kern w:val="0"/>
                <w:szCs w:val="21"/>
              </w:rPr>
            </w:pPr>
          </w:p>
        </w:tc>
        <w:tc>
          <w:tcPr>
            <w:tcW w:w="3061" w:type="dxa"/>
            <w:tcBorders>
              <w:left w:val="single" w:color="auto" w:sz="4" w:space="0"/>
            </w:tcBorders>
            <w:vAlign w:val="center"/>
          </w:tcPr>
          <w:p w14:paraId="24BF0556">
            <w:pPr>
              <w:jc w:val="center"/>
              <w:rPr>
                <w:rFonts w:ascii="Times New Roman" w:hAnsi="Times New Roman"/>
                <w:spacing w:val="-2"/>
                <w:kern w:val="0"/>
                <w:szCs w:val="21"/>
              </w:rPr>
            </w:pPr>
            <w:r>
              <w:rPr>
                <w:rFonts w:ascii="Times New Roman" w:hAnsi="Times New Roman"/>
                <w:spacing w:val="-2"/>
                <w:kern w:val="0"/>
                <w:szCs w:val="21"/>
              </w:rPr>
              <w:t>烘干机</w:t>
            </w:r>
          </w:p>
        </w:tc>
        <w:tc>
          <w:tcPr>
            <w:tcW w:w="1933" w:type="dxa"/>
            <w:tcBorders>
              <w:right w:val="single" w:color="auto" w:sz="4" w:space="0"/>
            </w:tcBorders>
            <w:vAlign w:val="center"/>
          </w:tcPr>
          <w:p w14:paraId="4F3C8A1C">
            <w:pPr>
              <w:widowControl/>
              <w:jc w:val="center"/>
              <w:rPr>
                <w:rFonts w:ascii="Times New Roman" w:hAnsi="Times New Roman"/>
                <w:spacing w:val="-2"/>
                <w:kern w:val="0"/>
                <w:szCs w:val="21"/>
                <w:u w:val="single"/>
              </w:rPr>
            </w:pPr>
            <w:r>
              <w:rPr>
                <w:rFonts w:hint="eastAsia" w:ascii="Times New Roman" w:hAnsi="Times New Roman"/>
                <w:spacing w:val="-2"/>
                <w:kern w:val="0"/>
                <w:szCs w:val="21"/>
                <w:u w:val="single"/>
              </w:rPr>
              <w:t>H10m×Φ1.5m，0.52MW</w:t>
            </w:r>
          </w:p>
        </w:tc>
        <w:tc>
          <w:tcPr>
            <w:tcW w:w="1105" w:type="dxa"/>
            <w:tcBorders>
              <w:left w:val="single" w:color="auto" w:sz="4" w:space="0"/>
            </w:tcBorders>
            <w:vAlign w:val="center"/>
          </w:tcPr>
          <w:p w14:paraId="608B3427">
            <w:pPr>
              <w:widowControl/>
              <w:jc w:val="center"/>
              <w:rPr>
                <w:rFonts w:ascii="Times New Roman" w:hAnsi="Times New Roman"/>
                <w:spacing w:val="-2"/>
                <w:kern w:val="0"/>
                <w:szCs w:val="21"/>
              </w:rPr>
            </w:pPr>
            <w:r>
              <w:rPr>
                <w:rFonts w:ascii="Times New Roman" w:hAnsi="Times New Roman"/>
                <w:spacing w:val="-2"/>
                <w:kern w:val="0"/>
                <w:szCs w:val="21"/>
              </w:rPr>
              <w:t>1</w:t>
            </w:r>
          </w:p>
        </w:tc>
        <w:tc>
          <w:tcPr>
            <w:tcW w:w="929" w:type="dxa"/>
            <w:vAlign w:val="center"/>
          </w:tcPr>
          <w:p w14:paraId="575CB028">
            <w:pPr>
              <w:jc w:val="center"/>
              <w:rPr>
                <w:rFonts w:ascii="Times New Roman" w:hAnsi="Times New Roman"/>
                <w:szCs w:val="21"/>
              </w:rPr>
            </w:pPr>
            <w:r>
              <w:rPr>
                <w:rFonts w:ascii="Times New Roman" w:hAnsi="Times New Roman"/>
                <w:szCs w:val="21"/>
              </w:rPr>
              <w:t>台</w:t>
            </w:r>
          </w:p>
        </w:tc>
      </w:tr>
      <w:tr w14:paraId="192E13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95" w:type="dxa"/>
            <w:vAlign w:val="center"/>
          </w:tcPr>
          <w:p w14:paraId="13C22A4A">
            <w:pPr>
              <w:widowControl/>
              <w:jc w:val="center"/>
              <w:rPr>
                <w:rFonts w:ascii="Times New Roman" w:hAnsi="Times New Roman"/>
                <w:spacing w:val="-2"/>
                <w:kern w:val="0"/>
                <w:szCs w:val="21"/>
              </w:rPr>
            </w:pPr>
            <w:r>
              <w:rPr>
                <w:rFonts w:ascii="Times New Roman" w:hAnsi="Times New Roman"/>
                <w:spacing w:val="-2"/>
                <w:kern w:val="0"/>
                <w:szCs w:val="21"/>
              </w:rPr>
              <w:t>5</w:t>
            </w:r>
          </w:p>
        </w:tc>
        <w:tc>
          <w:tcPr>
            <w:tcW w:w="1217" w:type="dxa"/>
            <w:vMerge w:val="restart"/>
            <w:tcBorders>
              <w:right w:val="single" w:color="auto" w:sz="4" w:space="0"/>
            </w:tcBorders>
            <w:vAlign w:val="center"/>
          </w:tcPr>
          <w:p w14:paraId="1ADD1068">
            <w:pPr>
              <w:widowControl/>
              <w:jc w:val="center"/>
              <w:rPr>
                <w:rFonts w:ascii="Times New Roman" w:hAnsi="Times New Roman"/>
                <w:spacing w:val="-2"/>
                <w:kern w:val="0"/>
                <w:szCs w:val="21"/>
              </w:rPr>
            </w:pPr>
            <w:r>
              <w:rPr>
                <w:rFonts w:ascii="Times New Roman" w:hAnsi="Times New Roman"/>
                <w:spacing w:val="-2"/>
                <w:kern w:val="0"/>
                <w:szCs w:val="21"/>
              </w:rPr>
              <w:t>磁选工序</w:t>
            </w:r>
          </w:p>
        </w:tc>
        <w:tc>
          <w:tcPr>
            <w:tcW w:w="3061" w:type="dxa"/>
            <w:tcBorders>
              <w:left w:val="single" w:color="auto" w:sz="4" w:space="0"/>
            </w:tcBorders>
            <w:vAlign w:val="center"/>
          </w:tcPr>
          <w:p w14:paraId="2DCB301D">
            <w:pPr>
              <w:jc w:val="center"/>
              <w:rPr>
                <w:rFonts w:ascii="Times New Roman" w:hAnsi="Times New Roman"/>
                <w:spacing w:val="-2"/>
                <w:kern w:val="0"/>
                <w:szCs w:val="21"/>
              </w:rPr>
            </w:pPr>
            <w:r>
              <w:rPr>
                <w:rFonts w:ascii="Times New Roman" w:hAnsi="Times New Roman"/>
                <w:spacing w:val="-2"/>
                <w:kern w:val="0"/>
                <w:szCs w:val="21"/>
              </w:rPr>
              <w:t>料斗</w:t>
            </w:r>
          </w:p>
        </w:tc>
        <w:tc>
          <w:tcPr>
            <w:tcW w:w="1933" w:type="dxa"/>
            <w:tcBorders>
              <w:right w:val="single" w:color="auto" w:sz="4" w:space="0"/>
            </w:tcBorders>
            <w:vAlign w:val="center"/>
          </w:tcPr>
          <w:p w14:paraId="67018334">
            <w:pPr>
              <w:widowControl/>
              <w:jc w:val="center"/>
              <w:rPr>
                <w:rFonts w:ascii="Times New Roman" w:hAnsi="Times New Roman"/>
                <w:spacing w:val="-2"/>
                <w:kern w:val="0"/>
                <w:szCs w:val="21"/>
                <w:u w:val="single"/>
              </w:rPr>
            </w:pPr>
            <w:r>
              <w:rPr>
                <w:rFonts w:hint="eastAsia" w:ascii="Times New Roman" w:hAnsi="Times New Roman"/>
                <w:spacing w:val="-2"/>
                <w:kern w:val="0"/>
                <w:szCs w:val="21"/>
                <w:u w:val="single"/>
              </w:rPr>
              <w:t>2.0m×1.8m</w:t>
            </w:r>
          </w:p>
        </w:tc>
        <w:tc>
          <w:tcPr>
            <w:tcW w:w="1105" w:type="dxa"/>
            <w:tcBorders>
              <w:left w:val="single" w:color="auto" w:sz="4" w:space="0"/>
            </w:tcBorders>
            <w:vAlign w:val="center"/>
          </w:tcPr>
          <w:p w14:paraId="40134459">
            <w:pPr>
              <w:widowControl/>
              <w:jc w:val="center"/>
              <w:rPr>
                <w:rFonts w:ascii="Times New Roman" w:hAnsi="Times New Roman"/>
                <w:spacing w:val="-2"/>
                <w:kern w:val="0"/>
                <w:szCs w:val="21"/>
              </w:rPr>
            </w:pPr>
            <w:r>
              <w:rPr>
                <w:rFonts w:ascii="Times New Roman" w:hAnsi="Times New Roman"/>
                <w:spacing w:val="-2"/>
                <w:kern w:val="0"/>
                <w:szCs w:val="21"/>
              </w:rPr>
              <w:t>4</w:t>
            </w:r>
          </w:p>
        </w:tc>
        <w:tc>
          <w:tcPr>
            <w:tcW w:w="929" w:type="dxa"/>
            <w:vAlign w:val="center"/>
          </w:tcPr>
          <w:p w14:paraId="3E31D7BC">
            <w:pPr>
              <w:jc w:val="center"/>
              <w:rPr>
                <w:rFonts w:ascii="Times New Roman" w:hAnsi="Times New Roman"/>
                <w:szCs w:val="21"/>
              </w:rPr>
            </w:pPr>
            <w:r>
              <w:rPr>
                <w:rFonts w:ascii="Times New Roman" w:hAnsi="Times New Roman"/>
                <w:szCs w:val="21"/>
              </w:rPr>
              <w:t>个</w:t>
            </w:r>
          </w:p>
        </w:tc>
      </w:tr>
      <w:bookmarkEnd w:id="87"/>
      <w:tr w14:paraId="7EFF61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95" w:type="dxa"/>
            <w:vAlign w:val="center"/>
          </w:tcPr>
          <w:p w14:paraId="17A08593">
            <w:pPr>
              <w:widowControl/>
              <w:jc w:val="center"/>
              <w:rPr>
                <w:rFonts w:ascii="Times New Roman" w:hAnsi="Times New Roman"/>
                <w:spacing w:val="-2"/>
                <w:kern w:val="0"/>
                <w:szCs w:val="21"/>
              </w:rPr>
            </w:pPr>
            <w:r>
              <w:rPr>
                <w:rFonts w:ascii="Times New Roman" w:hAnsi="Times New Roman"/>
                <w:spacing w:val="-2"/>
                <w:kern w:val="0"/>
                <w:szCs w:val="21"/>
              </w:rPr>
              <w:t>6</w:t>
            </w:r>
          </w:p>
        </w:tc>
        <w:tc>
          <w:tcPr>
            <w:tcW w:w="1217" w:type="dxa"/>
            <w:vMerge w:val="continue"/>
            <w:tcBorders>
              <w:right w:val="single" w:color="auto" w:sz="4" w:space="0"/>
            </w:tcBorders>
            <w:vAlign w:val="center"/>
          </w:tcPr>
          <w:p w14:paraId="04310ECE">
            <w:pPr>
              <w:widowControl/>
              <w:jc w:val="center"/>
              <w:rPr>
                <w:rFonts w:ascii="Times New Roman" w:hAnsi="Times New Roman"/>
                <w:spacing w:val="-2"/>
                <w:kern w:val="0"/>
                <w:szCs w:val="21"/>
              </w:rPr>
            </w:pPr>
          </w:p>
        </w:tc>
        <w:tc>
          <w:tcPr>
            <w:tcW w:w="3061" w:type="dxa"/>
            <w:tcBorders>
              <w:left w:val="single" w:color="auto" w:sz="4" w:space="0"/>
            </w:tcBorders>
            <w:vAlign w:val="center"/>
          </w:tcPr>
          <w:p w14:paraId="6911A35D">
            <w:pPr>
              <w:jc w:val="center"/>
              <w:rPr>
                <w:rFonts w:ascii="Times New Roman" w:hAnsi="Times New Roman"/>
                <w:spacing w:val="-2"/>
                <w:kern w:val="0"/>
                <w:szCs w:val="21"/>
              </w:rPr>
            </w:pPr>
            <w:r>
              <w:rPr>
                <w:rFonts w:ascii="Times New Roman" w:hAnsi="Times New Roman"/>
                <w:spacing w:val="-2"/>
                <w:kern w:val="0"/>
                <w:szCs w:val="21"/>
              </w:rPr>
              <w:t>磁选机</w:t>
            </w:r>
          </w:p>
        </w:tc>
        <w:tc>
          <w:tcPr>
            <w:tcW w:w="1933" w:type="dxa"/>
            <w:tcBorders>
              <w:right w:val="single" w:color="auto" w:sz="4" w:space="0"/>
            </w:tcBorders>
            <w:vAlign w:val="center"/>
          </w:tcPr>
          <w:p w14:paraId="64B51F45">
            <w:pPr>
              <w:widowControl/>
              <w:jc w:val="center"/>
              <w:rPr>
                <w:rFonts w:ascii="Times New Roman" w:hAnsi="Times New Roman"/>
                <w:spacing w:val="-2"/>
                <w:kern w:val="0"/>
                <w:szCs w:val="21"/>
                <w:u w:val="single"/>
              </w:rPr>
            </w:pPr>
            <w:r>
              <w:rPr>
                <w:rFonts w:hint="eastAsia" w:ascii="Times New Roman" w:hAnsi="Times New Roman"/>
                <w:spacing w:val="-2"/>
                <w:kern w:val="0"/>
                <w:szCs w:val="21"/>
                <w:u w:val="single"/>
              </w:rPr>
              <w:t>L3.0m×H1.2m，</w:t>
            </w:r>
            <w:r>
              <w:rPr>
                <w:rFonts w:ascii="Times New Roman" w:hAnsi="Times New Roman"/>
                <w:spacing w:val="-2"/>
                <w:kern w:val="0"/>
                <w:szCs w:val="21"/>
                <w:u w:val="single"/>
              </w:rPr>
              <w:t>100</w:t>
            </w:r>
            <w:r>
              <w:rPr>
                <w:rFonts w:hint="eastAsia" w:ascii="Times New Roman" w:hAnsi="Times New Roman"/>
                <w:spacing w:val="-2"/>
                <w:kern w:val="0"/>
                <w:szCs w:val="21"/>
                <w:u w:val="single"/>
                <w:lang w:eastAsia="zh-CN"/>
              </w:rPr>
              <w:t>kW</w:t>
            </w:r>
          </w:p>
        </w:tc>
        <w:tc>
          <w:tcPr>
            <w:tcW w:w="1105" w:type="dxa"/>
            <w:tcBorders>
              <w:left w:val="single" w:color="auto" w:sz="4" w:space="0"/>
            </w:tcBorders>
            <w:vAlign w:val="center"/>
          </w:tcPr>
          <w:p w14:paraId="137D76E8">
            <w:pPr>
              <w:widowControl/>
              <w:jc w:val="center"/>
              <w:rPr>
                <w:rFonts w:ascii="Times New Roman" w:hAnsi="Times New Roman"/>
                <w:spacing w:val="-2"/>
                <w:kern w:val="0"/>
                <w:szCs w:val="21"/>
              </w:rPr>
            </w:pPr>
            <w:r>
              <w:rPr>
                <w:rFonts w:ascii="Times New Roman" w:hAnsi="Times New Roman"/>
                <w:spacing w:val="-2"/>
                <w:kern w:val="0"/>
                <w:szCs w:val="21"/>
              </w:rPr>
              <w:t>20</w:t>
            </w:r>
          </w:p>
        </w:tc>
        <w:tc>
          <w:tcPr>
            <w:tcW w:w="929" w:type="dxa"/>
            <w:vAlign w:val="center"/>
          </w:tcPr>
          <w:p w14:paraId="4F4757C8">
            <w:pPr>
              <w:jc w:val="center"/>
              <w:rPr>
                <w:rFonts w:ascii="Times New Roman" w:hAnsi="Times New Roman"/>
                <w:szCs w:val="21"/>
              </w:rPr>
            </w:pPr>
            <w:r>
              <w:rPr>
                <w:rFonts w:ascii="Times New Roman" w:hAnsi="Times New Roman"/>
                <w:szCs w:val="21"/>
              </w:rPr>
              <w:t>台</w:t>
            </w:r>
          </w:p>
        </w:tc>
      </w:tr>
      <w:tr w14:paraId="5A819F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95" w:type="dxa"/>
            <w:vAlign w:val="center"/>
          </w:tcPr>
          <w:p w14:paraId="2652473E">
            <w:pPr>
              <w:widowControl/>
              <w:jc w:val="center"/>
              <w:rPr>
                <w:rFonts w:ascii="Times New Roman" w:hAnsi="Times New Roman"/>
                <w:spacing w:val="-2"/>
                <w:kern w:val="0"/>
                <w:szCs w:val="21"/>
              </w:rPr>
            </w:pPr>
            <w:r>
              <w:rPr>
                <w:rFonts w:ascii="Times New Roman" w:hAnsi="Times New Roman"/>
                <w:spacing w:val="-2"/>
                <w:kern w:val="0"/>
                <w:szCs w:val="21"/>
              </w:rPr>
              <w:t>7</w:t>
            </w:r>
          </w:p>
        </w:tc>
        <w:tc>
          <w:tcPr>
            <w:tcW w:w="1217" w:type="dxa"/>
            <w:vMerge w:val="continue"/>
            <w:tcBorders>
              <w:right w:val="single" w:color="auto" w:sz="4" w:space="0"/>
            </w:tcBorders>
            <w:vAlign w:val="center"/>
          </w:tcPr>
          <w:p w14:paraId="3D83EDDD">
            <w:pPr>
              <w:widowControl/>
              <w:jc w:val="center"/>
              <w:rPr>
                <w:rFonts w:ascii="Times New Roman" w:hAnsi="Times New Roman"/>
                <w:spacing w:val="-2"/>
                <w:kern w:val="0"/>
                <w:szCs w:val="21"/>
              </w:rPr>
            </w:pPr>
          </w:p>
        </w:tc>
        <w:tc>
          <w:tcPr>
            <w:tcW w:w="3061" w:type="dxa"/>
            <w:tcBorders>
              <w:left w:val="single" w:color="auto" w:sz="4" w:space="0"/>
            </w:tcBorders>
            <w:vAlign w:val="center"/>
          </w:tcPr>
          <w:p w14:paraId="0949170C">
            <w:pPr>
              <w:jc w:val="center"/>
              <w:rPr>
                <w:rFonts w:ascii="Times New Roman" w:hAnsi="Times New Roman"/>
                <w:spacing w:val="-2"/>
                <w:kern w:val="0"/>
                <w:szCs w:val="21"/>
              </w:rPr>
            </w:pPr>
            <w:r>
              <w:rPr>
                <w:rFonts w:ascii="Times New Roman" w:hAnsi="Times New Roman"/>
                <w:spacing w:val="-2"/>
                <w:kern w:val="0"/>
                <w:szCs w:val="21"/>
              </w:rPr>
              <w:t>皮带输送机</w:t>
            </w:r>
          </w:p>
        </w:tc>
        <w:tc>
          <w:tcPr>
            <w:tcW w:w="1933" w:type="dxa"/>
            <w:tcBorders>
              <w:right w:val="single" w:color="auto" w:sz="4" w:space="0"/>
            </w:tcBorders>
            <w:vAlign w:val="center"/>
          </w:tcPr>
          <w:p w14:paraId="5405E014">
            <w:pPr>
              <w:widowControl/>
              <w:jc w:val="center"/>
              <w:rPr>
                <w:rFonts w:ascii="Times New Roman" w:hAnsi="Times New Roman"/>
                <w:spacing w:val="-2"/>
                <w:kern w:val="0"/>
                <w:szCs w:val="21"/>
                <w:u w:val="single"/>
              </w:rPr>
            </w:pPr>
            <w:r>
              <w:rPr>
                <w:rFonts w:hint="eastAsia" w:ascii="Times New Roman" w:hAnsi="Times New Roman"/>
                <w:spacing w:val="-2"/>
                <w:kern w:val="0"/>
                <w:szCs w:val="21"/>
                <w:u w:val="single"/>
              </w:rPr>
              <w:t>L18m×H1.3m</w:t>
            </w:r>
          </w:p>
        </w:tc>
        <w:tc>
          <w:tcPr>
            <w:tcW w:w="1105" w:type="dxa"/>
            <w:tcBorders>
              <w:left w:val="single" w:color="auto" w:sz="4" w:space="0"/>
            </w:tcBorders>
            <w:vAlign w:val="center"/>
          </w:tcPr>
          <w:p w14:paraId="00724C5E">
            <w:pPr>
              <w:widowControl/>
              <w:jc w:val="center"/>
              <w:rPr>
                <w:rFonts w:ascii="Times New Roman" w:hAnsi="Times New Roman"/>
                <w:spacing w:val="-2"/>
                <w:kern w:val="0"/>
                <w:szCs w:val="21"/>
              </w:rPr>
            </w:pPr>
            <w:r>
              <w:rPr>
                <w:rFonts w:ascii="Times New Roman" w:hAnsi="Times New Roman"/>
                <w:spacing w:val="-2"/>
                <w:kern w:val="0"/>
                <w:szCs w:val="21"/>
              </w:rPr>
              <w:t>2</w:t>
            </w:r>
          </w:p>
        </w:tc>
        <w:tc>
          <w:tcPr>
            <w:tcW w:w="929" w:type="dxa"/>
            <w:vAlign w:val="center"/>
          </w:tcPr>
          <w:p w14:paraId="3BE8513F">
            <w:pPr>
              <w:jc w:val="center"/>
              <w:rPr>
                <w:rFonts w:ascii="Times New Roman" w:hAnsi="Times New Roman"/>
                <w:szCs w:val="21"/>
              </w:rPr>
            </w:pPr>
            <w:r>
              <w:rPr>
                <w:rFonts w:ascii="Times New Roman" w:hAnsi="Times New Roman"/>
                <w:szCs w:val="21"/>
              </w:rPr>
              <w:t>套</w:t>
            </w:r>
          </w:p>
        </w:tc>
      </w:tr>
      <w:tr w14:paraId="008AC6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95" w:type="dxa"/>
            <w:vAlign w:val="center"/>
          </w:tcPr>
          <w:p w14:paraId="39E300B4">
            <w:pPr>
              <w:widowControl/>
              <w:jc w:val="center"/>
              <w:rPr>
                <w:rFonts w:ascii="Times New Roman" w:hAnsi="Times New Roman"/>
                <w:spacing w:val="-2"/>
                <w:kern w:val="0"/>
                <w:szCs w:val="21"/>
              </w:rPr>
            </w:pPr>
            <w:r>
              <w:rPr>
                <w:rFonts w:ascii="Times New Roman" w:hAnsi="Times New Roman"/>
                <w:spacing w:val="-2"/>
                <w:kern w:val="0"/>
                <w:szCs w:val="21"/>
              </w:rPr>
              <w:t>8</w:t>
            </w:r>
          </w:p>
        </w:tc>
        <w:tc>
          <w:tcPr>
            <w:tcW w:w="1217" w:type="dxa"/>
            <w:vMerge w:val="restart"/>
            <w:tcBorders>
              <w:right w:val="single" w:color="auto" w:sz="4" w:space="0"/>
            </w:tcBorders>
            <w:vAlign w:val="center"/>
          </w:tcPr>
          <w:p w14:paraId="549ECCC9">
            <w:pPr>
              <w:widowControl/>
              <w:jc w:val="center"/>
              <w:rPr>
                <w:rFonts w:ascii="Times New Roman" w:hAnsi="Times New Roman"/>
                <w:spacing w:val="-2"/>
                <w:kern w:val="0"/>
                <w:szCs w:val="21"/>
              </w:rPr>
            </w:pPr>
            <w:r>
              <w:rPr>
                <w:rFonts w:ascii="Times New Roman" w:hAnsi="Times New Roman"/>
                <w:spacing w:val="-2"/>
                <w:kern w:val="0"/>
                <w:szCs w:val="21"/>
              </w:rPr>
              <w:t>除尘系统</w:t>
            </w:r>
          </w:p>
        </w:tc>
        <w:tc>
          <w:tcPr>
            <w:tcW w:w="3061" w:type="dxa"/>
            <w:tcBorders>
              <w:left w:val="single" w:color="auto" w:sz="4" w:space="0"/>
            </w:tcBorders>
            <w:vAlign w:val="center"/>
          </w:tcPr>
          <w:p w14:paraId="6B231B3A">
            <w:pPr>
              <w:jc w:val="center"/>
              <w:rPr>
                <w:rFonts w:ascii="Times New Roman" w:hAnsi="Times New Roman"/>
                <w:spacing w:val="-2"/>
                <w:kern w:val="0"/>
                <w:szCs w:val="21"/>
              </w:rPr>
            </w:pPr>
            <w:r>
              <w:rPr>
                <w:rFonts w:ascii="Times New Roman" w:hAnsi="Times New Roman"/>
                <w:spacing w:val="-2"/>
                <w:kern w:val="0"/>
                <w:szCs w:val="21"/>
              </w:rPr>
              <w:t>烘干炉烟气脉冲袋式除尘系统</w:t>
            </w:r>
          </w:p>
        </w:tc>
        <w:tc>
          <w:tcPr>
            <w:tcW w:w="1933" w:type="dxa"/>
            <w:tcBorders>
              <w:right w:val="single" w:color="auto" w:sz="4" w:space="0"/>
            </w:tcBorders>
            <w:vAlign w:val="center"/>
          </w:tcPr>
          <w:p w14:paraId="3CD8629A">
            <w:pPr>
              <w:widowControl/>
              <w:jc w:val="center"/>
              <w:rPr>
                <w:rFonts w:ascii="Times New Roman" w:hAnsi="Times New Roman"/>
                <w:spacing w:val="-2"/>
                <w:kern w:val="0"/>
                <w:szCs w:val="21"/>
                <w:u w:val="single"/>
              </w:rPr>
            </w:pPr>
            <w:r>
              <w:rPr>
                <w:rFonts w:hint="eastAsia" w:ascii="Times New Roman" w:hAnsi="Times New Roman"/>
                <w:spacing w:val="-2"/>
                <w:kern w:val="0"/>
                <w:szCs w:val="21"/>
                <w:u w:val="single"/>
              </w:rPr>
              <w:t>3</w:t>
            </w:r>
            <w:r>
              <w:rPr>
                <w:rFonts w:ascii="Times New Roman" w:hAnsi="Times New Roman"/>
                <w:spacing w:val="-2"/>
                <w:kern w:val="0"/>
                <w:szCs w:val="21"/>
                <w:u w:val="single"/>
              </w:rPr>
              <w:t>000m</w:t>
            </w:r>
            <w:r>
              <w:rPr>
                <w:rFonts w:ascii="Times New Roman" w:hAnsi="Times New Roman"/>
                <w:spacing w:val="-2"/>
                <w:kern w:val="0"/>
                <w:szCs w:val="21"/>
                <w:u w:val="single"/>
                <w:vertAlign w:val="superscript"/>
              </w:rPr>
              <w:t>3</w:t>
            </w:r>
            <w:r>
              <w:rPr>
                <w:rFonts w:ascii="Times New Roman" w:hAnsi="Times New Roman"/>
                <w:spacing w:val="-2"/>
                <w:kern w:val="0"/>
                <w:szCs w:val="21"/>
                <w:u w:val="single"/>
              </w:rPr>
              <w:t>/h</w:t>
            </w:r>
          </w:p>
        </w:tc>
        <w:tc>
          <w:tcPr>
            <w:tcW w:w="1105" w:type="dxa"/>
            <w:tcBorders>
              <w:left w:val="single" w:color="auto" w:sz="4" w:space="0"/>
            </w:tcBorders>
            <w:vAlign w:val="center"/>
          </w:tcPr>
          <w:p w14:paraId="544B8263">
            <w:pPr>
              <w:widowControl/>
              <w:jc w:val="center"/>
              <w:rPr>
                <w:rFonts w:ascii="Times New Roman" w:hAnsi="Times New Roman"/>
                <w:spacing w:val="-2"/>
                <w:kern w:val="0"/>
                <w:szCs w:val="21"/>
              </w:rPr>
            </w:pPr>
            <w:r>
              <w:rPr>
                <w:rFonts w:ascii="Times New Roman" w:hAnsi="Times New Roman"/>
                <w:spacing w:val="-2"/>
                <w:kern w:val="0"/>
                <w:szCs w:val="21"/>
              </w:rPr>
              <w:t>1</w:t>
            </w:r>
          </w:p>
        </w:tc>
        <w:tc>
          <w:tcPr>
            <w:tcW w:w="929" w:type="dxa"/>
            <w:vAlign w:val="center"/>
          </w:tcPr>
          <w:p w14:paraId="6FD60500">
            <w:pPr>
              <w:jc w:val="center"/>
              <w:rPr>
                <w:rFonts w:ascii="Times New Roman" w:hAnsi="Times New Roman"/>
                <w:szCs w:val="21"/>
              </w:rPr>
            </w:pPr>
            <w:r>
              <w:rPr>
                <w:rFonts w:ascii="Times New Roman" w:hAnsi="Times New Roman"/>
                <w:szCs w:val="21"/>
              </w:rPr>
              <w:t>套</w:t>
            </w:r>
          </w:p>
        </w:tc>
      </w:tr>
      <w:tr w14:paraId="7865EF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95" w:type="dxa"/>
            <w:vAlign w:val="center"/>
          </w:tcPr>
          <w:p w14:paraId="66F05C00">
            <w:pPr>
              <w:widowControl/>
              <w:jc w:val="center"/>
              <w:rPr>
                <w:rFonts w:ascii="Times New Roman" w:hAnsi="Times New Roman"/>
                <w:spacing w:val="-2"/>
                <w:kern w:val="0"/>
                <w:szCs w:val="21"/>
              </w:rPr>
            </w:pPr>
            <w:r>
              <w:rPr>
                <w:rFonts w:ascii="Times New Roman" w:hAnsi="Times New Roman"/>
                <w:spacing w:val="-2"/>
                <w:kern w:val="0"/>
                <w:szCs w:val="21"/>
              </w:rPr>
              <w:t>9</w:t>
            </w:r>
          </w:p>
        </w:tc>
        <w:tc>
          <w:tcPr>
            <w:tcW w:w="1217" w:type="dxa"/>
            <w:vMerge w:val="continue"/>
            <w:tcBorders>
              <w:right w:val="single" w:color="auto" w:sz="4" w:space="0"/>
            </w:tcBorders>
            <w:vAlign w:val="center"/>
          </w:tcPr>
          <w:p w14:paraId="2E06561A">
            <w:pPr>
              <w:widowControl/>
              <w:jc w:val="center"/>
              <w:rPr>
                <w:rFonts w:ascii="Times New Roman" w:hAnsi="Times New Roman"/>
                <w:spacing w:val="-2"/>
                <w:kern w:val="0"/>
                <w:szCs w:val="21"/>
              </w:rPr>
            </w:pPr>
          </w:p>
        </w:tc>
        <w:tc>
          <w:tcPr>
            <w:tcW w:w="3061" w:type="dxa"/>
            <w:tcBorders>
              <w:left w:val="single" w:color="auto" w:sz="4" w:space="0"/>
            </w:tcBorders>
            <w:vAlign w:val="center"/>
          </w:tcPr>
          <w:p w14:paraId="4421EA2D">
            <w:pPr>
              <w:jc w:val="center"/>
              <w:rPr>
                <w:rFonts w:ascii="Times New Roman" w:hAnsi="Times New Roman"/>
                <w:spacing w:val="-2"/>
                <w:kern w:val="0"/>
                <w:szCs w:val="21"/>
              </w:rPr>
            </w:pPr>
            <w:r>
              <w:rPr>
                <w:rFonts w:ascii="Times New Roman" w:hAnsi="Times New Roman"/>
                <w:spacing w:val="-2"/>
                <w:kern w:val="0"/>
                <w:szCs w:val="21"/>
              </w:rPr>
              <w:t>车间粉尘脉冲袋式除尘系统</w:t>
            </w:r>
          </w:p>
        </w:tc>
        <w:tc>
          <w:tcPr>
            <w:tcW w:w="1933" w:type="dxa"/>
            <w:tcBorders>
              <w:right w:val="single" w:color="auto" w:sz="4" w:space="0"/>
            </w:tcBorders>
            <w:vAlign w:val="center"/>
          </w:tcPr>
          <w:p w14:paraId="6421AC2B">
            <w:pPr>
              <w:widowControl/>
              <w:jc w:val="center"/>
              <w:rPr>
                <w:rFonts w:ascii="Times New Roman" w:hAnsi="Times New Roman"/>
                <w:spacing w:val="-2"/>
                <w:kern w:val="0"/>
                <w:szCs w:val="21"/>
                <w:u w:val="single"/>
              </w:rPr>
            </w:pPr>
            <w:r>
              <w:rPr>
                <w:rFonts w:hint="eastAsia" w:ascii="Times New Roman" w:hAnsi="Times New Roman"/>
                <w:spacing w:val="-2"/>
                <w:kern w:val="0"/>
                <w:szCs w:val="21"/>
                <w:u w:val="single"/>
              </w:rPr>
              <w:t>8</w:t>
            </w:r>
            <w:r>
              <w:rPr>
                <w:rFonts w:ascii="Times New Roman" w:hAnsi="Times New Roman"/>
                <w:spacing w:val="-2"/>
                <w:kern w:val="0"/>
                <w:szCs w:val="21"/>
                <w:u w:val="single"/>
              </w:rPr>
              <w:t>000m</w:t>
            </w:r>
            <w:r>
              <w:rPr>
                <w:rFonts w:ascii="Times New Roman" w:hAnsi="Times New Roman"/>
                <w:spacing w:val="-2"/>
                <w:kern w:val="0"/>
                <w:szCs w:val="21"/>
                <w:u w:val="single"/>
                <w:vertAlign w:val="superscript"/>
              </w:rPr>
              <w:t>3</w:t>
            </w:r>
            <w:r>
              <w:rPr>
                <w:rFonts w:ascii="Times New Roman" w:hAnsi="Times New Roman"/>
                <w:spacing w:val="-2"/>
                <w:kern w:val="0"/>
                <w:szCs w:val="21"/>
                <w:u w:val="single"/>
              </w:rPr>
              <w:t>/h</w:t>
            </w:r>
          </w:p>
        </w:tc>
        <w:tc>
          <w:tcPr>
            <w:tcW w:w="1105" w:type="dxa"/>
            <w:tcBorders>
              <w:left w:val="single" w:color="auto" w:sz="4" w:space="0"/>
            </w:tcBorders>
            <w:vAlign w:val="center"/>
          </w:tcPr>
          <w:p w14:paraId="7AD6D611">
            <w:pPr>
              <w:widowControl/>
              <w:jc w:val="center"/>
              <w:rPr>
                <w:rFonts w:ascii="Times New Roman" w:hAnsi="Times New Roman"/>
                <w:spacing w:val="-2"/>
                <w:kern w:val="0"/>
                <w:szCs w:val="21"/>
              </w:rPr>
            </w:pPr>
            <w:r>
              <w:rPr>
                <w:rFonts w:hint="eastAsia" w:ascii="Times New Roman" w:hAnsi="Times New Roman"/>
                <w:spacing w:val="-2"/>
                <w:kern w:val="0"/>
                <w:szCs w:val="21"/>
              </w:rPr>
              <w:t>2</w:t>
            </w:r>
          </w:p>
        </w:tc>
        <w:tc>
          <w:tcPr>
            <w:tcW w:w="929" w:type="dxa"/>
            <w:vAlign w:val="center"/>
          </w:tcPr>
          <w:p w14:paraId="1EDF5253">
            <w:pPr>
              <w:jc w:val="center"/>
              <w:rPr>
                <w:rFonts w:ascii="Times New Roman" w:hAnsi="Times New Roman"/>
                <w:szCs w:val="21"/>
              </w:rPr>
            </w:pPr>
            <w:r>
              <w:rPr>
                <w:rFonts w:ascii="Times New Roman" w:hAnsi="Times New Roman"/>
                <w:szCs w:val="21"/>
              </w:rPr>
              <w:t>套</w:t>
            </w:r>
          </w:p>
        </w:tc>
      </w:tr>
      <w:tr w14:paraId="458D86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95" w:type="dxa"/>
            <w:vAlign w:val="center"/>
          </w:tcPr>
          <w:p w14:paraId="79994850">
            <w:pPr>
              <w:widowControl/>
              <w:jc w:val="center"/>
              <w:rPr>
                <w:rFonts w:ascii="Times New Roman" w:hAnsi="Times New Roman"/>
                <w:spacing w:val="-2"/>
                <w:kern w:val="0"/>
                <w:szCs w:val="21"/>
              </w:rPr>
            </w:pPr>
            <w:r>
              <w:rPr>
                <w:rFonts w:ascii="Times New Roman" w:hAnsi="Times New Roman"/>
                <w:spacing w:val="-2"/>
                <w:kern w:val="0"/>
                <w:szCs w:val="21"/>
              </w:rPr>
              <w:t>10</w:t>
            </w:r>
          </w:p>
        </w:tc>
        <w:tc>
          <w:tcPr>
            <w:tcW w:w="1217" w:type="dxa"/>
            <w:tcBorders>
              <w:right w:val="single" w:color="auto" w:sz="4" w:space="0"/>
            </w:tcBorders>
            <w:vAlign w:val="center"/>
          </w:tcPr>
          <w:p w14:paraId="087816E2">
            <w:pPr>
              <w:widowControl/>
              <w:jc w:val="center"/>
              <w:rPr>
                <w:rFonts w:ascii="Times New Roman" w:hAnsi="Times New Roman"/>
                <w:spacing w:val="-2"/>
                <w:kern w:val="0"/>
                <w:szCs w:val="21"/>
              </w:rPr>
            </w:pPr>
            <w:r>
              <w:rPr>
                <w:rFonts w:ascii="Times New Roman" w:hAnsi="Times New Roman"/>
                <w:spacing w:val="-2"/>
                <w:kern w:val="0"/>
                <w:szCs w:val="21"/>
              </w:rPr>
              <w:t>控制系统</w:t>
            </w:r>
          </w:p>
        </w:tc>
        <w:tc>
          <w:tcPr>
            <w:tcW w:w="3061" w:type="dxa"/>
            <w:tcBorders>
              <w:left w:val="single" w:color="auto" w:sz="4" w:space="0"/>
            </w:tcBorders>
            <w:vAlign w:val="center"/>
          </w:tcPr>
          <w:p w14:paraId="02128C49">
            <w:pPr>
              <w:jc w:val="center"/>
              <w:rPr>
                <w:rFonts w:ascii="Times New Roman" w:hAnsi="Times New Roman"/>
                <w:spacing w:val="-2"/>
                <w:kern w:val="0"/>
                <w:szCs w:val="21"/>
              </w:rPr>
            </w:pPr>
            <w:r>
              <w:rPr>
                <w:rFonts w:ascii="Times New Roman" w:hAnsi="Times New Roman"/>
                <w:spacing w:val="-2"/>
                <w:kern w:val="0"/>
                <w:szCs w:val="21"/>
              </w:rPr>
              <w:t>电控柜</w:t>
            </w:r>
          </w:p>
        </w:tc>
        <w:tc>
          <w:tcPr>
            <w:tcW w:w="1933" w:type="dxa"/>
            <w:tcBorders>
              <w:right w:val="single" w:color="auto" w:sz="4" w:space="0"/>
            </w:tcBorders>
            <w:vAlign w:val="center"/>
          </w:tcPr>
          <w:p w14:paraId="1C9C7821">
            <w:pPr>
              <w:widowControl/>
              <w:jc w:val="center"/>
              <w:rPr>
                <w:rFonts w:ascii="Times New Roman" w:hAnsi="Times New Roman"/>
                <w:spacing w:val="-2"/>
                <w:kern w:val="0"/>
                <w:szCs w:val="21"/>
              </w:rPr>
            </w:pPr>
            <w:r>
              <w:rPr>
                <w:rFonts w:hint="eastAsia" w:ascii="Times New Roman" w:hAnsi="Times New Roman"/>
                <w:spacing w:val="-2"/>
                <w:kern w:val="0"/>
                <w:szCs w:val="21"/>
              </w:rPr>
              <w:t>/</w:t>
            </w:r>
          </w:p>
        </w:tc>
        <w:tc>
          <w:tcPr>
            <w:tcW w:w="1105" w:type="dxa"/>
            <w:tcBorders>
              <w:left w:val="single" w:color="auto" w:sz="4" w:space="0"/>
            </w:tcBorders>
            <w:vAlign w:val="center"/>
          </w:tcPr>
          <w:p w14:paraId="39B958E4">
            <w:pPr>
              <w:widowControl/>
              <w:jc w:val="center"/>
              <w:rPr>
                <w:rFonts w:ascii="Times New Roman" w:hAnsi="Times New Roman"/>
                <w:spacing w:val="-2"/>
                <w:kern w:val="0"/>
                <w:szCs w:val="21"/>
              </w:rPr>
            </w:pPr>
            <w:r>
              <w:rPr>
                <w:rFonts w:ascii="Times New Roman" w:hAnsi="Times New Roman"/>
                <w:spacing w:val="-2"/>
                <w:kern w:val="0"/>
                <w:szCs w:val="21"/>
              </w:rPr>
              <w:t>3</w:t>
            </w:r>
          </w:p>
        </w:tc>
        <w:tc>
          <w:tcPr>
            <w:tcW w:w="929" w:type="dxa"/>
            <w:vAlign w:val="center"/>
          </w:tcPr>
          <w:p w14:paraId="1693F793">
            <w:pPr>
              <w:jc w:val="center"/>
              <w:rPr>
                <w:rFonts w:ascii="Times New Roman" w:hAnsi="Times New Roman"/>
                <w:szCs w:val="21"/>
              </w:rPr>
            </w:pPr>
            <w:r>
              <w:rPr>
                <w:rFonts w:ascii="Times New Roman" w:hAnsi="Times New Roman"/>
                <w:szCs w:val="21"/>
              </w:rPr>
              <w:t>套</w:t>
            </w:r>
          </w:p>
        </w:tc>
      </w:tr>
    </w:tbl>
    <w:p w14:paraId="61710D92">
      <w:pPr>
        <w:spacing w:line="360" w:lineRule="auto"/>
        <w:ind w:firstLine="420" w:firstLineChars="200"/>
        <w:rPr>
          <w:rFonts w:ascii="Times New Roman" w:hAnsi="Times New Roman"/>
        </w:rPr>
      </w:pPr>
    </w:p>
    <w:p w14:paraId="49227527">
      <w:pPr>
        <w:pStyle w:val="6"/>
      </w:pPr>
      <w:r>
        <w:t>公用工程</w:t>
      </w:r>
    </w:p>
    <w:p w14:paraId="49F52E36">
      <w:pPr>
        <w:spacing w:line="360" w:lineRule="auto"/>
        <w:ind w:firstLine="480" w:firstLineChars="200"/>
        <w:rPr>
          <w:rFonts w:ascii="Times New Roman" w:hAnsi="Times New Roman"/>
          <w:sz w:val="24"/>
          <w:szCs w:val="24"/>
        </w:rPr>
      </w:pPr>
      <w:r>
        <w:rPr>
          <w:rFonts w:ascii="Times New Roman" w:hAnsi="Times New Roman"/>
          <w:sz w:val="24"/>
          <w:szCs w:val="24"/>
        </w:rPr>
        <w:t>（1）供电</w:t>
      </w:r>
    </w:p>
    <w:p w14:paraId="5DFAADAC">
      <w:pPr>
        <w:spacing w:line="360" w:lineRule="auto"/>
        <w:ind w:firstLine="480" w:firstLineChars="200"/>
        <w:rPr>
          <w:rFonts w:ascii="Times New Roman" w:hAnsi="Times New Roman"/>
          <w:sz w:val="24"/>
          <w:szCs w:val="24"/>
        </w:rPr>
      </w:pPr>
      <w:r>
        <w:rPr>
          <w:rFonts w:ascii="Times New Roman" w:hAnsi="Times New Roman"/>
          <w:sz w:val="24"/>
          <w:szCs w:val="24"/>
        </w:rPr>
        <w:t>本项目采用市政供电，依托广西钦州保税区创大冷链物流公司进口汽车仓储物流园已建成的供电设施，由广西钦州保税区创大冷链物流公司统一规划接入市政电网。</w:t>
      </w:r>
    </w:p>
    <w:p w14:paraId="74E59A70">
      <w:pPr>
        <w:spacing w:line="360" w:lineRule="auto"/>
        <w:ind w:firstLine="480" w:firstLineChars="200"/>
        <w:rPr>
          <w:rFonts w:ascii="Times New Roman" w:hAnsi="Times New Roman"/>
          <w:sz w:val="24"/>
          <w:szCs w:val="24"/>
        </w:rPr>
      </w:pPr>
      <w:r>
        <w:rPr>
          <w:rFonts w:ascii="Times New Roman" w:hAnsi="Times New Roman"/>
          <w:sz w:val="24"/>
          <w:szCs w:val="24"/>
        </w:rPr>
        <w:t>（2）给水</w:t>
      </w:r>
    </w:p>
    <w:p w14:paraId="2762BDAA">
      <w:pPr>
        <w:spacing w:line="360" w:lineRule="auto"/>
        <w:ind w:firstLine="480" w:firstLineChars="200"/>
        <w:rPr>
          <w:rFonts w:ascii="Times New Roman" w:hAnsi="Times New Roman"/>
          <w:sz w:val="24"/>
          <w:szCs w:val="24"/>
        </w:rPr>
      </w:pPr>
      <w:r>
        <w:rPr>
          <w:rFonts w:ascii="Times New Roman" w:hAnsi="Times New Roman"/>
          <w:sz w:val="24"/>
          <w:szCs w:val="24"/>
        </w:rPr>
        <w:t>项目供水设施依托广西钦州保税区创大冷链物流公司进口汽车仓储物流园，用水由广西钦州保税区创大冷链物流公司统一规划接入市政给水管网，本项目用水均由市政给水管网供给。</w:t>
      </w:r>
    </w:p>
    <w:p w14:paraId="1212E9B8">
      <w:pPr>
        <w:spacing w:line="360" w:lineRule="auto"/>
        <w:ind w:firstLine="480" w:firstLineChars="200"/>
        <w:rPr>
          <w:rFonts w:ascii="Times New Roman" w:hAnsi="Times New Roman"/>
          <w:sz w:val="24"/>
          <w:szCs w:val="24"/>
        </w:rPr>
      </w:pPr>
      <w:r>
        <w:rPr>
          <w:rFonts w:ascii="Times New Roman" w:hAnsi="Times New Roman"/>
          <w:sz w:val="24"/>
          <w:szCs w:val="24"/>
        </w:rPr>
        <w:t>本项目采用干式磁选工艺对原料进行分选加工，原料毛矿无需进行清洗，生产过程中无需用水；本项目用水主要为员工生活用水，</w:t>
      </w:r>
      <w:r>
        <w:rPr>
          <w:rFonts w:hint="eastAsia" w:ascii="Times New Roman" w:hAnsi="Times New Roman"/>
          <w:sz w:val="24"/>
          <w:szCs w:val="24"/>
        </w:rPr>
        <w:t>供</w:t>
      </w:r>
      <w:r>
        <w:rPr>
          <w:rFonts w:ascii="Times New Roman" w:hAnsi="Times New Roman"/>
          <w:sz w:val="24"/>
          <w:szCs w:val="24"/>
        </w:rPr>
        <w:t>水可以满足本项目生活及生产用水需求。</w:t>
      </w:r>
    </w:p>
    <w:p w14:paraId="7A9CEBD7">
      <w:pPr>
        <w:spacing w:line="360" w:lineRule="auto"/>
        <w:ind w:firstLine="480" w:firstLineChars="200"/>
        <w:rPr>
          <w:rFonts w:ascii="Times New Roman" w:hAnsi="Times New Roman"/>
          <w:sz w:val="24"/>
          <w:szCs w:val="24"/>
        </w:rPr>
      </w:pPr>
      <w:r>
        <w:rPr>
          <w:rFonts w:ascii="Times New Roman" w:hAnsi="Times New Roman"/>
          <w:sz w:val="24"/>
          <w:szCs w:val="24"/>
        </w:rPr>
        <w:t>（3）排水</w:t>
      </w:r>
    </w:p>
    <w:p w14:paraId="7110998E">
      <w:pPr>
        <w:spacing w:line="360" w:lineRule="auto"/>
        <w:ind w:firstLine="480" w:firstLineChars="200"/>
        <w:rPr>
          <w:rFonts w:ascii="Times New Roman" w:hAnsi="Times New Roman"/>
          <w:sz w:val="24"/>
          <w:szCs w:val="24"/>
        </w:rPr>
      </w:pPr>
      <w:r>
        <w:rPr>
          <w:rFonts w:ascii="Times New Roman" w:hAnsi="Times New Roman"/>
          <w:sz w:val="24"/>
          <w:szCs w:val="24"/>
        </w:rPr>
        <w:t>本项目排水系统采用雨污分流制。</w:t>
      </w:r>
    </w:p>
    <w:p w14:paraId="24DFBF91">
      <w:pPr>
        <w:spacing w:line="360" w:lineRule="auto"/>
        <w:ind w:firstLine="480" w:firstLineChars="200"/>
        <w:rPr>
          <w:rFonts w:ascii="Times New Roman" w:hAnsi="Times New Roman"/>
          <w:sz w:val="24"/>
          <w:szCs w:val="24"/>
        </w:rPr>
      </w:pPr>
      <w:r>
        <w:rPr>
          <w:rFonts w:ascii="Times New Roman" w:hAnsi="Times New Roman"/>
          <w:sz w:val="24"/>
          <w:szCs w:val="24"/>
        </w:rPr>
        <w:t>雨水：项目生产线及物料堆放用地均布置在车间内，无新增室外建筑物。项目用地内的雨水主要为车间顶棚雨水，车间顶棚雨水依托广西钦州保税区创大冷链物流公司的3号仓库屋面雨水系统收集，屋面雨水汇入创大进口汽车仓储物流园雨水系统后排</w:t>
      </w:r>
      <w:r>
        <w:rPr>
          <w:rFonts w:hint="eastAsia" w:ascii="Times New Roman" w:hAnsi="Times New Roman"/>
          <w:sz w:val="24"/>
          <w:szCs w:val="24"/>
        </w:rPr>
        <w:t>入市</w:t>
      </w:r>
      <w:r>
        <w:rPr>
          <w:rFonts w:ascii="Times New Roman" w:hAnsi="Times New Roman"/>
          <w:sz w:val="24"/>
          <w:szCs w:val="24"/>
        </w:rPr>
        <w:t>政雨水管网。</w:t>
      </w:r>
    </w:p>
    <w:p w14:paraId="36C4F591">
      <w:pPr>
        <w:spacing w:line="360" w:lineRule="auto"/>
        <w:ind w:firstLine="480" w:firstLineChars="200"/>
        <w:rPr>
          <w:rFonts w:ascii="Times New Roman" w:hAnsi="Times New Roman"/>
          <w:sz w:val="24"/>
          <w:szCs w:val="24"/>
        </w:rPr>
      </w:pPr>
      <w:r>
        <w:rPr>
          <w:rFonts w:ascii="Times New Roman" w:hAnsi="Times New Roman"/>
          <w:sz w:val="24"/>
          <w:szCs w:val="24"/>
        </w:rPr>
        <w:t>排水：项目生产过程中无需用水，毛矿含水率不高，烘干后的水分蒸发到空气中，并且原料均存放于厂房内，在堆存过程中也不产生渗滤液。项目运营期的用水主要是工作人员工作期间的生活用水。项目劳动定员10人，员工均不在厂内住宿，厂内不设置食堂宿舍等，生活用水参照《室外排水设计规范》（GB50014-2006），办公额定用水量按每人每天用水50L计算，年工作300天，生活用水量为150m</w:t>
      </w:r>
      <w:r>
        <w:rPr>
          <w:rFonts w:ascii="Times New Roman" w:hAnsi="Times New Roman"/>
          <w:sz w:val="24"/>
          <w:szCs w:val="24"/>
          <w:vertAlign w:val="superscript"/>
        </w:rPr>
        <w:t>3</w:t>
      </w:r>
      <w:r>
        <w:rPr>
          <w:rFonts w:ascii="Times New Roman" w:hAnsi="Times New Roman"/>
          <w:sz w:val="24"/>
          <w:szCs w:val="24"/>
        </w:rPr>
        <w:t>/a。生活污水量按用水量的80%计，则员工生活污水量为120m</w:t>
      </w:r>
      <w:r>
        <w:rPr>
          <w:rFonts w:ascii="Times New Roman" w:hAnsi="Times New Roman"/>
          <w:sz w:val="24"/>
          <w:szCs w:val="24"/>
          <w:vertAlign w:val="superscript"/>
        </w:rPr>
        <w:t>3</w:t>
      </w:r>
      <w:r>
        <w:rPr>
          <w:rFonts w:ascii="Times New Roman" w:hAnsi="Times New Roman"/>
          <w:sz w:val="24"/>
          <w:szCs w:val="24"/>
        </w:rPr>
        <w:t>/a，主要污染物为COD、BOD</w:t>
      </w:r>
      <w:r>
        <w:rPr>
          <w:rFonts w:ascii="Times New Roman" w:hAnsi="Times New Roman"/>
          <w:sz w:val="24"/>
          <w:szCs w:val="24"/>
          <w:vertAlign w:val="subscript"/>
        </w:rPr>
        <w:t>5</w:t>
      </w:r>
      <w:r>
        <w:rPr>
          <w:rFonts w:ascii="Times New Roman" w:hAnsi="Times New Roman"/>
          <w:sz w:val="24"/>
          <w:szCs w:val="24"/>
        </w:rPr>
        <w:t>、SS、NH</w:t>
      </w:r>
      <w:r>
        <w:rPr>
          <w:rFonts w:ascii="Times New Roman" w:hAnsi="Times New Roman"/>
          <w:sz w:val="24"/>
          <w:szCs w:val="24"/>
          <w:vertAlign w:val="subscript"/>
        </w:rPr>
        <w:t>3</w:t>
      </w:r>
      <w:r>
        <w:rPr>
          <w:rFonts w:ascii="Times New Roman" w:hAnsi="Times New Roman"/>
          <w:sz w:val="24"/>
          <w:szCs w:val="24"/>
        </w:rPr>
        <w:t>-N等。生活污水采用化粪池处理达到《污水综合排放标准》（GB8978-1996）三级标准后排入市政污水管网送钦州港大榄坪污水处理厂进一步处理。</w:t>
      </w:r>
    </w:p>
    <w:p w14:paraId="3D0D97FD">
      <w:pPr>
        <w:spacing w:line="360" w:lineRule="auto"/>
        <w:ind w:firstLine="480" w:firstLineChars="200"/>
        <w:rPr>
          <w:rFonts w:ascii="Times New Roman" w:hAnsi="Times New Roman"/>
          <w:sz w:val="24"/>
          <w:szCs w:val="24"/>
        </w:rPr>
      </w:pPr>
      <w:r>
        <w:rPr>
          <w:rFonts w:ascii="Times New Roman" w:hAnsi="Times New Roman"/>
          <w:sz w:val="24"/>
          <w:szCs w:val="24"/>
        </w:rPr>
        <w:t>（4）供热</w:t>
      </w:r>
    </w:p>
    <w:p w14:paraId="4D8C965B">
      <w:pPr>
        <w:spacing w:line="360" w:lineRule="auto"/>
        <w:ind w:firstLine="480" w:firstLineChars="200"/>
        <w:rPr>
          <w:rFonts w:ascii="Times New Roman" w:hAnsi="Times New Roman"/>
          <w:u w:val="single"/>
        </w:rPr>
      </w:pPr>
      <w:r>
        <w:rPr>
          <w:rFonts w:ascii="Times New Roman" w:hAnsi="Times New Roman"/>
          <w:sz w:val="24"/>
          <w:szCs w:val="24"/>
        </w:rPr>
        <w:t>项目生产过程中需要对含水率不符合磁选要求的原料毛矿进行烘干，项目根据实际生产所需配套一台生物质燃料烘干炉，燃料为</w:t>
      </w:r>
      <w:r>
        <w:rPr>
          <w:rFonts w:hint="eastAsia" w:ascii="Times New Roman" w:hAnsi="Times New Roman"/>
          <w:spacing w:val="-2"/>
          <w:kern w:val="0"/>
          <w:sz w:val="24"/>
          <w:szCs w:val="24"/>
        </w:rPr>
        <w:t>成型</w:t>
      </w:r>
      <w:r>
        <w:rPr>
          <w:rFonts w:ascii="Times New Roman" w:hAnsi="Times New Roman"/>
          <w:sz w:val="24"/>
          <w:szCs w:val="24"/>
        </w:rPr>
        <w:t>生物质颗粒。烘干炉全年运行天数300d，每天运行16h，年运行时间4800h，烘干工艺采用间接烘干。</w:t>
      </w:r>
    </w:p>
    <w:p w14:paraId="25710BE9">
      <w:pPr>
        <w:pStyle w:val="6"/>
      </w:pPr>
      <w:r>
        <w:t>劳动定员及生产制度</w:t>
      </w:r>
    </w:p>
    <w:p w14:paraId="7CE29DDE">
      <w:pPr>
        <w:spacing w:line="360" w:lineRule="auto"/>
        <w:ind w:firstLine="480" w:firstLineChars="200"/>
        <w:rPr>
          <w:rFonts w:ascii="Times New Roman" w:hAnsi="Times New Roman"/>
          <w:sz w:val="24"/>
          <w:szCs w:val="24"/>
        </w:rPr>
      </w:pPr>
      <w:r>
        <w:rPr>
          <w:rFonts w:ascii="Times New Roman" w:hAnsi="Times New Roman"/>
          <w:sz w:val="24"/>
          <w:szCs w:val="24"/>
        </w:rPr>
        <w:t>劳动定员及工作制度：运营期劳动定员10人，年生产300天，每天2班，每班8小时。</w:t>
      </w:r>
    </w:p>
    <w:bookmarkEnd w:id="86"/>
    <w:p w14:paraId="1CCF3EA5">
      <w:pPr>
        <w:pStyle w:val="5"/>
      </w:pPr>
      <w:bookmarkStart w:id="88" w:name="_Toc29323"/>
      <w:r>
        <w:t>工程分析</w:t>
      </w:r>
      <w:bookmarkEnd w:id="88"/>
    </w:p>
    <w:p w14:paraId="55A2F01F">
      <w:pPr>
        <w:pStyle w:val="6"/>
      </w:pPr>
      <w:r>
        <w:t>项目生产工艺流程及产污环节分析</w:t>
      </w:r>
    </w:p>
    <w:p w14:paraId="66E2A73B">
      <w:pPr>
        <w:snapToGrid w:val="0"/>
        <w:spacing w:line="360" w:lineRule="auto"/>
        <w:ind w:firstLine="480" w:firstLineChars="200"/>
        <w:rPr>
          <w:rFonts w:ascii="Times New Roman" w:hAnsi="Times New Roman"/>
          <w:sz w:val="24"/>
          <w:szCs w:val="24"/>
        </w:rPr>
      </w:pPr>
      <w:bookmarkStart w:id="89" w:name="_Hlk50052536"/>
      <w:r>
        <w:rPr>
          <w:rFonts w:ascii="Times New Roman" w:hAnsi="Times New Roman"/>
          <w:sz w:val="24"/>
          <w:szCs w:val="24"/>
        </w:rPr>
        <w:t>本项目采用</w:t>
      </w:r>
      <w:r>
        <w:rPr>
          <w:rFonts w:hint="eastAsia" w:ascii="Times New Roman" w:hAnsi="Times New Roman"/>
          <w:sz w:val="24"/>
          <w:szCs w:val="24"/>
        </w:rPr>
        <w:t>干式</w:t>
      </w:r>
      <w:r>
        <w:rPr>
          <w:rFonts w:ascii="Times New Roman" w:hAnsi="Times New Roman"/>
          <w:sz w:val="24"/>
          <w:szCs w:val="24"/>
        </w:rPr>
        <w:t>磁选工艺，将钛铁矿毛矿进行加工</w:t>
      </w:r>
      <w:r>
        <w:rPr>
          <w:rFonts w:hint="eastAsia" w:ascii="Times New Roman" w:hAnsi="Times New Roman"/>
          <w:sz w:val="24"/>
          <w:szCs w:val="24"/>
        </w:rPr>
        <w:t>分选</w:t>
      </w:r>
      <w:r>
        <w:rPr>
          <w:rFonts w:ascii="Times New Roman" w:hAnsi="Times New Roman"/>
          <w:sz w:val="24"/>
          <w:szCs w:val="24"/>
        </w:rPr>
        <w:t>，分选出品位更高的钛铁精矿。</w:t>
      </w:r>
      <w:r>
        <w:rPr>
          <w:rFonts w:hint="eastAsia" w:ascii="Times New Roman" w:hAnsi="Times New Roman"/>
          <w:sz w:val="24"/>
          <w:szCs w:val="24"/>
        </w:rPr>
        <w:t>磁选工艺对</w:t>
      </w:r>
      <w:r>
        <w:rPr>
          <w:rFonts w:ascii="Times New Roman" w:hAnsi="Times New Roman"/>
          <w:sz w:val="24"/>
          <w:szCs w:val="24"/>
        </w:rPr>
        <w:t>毛矿</w:t>
      </w:r>
      <w:r>
        <w:rPr>
          <w:rFonts w:hint="eastAsia" w:ascii="Times New Roman" w:hAnsi="Times New Roman"/>
          <w:sz w:val="24"/>
          <w:szCs w:val="24"/>
        </w:rPr>
        <w:t>的</w:t>
      </w:r>
      <w:r>
        <w:rPr>
          <w:rFonts w:ascii="Times New Roman" w:hAnsi="Times New Roman"/>
          <w:sz w:val="24"/>
          <w:szCs w:val="24"/>
        </w:rPr>
        <w:t>含水率</w:t>
      </w:r>
      <w:r>
        <w:rPr>
          <w:rFonts w:hint="eastAsia" w:ascii="Times New Roman" w:hAnsi="Times New Roman"/>
          <w:sz w:val="24"/>
          <w:szCs w:val="24"/>
        </w:rPr>
        <w:t>有一定的要求</w:t>
      </w:r>
      <w:r>
        <w:rPr>
          <w:rFonts w:ascii="Times New Roman" w:hAnsi="Times New Roman"/>
          <w:sz w:val="24"/>
          <w:szCs w:val="24"/>
        </w:rPr>
        <w:t>，毛矿进行磁选前需要进行</w:t>
      </w:r>
      <w:r>
        <w:rPr>
          <w:rFonts w:hint="eastAsia" w:ascii="Times New Roman" w:hAnsi="Times New Roman"/>
          <w:sz w:val="24"/>
          <w:szCs w:val="24"/>
        </w:rPr>
        <w:t>毛矿</w:t>
      </w:r>
      <w:r>
        <w:rPr>
          <w:rFonts w:ascii="Times New Roman" w:hAnsi="Times New Roman"/>
          <w:sz w:val="24"/>
          <w:szCs w:val="24"/>
        </w:rPr>
        <w:t>烘干，烘干后的毛矿进行干式磁选，在整个磁选过程中</w:t>
      </w:r>
      <w:r>
        <w:rPr>
          <w:rFonts w:hint="eastAsia" w:ascii="Times New Roman" w:hAnsi="Times New Roman"/>
          <w:sz w:val="24"/>
          <w:szCs w:val="24"/>
        </w:rPr>
        <w:t>仅</w:t>
      </w:r>
      <w:r>
        <w:rPr>
          <w:rFonts w:ascii="Times New Roman" w:hAnsi="Times New Roman"/>
          <w:sz w:val="24"/>
          <w:szCs w:val="24"/>
        </w:rPr>
        <w:t>需用电，通过物理手段进行分选，无需用水及其他化学药剂等。</w:t>
      </w:r>
      <w:bookmarkStart w:id="90" w:name="OLE_LINK2"/>
      <w:r>
        <w:rPr>
          <w:rFonts w:ascii="Times New Roman" w:hAnsi="Times New Roman"/>
          <w:sz w:val="24"/>
          <w:szCs w:val="24"/>
        </w:rPr>
        <w:t>项目毛矿分选后得到钛铁精矿和</w:t>
      </w:r>
      <w:r>
        <w:rPr>
          <w:rFonts w:hint="eastAsia" w:ascii="Times New Roman" w:hAnsi="Times New Roman"/>
          <w:sz w:val="24"/>
          <w:szCs w:val="24"/>
        </w:rPr>
        <w:t>锆中矿，主要是</w:t>
      </w:r>
      <w:r>
        <w:rPr>
          <w:rFonts w:ascii="Times New Roman" w:hAnsi="Times New Roman"/>
          <w:sz w:val="24"/>
          <w:szCs w:val="24"/>
        </w:rPr>
        <w:t>弱磁性或不导磁矿砂混合物</w:t>
      </w:r>
      <w:bookmarkEnd w:id="90"/>
      <w:r>
        <w:rPr>
          <w:rFonts w:ascii="Times New Roman" w:hAnsi="Times New Roman"/>
          <w:sz w:val="24"/>
          <w:szCs w:val="24"/>
        </w:rPr>
        <w:t>，项目不再进行进一步的锆英砂、金红石、锡、独居石等其他矿物的分选，</w:t>
      </w:r>
      <w:r>
        <w:rPr>
          <w:rFonts w:hint="eastAsia" w:ascii="Times New Roman" w:hAnsi="Times New Roman"/>
          <w:sz w:val="24"/>
          <w:szCs w:val="24"/>
        </w:rPr>
        <w:t>副产品锆中矿</w:t>
      </w:r>
      <w:r>
        <w:rPr>
          <w:rFonts w:ascii="Times New Roman" w:hAnsi="Times New Roman"/>
          <w:sz w:val="24"/>
          <w:szCs w:val="24"/>
        </w:rPr>
        <w:t>作为</w:t>
      </w:r>
      <w:r>
        <w:rPr>
          <w:rFonts w:hint="eastAsia" w:ascii="Times New Roman" w:hAnsi="Times New Roman"/>
          <w:sz w:val="24"/>
          <w:szCs w:val="24"/>
        </w:rPr>
        <w:t>原料出售给</w:t>
      </w:r>
      <w:r>
        <w:rPr>
          <w:rFonts w:ascii="Times New Roman" w:hAnsi="Times New Roman"/>
          <w:sz w:val="24"/>
          <w:szCs w:val="24"/>
        </w:rPr>
        <w:t>深度分选矿企业。本项目分选加工后的</w:t>
      </w:r>
      <w:r>
        <w:rPr>
          <w:rFonts w:hint="eastAsia" w:ascii="Times New Roman" w:hAnsi="Times New Roman"/>
          <w:sz w:val="24"/>
          <w:szCs w:val="24"/>
        </w:rPr>
        <w:t>主要</w:t>
      </w:r>
      <w:r>
        <w:rPr>
          <w:rFonts w:ascii="Times New Roman" w:hAnsi="Times New Roman"/>
          <w:sz w:val="24"/>
          <w:szCs w:val="24"/>
        </w:rPr>
        <w:t>产品为钛铁精矿，产品的钛、铁的品位较毛矿均有提高，项目不进行钛和铁的分离。</w:t>
      </w:r>
    </w:p>
    <w:p w14:paraId="203677B3">
      <w:pPr>
        <w:snapToGrid w:val="0"/>
        <w:spacing w:line="360" w:lineRule="auto"/>
        <w:ind w:firstLine="482" w:firstLineChars="200"/>
        <w:rPr>
          <w:rFonts w:ascii="Times New Roman" w:hAnsi="Times New Roman"/>
          <w:sz w:val="24"/>
          <w:szCs w:val="24"/>
        </w:rPr>
      </w:pPr>
      <w:r>
        <w:rPr>
          <w:rFonts w:ascii="Times New Roman" w:hAnsi="Times New Roman"/>
          <w:b/>
          <w:bCs/>
          <w:sz w:val="24"/>
          <w:szCs w:val="24"/>
        </w:rPr>
        <w:t>磁选工艺原理：</w:t>
      </w:r>
      <w:r>
        <w:rPr>
          <w:rFonts w:ascii="Times New Roman" w:hAnsi="Times New Roman"/>
          <w:sz w:val="24"/>
          <w:szCs w:val="24"/>
        </w:rPr>
        <w:t>利用各种矿物的不同导磁性，调节磁选机磁场的强弱，从而实现强导磁矿物、弱导磁矿物和非导磁矿物的分选。主要利用精矿的物理性质不同（主要是导电性及磁性）而进行分选，钛铁精矿具有导电性和有磁性，通过矿物质的磁性，分选出不同品位的钛铁精矿。具体生产工艺流程如下。</w:t>
      </w:r>
    </w:p>
    <w:p w14:paraId="649ACBC4">
      <w:pPr>
        <w:snapToGrid w:val="0"/>
        <w:spacing w:line="360" w:lineRule="auto"/>
        <w:ind w:firstLine="482" w:firstLineChars="200"/>
        <w:rPr>
          <w:rFonts w:ascii="Times New Roman" w:hAnsi="Times New Roman"/>
          <w:b/>
          <w:bCs/>
          <w:sz w:val="24"/>
          <w:szCs w:val="24"/>
        </w:rPr>
      </w:pPr>
      <w:r>
        <w:rPr>
          <w:rFonts w:ascii="Times New Roman" w:hAnsi="Times New Roman"/>
          <w:b/>
          <w:bCs/>
          <w:sz w:val="24"/>
          <w:szCs w:val="24"/>
        </w:rPr>
        <w:t>1、原料入库</w:t>
      </w:r>
    </w:p>
    <w:p w14:paraId="30EDA21E">
      <w:pPr>
        <w:snapToGrid w:val="0"/>
        <w:spacing w:line="360" w:lineRule="auto"/>
        <w:ind w:firstLine="480" w:firstLineChars="200"/>
        <w:rPr>
          <w:rFonts w:ascii="Times New Roman" w:hAnsi="Times New Roman"/>
          <w:sz w:val="24"/>
          <w:szCs w:val="24"/>
        </w:rPr>
      </w:pPr>
      <w:r>
        <w:rPr>
          <w:rFonts w:ascii="Times New Roman" w:hAnsi="Times New Roman"/>
          <w:sz w:val="24"/>
          <w:szCs w:val="24"/>
        </w:rPr>
        <w:t>项目原料主要是国外进口毛矿，以非洲</w:t>
      </w:r>
      <w:r>
        <w:rPr>
          <w:rFonts w:hint="eastAsia" w:ascii="Times New Roman" w:hAnsi="Times New Roman"/>
          <w:sz w:val="24"/>
          <w:szCs w:val="24"/>
        </w:rPr>
        <w:t>、东南亚</w:t>
      </w:r>
      <w:r>
        <w:rPr>
          <w:rFonts w:ascii="Times New Roman" w:hAnsi="Times New Roman"/>
          <w:sz w:val="24"/>
          <w:szCs w:val="24"/>
        </w:rPr>
        <w:t>的海滨砂矿为主，毛矿粒度比较均匀，厂区内不再破碎；毛矿在国外已经初步清洗，已经将泥沙等冲洗掉，含泥沙量不多，无需对毛矿清洗。原料毛矿进厂后，临时存放于原料堆放区。</w:t>
      </w:r>
    </w:p>
    <w:p w14:paraId="218811D2">
      <w:pPr>
        <w:snapToGrid w:val="0"/>
        <w:spacing w:line="360" w:lineRule="auto"/>
        <w:ind w:firstLine="480" w:firstLineChars="200"/>
        <w:rPr>
          <w:rFonts w:ascii="Times New Roman" w:hAnsi="Times New Roman"/>
          <w:sz w:val="24"/>
          <w:szCs w:val="24"/>
          <w:u w:val="single"/>
        </w:rPr>
      </w:pPr>
      <w:bookmarkStart w:id="91" w:name="_Hlk193709916"/>
      <w:r>
        <w:rPr>
          <w:rFonts w:hint="eastAsia" w:ascii="Times New Roman" w:hAnsi="Times New Roman"/>
          <w:sz w:val="24"/>
          <w:szCs w:val="24"/>
          <w:u w:val="single"/>
        </w:rPr>
        <w:t>项目原料毛矿由国外订货，原料毛矿采用集装箱运输，根据市场情况每批订货约20到30柜，每集装箱约26.5吨毛矿。满负荷生产情况下，按每天到厂一批30柜毛矿估算，每天到厂加工的毛矿约795吨左右，年订货到厂的毛矿估算238500吨，满负荷状态下项目年加工毛矿约240000吨。装有原料的集装箱运输到场后，集装箱由拖车将集装箱整箱拖入1#原料处理车间内，毛矿集装箱进入车间后放置在2个原料堆场的中间过道，关闭车间大门进行拆箱卸货。根据过道南北两侧的原料堆场的堆放情况，选择堆垛较小一侧的原料堆场进行拆箱卸货，集装箱内的原料毛矿由铲车卸货到原料堆放区内。集装箱装卸完毕后，再开启车间大门将空箱运走，继续进行下一个集装箱的卸货操作。毛矿卸柜的过程中产生卸柜扬尘（G2），整个拆箱装卸过程均在1#原料处理车间内进行。原料运输车辆行驶进厂产生运输扬尘（G13）。在车间出入口及拆箱区域设置水雾喷淋降尘设施。</w:t>
      </w:r>
      <w:bookmarkEnd w:id="91"/>
    </w:p>
    <w:p w14:paraId="7C20632D">
      <w:pPr>
        <w:snapToGrid w:val="0"/>
        <w:spacing w:line="360" w:lineRule="auto"/>
        <w:ind w:firstLine="482" w:firstLineChars="200"/>
        <w:rPr>
          <w:rFonts w:ascii="Times New Roman" w:hAnsi="Times New Roman"/>
          <w:b/>
          <w:bCs/>
          <w:sz w:val="24"/>
          <w:szCs w:val="24"/>
        </w:rPr>
      </w:pPr>
      <w:r>
        <w:rPr>
          <w:rFonts w:ascii="Times New Roman" w:hAnsi="Times New Roman"/>
          <w:b/>
          <w:bCs/>
          <w:sz w:val="24"/>
          <w:szCs w:val="24"/>
        </w:rPr>
        <w:t>2、烘干</w:t>
      </w:r>
    </w:p>
    <w:p w14:paraId="0189B6E7">
      <w:pPr>
        <w:spacing w:line="360" w:lineRule="auto"/>
        <w:ind w:firstLine="482"/>
        <w:rPr>
          <w:rFonts w:ascii="Times New Roman" w:hAnsi="Times New Roman"/>
          <w:spacing w:val="-2"/>
          <w:kern w:val="0"/>
          <w:sz w:val="24"/>
          <w:szCs w:val="24"/>
        </w:rPr>
      </w:pPr>
      <w:bookmarkStart w:id="92" w:name="_Hlk187218235"/>
      <w:r>
        <w:rPr>
          <w:rFonts w:ascii="Times New Roman" w:hAnsi="Times New Roman"/>
          <w:spacing w:val="-2"/>
          <w:kern w:val="0"/>
          <w:sz w:val="24"/>
          <w:szCs w:val="24"/>
        </w:rPr>
        <w:t>原料毛矿湿度不适合直接进行磁选，在磁选前需对毛矿进行干燥处理，以提高磁选工序的分选效率。毛矿由原料堆放区，使用车间内的小型装载车，铲至烘干机进料漏斗，通过输送带送入烘干机进行干燥。</w:t>
      </w:r>
      <w:r>
        <w:rPr>
          <w:rFonts w:hint="eastAsia" w:ascii="Times New Roman" w:hAnsi="Times New Roman"/>
          <w:spacing w:val="-2"/>
          <w:kern w:val="0"/>
          <w:sz w:val="24"/>
          <w:szCs w:val="24"/>
        </w:rPr>
        <w:t>毛矿</w:t>
      </w:r>
      <w:r>
        <w:rPr>
          <w:rFonts w:ascii="Times New Roman" w:hAnsi="Times New Roman"/>
          <w:spacing w:val="-2"/>
          <w:kern w:val="0"/>
          <w:sz w:val="24"/>
          <w:szCs w:val="24"/>
        </w:rPr>
        <w:t>烘干至磁选标准</w:t>
      </w:r>
      <w:r>
        <w:rPr>
          <w:rFonts w:hint="eastAsia" w:ascii="Times New Roman" w:hAnsi="Times New Roman"/>
          <w:spacing w:val="-2"/>
          <w:kern w:val="0"/>
          <w:sz w:val="24"/>
          <w:szCs w:val="24"/>
        </w:rPr>
        <w:t>后</w:t>
      </w:r>
      <w:r>
        <w:rPr>
          <w:rFonts w:ascii="Times New Roman" w:hAnsi="Times New Roman"/>
          <w:spacing w:val="-2"/>
          <w:kern w:val="0"/>
          <w:sz w:val="24"/>
          <w:szCs w:val="24"/>
        </w:rPr>
        <w:t>堆存于1#原料处理车间的干原料堆放区，待装载车转运至2#分选车间。</w:t>
      </w:r>
      <w:r>
        <w:rPr>
          <w:rFonts w:hint="eastAsia" w:ascii="Times New Roman" w:hAnsi="Times New Roman"/>
          <w:spacing w:val="-2"/>
          <w:kern w:val="0"/>
          <w:sz w:val="24"/>
          <w:szCs w:val="24"/>
        </w:rPr>
        <w:t>用于磁选的毛矿含水率一般控制在约2.5%，</w:t>
      </w:r>
      <w:r>
        <w:rPr>
          <w:rFonts w:ascii="Times New Roman" w:hAnsi="Times New Roman"/>
          <w:spacing w:val="-2"/>
          <w:kern w:val="0"/>
          <w:sz w:val="24"/>
          <w:szCs w:val="24"/>
        </w:rPr>
        <w:t>项目原料堆场均设置在1#原料处理车间内，不设置室外露天晒场，原料毛矿不受较大或遇到连续阴雨天气影响，降低烘干炉能耗</w:t>
      </w:r>
      <w:r>
        <w:rPr>
          <w:rFonts w:hint="eastAsia" w:ascii="Times New Roman" w:hAnsi="Times New Roman"/>
          <w:spacing w:val="-2"/>
          <w:kern w:val="0"/>
          <w:sz w:val="24"/>
          <w:szCs w:val="24"/>
        </w:rPr>
        <w:t>。</w:t>
      </w:r>
    </w:p>
    <w:p w14:paraId="576E742C">
      <w:pPr>
        <w:spacing w:line="360" w:lineRule="auto"/>
        <w:ind w:firstLine="482"/>
        <w:rPr>
          <w:rFonts w:ascii="Times New Roman" w:hAnsi="Times New Roman"/>
          <w:spacing w:val="-2"/>
          <w:kern w:val="0"/>
          <w:sz w:val="24"/>
          <w:szCs w:val="20"/>
          <w:u w:val="single"/>
        </w:rPr>
      </w:pPr>
      <w:bookmarkStart w:id="93" w:name="_Hlk193709949"/>
      <w:bookmarkStart w:id="94" w:name="_Hlk193709934"/>
      <w:r>
        <w:rPr>
          <w:rFonts w:hint="eastAsia" w:ascii="Times New Roman" w:hAnsi="Times New Roman"/>
          <w:spacing w:val="-2"/>
          <w:kern w:val="0"/>
          <w:sz w:val="24"/>
          <w:szCs w:val="20"/>
          <w:u w:val="single"/>
        </w:rPr>
        <w:t>待烘干的毛矿由铲车在原料堆放区转运至烘干机处，产生物料转运扬尘（G3），毛矿在烘干机进料漏斗上方卸下，产生烘干机上料扬尘（G4）。毛矿进入烘干机后，由烘干炉过来的干燥热烟气与毛矿在料筒滚动翻转过程中充分接触进行烘干，毛矿的水分与烘干烟气一并排放（G1），烘干后的干毛矿在烘干机出料口输送出来，出料产生落料扬尘（G5）。烘干后的毛矿落在出料口下方临时堆放后，再由铲车将烘干后的毛矿转运至干原料堆放区，转运过程中产生装卸扬尘（G6）。</w:t>
      </w:r>
      <w:bookmarkEnd w:id="93"/>
    </w:p>
    <w:p w14:paraId="1B3A71A5">
      <w:pPr>
        <w:spacing w:line="360" w:lineRule="auto"/>
        <w:ind w:firstLine="482"/>
        <w:rPr>
          <w:rFonts w:ascii="Times New Roman" w:hAnsi="Times New Roman"/>
          <w:spacing w:val="-2"/>
          <w:kern w:val="0"/>
          <w:sz w:val="24"/>
          <w:szCs w:val="20"/>
        </w:rPr>
      </w:pPr>
      <w:bookmarkStart w:id="95" w:name="_Hlk193709961"/>
      <w:r>
        <w:rPr>
          <w:rFonts w:ascii="Times New Roman" w:hAnsi="Times New Roman"/>
          <w:spacing w:val="-2"/>
          <w:kern w:val="0"/>
          <w:sz w:val="24"/>
          <w:szCs w:val="20"/>
        </w:rPr>
        <w:t>项目烘干</w:t>
      </w:r>
      <w:r>
        <w:rPr>
          <w:rFonts w:hint="eastAsia" w:ascii="Times New Roman" w:hAnsi="Times New Roman"/>
          <w:spacing w:val="-2"/>
          <w:kern w:val="0"/>
          <w:sz w:val="24"/>
          <w:szCs w:val="20"/>
        </w:rPr>
        <w:t>机</w:t>
      </w:r>
      <w:r>
        <w:rPr>
          <w:rFonts w:ascii="Times New Roman" w:hAnsi="Times New Roman"/>
          <w:spacing w:val="-2"/>
          <w:kern w:val="0"/>
          <w:sz w:val="24"/>
          <w:szCs w:val="20"/>
        </w:rPr>
        <w:t>配套一台生物质燃料烘干炉，燃料为</w:t>
      </w:r>
      <w:r>
        <w:rPr>
          <w:rFonts w:hint="eastAsia" w:ascii="Times New Roman" w:hAnsi="Times New Roman"/>
          <w:spacing w:val="-2"/>
          <w:kern w:val="0"/>
          <w:sz w:val="24"/>
          <w:szCs w:val="24"/>
        </w:rPr>
        <w:t>成型</w:t>
      </w:r>
      <w:r>
        <w:rPr>
          <w:rFonts w:ascii="Times New Roman" w:hAnsi="Times New Roman"/>
          <w:spacing w:val="-2"/>
          <w:kern w:val="0"/>
          <w:sz w:val="24"/>
          <w:szCs w:val="20"/>
        </w:rPr>
        <w:t>生物质颗粒，烘干工艺采用</w:t>
      </w:r>
      <w:r>
        <w:rPr>
          <w:rFonts w:hint="eastAsia" w:ascii="Times New Roman" w:hAnsi="Times New Roman"/>
          <w:spacing w:val="-2"/>
          <w:kern w:val="0"/>
          <w:sz w:val="24"/>
          <w:szCs w:val="20"/>
          <w:u w:val="single"/>
        </w:rPr>
        <w:t>直接</w:t>
      </w:r>
      <w:r>
        <w:rPr>
          <w:rFonts w:ascii="Times New Roman" w:hAnsi="Times New Roman"/>
          <w:spacing w:val="-2"/>
          <w:kern w:val="0"/>
          <w:sz w:val="24"/>
          <w:szCs w:val="20"/>
        </w:rPr>
        <w:t>烘干。烘干炉的燃烧烟气采用脉冲袋式除尘器进行处理</w:t>
      </w:r>
      <w:r>
        <w:rPr>
          <w:rFonts w:hint="eastAsia" w:ascii="Times New Roman" w:hAnsi="Times New Roman"/>
          <w:spacing w:val="-2"/>
          <w:kern w:val="0"/>
          <w:sz w:val="24"/>
          <w:szCs w:val="20"/>
        </w:rPr>
        <w:t>，处理后通过19m排气筒（DA001）排放</w:t>
      </w:r>
      <w:r>
        <w:rPr>
          <w:rFonts w:ascii="Times New Roman" w:hAnsi="Times New Roman"/>
          <w:spacing w:val="-2"/>
          <w:kern w:val="0"/>
          <w:sz w:val="24"/>
          <w:szCs w:val="20"/>
        </w:rPr>
        <w:t>。</w:t>
      </w:r>
      <w:bookmarkStart w:id="96" w:name="_Hlk187717671"/>
      <w:r>
        <w:rPr>
          <w:rFonts w:ascii="Times New Roman" w:hAnsi="Times New Roman"/>
          <w:spacing w:val="-2"/>
          <w:kern w:val="0"/>
          <w:sz w:val="24"/>
          <w:szCs w:val="20"/>
        </w:rPr>
        <w:t>原料处理车间内的烘干机进、出料口</w:t>
      </w:r>
      <w:r>
        <w:rPr>
          <w:rFonts w:hint="eastAsia" w:ascii="Times New Roman" w:hAnsi="Times New Roman"/>
          <w:spacing w:val="-2"/>
          <w:kern w:val="0"/>
          <w:sz w:val="24"/>
          <w:szCs w:val="20"/>
        </w:rPr>
        <w:t>处</w:t>
      </w:r>
      <w:r>
        <w:rPr>
          <w:rFonts w:ascii="Times New Roman" w:hAnsi="Times New Roman"/>
          <w:spacing w:val="-2"/>
          <w:kern w:val="0"/>
          <w:sz w:val="24"/>
          <w:szCs w:val="20"/>
        </w:rPr>
        <w:t>配套集尘罩，对烘干机</w:t>
      </w:r>
      <w:r>
        <w:rPr>
          <w:rFonts w:hint="eastAsia" w:ascii="Times New Roman" w:hAnsi="Times New Roman"/>
          <w:spacing w:val="-2"/>
          <w:kern w:val="0"/>
          <w:sz w:val="24"/>
          <w:szCs w:val="20"/>
        </w:rPr>
        <w:t>进、出</w:t>
      </w:r>
      <w:r>
        <w:rPr>
          <w:rFonts w:ascii="Times New Roman" w:hAnsi="Times New Roman"/>
          <w:spacing w:val="-2"/>
          <w:kern w:val="0"/>
          <w:sz w:val="24"/>
          <w:szCs w:val="20"/>
        </w:rPr>
        <w:t>料口处产生的矿砂粉尘进行收集，收集后的粉尘采用袋式除尘器进行处理</w:t>
      </w:r>
      <w:r>
        <w:rPr>
          <w:rFonts w:hint="eastAsia" w:ascii="Times New Roman" w:hAnsi="Times New Roman"/>
          <w:spacing w:val="-2"/>
          <w:kern w:val="0"/>
          <w:sz w:val="24"/>
          <w:szCs w:val="20"/>
        </w:rPr>
        <w:t>，处理后通过19m排气筒（DA002）排放</w:t>
      </w:r>
      <w:bookmarkEnd w:id="94"/>
      <w:bookmarkEnd w:id="95"/>
      <w:r>
        <w:rPr>
          <w:rFonts w:ascii="Times New Roman" w:hAnsi="Times New Roman"/>
          <w:spacing w:val="-2"/>
          <w:kern w:val="0"/>
          <w:sz w:val="24"/>
          <w:szCs w:val="20"/>
        </w:rPr>
        <w:t>。</w:t>
      </w:r>
      <w:bookmarkEnd w:id="92"/>
      <w:bookmarkEnd w:id="96"/>
    </w:p>
    <w:p w14:paraId="2C26837C">
      <w:pPr>
        <w:snapToGrid w:val="0"/>
        <w:spacing w:line="360" w:lineRule="auto"/>
        <w:ind w:firstLine="482" w:firstLineChars="200"/>
        <w:rPr>
          <w:rFonts w:ascii="Times New Roman" w:hAnsi="Times New Roman"/>
          <w:b/>
          <w:bCs/>
          <w:sz w:val="24"/>
          <w:szCs w:val="24"/>
        </w:rPr>
      </w:pPr>
      <w:r>
        <w:rPr>
          <w:rFonts w:ascii="Times New Roman" w:hAnsi="Times New Roman"/>
          <w:b/>
          <w:bCs/>
          <w:sz w:val="24"/>
          <w:szCs w:val="24"/>
        </w:rPr>
        <w:t>3、磁选</w:t>
      </w:r>
    </w:p>
    <w:p w14:paraId="440BB8C6">
      <w:pPr>
        <w:spacing w:line="360" w:lineRule="auto"/>
        <w:ind w:firstLine="482"/>
        <w:rPr>
          <w:rFonts w:ascii="Times New Roman" w:hAnsi="Times New Roman"/>
          <w:sz w:val="24"/>
          <w:szCs w:val="24"/>
        </w:rPr>
      </w:pPr>
      <w:bookmarkStart w:id="97" w:name="_Hlk193709973"/>
      <w:bookmarkStart w:id="98" w:name="_Hlk187218252"/>
      <w:r>
        <w:rPr>
          <w:rFonts w:hint="eastAsia" w:ascii="Times New Roman" w:hAnsi="Times New Roman"/>
          <w:spacing w:val="-2"/>
          <w:kern w:val="0"/>
          <w:sz w:val="24"/>
          <w:szCs w:val="20"/>
        </w:rPr>
        <w:t>磁选是</w:t>
      </w:r>
      <w:r>
        <w:rPr>
          <w:rFonts w:ascii="Times New Roman" w:hAnsi="Times New Roman"/>
          <w:spacing w:val="-2"/>
          <w:kern w:val="0"/>
          <w:sz w:val="24"/>
          <w:szCs w:val="20"/>
        </w:rPr>
        <w:t>根据不同矿种磁性不同的原理，通过调节磁选机磁场强度，将矿种分离。本项目配套</w:t>
      </w:r>
      <w:r>
        <w:rPr>
          <w:rFonts w:hint="eastAsia" w:ascii="Times New Roman" w:hAnsi="Times New Roman"/>
          <w:spacing w:val="-2"/>
          <w:kern w:val="0"/>
          <w:sz w:val="24"/>
          <w:szCs w:val="20"/>
        </w:rPr>
        <w:t>2</w:t>
      </w:r>
      <w:r>
        <w:rPr>
          <w:rFonts w:ascii="Times New Roman" w:hAnsi="Times New Roman"/>
          <w:spacing w:val="-2"/>
          <w:kern w:val="0"/>
          <w:sz w:val="24"/>
          <w:szCs w:val="20"/>
        </w:rPr>
        <w:t>条磁选生产线，每条磁选生产线配置10台磁选机</w:t>
      </w:r>
      <w:r>
        <w:rPr>
          <w:rFonts w:hint="eastAsia" w:ascii="Times New Roman" w:hAnsi="Times New Roman"/>
          <w:spacing w:val="-2"/>
          <w:kern w:val="0"/>
          <w:sz w:val="24"/>
          <w:szCs w:val="20"/>
          <w:u w:val="single"/>
        </w:rPr>
        <w:t>组成磁选机组</w:t>
      </w:r>
      <w:r>
        <w:rPr>
          <w:rFonts w:ascii="Times New Roman" w:hAnsi="Times New Roman"/>
          <w:spacing w:val="-2"/>
          <w:kern w:val="0"/>
          <w:sz w:val="24"/>
          <w:szCs w:val="20"/>
        </w:rPr>
        <w:t>，</w:t>
      </w:r>
      <w:r>
        <w:rPr>
          <w:rFonts w:hint="eastAsia" w:ascii="Times New Roman" w:hAnsi="Times New Roman"/>
          <w:spacing w:val="-2"/>
          <w:kern w:val="0"/>
          <w:sz w:val="24"/>
          <w:szCs w:val="24"/>
        </w:rPr>
        <w:t>项目钛铁精矿磁选工艺是利用钛、铁与其他矿物磁导率的不同，使毛矿通过一个磁场，由于不同矿物对磁场的反应不同，磁导率高的钛、铁等矿物被磁盘吸起，再失磁落入精矿堆，磁导率低的不被吸起的矿物，留在物料皮带中最后进入中矿堆。</w:t>
      </w:r>
      <w:r>
        <w:rPr>
          <w:rFonts w:ascii="Times New Roman" w:hAnsi="Times New Roman"/>
          <w:sz w:val="24"/>
          <w:szCs w:val="24"/>
        </w:rPr>
        <w:t>铁矿的适用磁选磁场强度范围为800</w:t>
      </w:r>
      <w:r>
        <w:rPr>
          <w:rFonts w:hint="eastAsia" w:ascii="Times New Roman" w:hAnsi="Times New Roman"/>
          <w:sz w:val="24"/>
          <w:szCs w:val="24"/>
        </w:rPr>
        <w:t>～</w:t>
      </w:r>
      <w:r>
        <w:rPr>
          <w:rFonts w:ascii="Times New Roman" w:hAnsi="Times New Roman"/>
          <w:sz w:val="24"/>
          <w:szCs w:val="24"/>
        </w:rPr>
        <w:t>1500高斯，钛矿的适用磁选磁场强度范围为7000</w:t>
      </w:r>
      <w:r>
        <w:rPr>
          <w:rFonts w:hint="eastAsia" w:ascii="Times New Roman" w:hAnsi="Times New Roman"/>
          <w:sz w:val="24"/>
          <w:szCs w:val="24"/>
        </w:rPr>
        <w:t>～</w:t>
      </w:r>
      <w:r>
        <w:rPr>
          <w:rFonts w:ascii="Times New Roman" w:hAnsi="Times New Roman"/>
          <w:sz w:val="24"/>
          <w:szCs w:val="24"/>
        </w:rPr>
        <w:t>17000高斯</w:t>
      </w:r>
      <w:r>
        <w:rPr>
          <w:rFonts w:hint="eastAsia" w:ascii="Times New Roman" w:hAnsi="Times New Roman"/>
          <w:sz w:val="24"/>
          <w:szCs w:val="24"/>
        </w:rPr>
        <w:t>，项目不细分钛精矿、铁矿的单独分选，产品为钛铁混合的精矿，因此项目磁选采用</w:t>
      </w:r>
      <w:r>
        <w:rPr>
          <w:rFonts w:ascii="Times New Roman" w:hAnsi="Times New Roman"/>
          <w:sz w:val="24"/>
          <w:szCs w:val="24"/>
        </w:rPr>
        <w:t>7000</w:t>
      </w:r>
      <w:r>
        <w:rPr>
          <w:rFonts w:hint="eastAsia" w:ascii="Times New Roman" w:hAnsi="Times New Roman"/>
          <w:sz w:val="24"/>
          <w:szCs w:val="24"/>
        </w:rPr>
        <w:t>～</w:t>
      </w:r>
      <w:r>
        <w:rPr>
          <w:rFonts w:ascii="Times New Roman" w:hAnsi="Times New Roman"/>
          <w:sz w:val="24"/>
          <w:szCs w:val="24"/>
        </w:rPr>
        <w:t>17000高斯</w:t>
      </w:r>
      <w:r>
        <w:rPr>
          <w:rFonts w:hint="eastAsia" w:ascii="Times New Roman" w:hAnsi="Times New Roman"/>
          <w:sz w:val="24"/>
          <w:szCs w:val="24"/>
        </w:rPr>
        <w:t>的磁场强度进行磁选。毛矿经过磁选后得到</w:t>
      </w:r>
      <w:r>
        <w:rPr>
          <w:rFonts w:ascii="Times New Roman" w:hAnsi="Times New Roman"/>
          <w:sz w:val="24"/>
          <w:szCs w:val="24"/>
        </w:rPr>
        <w:t>品位更高的钛铁精矿产品，存放于</w:t>
      </w:r>
      <w:r>
        <w:rPr>
          <w:rFonts w:ascii="Times New Roman" w:hAnsi="Times New Roman"/>
          <w:spacing w:val="-2"/>
          <w:kern w:val="0"/>
          <w:sz w:val="24"/>
          <w:szCs w:val="24"/>
        </w:rPr>
        <w:t>2#分选车间内的精矿堆放区</w:t>
      </w:r>
      <w:r>
        <w:rPr>
          <w:rFonts w:ascii="Times New Roman" w:hAnsi="Times New Roman"/>
          <w:sz w:val="24"/>
          <w:szCs w:val="24"/>
        </w:rPr>
        <w:t>；</w:t>
      </w:r>
      <w:r>
        <w:rPr>
          <w:rFonts w:hint="eastAsia" w:ascii="Times New Roman" w:hAnsi="Times New Roman"/>
          <w:sz w:val="24"/>
          <w:szCs w:val="24"/>
        </w:rPr>
        <w:t>磁选后</w:t>
      </w:r>
      <w:r>
        <w:rPr>
          <w:rFonts w:ascii="Times New Roman" w:hAnsi="Times New Roman"/>
          <w:sz w:val="24"/>
          <w:szCs w:val="24"/>
        </w:rPr>
        <w:t>的</w:t>
      </w:r>
      <w:r>
        <w:rPr>
          <w:rFonts w:hint="eastAsia" w:ascii="Times New Roman" w:hAnsi="Times New Roman"/>
          <w:sz w:val="24"/>
          <w:szCs w:val="24"/>
        </w:rPr>
        <w:t>副产品</w:t>
      </w:r>
      <w:r>
        <w:rPr>
          <w:rFonts w:ascii="Times New Roman" w:hAnsi="Times New Roman"/>
          <w:sz w:val="24"/>
          <w:szCs w:val="24"/>
        </w:rPr>
        <w:t>锆中矿存放于</w:t>
      </w:r>
      <w:r>
        <w:rPr>
          <w:rFonts w:ascii="Times New Roman" w:hAnsi="Times New Roman"/>
          <w:spacing w:val="-2"/>
          <w:kern w:val="0"/>
          <w:sz w:val="24"/>
          <w:szCs w:val="24"/>
        </w:rPr>
        <w:t>2#分选车间内的</w:t>
      </w:r>
      <w:r>
        <w:rPr>
          <w:rFonts w:hint="eastAsia" w:ascii="Times New Roman" w:hAnsi="Times New Roman"/>
          <w:spacing w:val="-2"/>
          <w:kern w:val="0"/>
          <w:sz w:val="24"/>
          <w:szCs w:val="24"/>
        </w:rPr>
        <w:t>锆中矿</w:t>
      </w:r>
      <w:r>
        <w:rPr>
          <w:rFonts w:ascii="Times New Roman" w:hAnsi="Times New Roman"/>
          <w:spacing w:val="-2"/>
          <w:kern w:val="0"/>
          <w:sz w:val="24"/>
          <w:szCs w:val="24"/>
        </w:rPr>
        <w:t>堆放区，</w:t>
      </w:r>
      <w:r>
        <w:rPr>
          <w:rFonts w:hint="eastAsia" w:ascii="Times New Roman" w:hAnsi="Times New Roman"/>
          <w:spacing w:val="-2"/>
          <w:kern w:val="0"/>
          <w:sz w:val="24"/>
          <w:szCs w:val="24"/>
        </w:rPr>
        <w:t>作为原料出售给</w:t>
      </w:r>
      <w:r>
        <w:rPr>
          <w:rFonts w:ascii="Times New Roman" w:hAnsi="Times New Roman"/>
          <w:sz w:val="24"/>
          <w:szCs w:val="24"/>
        </w:rPr>
        <w:t>深度分选矿企业</w:t>
      </w:r>
      <w:bookmarkEnd w:id="97"/>
      <w:r>
        <w:rPr>
          <w:rFonts w:ascii="Times New Roman" w:hAnsi="Times New Roman"/>
          <w:sz w:val="24"/>
          <w:szCs w:val="24"/>
        </w:rPr>
        <w:t>。</w:t>
      </w:r>
    </w:p>
    <w:p w14:paraId="52551200">
      <w:pPr>
        <w:spacing w:line="360" w:lineRule="auto"/>
        <w:ind w:firstLine="482"/>
        <w:rPr>
          <w:rFonts w:ascii="Times New Roman" w:hAnsi="Times New Roman"/>
          <w:sz w:val="24"/>
          <w:szCs w:val="24"/>
        </w:rPr>
      </w:pPr>
      <w:bookmarkStart w:id="99" w:name="_Hlk193709986"/>
      <w:r>
        <w:rPr>
          <w:rFonts w:hint="eastAsia" w:ascii="Times New Roman" w:hAnsi="Times New Roman"/>
          <w:spacing w:val="-2"/>
          <w:kern w:val="0"/>
          <w:sz w:val="24"/>
          <w:szCs w:val="20"/>
          <w:u w:val="single"/>
        </w:rPr>
        <w:t>烘干的毛矿由铲车在干原料堆放区转运至磁选机组处，产生物料转运扬尘（G7），干毛矿在磁选机组进料漏斗上方卸下，产生磁选机上料扬尘（G8）。干毛矿进入磁选机后，进行钛铁精矿和锆中矿的分选，分选过程产生磁选落料扬尘（G9），干毛矿经过磁选机分选后，钛铁精矿和锆中矿分别在不同的出料口出料，出料产生落料扬尘（G10）。钛铁精矿和锆中矿落在精矿出料口和中矿出料口下方临时堆放后，再由铲车将产品转运至对应的精矿堆放区和中矿堆放区，转运过程中产生装卸扬尘（G11）。</w:t>
      </w:r>
      <w:bookmarkEnd w:id="99"/>
    </w:p>
    <w:p w14:paraId="7641F2CD">
      <w:pPr>
        <w:snapToGrid w:val="0"/>
        <w:spacing w:line="360" w:lineRule="auto"/>
        <w:ind w:firstLine="472" w:firstLineChars="200"/>
        <w:rPr>
          <w:rFonts w:ascii="Times New Roman" w:hAnsi="Times New Roman"/>
          <w:spacing w:val="-2"/>
          <w:kern w:val="0"/>
          <w:sz w:val="24"/>
          <w:szCs w:val="20"/>
        </w:rPr>
      </w:pPr>
      <w:bookmarkStart w:id="100" w:name="_Hlk193710002"/>
      <w:bookmarkStart w:id="101" w:name="_Hlk187717693"/>
      <w:r>
        <w:rPr>
          <w:rFonts w:ascii="Times New Roman" w:hAnsi="Times New Roman"/>
          <w:spacing w:val="-2"/>
          <w:kern w:val="0"/>
          <w:sz w:val="24"/>
          <w:szCs w:val="24"/>
        </w:rPr>
        <w:t>分选车间</w:t>
      </w:r>
      <w:r>
        <w:rPr>
          <w:rFonts w:ascii="Times New Roman" w:hAnsi="Times New Roman"/>
          <w:spacing w:val="-2"/>
          <w:kern w:val="0"/>
          <w:sz w:val="24"/>
          <w:szCs w:val="20"/>
        </w:rPr>
        <w:t>内的磁选生产线进、出料口</w:t>
      </w:r>
      <w:r>
        <w:rPr>
          <w:rFonts w:hint="eastAsia" w:ascii="Times New Roman" w:hAnsi="Times New Roman"/>
          <w:spacing w:val="-2"/>
          <w:kern w:val="0"/>
          <w:sz w:val="24"/>
          <w:szCs w:val="20"/>
        </w:rPr>
        <w:t>处</w:t>
      </w:r>
      <w:r>
        <w:rPr>
          <w:rFonts w:ascii="Times New Roman" w:hAnsi="Times New Roman"/>
          <w:spacing w:val="-2"/>
          <w:kern w:val="0"/>
          <w:sz w:val="24"/>
          <w:szCs w:val="20"/>
        </w:rPr>
        <w:t>配套集尘罩，对磁选工序</w:t>
      </w:r>
      <w:r>
        <w:rPr>
          <w:rFonts w:hint="eastAsia" w:ascii="Times New Roman" w:hAnsi="Times New Roman"/>
          <w:spacing w:val="-2"/>
          <w:kern w:val="0"/>
          <w:sz w:val="24"/>
          <w:szCs w:val="20"/>
        </w:rPr>
        <w:t>进、出</w:t>
      </w:r>
      <w:r>
        <w:rPr>
          <w:rFonts w:ascii="Times New Roman" w:hAnsi="Times New Roman"/>
          <w:spacing w:val="-2"/>
          <w:kern w:val="0"/>
          <w:sz w:val="24"/>
          <w:szCs w:val="20"/>
        </w:rPr>
        <w:t>料口处产生的矿砂粉尘进行收集，收集后的粉尘采用脉冲袋式除尘器进行处理</w:t>
      </w:r>
      <w:r>
        <w:rPr>
          <w:rFonts w:hint="eastAsia" w:ascii="Times New Roman" w:hAnsi="Times New Roman"/>
          <w:spacing w:val="-2"/>
          <w:kern w:val="0"/>
          <w:sz w:val="24"/>
          <w:szCs w:val="20"/>
        </w:rPr>
        <w:t>，处理后的尾气通过19m排气筒（DA003）排放</w:t>
      </w:r>
      <w:r>
        <w:rPr>
          <w:rFonts w:ascii="Times New Roman" w:hAnsi="Times New Roman"/>
          <w:spacing w:val="-2"/>
          <w:kern w:val="0"/>
          <w:sz w:val="24"/>
          <w:szCs w:val="20"/>
        </w:rPr>
        <w:t>。</w:t>
      </w:r>
      <w:r>
        <w:rPr>
          <w:rFonts w:hint="eastAsia" w:ascii="Times New Roman" w:hAnsi="Times New Roman"/>
          <w:spacing w:val="-2"/>
          <w:kern w:val="0"/>
          <w:sz w:val="24"/>
          <w:szCs w:val="20"/>
          <w:u w:val="single"/>
        </w:rPr>
        <w:t>在磁选机组进料料斗两侧以及磁选机组两侧设置水雾喷淋</w:t>
      </w:r>
      <w:r>
        <w:rPr>
          <w:rFonts w:hint="eastAsia" w:ascii="Times New Roman" w:hAnsi="Times New Roman"/>
          <w:sz w:val="24"/>
          <w:szCs w:val="24"/>
          <w:u w:val="single"/>
        </w:rPr>
        <w:t>设施</w:t>
      </w:r>
      <w:r>
        <w:rPr>
          <w:rFonts w:hint="eastAsia" w:ascii="Times New Roman" w:hAnsi="Times New Roman"/>
          <w:spacing w:val="-2"/>
          <w:kern w:val="0"/>
          <w:sz w:val="24"/>
          <w:szCs w:val="20"/>
          <w:u w:val="single"/>
        </w:rPr>
        <w:t>；在精矿堆放区和中矿堆放区装卸区域设置水雾喷淋</w:t>
      </w:r>
      <w:r>
        <w:rPr>
          <w:rFonts w:hint="eastAsia" w:ascii="Times New Roman" w:hAnsi="Times New Roman"/>
          <w:sz w:val="24"/>
          <w:szCs w:val="24"/>
          <w:u w:val="single"/>
        </w:rPr>
        <w:t>设施</w:t>
      </w:r>
      <w:r>
        <w:rPr>
          <w:rFonts w:hint="eastAsia" w:ascii="Times New Roman" w:hAnsi="Times New Roman"/>
          <w:spacing w:val="-2"/>
          <w:kern w:val="0"/>
          <w:sz w:val="24"/>
          <w:szCs w:val="20"/>
          <w:u w:val="single"/>
        </w:rPr>
        <w:t>。</w:t>
      </w:r>
      <w:r>
        <w:rPr>
          <w:rFonts w:ascii="Times New Roman" w:hAnsi="Times New Roman"/>
          <w:spacing w:val="-2"/>
          <w:kern w:val="0"/>
          <w:sz w:val="24"/>
          <w:szCs w:val="20"/>
        </w:rPr>
        <w:t>除尘器收集到的含矿粉尘，与车间地面沉降的含矿粉尘，一并混入</w:t>
      </w:r>
      <w:r>
        <w:rPr>
          <w:rFonts w:hint="eastAsia" w:ascii="Times New Roman" w:hAnsi="Times New Roman"/>
          <w:spacing w:val="-2"/>
          <w:kern w:val="0"/>
          <w:sz w:val="24"/>
          <w:szCs w:val="20"/>
        </w:rPr>
        <w:t>锆中矿堆放区</w:t>
      </w:r>
      <w:r>
        <w:rPr>
          <w:rFonts w:ascii="Times New Roman" w:hAnsi="Times New Roman"/>
          <w:spacing w:val="-2"/>
          <w:kern w:val="0"/>
          <w:sz w:val="24"/>
          <w:szCs w:val="20"/>
        </w:rPr>
        <w:t>进行</w:t>
      </w:r>
      <w:r>
        <w:rPr>
          <w:rFonts w:hint="eastAsia" w:ascii="Times New Roman" w:hAnsi="Times New Roman"/>
          <w:spacing w:val="-2"/>
          <w:kern w:val="0"/>
          <w:sz w:val="24"/>
          <w:szCs w:val="20"/>
        </w:rPr>
        <w:t>堆存待</w:t>
      </w:r>
      <w:r>
        <w:rPr>
          <w:rFonts w:ascii="Times New Roman" w:hAnsi="Times New Roman"/>
          <w:spacing w:val="-2"/>
          <w:kern w:val="0"/>
          <w:sz w:val="24"/>
          <w:szCs w:val="20"/>
        </w:rPr>
        <w:t>出售</w:t>
      </w:r>
      <w:bookmarkEnd w:id="100"/>
      <w:r>
        <w:rPr>
          <w:rFonts w:ascii="Times New Roman" w:hAnsi="Times New Roman"/>
          <w:spacing w:val="-2"/>
          <w:kern w:val="0"/>
          <w:sz w:val="24"/>
          <w:szCs w:val="20"/>
        </w:rPr>
        <w:t>。</w:t>
      </w:r>
      <w:bookmarkEnd w:id="98"/>
      <w:bookmarkEnd w:id="101"/>
    </w:p>
    <w:p w14:paraId="5B0C9E67">
      <w:pPr>
        <w:snapToGrid w:val="0"/>
        <w:spacing w:line="360" w:lineRule="auto"/>
        <w:ind w:firstLine="482" w:firstLineChars="200"/>
        <w:rPr>
          <w:rFonts w:ascii="Times New Roman" w:hAnsi="Times New Roman"/>
          <w:b/>
          <w:bCs/>
          <w:sz w:val="24"/>
          <w:szCs w:val="24"/>
        </w:rPr>
      </w:pPr>
      <w:r>
        <w:rPr>
          <w:rFonts w:ascii="Times New Roman" w:hAnsi="Times New Roman"/>
          <w:b/>
          <w:bCs/>
          <w:sz w:val="24"/>
          <w:szCs w:val="24"/>
        </w:rPr>
        <w:t>4、产品出库</w:t>
      </w:r>
    </w:p>
    <w:p w14:paraId="140A87C1">
      <w:pPr>
        <w:spacing w:line="360" w:lineRule="auto"/>
        <w:ind w:firstLine="482"/>
        <w:rPr>
          <w:rFonts w:ascii="Times New Roman" w:hAnsi="Times New Roman"/>
          <w:spacing w:val="-2"/>
          <w:kern w:val="0"/>
          <w:sz w:val="24"/>
          <w:szCs w:val="24"/>
        </w:rPr>
      </w:pPr>
      <w:bookmarkStart w:id="102" w:name="_Hlk187218268"/>
      <w:r>
        <w:rPr>
          <w:rFonts w:ascii="Times New Roman" w:hAnsi="Times New Roman"/>
          <w:spacing w:val="-2"/>
          <w:kern w:val="0"/>
          <w:sz w:val="24"/>
          <w:szCs w:val="24"/>
        </w:rPr>
        <w:t>项目不设置独立的产品</w:t>
      </w:r>
      <w:r>
        <w:rPr>
          <w:rFonts w:hint="eastAsia" w:ascii="Times New Roman" w:hAnsi="Times New Roman"/>
          <w:spacing w:val="-2"/>
          <w:kern w:val="0"/>
          <w:sz w:val="24"/>
          <w:szCs w:val="24"/>
        </w:rPr>
        <w:t>仓库</w:t>
      </w:r>
      <w:r>
        <w:rPr>
          <w:rFonts w:ascii="Times New Roman" w:hAnsi="Times New Roman"/>
          <w:spacing w:val="-2"/>
          <w:kern w:val="0"/>
          <w:sz w:val="24"/>
          <w:szCs w:val="24"/>
        </w:rPr>
        <w:t>，项目的毛矿经过干燥、磁选等工序后，主要产品钛铁精矿存放在分选车间的精矿堆放区，副产品锆中矿存放于</w:t>
      </w:r>
      <w:r>
        <w:rPr>
          <w:rFonts w:hint="eastAsia" w:ascii="Times New Roman" w:hAnsi="Times New Roman"/>
          <w:spacing w:val="-2"/>
          <w:kern w:val="0"/>
          <w:sz w:val="24"/>
          <w:szCs w:val="24"/>
        </w:rPr>
        <w:t>锆中矿</w:t>
      </w:r>
      <w:r>
        <w:rPr>
          <w:rFonts w:ascii="Times New Roman" w:hAnsi="Times New Roman"/>
          <w:spacing w:val="-2"/>
          <w:kern w:val="0"/>
          <w:sz w:val="24"/>
          <w:szCs w:val="24"/>
        </w:rPr>
        <w:t>堆放区。产品和</w:t>
      </w:r>
      <w:r>
        <w:rPr>
          <w:rFonts w:hint="eastAsia" w:ascii="Times New Roman" w:hAnsi="Times New Roman"/>
          <w:spacing w:val="-2"/>
          <w:kern w:val="0"/>
          <w:sz w:val="24"/>
          <w:szCs w:val="24"/>
        </w:rPr>
        <w:t>副产品</w:t>
      </w:r>
      <w:r>
        <w:rPr>
          <w:rFonts w:ascii="Times New Roman" w:hAnsi="Times New Roman"/>
          <w:spacing w:val="-2"/>
          <w:kern w:val="0"/>
          <w:sz w:val="24"/>
          <w:szCs w:val="24"/>
        </w:rPr>
        <w:t>均不露天堆放，待装载车进厂后，将产品及副产品装车外售</w:t>
      </w:r>
      <w:bookmarkEnd w:id="102"/>
      <w:r>
        <w:rPr>
          <w:rFonts w:ascii="Times New Roman" w:hAnsi="Times New Roman"/>
          <w:spacing w:val="-2"/>
          <w:kern w:val="0"/>
          <w:sz w:val="24"/>
          <w:szCs w:val="24"/>
        </w:rPr>
        <w:t>。</w:t>
      </w:r>
    </w:p>
    <w:p w14:paraId="0E25C00B">
      <w:pPr>
        <w:spacing w:line="360" w:lineRule="auto"/>
        <w:ind w:firstLine="482"/>
        <w:rPr>
          <w:rFonts w:ascii="Times New Roman" w:hAnsi="Times New Roman"/>
          <w:sz w:val="24"/>
          <w:szCs w:val="24"/>
          <w:u w:val="single"/>
        </w:rPr>
      </w:pPr>
      <w:bookmarkStart w:id="103" w:name="_Hlk193710020"/>
      <w:r>
        <w:rPr>
          <w:rFonts w:hint="eastAsia" w:ascii="Times New Roman" w:hAnsi="Times New Roman"/>
          <w:sz w:val="24"/>
          <w:szCs w:val="24"/>
          <w:u w:val="single"/>
        </w:rPr>
        <w:t>项目精矿和中矿等产品装车位于</w:t>
      </w:r>
      <w:r>
        <w:rPr>
          <w:rFonts w:ascii="Times New Roman" w:hAnsi="Times New Roman"/>
          <w:sz w:val="24"/>
          <w:szCs w:val="24"/>
          <w:u w:val="single"/>
        </w:rPr>
        <w:t>2#分选车间</w:t>
      </w:r>
      <w:r>
        <w:rPr>
          <w:rFonts w:hint="eastAsia" w:ascii="Times New Roman" w:hAnsi="Times New Roman"/>
          <w:sz w:val="24"/>
          <w:szCs w:val="24"/>
          <w:u w:val="single"/>
        </w:rPr>
        <w:t>内，采用小型货车进行运输，小型货车进入2#</w:t>
      </w:r>
      <w:r>
        <w:rPr>
          <w:rFonts w:ascii="Times New Roman" w:hAnsi="Times New Roman"/>
          <w:sz w:val="24"/>
          <w:szCs w:val="24"/>
          <w:u w:val="single"/>
        </w:rPr>
        <w:t>分选</w:t>
      </w:r>
      <w:r>
        <w:rPr>
          <w:rFonts w:hint="eastAsia" w:ascii="Times New Roman" w:hAnsi="Times New Roman"/>
          <w:sz w:val="24"/>
          <w:szCs w:val="24"/>
          <w:u w:val="single"/>
        </w:rPr>
        <w:t>车间中间过道后，关闭车间大门进行产品装车，装车完成后再打开车间大门运输出厂。项目精矿和中矿在装车过程中产生装卸扬尘（G12），装车完成后，覆盖篷布运输出厂。产品运输车辆行驶出厂产生运输扬尘（G14）。</w:t>
      </w:r>
      <w:r>
        <w:rPr>
          <w:rFonts w:hint="eastAsia" w:ascii="Times New Roman" w:hAnsi="Times New Roman"/>
          <w:spacing w:val="-2"/>
          <w:kern w:val="0"/>
          <w:sz w:val="24"/>
          <w:szCs w:val="20"/>
          <w:u w:val="single"/>
        </w:rPr>
        <w:t>在产品装卸区域设置水雾喷淋</w:t>
      </w:r>
      <w:r>
        <w:rPr>
          <w:rFonts w:hint="eastAsia" w:ascii="Times New Roman" w:hAnsi="Times New Roman"/>
          <w:sz w:val="24"/>
          <w:szCs w:val="24"/>
          <w:u w:val="single"/>
        </w:rPr>
        <w:t>设施</w:t>
      </w:r>
      <w:r>
        <w:rPr>
          <w:rFonts w:hint="eastAsia" w:ascii="Times New Roman" w:hAnsi="Times New Roman"/>
          <w:spacing w:val="-2"/>
          <w:kern w:val="0"/>
          <w:sz w:val="24"/>
          <w:szCs w:val="20"/>
          <w:u w:val="single"/>
        </w:rPr>
        <w:t>；</w:t>
      </w:r>
      <w:r>
        <w:rPr>
          <w:rFonts w:hint="eastAsia" w:ascii="Times New Roman" w:hAnsi="Times New Roman"/>
          <w:sz w:val="24"/>
          <w:szCs w:val="24"/>
          <w:u w:val="single"/>
        </w:rPr>
        <w:t>在车间出入口</w:t>
      </w:r>
      <w:r>
        <w:rPr>
          <w:rFonts w:hint="eastAsia" w:ascii="Times New Roman" w:hAnsi="Times New Roman"/>
          <w:spacing w:val="-2"/>
          <w:kern w:val="0"/>
          <w:sz w:val="24"/>
          <w:szCs w:val="20"/>
          <w:u w:val="single"/>
        </w:rPr>
        <w:t>设置水雾喷淋</w:t>
      </w:r>
      <w:r>
        <w:rPr>
          <w:rFonts w:hint="eastAsia" w:ascii="Times New Roman" w:hAnsi="Times New Roman"/>
          <w:sz w:val="24"/>
          <w:szCs w:val="24"/>
          <w:u w:val="single"/>
        </w:rPr>
        <w:t>设施</w:t>
      </w:r>
      <w:r>
        <w:rPr>
          <w:rFonts w:hint="eastAsia" w:ascii="Times New Roman" w:hAnsi="Times New Roman"/>
          <w:spacing w:val="-2"/>
          <w:kern w:val="0"/>
          <w:sz w:val="24"/>
          <w:szCs w:val="20"/>
          <w:u w:val="single"/>
        </w:rPr>
        <w:t>。</w:t>
      </w:r>
      <w:bookmarkEnd w:id="103"/>
    </w:p>
    <w:p w14:paraId="59452BAE">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项目生产工艺流程图见图</w:t>
      </w:r>
      <w:bookmarkEnd w:id="89"/>
      <w:r>
        <w:rPr>
          <w:rFonts w:ascii="Times New Roman" w:hAnsi="Times New Roman"/>
          <w:spacing w:val="-2"/>
          <w:kern w:val="0"/>
          <w:sz w:val="24"/>
          <w:szCs w:val="20"/>
        </w:rPr>
        <w:t>2.2-1。</w:t>
      </w:r>
    </w:p>
    <w:p w14:paraId="4DA98934">
      <w:pPr>
        <w:spacing w:line="360" w:lineRule="auto"/>
        <w:jc w:val="center"/>
        <w:rPr>
          <w:rFonts w:ascii="Times New Roman" w:hAnsi="Times New Roman"/>
          <w:spacing w:val="-2"/>
          <w:kern w:val="0"/>
          <w:sz w:val="24"/>
          <w:szCs w:val="24"/>
        </w:rPr>
      </w:pPr>
      <w:bookmarkStart w:id="104" w:name="_Hlk193710065"/>
      <w:r>
        <w:rPr>
          <w:rFonts w:ascii="Times New Roman" w:hAnsi="Times New Roman"/>
          <w:spacing w:val="-2"/>
          <w:kern w:val="0"/>
          <w:sz w:val="24"/>
          <w:szCs w:val="24"/>
        </w:rPr>
        <mc:AlternateContent>
          <mc:Choice Requires="wpc">
            <w:drawing>
              <wp:inline distT="0" distB="0" distL="0" distR="0">
                <wp:extent cx="5380355" cy="8533130"/>
                <wp:effectExtent l="0" t="0" r="0" b="1270"/>
                <wp:docPr id="9" name="画布 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5215237" name="矩形 11"/>
                        <wps:cNvSpPr>
                          <a:spLocks noChangeArrowheads="1"/>
                        </wps:cNvSpPr>
                        <wps:spPr bwMode="auto">
                          <a:xfrm>
                            <a:off x="2029460" y="695960"/>
                            <a:ext cx="958215" cy="291465"/>
                          </a:xfrm>
                          <a:prstGeom prst="rect">
                            <a:avLst/>
                          </a:prstGeom>
                          <a:solidFill>
                            <a:srgbClr val="FFFFFF"/>
                          </a:solidFill>
                          <a:ln w="9525" cmpd="sng">
                            <a:solidFill>
                              <a:srgbClr val="000000"/>
                            </a:solidFill>
                            <a:miter lim="800000"/>
                          </a:ln>
                          <a:effectLst/>
                        </wps:spPr>
                        <wps:txbx>
                          <w:txbxContent>
                            <w:p w14:paraId="5B63816A">
                              <w:pPr>
                                <w:jc w:val="center"/>
                              </w:pPr>
                              <w:r>
                                <w:rPr>
                                  <w:rFonts w:hint="eastAsia"/>
                                </w:rPr>
                                <w:t>湿毛矿堆场</w:t>
                              </w:r>
                            </w:p>
                          </w:txbxContent>
                        </wps:txbx>
                        <wps:bodyPr rot="0" vert="horz" wrap="square" lIns="91440" tIns="45720" rIns="91440" bIns="45720" anchor="t" anchorCtr="0" upright="1">
                          <a:noAutofit/>
                        </wps:bodyPr>
                      </wps:wsp>
                      <wps:wsp>
                        <wps:cNvPr id="1629036005" name="矩形 12"/>
                        <wps:cNvSpPr>
                          <a:spLocks noChangeArrowheads="1"/>
                        </wps:cNvSpPr>
                        <wps:spPr bwMode="auto">
                          <a:xfrm>
                            <a:off x="2032635" y="2203450"/>
                            <a:ext cx="953135" cy="292735"/>
                          </a:xfrm>
                          <a:prstGeom prst="rect">
                            <a:avLst/>
                          </a:prstGeom>
                          <a:solidFill>
                            <a:srgbClr val="FFFFFF"/>
                          </a:solidFill>
                          <a:ln w="25400" cmpd="sng">
                            <a:solidFill>
                              <a:srgbClr val="000000"/>
                            </a:solidFill>
                            <a:miter lim="800000"/>
                          </a:ln>
                          <a:effectLst/>
                        </wps:spPr>
                        <wps:txbx>
                          <w:txbxContent>
                            <w:p w14:paraId="311FE25D">
                              <w:pPr>
                                <w:jc w:val="center"/>
                              </w:pPr>
                              <w:r>
                                <w:rPr>
                                  <w:rFonts w:hint="eastAsia"/>
                                </w:rPr>
                                <w:t>烘干机</w:t>
                              </w:r>
                            </w:p>
                          </w:txbxContent>
                        </wps:txbx>
                        <wps:bodyPr rot="0" vert="horz" wrap="square" lIns="91440" tIns="45720" rIns="91440" bIns="45720" anchor="t" anchorCtr="0" upright="1">
                          <a:noAutofit/>
                        </wps:bodyPr>
                      </wps:wsp>
                      <wps:wsp>
                        <wps:cNvPr id="1095210354" name="矩形 13"/>
                        <wps:cNvSpPr>
                          <a:spLocks noChangeArrowheads="1"/>
                        </wps:cNvSpPr>
                        <wps:spPr bwMode="auto">
                          <a:xfrm>
                            <a:off x="2028190" y="3694430"/>
                            <a:ext cx="952500" cy="292100"/>
                          </a:xfrm>
                          <a:prstGeom prst="rect">
                            <a:avLst/>
                          </a:prstGeom>
                          <a:solidFill>
                            <a:srgbClr val="FFFFFF"/>
                          </a:solidFill>
                          <a:ln w="9525" cmpd="sng">
                            <a:solidFill>
                              <a:srgbClr val="000000"/>
                            </a:solidFill>
                            <a:miter lim="800000"/>
                          </a:ln>
                          <a:effectLst/>
                        </wps:spPr>
                        <wps:txbx>
                          <w:txbxContent>
                            <w:p w14:paraId="26C94C1C">
                              <w:pPr>
                                <w:jc w:val="center"/>
                              </w:pPr>
                              <w:r>
                                <w:rPr>
                                  <w:rFonts w:hint="eastAsia"/>
                                </w:rPr>
                                <w:t>干毛矿堆场</w:t>
                              </w:r>
                            </w:p>
                          </w:txbxContent>
                        </wps:txbx>
                        <wps:bodyPr rot="0" vert="horz" wrap="square" lIns="91440" tIns="45720" rIns="91440" bIns="45720" anchor="t" anchorCtr="0" upright="1">
                          <a:noAutofit/>
                        </wps:bodyPr>
                      </wps:wsp>
                      <wps:wsp>
                        <wps:cNvPr id="1298263057" name="矩形 14"/>
                        <wps:cNvSpPr>
                          <a:spLocks noChangeArrowheads="1"/>
                        </wps:cNvSpPr>
                        <wps:spPr bwMode="auto">
                          <a:xfrm>
                            <a:off x="2031365" y="5752465"/>
                            <a:ext cx="951865" cy="291465"/>
                          </a:xfrm>
                          <a:prstGeom prst="rect">
                            <a:avLst/>
                          </a:prstGeom>
                          <a:solidFill>
                            <a:srgbClr val="FFFFFF"/>
                          </a:solidFill>
                          <a:ln w="9525" cmpd="sng">
                            <a:solidFill>
                              <a:srgbClr val="000000"/>
                            </a:solidFill>
                            <a:miter lim="800000"/>
                          </a:ln>
                          <a:effectLst/>
                        </wps:spPr>
                        <wps:txbx>
                          <w:txbxContent>
                            <w:p w14:paraId="3B971F20">
                              <w:pPr>
                                <w:jc w:val="center"/>
                              </w:pPr>
                              <w:r>
                                <w:rPr>
                                  <w:rFonts w:hint="eastAsia"/>
                                </w:rPr>
                                <w:t>磁选机出料</w:t>
                              </w:r>
                            </w:p>
                          </w:txbxContent>
                        </wps:txbx>
                        <wps:bodyPr rot="0" vert="horz" wrap="square" lIns="91440" tIns="45720" rIns="91440" bIns="45720" anchor="t" anchorCtr="0" upright="1">
                          <a:noAutofit/>
                        </wps:bodyPr>
                      </wps:wsp>
                      <wps:wsp>
                        <wps:cNvPr id="812759186" name="矩形 15"/>
                        <wps:cNvSpPr>
                          <a:spLocks noChangeArrowheads="1"/>
                        </wps:cNvSpPr>
                        <wps:spPr bwMode="auto">
                          <a:xfrm>
                            <a:off x="1038225" y="7066280"/>
                            <a:ext cx="950595" cy="290830"/>
                          </a:xfrm>
                          <a:prstGeom prst="rect">
                            <a:avLst/>
                          </a:prstGeom>
                          <a:solidFill>
                            <a:srgbClr val="FFFFFF"/>
                          </a:solidFill>
                          <a:ln w="9525" cmpd="sng">
                            <a:solidFill>
                              <a:srgbClr val="000000"/>
                            </a:solidFill>
                            <a:miter lim="800000"/>
                          </a:ln>
                          <a:effectLst/>
                        </wps:spPr>
                        <wps:txbx>
                          <w:txbxContent>
                            <w:p w14:paraId="0CF45EDF">
                              <w:pPr>
                                <w:jc w:val="center"/>
                              </w:pPr>
                              <w:r>
                                <w:rPr>
                                  <w:rFonts w:hint="eastAsia"/>
                                </w:rPr>
                                <w:t>精矿堆场</w:t>
                              </w:r>
                            </w:p>
                          </w:txbxContent>
                        </wps:txbx>
                        <wps:bodyPr rot="0" vert="horz" wrap="square" lIns="91440" tIns="45720" rIns="91440" bIns="45720" anchor="t" anchorCtr="0" upright="1">
                          <a:noAutofit/>
                        </wps:bodyPr>
                      </wps:wsp>
                      <wps:wsp>
                        <wps:cNvPr id="1628090914" name="矩形 16"/>
                        <wps:cNvSpPr>
                          <a:spLocks noChangeArrowheads="1"/>
                        </wps:cNvSpPr>
                        <wps:spPr bwMode="auto">
                          <a:xfrm>
                            <a:off x="2957830" y="7067550"/>
                            <a:ext cx="952500" cy="292100"/>
                          </a:xfrm>
                          <a:prstGeom prst="rect">
                            <a:avLst/>
                          </a:prstGeom>
                          <a:solidFill>
                            <a:srgbClr val="FFFFFF"/>
                          </a:solidFill>
                          <a:ln w="9525" cmpd="sng">
                            <a:solidFill>
                              <a:srgbClr val="000000"/>
                            </a:solidFill>
                            <a:miter lim="800000"/>
                          </a:ln>
                          <a:effectLst/>
                        </wps:spPr>
                        <wps:txbx>
                          <w:txbxContent>
                            <w:p w14:paraId="08AF9712">
                              <w:pPr>
                                <w:jc w:val="center"/>
                              </w:pPr>
                              <w:r>
                                <w:rPr>
                                  <w:rFonts w:hint="eastAsia"/>
                                </w:rPr>
                                <w:t>锆中矿堆场</w:t>
                              </w:r>
                            </w:p>
                          </w:txbxContent>
                        </wps:txbx>
                        <wps:bodyPr rot="0" vert="horz" wrap="square" lIns="91440" tIns="45720" rIns="91440" bIns="45720" anchor="t" anchorCtr="0" upright="1">
                          <a:noAutofit/>
                        </wps:bodyPr>
                      </wps:wsp>
                      <wps:wsp>
                        <wps:cNvPr id="969544176" name="矩形 17"/>
                        <wps:cNvSpPr>
                          <a:spLocks noChangeArrowheads="1"/>
                        </wps:cNvSpPr>
                        <wps:spPr bwMode="auto">
                          <a:xfrm>
                            <a:off x="2042795" y="8206740"/>
                            <a:ext cx="941070" cy="280035"/>
                          </a:xfrm>
                          <a:prstGeom prst="rect">
                            <a:avLst/>
                          </a:prstGeom>
                          <a:solidFill>
                            <a:srgbClr val="FFFFFF"/>
                          </a:solidFill>
                          <a:ln w="9525" cmpd="sng">
                            <a:solidFill>
                              <a:srgbClr val="000000"/>
                            </a:solidFill>
                            <a:miter lim="800000"/>
                          </a:ln>
                          <a:effectLst/>
                        </wps:spPr>
                        <wps:txbx>
                          <w:txbxContent>
                            <w:p w14:paraId="5791F792">
                              <w:pPr>
                                <w:jc w:val="center"/>
                              </w:pPr>
                              <w:r>
                                <w:rPr>
                                  <w:rFonts w:hint="eastAsia"/>
                                </w:rPr>
                                <w:t>产品外运</w:t>
                              </w:r>
                            </w:p>
                          </w:txbxContent>
                        </wps:txbx>
                        <wps:bodyPr rot="0" vert="horz" wrap="square" lIns="91440" tIns="45720" rIns="91440" bIns="45720" anchor="t" anchorCtr="0" upright="1">
                          <a:noAutofit/>
                        </wps:bodyPr>
                      </wps:wsp>
                      <wps:wsp>
                        <wps:cNvPr id="851253916" name="自选图形 25"/>
                        <wps:cNvCnPr>
                          <a:cxnSpLocks noChangeShapeType="1"/>
                          <a:stCxn id="1298263057" idx="2"/>
                          <a:endCxn id="4" idx="0"/>
                        </wps:cNvCnPr>
                        <wps:spPr bwMode="auto">
                          <a:xfrm rot="5400000">
                            <a:off x="1770380" y="5792470"/>
                            <a:ext cx="485775" cy="988695"/>
                          </a:xfrm>
                          <a:prstGeom prst="bentConnector3">
                            <a:avLst>
                              <a:gd name="adj1" fmla="val 50065"/>
                            </a:avLst>
                          </a:prstGeom>
                          <a:noFill/>
                          <a:ln w="9525" cmpd="sng">
                            <a:solidFill>
                              <a:srgbClr val="000000"/>
                            </a:solidFill>
                            <a:miter lim="800000"/>
                            <a:tailEnd type="arrow" w="med" len="med"/>
                          </a:ln>
                          <a:effectLst/>
                        </wps:spPr>
                        <wps:bodyPr/>
                      </wps:wsp>
                      <wps:wsp>
                        <wps:cNvPr id="895770829" name="自选图形 26"/>
                        <wps:cNvCnPr>
                          <a:cxnSpLocks noChangeShapeType="1"/>
                          <a:stCxn id="1298263057" idx="2"/>
                          <a:endCxn id="5" idx="0"/>
                        </wps:cNvCnPr>
                        <wps:spPr bwMode="auto">
                          <a:xfrm rot="5400000" flipV="1">
                            <a:off x="2726055" y="5825490"/>
                            <a:ext cx="485775" cy="922655"/>
                          </a:xfrm>
                          <a:prstGeom prst="bentConnector3">
                            <a:avLst>
                              <a:gd name="adj1" fmla="val 50065"/>
                            </a:avLst>
                          </a:prstGeom>
                          <a:noFill/>
                          <a:ln w="9525" cmpd="sng">
                            <a:solidFill>
                              <a:srgbClr val="000000"/>
                            </a:solidFill>
                            <a:miter lim="800000"/>
                            <a:tailEnd type="arrow" w="med" len="med"/>
                          </a:ln>
                          <a:effectLst/>
                        </wps:spPr>
                        <wps:bodyPr/>
                      </wps:wsp>
                      <wps:wsp>
                        <wps:cNvPr id="818686398" name="自选图形 28"/>
                        <wps:cNvCnPr>
                          <a:cxnSpLocks noChangeShapeType="1"/>
                          <a:stCxn id="812759186" idx="2"/>
                          <a:endCxn id="2" idx="0"/>
                        </wps:cNvCnPr>
                        <wps:spPr bwMode="auto">
                          <a:xfrm rot="16200000" flipH="1">
                            <a:off x="1815465" y="7055167"/>
                            <a:ext cx="394970" cy="998855"/>
                          </a:xfrm>
                          <a:prstGeom prst="bentConnector3">
                            <a:avLst>
                              <a:gd name="adj1" fmla="val 50000"/>
                            </a:avLst>
                          </a:prstGeom>
                          <a:noFill/>
                          <a:ln w="9525" cmpd="sng">
                            <a:solidFill>
                              <a:srgbClr val="000000"/>
                            </a:solidFill>
                            <a:miter lim="800000"/>
                            <a:tailEnd type="arrow" w="med" len="med"/>
                          </a:ln>
                          <a:effectLst/>
                        </wps:spPr>
                        <wps:bodyPr/>
                      </wps:wsp>
                      <wps:wsp>
                        <wps:cNvPr id="929759399" name="自选图形 29"/>
                        <wps:cNvCnPr>
                          <a:cxnSpLocks noChangeShapeType="1"/>
                          <a:stCxn id="1628090914" idx="2"/>
                          <a:endCxn id="2" idx="0"/>
                        </wps:cNvCnPr>
                        <wps:spPr bwMode="auto">
                          <a:xfrm rot="5400000">
                            <a:off x="2777173" y="7095173"/>
                            <a:ext cx="392430" cy="921385"/>
                          </a:xfrm>
                          <a:prstGeom prst="bentConnector3">
                            <a:avLst>
                              <a:gd name="adj1" fmla="val 49919"/>
                            </a:avLst>
                          </a:prstGeom>
                          <a:noFill/>
                          <a:ln w="9525" cmpd="sng">
                            <a:solidFill>
                              <a:srgbClr val="000000"/>
                            </a:solidFill>
                            <a:miter lim="800000"/>
                            <a:tailEnd type="arrow" w="med" len="med"/>
                          </a:ln>
                          <a:effectLst/>
                        </wps:spPr>
                        <wps:bodyPr/>
                      </wps:wsp>
                      <wps:wsp>
                        <wps:cNvPr id="918443290" name="矩形 33"/>
                        <wps:cNvSpPr>
                          <a:spLocks noChangeArrowheads="1"/>
                        </wps:cNvSpPr>
                        <wps:spPr bwMode="auto">
                          <a:xfrm>
                            <a:off x="1001395" y="6025515"/>
                            <a:ext cx="1071880" cy="292735"/>
                          </a:xfrm>
                          <a:prstGeom prst="rect">
                            <a:avLst/>
                          </a:prstGeom>
                          <a:noFill/>
                          <a:ln>
                            <a:noFill/>
                          </a:ln>
                          <a:effectLst/>
                        </wps:spPr>
                        <wps:txbx>
                          <w:txbxContent>
                            <w:p w14:paraId="6DBCBAA1">
                              <w:pPr>
                                <w:jc w:val="center"/>
                              </w:pPr>
                              <w:r>
                                <w:rPr>
                                  <w:rFonts w:hint="eastAsia"/>
                                </w:rPr>
                                <w:t>钛铁精矿</w:t>
                              </w:r>
                            </w:p>
                          </w:txbxContent>
                        </wps:txbx>
                        <wps:bodyPr rot="0" vert="horz" wrap="square" lIns="91440" tIns="45720" rIns="91440" bIns="45720" anchor="t" anchorCtr="0" upright="1">
                          <a:noAutofit/>
                        </wps:bodyPr>
                      </wps:wsp>
                      <wps:wsp>
                        <wps:cNvPr id="1023502163" name="矩形 34"/>
                        <wps:cNvSpPr>
                          <a:spLocks noChangeArrowheads="1"/>
                        </wps:cNvSpPr>
                        <wps:spPr bwMode="auto">
                          <a:xfrm>
                            <a:off x="2895600" y="6020435"/>
                            <a:ext cx="1068070" cy="292735"/>
                          </a:xfrm>
                          <a:prstGeom prst="rect">
                            <a:avLst/>
                          </a:prstGeom>
                          <a:noFill/>
                          <a:ln>
                            <a:noFill/>
                          </a:ln>
                          <a:effectLst/>
                        </wps:spPr>
                        <wps:txbx>
                          <w:txbxContent>
                            <w:p w14:paraId="3E3789CF">
                              <w:pPr>
                                <w:jc w:val="center"/>
                              </w:pPr>
                              <w:r>
                                <w:rPr>
                                  <w:rFonts w:hint="eastAsia"/>
                                </w:rPr>
                                <w:t>锆中矿</w:t>
                              </w:r>
                            </w:p>
                          </w:txbxContent>
                        </wps:txbx>
                        <wps:bodyPr rot="0" vert="horz" wrap="square" lIns="91440" tIns="45720" rIns="91440" bIns="45720" anchor="t" anchorCtr="0" upright="1">
                          <a:noAutofit/>
                        </wps:bodyPr>
                      </wps:wsp>
                      <wps:wsp>
                        <wps:cNvPr id="1645917384" name="自选图形 40"/>
                        <wps:cNvCnPr>
                          <a:cxnSpLocks noChangeShapeType="1"/>
                        </wps:cNvCnPr>
                        <wps:spPr bwMode="auto">
                          <a:xfrm flipV="1">
                            <a:off x="3783965" y="6327140"/>
                            <a:ext cx="345440" cy="212090"/>
                          </a:xfrm>
                          <a:prstGeom prst="curvedConnector3">
                            <a:avLst>
                              <a:gd name="adj1" fmla="val 50184"/>
                            </a:avLst>
                          </a:prstGeom>
                          <a:noFill/>
                          <a:ln w="9525" cmpd="sng">
                            <a:solidFill>
                              <a:srgbClr val="000000"/>
                            </a:solidFill>
                            <a:prstDash val="dash"/>
                            <a:miter lim="800000"/>
                            <a:tailEnd type="arrow" w="med" len="med"/>
                          </a:ln>
                          <a:effectLst/>
                        </wps:spPr>
                        <wps:bodyPr/>
                      </wps:wsp>
                      <wps:wsp>
                        <wps:cNvPr id="240438111" name="自选图形 42"/>
                        <wps:cNvCnPr>
                          <a:cxnSpLocks noChangeShapeType="1"/>
                        </wps:cNvCnPr>
                        <wps:spPr bwMode="auto">
                          <a:xfrm flipV="1">
                            <a:off x="2990215" y="5756910"/>
                            <a:ext cx="396240" cy="125095"/>
                          </a:xfrm>
                          <a:prstGeom prst="curvedConnector3">
                            <a:avLst>
                              <a:gd name="adj1" fmla="val 50160"/>
                            </a:avLst>
                          </a:prstGeom>
                          <a:noFill/>
                          <a:ln w="9525" cmpd="sng">
                            <a:solidFill>
                              <a:srgbClr val="000000"/>
                            </a:solidFill>
                            <a:prstDash val="dash"/>
                            <a:miter lim="800000"/>
                            <a:tailEnd type="arrow" w="med" len="med"/>
                          </a:ln>
                          <a:effectLst/>
                        </wps:spPr>
                        <wps:bodyPr/>
                      </wps:wsp>
                      <wps:wsp>
                        <wps:cNvPr id="1798736986" name="矩形 43"/>
                        <wps:cNvSpPr>
                          <a:spLocks noChangeArrowheads="1"/>
                        </wps:cNvSpPr>
                        <wps:spPr bwMode="auto">
                          <a:xfrm>
                            <a:off x="3878580" y="6083300"/>
                            <a:ext cx="1404620" cy="281305"/>
                          </a:xfrm>
                          <a:prstGeom prst="rect">
                            <a:avLst/>
                          </a:prstGeom>
                          <a:noFill/>
                          <a:ln>
                            <a:noFill/>
                          </a:ln>
                          <a:effectLst/>
                        </wps:spPr>
                        <wps:txbx>
                          <w:txbxContent>
                            <w:p w14:paraId="0BA47EA8">
                              <w:pPr>
                                <w:jc w:val="center"/>
                              </w:pPr>
                              <w:r>
                                <w:rPr>
                                  <w:rFonts w:hint="eastAsia"/>
                                </w:rPr>
                                <w:t>G11产品移堆扬尘</w:t>
                              </w:r>
                            </w:p>
                          </w:txbxContent>
                        </wps:txbx>
                        <wps:bodyPr rot="0" vert="horz" wrap="square" lIns="91440" tIns="45720" rIns="91440" bIns="45720" anchor="t" anchorCtr="0" upright="1">
                          <a:noAutofit/>
                        </wps:bodyPr>
                      </wps:wsp>
                      <wps:wsp>
                        <wps:cNvPr id="1709024452" name="自选图形 50"/>
                        <wps:cNvCnPr>
                          <a:cxnSpLocks noChangeShapeType="1"/>
                        </wps:cNvCnPr>
                        <wps:spPr bwMode="auto">
                          <a:xfrm flipV="1">
                            <a:off x="2991485" y="8244840"/>
                            <a:ext cx="337820" cy="87630"/>
                          </a:xfrm>
                          <a:prstGeom prst="curvedConnector3">
                            <a:avLst>
                              <a:gd name="adj1" fmla="val 50188"/>
                            </a:avLst>
                          </a:prstGeom>
                          <a:noFill/>
                          <a:ln w="9525" cmpd="sng">
                            <a:solidFill>
                              <a:srgbClr val="000000"/>
                            </a:solidFill>
                            <a:prstDash val="dash"/>
                            <a:miter lim="800000"/>
                            <a:tailEnd type="arrow" w="med" len="med"/>
                          </a:ln>
                          <a:effectLst/>
                        </wps:spPr>
                        <wps:bodyPr/>
                      </wps:wsp>
                      <wps:wsp>
                        <wps:cNvPr id="761725727" name="矩形 51"/>
                        <wps:cNvSpPr>
                          <a:spLocks noChangeArrowheads="1"/>
                        </wps:cNvSpPr>
                        <wps:spPr bwMode="auto">
                          <a:xfrm>
                            <a:off x="3319145" y="8135620"/>
                            <a:ext cx="962025" cy="280035"/>
                          </a:xfrm>
                          <a:prstGeom prst="rect">
                            <a:avLst/>
                          </a:prstGeom>
                          <a:noFill/>
                          <a:ln>
                            <a:noFill/>
                          </a:ln>
                          <a:effectLst/>
                        </wps:spPr>
                        <wps:txbx>
                          <w:txbxContent>
                            <w:p w14:paraId="2E9497CC">
                              <w:pPr>
                                <w:jc w:val="center"/>
                              </w:pPr>
                              <w:r>
                                <w:rPr>
                                  <w:rFonts w:hint="eastAsia"/>
                                </w:rPr>
                                <w:t>G14运输扬尘</w:t>
                              </w:r>
                            </w:p>
                          </w:txbxContent>
                        </wps:txbx>
                        <wps:bodyPr rot="0" vert="horz" wrap="square" lIns="91440" tIns="45720" rIns="91440" bIns="45720" anchor="t" anchorCtr="0" upright="1">
                          <a:noAutofit/>
                        </wps:bodyPr>
                      </wps:wsp>
                      <wps:wsp>
                        <wps:cNvPr id="2" name="矩形 15"/>
                        <wps:cNvSpPr>
                          <a:spLocks noChangeArrowheads="1"/>
                        </wps:cNvSpPr>
                        <wps:spPr bwMode="auto">
                          <a:xfrm>
                            <a:off x="2037080" y="7752080"/>
                            <a:ext cx="950595" cy="290830"/>
                          </a:xfrm>
                          <a:prstGeom prst="rect">
                            <a:avLst/>
                          </a:prstGeom>
                          <a:solidFill>
                            <a:srgbClr val="FFFFFF"/>
                          </a:solidFill>
                          <a:ln w="9525" cmpd="sng">
                            <a:solidFill>
                              <a:srgbClr val="000000"/>
                            </a:solidFill>
                            <a:miter lim="800000"/>
                          </a:ln>
                          <a:effectLst/>
                        </wps:spPr>
                        <wps:txbx>
                          <w:txbxContent>
                            <w:p w14:paraId="579A9101">
                              <w:pPr>
                                <w:jc w:val="center"/>
                              </w:pPr>
                              <w:r>
                                <w:rPr>
                                  <w:rFonts w:hint="eastAsia"/>
                                </w:rPr>
                                <w:t>产品装车</w:t>
                              </w:r>
                            </w:p>
                          </w:txbxContent>
                        </wps:txbx>
                        <wps:bodyPr rot="0" vert="horz" wrap="square" lIns="91440" tIns="45720" rIns="91440" bIns="45720" anchor="t" anchorCtr="0" upright="1">
                          <a:noAutofit/>
                        </wps:bodyPr>
                      </wps:wsp>
                      <wps:wsp>
                        <wps:cNvPr id="4" name="矩形 15"/>
                        <wps:cNvSpPr>
                          <a:spLocks noChangeArrowheads="1"/>
                        </wps:cNvSpPr>
                        <wps:spPr bwMode="auto">
                          <a:xfrm>
                            <a:off x="1043305" y="6529705"/>
                            <a:ext cx="950595" cy="290830"/>
                          </a:xfrm>
                          <a:prstGeom prst="rect">
                            <a:avLst/>
                          </a:prstGeom>
                          <a:solidFill>
                            <a:srgbClr val="FFFFFF"/>
                          </a:solidFill>
                          <a:ln w="9525" cmpd="sng">
                            <a:solidFill>
                              <a:srgbClr val="000000"/>
                            </a:solidFill>
                            <a:miter lim="800000"/>
                          </a:ln>
                          <a:effectLst/>
                        </wps:spPr>
                        <wps:txbx>
                          <w:txbxContent>
                            <w:p w14:paraId="73AED91C">
                              <w:pPr>
                                <w:jc w:val="center"/>
                              </w:pPr>
                              <w:r>
                                <w:rPr>
                                  <w:rFonts w:hint="eastAsia"/>
                                </w:rPr>
                                <w:t>精矿移堆</w:t>
                              </w:r>
                            </w:p>
                          </w:txbxContent>
                        </wps:txbx>
                        <wps:bodyPr rot="0" vert="horz" wrap="square" lIns="91440" tIns="45720" rIns="91440" bIns="45720" anchor="t" anchorCtr="0" upright="1">
                          <a:noAutofit/>
                        </wps:bodyPr>
                      </wps:wsp>
                      <wps:wsp>
                        <wps:cNvPr id="5" name="矩形 15"/>
                        <wps:cNvSpPr>
                          <a:spLocks noChangeArrowheads="1"/>
                        </wps:cNvSpPr>
                        <wps:spPr bwMode="auto">
                          <a:xfrm>
                            <a:off x="2954655" y="6529705"/>
                            <a:ext cx="950595" cy="290830"/>
                          </a:xfrm>
                          <a:prstGeom prst="rect">
                            <a:avLst/>
                          </a:prstGeom>
                          <a:solidFill>
                            <a:srgbClr val="FFFFFF"/>
                          </a:solidFill>
                          <a:ln w="9525" cmpd="sng">
                            <a:solidFill>
                              <a:srgbClr val="000000"/>
                            </a:solidFill>
                            <a:miter lim="800000"/>
                          </a:ln>
                          <a:effectLst/>
                        </wps:spPr>
                        <wps:txbx>
                          <w:txbxContent>
                            <w:p w14:paraId="4B8F2A4D">
                              <w:pPr>
                                <w:jc w:val="center"/>
                              </w:pPr>
                              <w:r>
                                <w:rPr>
                                  <w:rFonts w:hint="eastAsia"/>
                                </w:rPr>
                                <w:t>中矿移堆</w:t>
                              </w:r>
                            </w:p>
                          </w:txbxContent>
                        </wps:txbx>
                        <wps:bodyPr rot="0" vert="horz" wrap="square" lIns="91440" tIns="45720" rIns="91440" bIns="45720" anchor="t" anchorCtr="0" upright="1">
                          <a:noAutofit/>
                        </wps:bodyPr>
                      </wps:wsp>
                      <wps:wsp>
                        <wps:cNvPr id="6" name="直接箭头连接符 6"/>
                        <wps:cNvCnPr>
                          <a:stCxn id="4" idx="2"/>
                          <a:endCxn id="812759186" idx="0"/>
                        </wps:cNvCnPr>
                        <wps:spPr>
                          <a:xfrm flipH="1">
                            <a:off x="1513840" y="6820535"/>
                            <a:ext cx="5080" cy="24574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7" name="直接箭头连接符 7"/>
                        <wps:cNvCnPr>
                          <a:stCxn id="5" idx="2"/>
                          <a:endCxn id="1628090914" idx="0"/>
                        </wps:cNvCnPr>
                        <wps:spPr>
                          <a:xfrm>
                            <a:off x="3430270" y="6820535"/>
                            <a:ext cx="3810" cy="24701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8" name="矩形 14"/>
                        <wps:cNvSpPr>
                          <a:spLocks noChangeArrowheads="1"/>
                        </wps:cNvSpPr>
                        <wps:spPr bwMode="auto">
                          <a:xfrm>
                            <a:off x="2027555" y="5215255"/>
                            <a:ext cx="951865" cy="291465"/>
                          </a:xfrm>
                          <a:prstGeom prst="rect">
                            <a:avLst/>
                          </a:prstGeom>
                          <a:solidFill>
                            <a:srgbClr val="FFFFFF"/>
                          </a:solidFill>
                          <a:ln w="25400" cmpd="sng">
                            <a:solidFill>
                              <a:srgbClr val="000000"/>
                            </a:solidFill>
                            <a:miter lim="800000"/>
                          </a:ln>
                          <a:effectLst/>
                        </wps:spPr>
                        <wps:txbx>
                          <w:txbxContent>
                            <w:p w14:paraId="6AF36773">
                              <w:pPr>
                                <w:jc w:val="center"/>
                              </w:pPr>
                              <w:r>
                                <w:rPr>
                                  <w:rFonts w:hint="eastAsia"/>
                                </w:rPr>
                                <w:t>磁选</w:t>
                              </w:r>
                            </w:p>
                          </w:txbxContent>
                        </wps:txbx>
                        <wps:bodyPr rot="0" vert="horz" wrap="square" lIns="91440" tIns="45720" rIns="91440" bIns="45720" anchor="t" anchorCtr="0" upright="1">
                          <a:noAutofit/>
                        </wps:bodyPr>
                      </wps:wsp>
                      <wps:wsp>
                        <wps:cNvPr id="10" name="矩形 14"/>
                        <wps:cNvSpPr>
                          <a:spLocks noChangeArrowheads="1"/>
                        </wps:cNvSpPr>
                        <wps:spPr bwMode="auto">
                          <a:xfrm>
                            <a:off x="2027555" y="4713605"/>
                            <a:ext cx="951865" cy="291465"/>
                          </a:xfrm>
                          <a:prstGeom prst="rect">
                            <a:avLst/>
                          </a:prstGeom>
                          <a:solidFill>
                            <a:srgbClr val="FFFFFF"/>
                          </a:solidFill>
                          <a:ln w="9525" cmpd="sng">
                            <a:solidFill>
                              <a:srgbClr val="000000"/>
                            </a:solidFill>
                            <a:miter lim="800000"/>
                          </a:ln>
                          <a:effectLst/>
                        </wps:spPr>
                        <wps:txbx>
                          <w:txbxContent>
                            <w:p w14:paraId="76B7E145">
                              <w:pPr>
                                <w:jc w:val="center"/>
                              </w:pPr>
                              <w:r>
                                <w:rPr>
                                  <w:rFonts w:hint="eastAsia"/>
                                </w:rPr>
                                <w:t>磁选机上料</w:t>
                              </w:r>
                            </w:p>
                          </w:txbxContent>
                        </wps:txbx>
                        <wps:bodyPr rot="0" vert="horz" wrap="square" lIns="91440" tIns="45720" rIns="91440" bIns="45720" anchor="t" anchorCtr="0" upright="1">
                          <a:noAutofit/>
                        </wps:bodyPr>
                      </wps:wsp>
                      <wps:wsp>
                        <wps:cNvPr id="11" name="矩形 14"/>
                        <wps:cNvSpPr>
                          <a:spLocks noChangeArrowheads="1"/>
                        </wps:cNvSpPr>
                        <wps:spPr bwMode="auto">
                          <a:xfrm>
                            <a:off x="2027555" y="4199255"/>
                            <a:ext cx="951865" cy="291465"/>
                          </a:xfrm>
                          <a:prstGeom prst="rect">
                            <a:avLst/>
                          </a:prstGeom>
                          <a:solidFill>
                            <a:srgbClr val="FFFFFF"/>
                          </a:solidFill>
                          <a:ln w="9525" cmpd="sng">
                            <a:solidFill>
                              <a:srgbClr val="000000"/>
                            </a:solidFill>
                            <a:miter lim="800000"/>
                          </a:ln>
                          <a:effectLst/>
                        </wps:spPr>
                        <wps:txbx>
                          <w:txbxContent>
                            <w:p w14:paraId="3F6013BE">
                              <w:pPr>
                                <w:jc w:val="center"/>
                              </w:pPr>
                              <w:r>
                                <w:rPr>
                                  <w:rFonts w:hint="eastAsia"/>
                                </w:rPr>
                                <w:t>铲车转运</w:t>
                              </w:r>
                            </w:p>
                          </w:txbxContent>
                        </wps:txbx>
                        <wps:bodyPr rot="0" vert="horz" wrap="square" lIns="91440" tIns="45720" rIns="91440" bIns="45720" anchor="t" anchorCtr="0" upright="1">
                          <a:noAutofit/>
                        </wps:bodyPr>
                      </wps:wsp>
                      <wps:wsp>
                        <wps:cNvPr id="12" name="矩形 14"/>
                        <wps:cNvSpPr>
                          <a:spLocks noChangeArrowheads="1"/>
                        </wps:cNvSpPr>
                        <wps:spPr bwMode="auto">
                          <a:xfrm>
                            <a:off x="2033905" y="3234055"/>
                            <a:ext cx="951865" cy="291465"/>
                          </a:xfrm>
                          <a:prstGeom prst="rect">
                            <a:avLst/>
                          </a:prstGeom>
                          <a:solidFill>
                            <a:srgbClr val="FFFFFF"/>
                          </a:solidFill>
                          <a:ln w="9525" cmpd="sng">
                            <a:solidFill>
                              <a:srgbClr val="000000"/>
                            </a:solidFill>
                            <a:miter lim="800000"/>
                          </a:ln>
                          <a:effectLst/>
                        </wps:spPr>
                        <wps:txbx>
                          <w:txbxContent>
                            <w:p w14:paraId="7914C1FB">
                              <w:pPr>
                                <w:jc w:val="center"/>
                              </w:pPr>
                              <w:r>
                                <w:rPr>
                                  <w:rFonts w:hint="eastAsia"/>
                                </w:rPr>
                                <w:t>干毛矿移堆</w:t>
                              </w:r>
                            </w:p>
                          </w:txbxContent>
                        </wps:txbx>
                        <wps:bodyPr rot="0" vert="horz" wrap="square" lIns="91440" tIns="45720" rIns="91440" bIns="45720" anchor="t" anchorCtr="0" upright="1">
                          <a:noAutofit/>
                        </wps:bodyPr>
                      </wps:wsp>
                      <wps:wsp>
                        <wps:cNvPr id="13" name="矩形 14"/>
                        <wps:cNvSpPr>
                          <a:spLocks noChangeArrowheads="1"/>
                        </wps:cNvSpPr>
                        <wps:spPr bwMode="auto">
                          <a:xfrm>
                            <a:off x="2033905" y="2732405"/>
                            <a:ext cx="951865" cy="291465"/>
                          </a:xfrm>
                          <a:prstGeom prst="rect">
                            <a:avLst/>
                          </a:prstGeom>
                          <a:solidFill>
                            <a:srgbClr val="FFFFFF"/>
                          </a:solidFill>
                          <a:ln w="9525" cmpd="sng">
                            <a:solidFill>
                              <a:srgbClr val="000000"/>
                            </a:solidFill>
                            <a:miter lim="800000"/>
                          </a:ln>
                          <a:effectLst/>
                        </wps:spPr>
                        <wps:txbx>
                          <w:txbxContent>
                            <w:p w14:paraId="5FCF3994">
                              <w:pPr>
                                <w:jc w:val="center"/>
                              </w:pPr>
                              <w:r>
                                <w:rPr>
                                  <w:rFonts w:hint="eastAsia"/>
                                </w:rPr>
                                <w:t>烘干机出料</w:t>
                              </w:r>
                            </w:p>
                          </w:txbxContent>
                        </wps:txbx>
                        <wps:bodyPr rot="0" vert="horz" wrap="square" lIns="91440" tIns="45720" rIns="91440" bIns="45720" anchor="t" anchorCtr="0" upright="1">
                          <a:noAutofit/>
                        </wps:bodyPr>
                      </wps:wsp>
                      <wps:wsp>
                        <wps:cNvPr id="14" name="矩形 14"/>
                        <wps:cNvSpPr>
                          <a:spLocks noChangeArrowheads="1"/>
                        </wps:cNvSpPr>
                        <wps:spPr bwMode="auto">
                          <a:xfrm>
                            <a:off x="2027555" y="1697355"/>
                            <a:ext cx="951865" cy="291465"/>
                          </a:xfrm>
                          <a:prstGeom prst="rect">
                            <a:avLst/>
                          </a:prstGeom>
                          <a:solidFill>
                            <a:srgbClr val="FFFFFF"/>
                          </a:solidFill>
                          <a:ln w="9525" cmpd="sng">
                            <a:solidFill>
                              <a:srgbClr val="000000"/>
                            </a:solidFill>
                            <a:miter lim="800000"/>
                          </a:ln>
                          <a:effectLst/>
                        </wps:spPr>
                        <wps:txbx>
                          <w:txbxContent>
                            <w:p w14:paraId="6AAFD573">
                              <w:pPr>
                                <w:jc w:val="center"/>
                              </w:pPr>
                              <w:r>
                                <w:rPr>
                                  <w:rFonts w:hint="eastAsia"/>
                                </w:rPr>
                                <w:t>烘干机上料</w:t>
                              </w:r>
                            </w:p>
                          </w:txbxContent>
                        </wps:txbx>
                        <wps:bodyPr rot="0" vert="horz" wrap="square" lIns="91440" tIns="45720" rIns="91440" bIns="45720" anchor="t" anchorCtr="0" upright="1">
                          <a:noAutofit/>
                        </wps:bodyPr>
                      </wps:wsp>
                      <wps:wsp>
                        <wps:cNvPr id="15" name="矩形 14"/>
                        <wps:cNvSpPr>
                          <a:spLocks noChangeArrowheads="1"/>
                        </wps:cNvSpPr>
                        <wps:spPr bwMode="auto">
                          <a:xfrm>
                            <a:off x="205105" y="2205355"/>
                            <a:ext cx="951865" cy="291465"/>
                          </a:xfrm>
                          <a:prstGeom prst="rect">
                            <a:avLst/>
                          </a:prstGeom>
                          <a:solidFill>
                            <a:srgbClr val="FFFFFF"/>
                          </a:solidFill>
                          <a:ln w="9525" cmpd="sng">
                            <a:solidFill>
                              <a:srgbClr val="000000"/>
                            </a:solidFill>
                            <a:miter lim="800000"/>
                          </a:ln>
                          <a:effectLst/>
                        </wps:spPr>
                        <wps:txbx>
                          <w:txbxContent>
                            <w:p w14:paraId="6D42A8C4">
                              <w:pPr>
                                <w:jc w:val="center"/>
                              </w:pPr>
                              <w:r>
                                <w:rPr>
                                  <w:rFonts w:hint="eastAsia"/>
                                </w:rPr>
                                <w:t>烘干炉</w:t>
                              </w:r>
                            </w:p>
                          </w:txbxContent>
                        </wps:txbx>
                        <wps:bodyPr rot="0" vert="horz" wrap="square" lIns="91440" tIns="45720" rIns="91440" bIns="45720" anchor="t" anchorCtr="0" upright="1">
                          <a:noAutofit/>
                        </wps:bodyPr>
                      </wps:wsp>
                      <wps:wsp>
                        <wps:cNvPr id="16" name="矩形 16"/>
                        <wps:cNvSpPr>
                          <a:spLocks noChangeArrowheads="1"/>
                        </wps:cNvSpPr>
                        <wps:spPr bwMode="auto">
                          <a:xfrm>
                            <a:off x="2027555" y="243205"/>
                            <a:ext cx="951865" cy="291465"/>
                          </a:xfrm>
                          <a:prstGeom prst="rect">
                            <a:avLst/>
                          </a:prstGeom>
                          <a:solidFill>
                            <a:srgbClr val="FFFFFF"/>
                          </a:solidFill>
                          <a:ln w="9525" cmpd="sng">
                            <a:solidFill>
                              <a:srgbClr val="000000"/>
                            </a:solidFill>
                            <a:miter lim="800000"/>
                          </a:ln>
                          <a:effectLst/>
                        </wps:spPr>
                        <wps:txbx>
                          <w:txbxContent>
                            <w:p w14:paraId="15F10C78">
                              <w:pPr>
                                <w:jc w:val="center"/>
                              </w:pPr>
                              <w:r>
                                <w:rPr>
                                  <w:rFonts w:hint="eastAsia"/>
                                </w:rPr>
                                <w:t>拆箱卸料</w:t>
                              </w:r>
                            </w:p>
                          </w:txbxContent>
                        </wps:txbx>
                        <wps:bodyPr rot="0" vert="horz" wrap="square" lIns="91440" tIns="45720" rIns="91440" bIns="45720" anchor="t" anchorCtr="0" upright="1">
                          <a:noAutofit/>
                        </wps:bodyPr>
                      </wps:wsp>
                      <wps:wsp>
                        <wps:cNvPr id="17" name="矩形 14"/>
                        <wps:cNvSpPr>
                          <a:spLocks noChangeArrowheads="1"/>
                        </wps:cNvSpPr>
                        <wps:spPr bwMode="auto">
                          <a:xfrm>
                            <a:off x="2027555" y="1189355"/>
                            <a:ext cx="951865" cy="291465"/>
                          </a:xfrm>
                          <a:prstGeom prst="rect">
                            <a:avLst/>
                          </a:prstGeom>
                          <a:solidFill>
                            <a:srgbClr val="FFFFFF"/>
                          </a:solidFill>
                          <a:ln w="9525" cmpd="sng">
                            <a:solidFill>
                              <a:srgbClr val="000000"/>
                            </a:solidFill>
                            <a:miter lim="800000"/>
                          </a:ln>
                          <a:effectLst/>
                        </wps:spPr>
                        <wps:txbx>
                          <w:txbxContent>
                            <w:p w14:paraId="28FF8FAF">
                              <w:pPr>
                                <w:jc w:val="center"/>
                              </w:pPr>
                              <w:r>
                                <w:rPr>
                                  <w:rFonts w:hint="eastAsia"/>
                                </w:rPr>
                                <w:t>铲车转运</w:t>
                              </w:r>
                            </w:p>
                          </w:txbxContent>
                        </wps:txbx>
                        <wps:bodyPr rot="0" vert="horz" wrap="square" lIns="91440" tIns="45720" rIns="91440" bIns="45720" anchor="t" anchorCtr="0" upright="1">
                          <a:noAutofit/>
                        </wps:bodyPr>
                      </wps:wsp>
                      <wps:wsp>
                        <wps:cNvPr id="18" name="直接箭头连接符 18"/>
                        <wps:cNvCnPr>
                          <a:stCxn id="8" idx="2"/>
                          <a:endCxn id="1298263057" idx="0"/>
                        </wps:cNvCnPr>
                        <wps:spPr>
                          <a:xfrm>
                            <a:off x="2503805" y="5506720"/>
                            <a:ext cx="3810" cy="24574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9" name="直接箭头连接符 19"/>
                        <wps:cNvCnPr>
                          <a:stCxn id="10" idx="2"/>
                          <a:endCxn id="8" idx="0"/>
                        </wps:cNvCnPr>
                        <wps:spPr>
                          <a:xfrm>
                            <a:off x="2503805" y="5005070"/>
                            <a:ext cx="0" cy="21018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20" name="直接箭头连接符 20"/>
                        <wps:cNvCnPr>
                          <a:stCxn id="11" idx="2"/>
                          <a:endCxn id="10" idx="0"/>
                        </wps:cNvCnPr>
                        <wps:spPr>
                          <a:xfrm>
                            <a:off x="2503805" y="4490720"/>
                            <a:ext cx="0" cy="22288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21" name="直接箭头连接符 21"/>
                        <wps:cNvCnPr>
                          <a:stCxn id="1095210354" idx="2"/>
                          <a:endCxn id="11" idx="0"/>
                        </wps:cNvCnPr>
                        <wps:spPr>
                          <a:xfrm flipH="1">
                            <a:off x="2503805" y="3986530"/>
                            <a:ext cx="635" cy="21272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22" name="直接箭头连接符 22"/>
                        <wps:cNvCnPr>
                          <a:stCxn id="12" idx="2"/>
                          <a:endCxn id="1095210354" idx="0"/>
                        </wps:cNvCnPr>
                        <wps:spPr>
                          <a:xfrm flipH="1">
                            <a:off x="2504440" y="3525520"/>
                            <a:ext cx="5715" cy="16891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23" name="直接箭头连接符 23"/>
                        <wps:cNvCnPr>
                          <a:stCxn id="13" idx="2"/>
                          <a:endCxn id="12" idx="0"/>
                        </wps:cNvCnPr>
                        <wps:spPr>
                          <a:xfrm>
                            <a:off x="2510155" y="3023870"/>
                            <a:ext cx="0" cy="21018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24" name="直接箭头连接符 24"/>
                        <wps:cNvCnPr>
                          <a:stCxn id="1629036005" idx="2"/>
                          <a:endCxn id="13" idx="0"/>
                        </wps:cNvCnPr>
                        <wps:spPr>
                          <a:xfrm>
                            <a:off x="2509520" y="2496185"/>
                            <a:ext cx="635" cy="23622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25" name="直接箭头连接符 25"/>
                        <wps:cNvCnPr>
                          <a:stCxn id="14" idx="2"/>
                          <a:endCxn id="1629036005" idx="0"/>
                        </wps:cNvCnPr>
                        <wps:spPr>
                          <a:xfrm>
                            <a:off x="2503805" y="1988820"/>
                            <a:ext cx="5715" cy="21463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26" name="直接箭头连接符 26"/>
                        <wps:cNvCnPr>
                          <a:stCxn id="17" idx="2"/>
                          <a:endCxn id="14" idx="0"/>
                        </wps:cNvCnPr>
                        <wps:spPr>
                          <a:xfrm>
                            <a:off x="2503805" y="1480820"/>
                            <a:ext cx="0" cy="21653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27" name="直接箭头连接符 27"/>
                        <wps:cNvCnPr>
                          <a:stCxn id="55215237" idx="2"/>
                          <a:endCxn id="17" idx="0"/>
                        </wps:cNvCnPr>
                        <wps:spPr>
                          <a:xfrm flipH="1">
                            <a:off x="2503805" y="987425"/>
                            <a:ext cx="5080" cy="20193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28" name="直接箭头连接符 28"/>
                        <wps:cNvCnPr>
                          <a:stCxn id="16" idx="2"/>
                          <a:endCxn id="55215237" idx="0"/>
                        </wps:cNvCnPr>
                        <wps:spPr>
                          <a:xfrm>
                            <a:off x="2503805" y="534670"/>
                            <a:ext cx="5080" cy="16129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29" name="直接箭头连接符 29"/>
                        <wps:cNvCnPr>
                          <a:stCxn id="15" idx="3"/>
                          <a:endCxn id="1629036005" idx="1"/>
                        </wps:cNvCnPr>
                        <wps:spPr>
                          <a:xfrm flipV="1">
                            <a:off x="1156970" y="2350135"/>
                            <a:ext cx="875665" cy="1270"/>
                          </a:xfrm>
                          <a:prstGeom prst="straightConnector1">
                            <a:avLst/>
                          </a:prstGeom>
                          <a:ln>
                            <a:solidFill>
                              <a:schemeClr val="tx1"/>
                            </a:solidFill>
                            <a:prstDash val="dash"/>
                            <a:tailEnd type="arrow"/>
                          </a:ln>
                        </wps:spPr>
                        <wps:style>
                          <a:lnRef idx="2">
                            <a:schemeClr val="accent1"/>
                          </a:lnRef>
                          <a:fillRef idx="0">
                            <a:srgbClr val="FFFFFF"/>
                          </a:fillRef>
                          <a:effectRef idx="0">
                            <a:srgbClr val="FFFFFF"/>
                          </a:effectRef>
                          <a:fontRef idx="minor">
                            <a:schemeClr val="tx1"/>
                          </a:fontRef>
                        </wps:style>
                        <wps:bodyPr/>
                      </wps:wsp>
                      <wps:wsp>
                        <wps:cNvPr id="30" name="直接箭头连接符 30"/>
                        <wps:cNvCnPr>
                          <a:stCxn id="2" idx="2"/>
                          <a:endCxn id="969544176" idx="0"/>
                        </wps:cNvCnPr>
                        <wps:spPr>
                          <a:xfrm>
                            <a:off x="2512695" y="8042910"/>
                            <a:ext cx="635" cy="16383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31" name="直接箭头连接符 31"/>
                        <wps:cNvCnPr>
                          <a:stCxn id="32" idx="3"/>
                          <a:endCxn id="16" idx="1"/>
                        </wps:cNvCnPr>
                        <wps:spPr>
                          <a:xfrm>
                            <a:off x="1169670" y="389255"/>
                            <a:ext cx="857885" cy="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32" name="矩形 14"/>
                        <wps:cNvSpPr>
                          <a:spLocks noChangeArrowheads="1"/>
                        </wps:cNvSpPr>
                        <wps:spPr bwMode="auto">
                          <a:xfrm>
                            <a:off x="217805" y="243205"/>
                            <a:ext cx="951865" cy="291465"/>
                          </a:xfrm>
                          <a:prstGeom prst="rect">
                            <a:avLst/>
                          </a:prstGeom>
                          <a:solidFill>
                            <a:srgbClr val="FFFFFF"/>
                          </a:solidFill>
                          <a:ln w="9525" cmpd="sng">
                            <a:solidFill>
                              <a:srgbClr val="000000"/>
                            </a:solidFill>
                            <a:miter lim="800000"/>
                          </a:ln>
                          <a:effectLst/>
                        </wps:spPr>
                        <wps:txbx>
                          <w:txbxContent>
                            <w:p w14:paraId="5204D192">
                              <w:pPr>
                                <w:jc w:val="center"/>
                              </w:pPr>
                              <w:r>
                                <w:rPr>
                                  <w:rFonts w:hint="eastAsia"/>
                                </w:rPr>
                                <w:t>原料进场</w:t>
                              </w:r>
                            </w:p>
                          </w:txbxContent>
                        </wps:txbx>
                        <wps:bodyPr rot="0" vert="horz" wrap="square" lIns="91440" tIns="45720" rIns="91440" bIns="45720" anchor="t" anchorCtr="0" upright="1">
                          <a:noAutofit/>
                        </wps:bodyPr>
                      </wps:wsp>
                      <wps:wsp>
                        <wps:cNvPr id="33" name="矩形 34"/>
                        <wps:cNvSpPr>
                          <a:spLocks noChangeArrowheads="1"/>
                        </wps:cNvSpPr>
                        <wps:spPr bwMode="auto">
                          <a:xfrm>
                            <a:off x="141605" y="2821305"/>
                            <a:ext cx="1068070" cy="292735"/>
                          </a:xfrm>
                          <a:prstGeom prst="rect">
                            <a:avLst/>
                          </a:prstGeom>
                          <a:noFill/>
                          <a:ln>
                            <a:noFill/>
                          </a:ln>
                          <a:effectLst/>
                        </wps:spPr>
                        <wps:txbx>
                          <w:txbxContent>
                            <w:p w14:paraId="002FC36B">
                              <w:pPr>
                                <w:jc w:val="center"/>
                              </w:pPr>
                              <w:r>
                                <w:rPr>
                                  <w:rFonts w:hint="eastAsia"/>
                                </w:rPr>
                                <w:t>生物质燃料</w:t>
                              </w:r>
                            </w:p>
                          </w:txbxContent>
                        </wps:txbx>
                        <wps:bodyPr rot="0" vert="horz" wrap="square" lIns="91440" tIns="45720" rIns="91440" bIns="45720" anchor="t" anchorCtr="0" upright="1">
                          <a:noAutofit/>
                        </wps:bodyPr>
                      </wps:wsp>
                      <wps:wsp>
                        <wps:cNvPr id="34" name="直接箭头连接符 34"/>
                        <wps:cNvCnPr>
                          <a:stCxn id="33" idx="0"/>
                          <a:endCxn id="15" idx="2"/>
                        </wps:cNvCnPr>
                        <wps:spPr>
                          <a:xfrm flipV="1">
                            <a:off x="675640" y="2496820"/>
                            <a:ext cx="5715" cy="32448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35" name="矩形 38"/>
                        <wps:cNvSpPr>
                          <a:spLocks noChangeArrowheads="1"/>
                        </wps:cNvSpPr>
                        <wps:spPr bwMode="auto">
                          <a:xfrm>
                            <a:off x="1195705" y="2046605"/>
                            <a:ext cx="716280" cy="291465"/>
                          </a:xfrm>
                          <a:prstGeom prst="rect">
                            <a:avLst/>
                          </a:prstGeom>
                          <a:noFill/>
                          <a:ln>
                            <a:noFill/>
                          </a:ln>
                          <a:effectLst/>
                        </wps:spPr>
                        <wps:txbx>
                          <w:txbxContent>
                            <w:p w14:paraId="1ABEF37A">
                              <w:pPr>
                                <w:jc w:val="center"/>
                              </w:pPr>
                              <w:r>
                                <w:rPr>
                                  <w:rFonts w:hint="eastAsia"/>
                                </w:rPr>
                                <w:t>干燥烟气</w:t>
                              </w:r>
                            </w:p>
                          </w:txbxContent>
                        </wps:txbx>
                        <wps:bodyPr rot="0" vert="horz" wrap="square" lIns="91440" tIns="45720" rIns="91440" bIns="45720" anchor="t" anchorCtr="0" upright="1">
                          <a:noAutofit/>
                        </wps:bodyPr>
                      </wps:wsp>
                      <wps:wsp>
                        <wps:cNvPr id="36" name="矩形 51"/>
                        <wps:cNvSpPr>
                          <a:spLocks noChangeArrowheads="1"/>
                        </wps:cNvSpPr>
                        <wps:spPr bwMode="auto">
                          <a:xfrm>
                            <a:off x="3284855" y="7710805"/>
                            <a:ext cx="1253490" cy="280035"/>
                          </a:xfrm>
                          <a:prstGeom prst="rect">
                            <a:avLst/>
                          </a:prstGeom>
                          <a:noFill/>
                          <a:ln>
                            <a:noFill/>
                          </a:ln>
                          <a:effectLst/>
                        </wps:spPr>
                        <wps:txbx>
                          <w:txbxContent>
                            <w:p w14:paraId="58C83254">
                              <w:pPr>
                                <w:jc w:val="center"/>
                              </w:pPr>
                              <w:r>
                                <w:rPr>
                                  <w:rFonts w:hint="eastAsia"/>
                                </w:rPr>
                                <w:t>G12产品装车扬尘</w:t>
                              </w:r>
                            </w:p>
                          </w:txbxContent>
                        </wps:txbx>
                        <wps:bodyPr rot="0" vert="horz" wrap="square" lIns="91440" tIns="45720" rIns="91440" bIns="45720" anchor="t" anchorCtr="0" upright="1">
                          <a:noAutofit/>
                        </wps:bodyPr>
                      </wps:wsp>
                      <wps:wsp>
                        <wps:cNvPr id="37" name="矩形 43"/>
                        <wps:cNvSpPr>
                          <a:spLocks noChangeArrowheads="1"/>
                        </wps:cNvSpPr>
                        <wps:spPr bwMode="auto">
                          <a:xfrm>
                            <a:off x="3348355" y="5621655"/>
                            <a:ext cx="1404620" cy="281305"/>
                          </a:xfrm>
                          <a:prstGeom prst="rect">
                            <a:avLst/>
                          </a:prstGeom>
                          <a:noFill/>
                          <a:ln>
                            <a:noFill/>
                          </a:ln>
                          <a:effectLst/>
                        </wps:spPr>
                        <wps:txbx>
                          <w:txbxContent>
                            <w:p w14:paraId="09762DB8">
                              <w:pPr>
                                <w:jc w:val="left"/>
                              </w:pPr>
                              <w:r>
                                <w:rPr>
                                  <w:rFonts w:hint="eastAsia"/>
                                </w:rPr>
                                <w:t>G10磁选出料扬尘</w:t>
                              </w:r>
                            </w:p>
                          </w:txbxContent>
                        </wps:txbx>
                        <wps:bodyPr rot="0" vert="horz" wrap="square" lIns="91440" tIns="45720" rIns="91440" bIns="45720" anchor="t" anchorCtr="0" upright="1">
                          <a:noAutofit/>
                        </wps:bodyPr>
                      </wps:wsp>
                      <wps:wsp>
                        <wps:cNvPr id="38" name="自选图形 42"/>
                        <wps:cNvCnPr>
                          <a:cxnSpLocks noChangeShapeType="1"/>
                        </wps:cNvCnPr>
                        <wps:spPr bwMode="auto">
                          <a:xfrm flipV="1">
                            <a:off x="2980055" y="5210810"/>
                            <a:ext cx="396240" cy="125095"/>
                          </a:xfrm>
                          <a:prstGeom prst="curvedConnector3">
                            <a:avLst>
                              <a:gd name="adj1" fmla="val 50160"/>
                            </a:avLst>
                          </a:prstGeom>
                          <a:noFill/>
                          <a:ln w="9525" cmpd="sng">
                            <a:solidFill>
                              <a:srgbClr val="000000"/>
                            </a:solidFill>
                            <a:prstDash val="dash"/>
                            <a:miter lim="800000"/>
                            <a:tailEnd type="arrow" w="med" len="med"/>
                          </a:ln>
                          <a:effectLst/>
                        </wps:spPr>
                        <wps:bodyPr/>
                      </wps:wsp>
                      <wps:wsp>
                        <wps:cNvPr id="39" name="矩形 43"/>
                        <wps:cNvSpPr>
                          <a:spLocks noChangeArrowheads="1"/>
                        </wps:cNvSpPr>
                        <wps:spPr bwMode="auto">
                          <a:xfrm>
                            <a:off x="3338195" y="5075555"/>
                            <a:ext cx="1404620" cy="281305"/>
                          </a:xfrm>
                          <a:prstGeom prst="rect">
                            <a:avLst/>
                          </a:prstGeom>
                          <a:noFill/>
                          <a:ln>
                            <a:noFill/>
                          </a:ln>
                          <a:effectLst/>
                        </wps:spPr>
                        <wps:txbx>
                          <w:txbxContent>
                            <w:p w14:paraId="31EA6C6E">
                              <w:pPr>
                                <w:jc w:val="left"/>
                              </w:pPr>
                              <w:r>
                                <w:rPr>
                                  <w:rFonts w:hint="eastAsia"/>
                                </w:rPr>
                                <w:t>G9磁选过程扬尘</w:t>
                              </w:r>
                            </w:p>
                          </w:txbxContent>
                        </wps:txbx>
                        <wps:bodyPr rot="0" vert="horz" wrap="square" lIns="91440" tIns="45720" rIns="91440" bIns="45720" anchor="t" anchorCtr="0" upright="1">
                          <a:noAutofit/>
                        </wps:bodyPr>
                      </wps:wsp>
                      <wps:wsp>
                        <wps:cNvPr id="40" name="自选图形 42"/>
                        <wps:cNvCnPr>
                          <a:cxnSpLocks noChangeShapeType="1"/>
                        </wps:cNvCnPr>
                        <wps:spPr bwMode="auto">
                          <a:xfrm flipV="1">
                            <a:off x="2999105" y="4747260"/>
                            <a:ext cx="396240" cy="125095"/>
                          </a:xfrm>
                          <a:prstGeom prst="curvedConnector3">
                            <a:avLst>
                              <a:gd name="adj1" fmla="val 50160"/>
                            </a:avLst>
                          </a:prstGeom>
                          <a:noFill/>
                          <a:ln w="9525" cmpd="sng">
                            <a:solidFill>
                              <a:srgbClr val="000000"/>
                            </a:solidFill>
                            <a:prstDash val="dash"/>
                            <a:miter lim="800000"/>
                            <a:tailEnd type="arrow" w="med" len="med"/>
                          </a:ln>
                          <a:effectLst/>
                        </wps:spPr>
                        <wps:bodyPr/>
                      </wps:wsp>
                      <wps:wsp>
                        <wps:cNvPr id="41" name="矩形 43"/>
                        <wps:cNvSpPr>
                          <a:spLocks noChangeArrowheads="1"/>
                        </wps:cNvSpPr>
                        <wps:spPr bwMode="auto">
                          <a:xfrm>
                            <a:off x="3357245" y="4612005"/>
                            <a:ext cx="1404620" cy="281305"/>
                          </a:xfrm>
                          <a:prstGeom prst="rect">
                            <a:avLst/>
                          </a:prstGeom>
                          <a:noFill/>
                          <a:ln>
                            <a:noFill/>
                          </a:ln>
                          <a:effectLst/>
                        </wps:spPr>
                        <wps:txbx>
                          <w:txbxContent>
                            <w:p w14:paraId="23E0924E">
                              <w:pPr>
                                <w:jc w:val="left"/>
                              </w:pPr>
                              <w:r>
                                <w:rPr>
                                  <w:rFonts w:hint="eastAsia"/>
                                </w:rPr>
                                <w:t>G8磁选上料扬尘</w:t>
                              </w:r>
                            </w:p>
                          </w:txbxContent>
                        </wps:txbx>
                        <wps:bodyPr rot="0" vert="horz" wrap="square" lIns="91440" tIns="45720" rIns="91440" bIns="45720" anchor="t" anchorCtr="0" upright="1">
                          <a:noAutofit/>
                        </wps:bodyPr>
                      </wps:wsp>
                      <wps:wsp>
                        <wps:cNvPr id="42" name="自选图形 42"/>
                        <wps:cNvCnPr>
                          <a:cxnSpLocks noChangeShapeType="1"/>
                        </wps:cNvCnPr>
                        <wps:spPr bwMode="auto">
                          <a:xfrm flipV="1">
                            <a:off x="2992755" y="4226560"/>
                            <a:ext cx="396240" cy="125095"/>
                          </a:xfrm>
                          <a:prstGeom prst="curvedConnector3">
                            <a:avLst>
                              <a:gd name="adj1" fmla="val 50160"/>
                            </a:avLst>
                          </a:prstGeom>
                          <a:noFill/>
                          <a:ln w="9525" cmpd="sng">
                            <a:solidFill>
                              <a:srgbClr val="000000"/>
                            </a:solidFill>
                            <a:prstDash val="dash"/>
                            <a:miter lim="800000"/>
                            <a:tailEnd type="arrow" w="med" len="med"/>
                          </a:ln>
                          <a:effectLst/>
                        </wps:spPr>
                        <wps:bodyPr/>
                      </wps:wsp>
                      <wps:wsp>
                        <wps:cNvPr id="43" name="矩形 43"/>
                        <wps:cNvSpPr>
                          <a:spLocks noChangeArrowheads="1"/>
                        </wps:cNvSpPr>
                        <wps:spPr bwMode="auto">
                          <a:xfrm>
                            <a:off x="3350895" y="4091305"/>
                            <a:ext cx="1404620" cy="281305"/>
                          </a:xfrm>
                          <a:prstGeom prst="rect">
                            <a:avLst/>
                          </a:prstGeom>
                          <a:noFill/>
                          <a:ln>
                            <a:noFill/>
                          </a:ln>
                          <a:effectLst/>
                        </wps:spPr>
                        <wps:txbx>
                          <w:txbxContent>
                            <w:p w14:paraId="79FB7205">
                              <w:pPr>
                                <w:jc w:val="left"/>
                              </w:pPr>
                              <w:r>
                                <w:rPr>
                                  <w:rFonts w:hint="eastAsia"/>
                                </w:rPr>
                                <w:t>G7铲车转运扬尘</w:t>
                              </w:r>
                            </w:p>
                          </w:txbxContent>
                        </wps:txbx>
                        <wps:bodyPr rot="0" vert="horz" wrap="square" lIns="91440" tIns="45720" rIns="91440" bIns="45720" anchor="t" anchorCtr="0" upright="1">
                          <a:noAutofit/>
                        </wps:bodyPr>
                      </wps:wsp>
                      <wps:wsp>
                        <wps:cNvPr id="44" name="自选图形 42"/>
                        <wps:cNvCnPr>
                          <a:cxnSpLocks noChangeShapeType="1"/>
                        </wps:cNvCnPr>
                        <wps:spPr bwMode="auto">
                          <a:xfrm flipV="1">
                            <a:off x="2999105" y="3267710"/>
                            <a:ext cx="396240" cy="125095"/>
                          </a:xfrm>
                          <a:prstGeom prst="curvedConnector3">
                            <a:avLst>
                              <a:gd name="adj1" fmla="val 50160"/>
                            </a:avLst>
                          </a:prstGeom>
                          <a:noFill/>
                          <a:ln w="9525" cmpd="sng">
                            <a:solidFill>
                              <a:srgbClr val="000000"/>
                            </a:solidFill>
                            <a:prstDash val="dash"/>
                            <a:miter lim="800000"/>
                            <a:tailEnd type="arrow" w="med" len="med"/>
                          </a:ln>
                          <a:effectLst/>
                        </wps:spPr>
                        <wps:bodyPr/>
                      </wps:wsp>
                      <wps:wsp>
                        <wps:cNvPr id="45" name="矩形 43"/>
                        <wps:cNvSpPr>
                          <a:spLocks noChangeArrowheads="1"/>
                        </wps:cNvSpPr>
                        <wps:spPr bwMode="auto">
                          <a:xfrm>
                            <a:off x="3357245" y="3132455"/>
                            <a:ext cx="1404620" cy="281305"/>
                          </a:xfrm>
                          <a:prstGeom prst="rect">
                            <a:avLst/>
                          </a:prstGeom>
                          <a:noFill/>
                          <a:ln>
                            <a:noFill/>
                          </a:ln>
                          <a:effectLst/>
                        </wps:spPr>
                        <wps:txbx>
                          <w:txbxContent>
                            <w:p w14:paraId="70A45940">
                              <w:pPr>
                                <w:jc w:val="left"/>
                              </w:pPr>
                              <w:r>
                                <w:rPr>
                                  <w:rFonts w:hint="eastAsia"/>
                                </w:rPr>
                                <w:t>G6铲车移堆扬尘</w:t>
                              </w:r>
                            </w:p>
                          </w:txbxContent>
                        </wps:txbx>
                        <wps:bodyPr rot="0" vert="horz" wrap="square" lIns="91440" tIns="45720" rIns="91440" bIns="45720" anchor="t" anchorCtr="0" upright="1">
                          <a:noAutofit/>
                        </wps:bodyPr>
                      </wps:wsp>
                      <wps:wsp>
                        <wps:cNvPr id="46" name="自选图形 42"/>
                        <wps:cNvCnPr>
                          <a:cxnSpLocks noChangeShapeType="1"/>
                        </wps:cNvCnPr>
                        <wps:spPr bwMode="auto">
                          <a:xfrm flipV="1">
                            <a:off x="2992755" y="2753360"/>
                            <a:ext cx="396240" cy="125095"/>
                          </a:xfrm>
                          <a:prstGeom prst="curvedConnector3">
                            <a:avLst>
                              <a:gd name="adj1" fmla="val 50160"/>
                            </a:avLst>
                          </a:prstGeom>
                          <a:noFill/>
                          <a:ln w="9525" cmpd="sng">
                            <a:solidFill>
                              <a:srgbClr val="000000"/>
                            </a:solidFill>
                            <a:prstDash val="dash"/>
                            <a:miter lim="800000"/>
                            <a:tailEnd type="arrow" w="med" len="med"/>
                          </a:ln>
                          <a:effectLst/>
                        </wps:spPr>
                        <wps:bodyPr/>
                      </wps:wsp>
                      <wps:wsp>
                        <wps:cNvPr id="47" name="矩形 43"/>
                        <wps:cNvSpPr>
                          <a:spLocks noChangeArrowheads="1"/>
                        </wps:cNvSpPr>
                        <wps:spPr bwMode="auto">
                          <a:xfrm>
                            <a:off x="3350895" y="2618105"/>
                            <a:ext cx="1404620" cy="281305"/>
                          </a:xfrm>
                          <a:prstGeom prst="rect">
                            <a:avLst/>
                          </a:prstGeom>
                          <a:noFill/>
                          <a:ln>
                            <a:noFill/>
                          </a:ln>
                          <a:effectLst/>
                        </wps:spPr>
                        <wps:txbx>
                          <w:txbxContent>
                            <w:p w14:paraId="79E396D0">
                              <w:pPr>
                                <w:jc w:val="left"/>
                              </w:pPr>
                              <w:r>
                                <w:rPr>
                                  <w:rFonts w:hint="eastAsia"/>
                                </w:rPr>
                                <w:t>G5烘干出料扬尘</w:t>
                              </w:r>
                            </w:p>
                          </w:txbxContent>
                        </wps:txbx>
                        <wps:bodyPr rot="0" vert="horz" wrap="square" lIns="91440" tIns="45720" rIns="91440" bIns="45720" anchor="t" anchorCtr="0" upright="1">
                          <a:noAutofit/>
                        </wps:bodyPr>
                      </wps:wsp>
                      <wps:wsp>
                        <wps:cNvPr id="48" name="自选图形 42"/>
                        <wps:cNvCnPr>
                          <a:cxnSpLocks noChangeShapeType="1"/>
                        </wps:cNvCnPr>
                        <wps:spPr bwMode="auto">
                          <a:xfrm flipV="1">
                            <a:off x="2986405" y="2239010"/>
                            <a:ext cx="396240" cy="125095"/>
                          </a:xfrm>
                          <a:prstGeom prst="curvedConnector3">
                            <a:avLst>
                              <a:gd name="adj1" fmla="val 50160"/>
                            </a:avLst>
                          </a:prstGeom>
                          <a:noFill/>
                          <a:ln w="9525" cmpd="sng">
                            <a:solidFill>
                              <a:srgbClr val="000000"/>
                            </a:solidFill>
                            <a:prstDash val="dash"/>
                            <a:miter lim="800000"/>
                            <a:tailEnd type="arrow" w="med" len="med"/>
                          </a:ln>
                          <a:effectLst/>
                        </wps:spPr>
                        <wps:bodyPr/>
                      </wps:wsp>
                      <wps:wsp>
                        <wps:cNvPr id="49" name="矩形 43"/>
                        <wps:cNvSpPr>
                          <a:spLocks noChangeArrowheads="1"/>
                        </wps:cNvSpPr>
                        <wps:spPr bwMode="auto">
                          <a:xfrm>
                            <a:off x="3344545" y="2103755"/>
                            <a:ext cx="1404620" cy="281305"/>
                          </a:xfrm>
                          <a:prstGeom prst="rect">
                            <a:avLst/>
                          </a:prstGeom>
                          <a:noFill/>
                          <a:ln>
                            <a:noFill/>
                          </a:ln>
                          <a:effectLst/>
                        </wps:spPr>
                        <wps:txbx>
                          <w:txbxContent>
                            <w:p w14:paraId="2C4B92D9">
                              <w:pPr>
                                <w:jc w:val="left"/>
                              </w:pPr>
                              <w:r>
                                <w:rPr>
                                  <w:rFonts w:hint="eastAsia"/>
                                </w:rPr>
                                <w:t>G1烘干烟气</w:t>
                              </w:r>
                            </w:p>
                          </w:txbxContent>
                        </wps:txbx>
                        <wps:bodyPr rot="0" vert="horz" wrap="square" lIns="91440" tIns="45720" rIns="91440" bIns="45720" anchor="t" anchorCtr="0" upright="1">
                          <a:noAutofit/>
                        </wps:bodyPr>
                      </wps:wsp>
                      <wps:wsp>
                        <wps:cNvPr id="50" name="自选图形 42"/>
                        <wps:cNvCnPr>
                          <a:cxnSpLocks noChangeShapeType="1"/>
                        </wps:cNvCnPr>
                        <wps:spPr bwMode="auto">
                          <a:xfrm flipV="1">
                            <a:off x="2986405" y="1737360"/>
                            <a:ext cx="396240" cy="125095"/>
                          </a:xfrm>
                          <a:prstGeom prst="curvedConnector3">
                            <a:avLst>
                              <a:gd name="adj1" fmla="val 50160"/>
                            </a:avLst>
                          </a:prstGeom>
                          <a:noFill/>
                          <a:ln w="9525" cmpd="sng">
                            <a:solidFill>
                              <a:srgbClr val="000000"/>
                            </a:solidFill>
                            <a:prstDash val="dash"/>
                            <a:miter lim="800000"/>
                            <a:tailEnd type="arrow" w="med" len="med"/>
                          </a:ln>
                          <a:effectLst/>
                        </wps:spPr>
                        <wps:bodyPr/>
                      </wps:wsp>
                      <wps:wsp>
                        <wps:cNvPr id="51" name="矩形 43"/>
                        <wps:cNvSpPr>
                          <a:spLocks noChangeArrowheads="1"/>
                        </wps:cNvSpPr>
                        <wps:spPr bwMode="auto">
                          <a:xfrm>
                            <a:off x="3344545" y="1602105"/>
                            <a:ext cx="1404620" cy="281305"/>
                          </a:xfrm>
                          <a:prstGeom prst="rect">
                            <a:avLst/>
                          </a:prstGeom>
                          <a:noFill/>
                          <a:ln>
                            <a:noFill/>
                          </a:ln>
                          <a:effectLst/>
                        </wps:spPr>
                        <wps:txbx>
                          <w:txbxContent>
                            <w:p w14:paraId="345C9B30">
                              <w:pPr>
                                <w:jc w:val="left"/>
                              </w:pPr>
                              <w:r>
                                <w:rPr>
                                  <w:rFonts w:hint="eastAsia"/>
                                </w:rPr>
                                <w:t>G4烘干上料扬尘</w:t>
                              </w:r>
                            </w:p>
                          </w:txbxContent>
                        </wps:txbx>
                        <wps:bodyPr rot="0" vert="horz" wrap="square" lIns="91440" tIns="45720" rIns="91440" bIns="45720" anchor="t" anchorCtr="0" upright="1">
                          <a:noAutofit/>
                        </wps:bodyPr>
                      </wps:wsp>
                      <wps:wsp>
                        <wps:cNvPr id="52" name="自选图形 42"/>
                        <wps:cNvCnPr>
                          <a:cxnSpLocks noChangeShapeType="1"/>
                        </wps:cNvCnPr>
                        <wps:spPr bwMode="auto">
                          <a:xfrm flipV="1">
                            <a:off x="2986405" y="1242060"/>
                            <a:ext cx="396240" cy="125095"/>
                          </a:xfrm>
                          <a:prstGeom prst="curvedConnector3">
                            <a:avLst>
                              <a:gd name="adj1" fmla="val 50160"/>
                            </a:avLst>
                          </a:prstGeom>
                          <a:noFill/>
                          <a:ln w="9525" cmpd="sng">
                            <a:solidFill>
                              <a:srgbClr val="000000"/>
                            </a:solidFill>
                            <a:prstDash val="dash"/>
                            <a:miter lim="800000"/>
                            <a:tailEnd type="arrow" w="med" len="med"/>
                          </a:ln>
                          <a:effectLst/>
                        </wps:spPr>
                        <wps:bodyPr/>
                      </wps:wsp>
                      <wps:wsp>
                        <wps:cNvPr id="53" name="矩形 43"/>
                        <wps:cNvSpPr>
                          <a:spLocks noChangeArrowheads="1"/>
                        </wps:cNvSpPr>
                        <wps:spPr bwMode="auto">
                          <a:xfrm>
                            <a:off x="3344545" y="1106805"/>
                            <a:ext cx="1404620" cy="281305"/>
                          </a:xfrm>
                          <a:prstGeom prst="rect">
                            <a:avLst/>
                          </a:prstGeom>
                          <a:noFill/>
                          <a:ln>
                            <a:noFill/>
                          </a:ln>
                          <a:effectLst/>
                        </wps:spPr>
                        <wps:txbx>
                          <w:txbxContent>
                            <w:p w14:paraId="07ED2C96">
                              <w:pPr>
                                <w:jc w:val="left"/>
                              </w:pPr>
                              <w:r>
                                <w:rPr>
                                  <w:rFonts w:hint="eastAsia"/>
                                </w:rPr>
                                <w:t>G3铲车转运扬尘</w:t>
                              </w:r>
                            </w:p>
                          </w:txbxContent>
                        </wps:txbx>
                        <wps:bodyPr rot="0" vert="horz" wrap="square" lIns="91440" tIns="45720" rIns="91440" bIns="45720" anchor="t" anchorCtr="0" upright="1">
                          <a:noAutofit/>
                        </wps:bodyPr>
                      </wps:wsp>
                      <wps:wsp>
                        <wps:cNvPr id="56" name="自选图形 42"/>
                        <wps:cNvCnPr>
                          <a:cxnSpLocks noChangeShapeType="1"/>
                        </wps:cNvCnPr>
                        <wps:spPr bwMode="auto">
                          <a:xfrm flipV="1">
                            <a:off x="2999105" y="289560"/>
                            <a:ext cx="396240" cy="125095"/>
                          </a:xfrm>
                          <a:prstGeom prst="curvedConnector3">
                            <a:avLst>
                              <a:gd name="adj1" fmla="val 50160"/>
                            </a:avLst>
                          </a:prstGeom>
                          <a:noFill/>
                          <a:ln w="9525" cmpd="sng">
                            <a:solidFill>
                              <a:srgbClr val="000000"/>
                            </a:solidFill>
                            <a:prstDash val="dash"/>
                            <a:miter lim="800000"/>
                            <a:tailEnd type="arrow" w="med" len="med"/>
                          </a:ln>
                          <a:effectLst/>
                        </wps:spPr>
                        <wps:bodyPr/>
                      </wps:wsp>
                      <wps:wsp>
                        <wps:cNvPr id="57" name="矩形 43"/>
                        <wps:cNvSpPr>
                          <a:spLocks noChangeArrowheads="1"/>
                        </wps:cNvSpPr>
                        <wps:spPr bwMode="auto">
                          <a:xfrm>
                            <a:off x="3357245" y="154305"/>
                            <a:ext cx="1404620" cy="281305"/>
                          </a:xfrm>
                          <a:prstGeom prst="rect">
                            <a:avLst/>
                          </a:prstGeom>
                          <a:noFill/>
                          <a:ln>
                            <a:noFill/>
                          </a:ln>
                          <a:effectLst/>
                        </wps:spPr>
                        <wps:txbx>
                          <w:txbxContent>
                            <w:p w14:paraId="554F8CCB">
                              <w:pPr>
                                <w:jc w:val="left"/>
                              </w:pPr>
                              <w:r>
                                <w:rPr>
                                  <w:rFonts w:hint="eastAsia"/>
                                </w:rPr>
                                <w:t>G2拆箱卸料扬尘</w:t>
                              </w:r>
                            </w:p>
                          </w:txbxContent>
                        </wps:txbx>
                        <wps:bodyPr rot="0" vert="horz" wrap="square" lIns="91440" tIns="45720" rIns="91440" bIns="45720" anchor="t" anchorCtr="0" upright="1">
                          <a:noAutofit/>
                        </wps:bodyPr>
                      </wps:wsp>
                      <wps:wsp>
                        <wps:cNvPr id="58" name="自选图形 42"/>
                        <wps:cNvCnPr>
                          <a:cxnSpLocks noChangeShapeType="1"/>
                        </wps:cNvCnPr>
                        <wps:spPr bwMode="auto">
                          <a:xfrm>
                            <a:off x="909955" y="562610"/>
                            <a:ext cx="333375" cy="309245"/>
                          </a:xfrm>
                          <a:prstGeom prst="curvedConnector2">
                            <a:avLst/>
                          </a:prstGeom>
                          <a:noFill/>
                          <a:ln w="9525" cmpd="sng">
                            <a:solidFill>
                              <a:srgbClr val="000000"/>
                            </a:solidFill>
                            <a:prstDash val="dash"/>
                            <a:miter lim="800000"/>
                            <a:tailEnd type="arrow" w="med" len="med"/>
                          </a:ln>
                          <a:effectLst/>
                        </wps:spPr>
                        <wps:bodyPr/>
                      </wps:wsp>
                      <wps:wsp>
                        <wps:cNvPr id="59" name="矩形 43"/>
                        <wps:cNvSpPr>
                          <a:spLocks noChangeArrowheads="1"/>
                        </wps:cNvSpPr>
                        <wps:spPr bwMode="auto">
                          <a:xfrm>
                            <a:off x="696595" y="871855"/>
                            <a:ext cx="1093470" cy="281305"/>
                          </a:xfrm>
                          <a:prstGeom prst="rect">
                            <a:avLst/>
                          </a:prstGeom>
                          <a:noFill/>
                          <a:ln>
                            <a:noFill/>
                          </a:ln>
                          <a:effectLst/>
                        </wps:spPr>
                        <wps:txbx>
                          <w:txbxContent>
                            <w:p w14:paraId="0FCAAA97">
                              <w:pPr>
                                <w:jc w:val="left"/>
                              </w:pPr>
                              <w:r>
                                <w:rPr>
                                  <w:rFonts w:hint="eastAsia"/>
                                </w:rPr>
                                <w:t>G13运输扬尘</w:t>
                              </w:r>
                            </w:p>
                          </w:txbxContent>
                        </wps:txbx>
                        <wps:bodyPr rot="0" vert="horz" wrap="square" lIns="91440" tIns="45720" rIns="91440" bIns="45720" anchor="t" anchorCtr="0" upright="1">
                          <a:noAutofit/>
                        </wps:bodyPr>
                      </wps:wsp>
                      <wps:wsp>
                        <wps:cNvPr id="60" name="自选图形 42"/>
                        <wps:cNvCnPr>
                          <a:cxnSpLocks noChangeShapeType="1"/>
                          <a:stCxn id="4" idx="1"/>
                        </wps:cNvCnPr>
                        <wps:spPr bwMode="auto">
                          <a:xfrm rot="10800000">
                            <a:off x="567055" y="6473190"/>
                            <a:ext cx="476250" cy="201930"/>
                          </a:xfrm>
                          <a:prstGeom prst="curvedConnector3">
                            <a:avLst>
                              <a:gd name="adj1" fmla="val 49867"/>
                            </a:avLst>
                          </a:prstGeom>
                          <a:noFill/>
                          <a:ln w="9525" cmpd="sng">
                            <a:solidFill>
                              <a:srgbClr val="000000"/>
                            </a:solidFill>
                            <a:prstDash val="dash"/>
                            <a:miter lim="800000"/>
                            <a:tailEnd type="arrow" w="med" len="med"/>
                          </a:ln>
                          <a:effectLst/>
                        </wps:spPr>
                        <wps:bodyPr/>
                      </wps:wsp>
                      <wps:wsp>
                        <wps:cNvPr id="61" name="矩形 43"/>
                        <wps:cNvSpPr>
                          <a:spLocks noChangeArrowheads="1"/>
                        </wps:cNvSpPr>
                        <wps:spPr bwMode="auto">
                          <a:xfrm>
                            <a:off x="74930" y="6205855"/>
                            <a:ext cx="1276985" cy="281305"/>
                          </a:xfrm>
                          <a:prstGeom prst="rect">
                            <a:avLst/>
                          </a:prstGeom>
                          <a:noFill/>
                          <a:ln>
                            <a:noFill/>
                          </a:ln>
                          <a:effectLst/>
                        </wps:spPr>
                        <wps:txbx>
                          <w:txbxContent>
                            <w:p w14:paraId="1202A14D">
                              <w:pPr>
                                <w:jc w:val="left"/>
                              </w:pPr>
                              <w:r>
                                <w:rPr>
                                  <w:rFonts w:hint="eastAsia"/>
                                </w:rPr>
                                <w:t>G11产品移堆扬尘</w:t>
                              </w:r>
                            </w:p>
                          </w:txbxContent>
                        </wps:txbx>
                        <wps:bodyPr rot="0" vert="horz" wrap="square" lIns="91440" tIns="45720" rIns="91440" bIns="45720" anchor="t" anchorCtr="0" upright="1">
                          <a:noAutofit/>
                        </wps:bodyPr>
                      </wps:wsp>
                      <wps:wsp>
                        <wps:cNvPr id="64" name="自选图形 50"/>
                        <wps:cNvCnPr>
                          <a:cxnSpLocks noChangeShapeType="1"/>
                        </wps:cNvCnPr>
                        <wps:spPr bwMode="auto">
                          <a:xfrm flipV="1">
                            <a:off x="2992755" y="7837805"/>
                            <a:ext cx="337820" cy="87630"/>
                          </a:xfrm>
                          <a:prstGeom prst="curvedConnector3">
                            <a:avLst>
                              <a:gd name="adj1" fmla="val 50188"/>
                            </a:avLst>
                          </a:prstGeom>
                          <a:noFill/>
                          <a:ln w="9525" cmpd="sng">
                            <a:solidFill>
                              <a:srgbClr val="000000"/>
                            </a:solidFill>
                            <a:prstDash val="dash"/>
                            <a:miter lim="800000"/>
                            <a:tailEnd type="arrow" w="med" len="med"/>
                          </a:ln>
                          <a:effectLst/>
                        </wps:spPr>
                        <wps:bodyPr/>
                      </wps:wsp>
                    </wpc:wpc>
                  </a:graphicData>
                </a:graphic>
              </wp:inline>
            </w:drawing>
          </mc:Choice>
          <mc:Fallback>
            <w:pict>
              <v:group id="画布 16" o:spid="_x0000_s1026" o:spt="203" style="height:671.9pt;width:423.65pt;" coordsize="5380355,8533130" editas="canvas" o:gfxdata="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">
                <o:lock v:ext="edit" aspectratio="f"/>
                <v:shape id="画布 16" o:spid="_x0000_s1026" style="position:absolute;left:0;top:0;height:8533130;width:5380355;" filled="f" stroked="f" coordsize="21600,21600" o:gfxdata="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">
                  <v:fill on="f" focussize="0,0"/>
                  <v:stroke on="f"/>
                  <v:imagedata o:title=""/>
                  <o:lock v:ext="edit" aspectratio="t"/>
                </v:shape>
                <v:rect id="矩形 11" o:spid="_x0000_s1026" o:spt="1" style="position:absolute;left:2029460;top:695960;height:291465;width:958215;" fillcolor="#FFFFFF" filled="t" stroked="t" coordsize="21600,21600" o:gfxdata="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2qR4o9UAAAAGAQAADwAA&#10;AAAAAAABACAAAAAiAAAAZHJzL2Rvd25yZXYueG1sUEsBAhQAFAAAAAgAh07iQDaLirlSAgAApQQA&#10;AA4AAAAAAAAAAQAgAAAAJAEAAGRycy9lMm9Eb2MueG1sUEsFBgAAAAAGAAYAWQEAAOgFAAAAAA==&#10;">
                  <v:fill on="t" focussize="0,0"/>
                  <v:stroke color="#000000" miterlimit="8" joinstyle="miter"/>
                  <v:imagedata o:title=""/>
                  <o:lock v:ext="edit" aspectratio="f"/>
                  <v:textbox>
                    <w:txbxContent>
                      <w:p w14:paraId="5B63816A">
                        <w:pPr>
                          <w:jc w:val="center"/>
                        </w:pPr>
                        <w:r>
                          <w:rPr>
                            <w:rFonts w:hint="eastAsia"/>
                          </w:rPr>
                          <w:t>湿毛矿堆场</w:t>
                        </w:r>
                      </w:p>
                    </w:txbxContent>
                  </v:textbox>
                </v:rect>
                <v:rect id="矩形 12" o:spid="_x0000_s1026" o:spt="1" style="position:absolute;left:2032635;top:2203450;height:292735;width:953135;" fillcolor="#FFFFFF" filled="t" stroked="t" coordsize="21600,21600" o:gfxdata="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4RIUu1gAAAAYBAAAP&#10;AAAAAAAAAAEAIAAAACIAAABkcnMvZG93bnJldi54bWxQSwECFAAUAAAACACHTuJACTAuCVMCAACp&#10;BAAADgAAAAAAAAABACAAAAAlAQAAZHJzL2Uyb0RvYy54bWxQSwUGAAAAAAYABgBZAQAA6gUAAAAA&#10;">
                  <v:fill on="t" focussize="0,0"/>
                  <v:stroke weight="2pt" color="#000000" miterlimit="8" joinstyle="miter"/>
                  <v:imagedata o:title=""/>
                  <o:lock v:ext="edit" aspectratio="f"/>
                  <v:textbox>
                    <w:txbxContent>
                      <w:p w14:paraId="311FE25D">
                        <w:pPr>
                          <w:jc w:val="center"/>
                        </w:pPr>
                        <w:r>
                          <w:rPr>
                            <w:rFonts w:hint="eastAsia"/>
                          </w:rPr>
                          <w:t>烘干机</w:t>
                        </w:r>
                      </w:p>
                    </w:txbxContent>
                  </v:textbox>
                </v:rect>
                <v:rect id="矩形 13" o:spid="_x0000_s1026" o:spt="1" style="position:absolute;left:2028190;top:3694430;height:292100;width:952500;" fillcolor="#FFFFFF" filled="t" stroked="t" coordsize="21600,21600" o:gfxdata="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apHij1QAAAAYBAAAP&#10;AAAAAAAAAAEAIAAAACIAAABkcnMvZG93bnJldi54bWxQSwECFAAUAAAACACHTuJADCnUflQCAACo&#10;BAAADgAAAAAAAAABACAAAAAkAQAAZHJzL2Uyb0RvYy54bWxQSwUGAAAAAAYABgBZAQAA6gUAAAAA&#10;">
                  <v:fill on="t" focussize="0,0"/>
                  <v:stroke color="#000000" miterlimit="8" joinstyle="miter"/>
                  <v:imagedata o:title=""/>
                  <o:lock v:ext="edit" aspectratio="f"/>
                  <v:textbox>
                    <w:txbxContent>
                      <w:p w14:paraId="26C94C1C">
                        <w:pPr>
                          <w:jc w:val="center"/>
                        </w:pPr>
                        <w:r>
                          <w:rPr>
                            <w:rFonts w:hint="eastAsia"/>
                          </w:rPr>
                          <w:t>干毛矿堆场</w:t>
                        </w:r>
                      </w:p>
                    </w:txbxContent>
                  </v:textbox>
                </v:rect>
                <v:rect id="矩形 14" o:spid="_x0000_s1026" o:spt="1" style="position:absolute;left:2031365;top:5752465;height:291465;width:951865;" fillcolor="#FFFFFF" filled="t" stroked="t" coordsize="21600,21600" o:gfxdata="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2qR4o9UAAAAGAQAA&#10;DwAAAAAAAAABACAAAAAiAAAAZHJzL2Rvd25yZXYueG1sUEsBAhQAFAAAAAgAh07iQDGVbpJVAgAA&#10;qAQAAA4AAAAAAAAAAQAgAAAAJAEAAGRycy9lMm9Eb2MueG1sUEsFBgAAAAAGAAYAWQEAAOsFAAAA&#10;AA==&#10;">
                  <v:fill on="t" focussize="0,0"/>
                  <v:stroke color="#000000" miterlimit="8" joinstyle="miter"/>
                  <v:imagedata o:title=""/>
                  <o:lock v:ext="edit" aspectratio="f"/>
                  <v:textbox>
                    <w:txbxContent>
                      <w:p w14:paraId="3B971F20">
                        <w:pPr>
                          <w:jc w:val="center"/>
                        </w:pPr>
                        <w:r>
                          <w:rPr>
                            <w:rFonts w:hint="eastAsia"/>
                          </w:rPr>
                          <w:t>磁选机出料</w:t>
                        </w:r>
                      </w:p>
                    </w:txbxContent>
                  </v:textbox>
                </v:rect>
                <v:rect id="矩形 15" o:spid="_x0000_s1026" o:spt="1" style="position:absolute;left:1038225;top:7066280;height:290830;width:950595;" fillcolor="#FFFFFF" filled="t" stroked="t" coordsize="21600,21600" o:gfxdata="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2qR4o9UAAAAGAQAA&#10;DwAAAAAAAAABACAAAAAiAAAAZHJzL2Rvd25yZXYueG1sUEsBAhQAFAAAAAgAh07iQMG5y35VAgAA&#10;pwQAAA4AAAAAAAAAAQAgAAAAJAEAAGRycy9lMm9Eb2MueG1sUEsFBgAAAAAGAAYAWQEAAOsFAAAA&#10;AA==&#10;">
                  <v:fill on="t" focussize="0,0"/>
                  <v:stroke color="#000000" miterlimit="8" joinstyle="miter"/>
                  <v:imagedata o:title=""/>
                  <o:lock v:ext="edit" aspectratio="f"/>
                  <v:textbox>
                    <w:txbxContent>
                      <w:p w14:paraId="0CF45EDF">
                        <w:pPr>
                          <w:jc w:val="center"/>
                        </w:pPr>
                        <w:r>
                          <w:rPr>
                            <w:rFonts w:hint="eastAsia"/>
                          </w:rPr>
                          <w:t>精矿堆场</w:t>
                        </w:r>
                      </w:p>
                    </w:txbxContent>
                  </v:textbox>
                </v:rect>
                <v:rect id="矩形 16" o:spid="_x0000_s1026" o:spt="1" style="position:absolute;left:2957830;top:7067550;height:292100;width:952500;" fillcolor="#FFFFFF" filled="t" stroked="t" coordsize="21600,21600" o:gfxdata="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2qR4o9UAAAAGAQAADwAA&#10;AAAAAAABACAAAAAiAAAAZHJzL2Rvd25yZXYueG1sUEsBAhQAFAAAAAgAh07iQOZtlslSAgAAqAQA&#10;AA4AAAAAAAAAAQAgAAAAJAEAAGRycy9lMm9Eb2MueG1sUEsFBgAAAAAGAAYAWQEAAOgFAAAAAA==&#10;">
                  <v:fill on="t" focussize="0,0"/>
                  <v:stroke color="#000000" miterlimit="8" joinstyle="miter"/>
                  <v:imagedata o:title=""/>
                  <o:lock v:ext="edit" aspectratio="f"/>
                  <v:textbox>
                    <w:txbxContent>
                      <w:p w14:paraId="08AF9712">
                        <w:pPr>
                          <w:jc w:val="center"/>
                        </w:pPr>
                        <w:r>
                          <w:rPr>
                            <w:rFonts w:hint="eastAsia"/>
                          </w:rPr>
                          <w:t>锆中矿堆场</w:t>
                        </w:r>
                      </w:p>
                    </w:txbxContent>
                  </v:textbox>
                </v:rect>
                <v:rect id="矩形 17" o:spid="_x0000_s1026" o:spt="1" style="position:absolute;left:2042795;top:8206740;height:280035;width:941070;" fillcolor="#FFFFFF" filled="t" stroked="t" coordsize="21600,21600" o:gfxdata="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NqkeKPVAAAABgEA&#10;AA8AAAAAAAAAAQAgAAAAIgAAAGRycy9kb3ducmV2LnhtbFBLAQIUABQAAAAIAIdO4kAGHDqMVgIA&#10;AKcEAAAOAAAAAAAAAAEAIAAAACQBAABkcnMvZTJvRG9jLnhtbFBLBQYAAAAABgAGAFkBAADsBQAA&#10;AAA=&#10;">
                  <v:fill on="t" focussize="0,0"/>
                  <v:stroke color="#000000" miterlimit="8" joinstyle="miter"/>
                  <v:imagedata o:title=""/>
                  <o:lock v:ext="edit" aspectratio="f"/>
                  <v:textbox>
                    <w:txbxContent>
                      <w:p w14:paraId="5791F792">
                        <w:pPr>
                          <w:jc w:val="center"/>
                        </w:pPr>
                        <w:r>
                          <w:rPr>
                            <w:rFonts w:hint="eastAsia"/>
                          </w:rPr>
                          <w:t>产品外运</w:t>
                        </w:r>
                      </w:p>
                    </w:txbxContent>
                  </v:textbox>
                </v:rect>
                <v:shape id="自选图形 25" o:spid="_x0000_s1026" o:spt="34" type="#_x0000_t34" style="position:absolute;left:1770380;top:5792470;height:988695;width:485775;rotation:5898240f;" filled="f" stroked="t" coordsize="21600,21600" o:gfxdata="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C/TAUXVAAAABgEAAA8AAAAAAAAAAQAgAAAAIgAAAGRycy9kb3ducmV2LnhtbFBL&#10;AQIUABQAAAAIAIdO4kAK0POlawIAAJIEAAAOAAAAAAAAAAEAIAAAACQBAABkcnMvZTJvRG9jLnht&#10;bFBLBQYAAAAABgAGAFkBAAABBgAAAAA=&#10;" adj="10814">
                  <v:fill on="f" focussize="0,0"/>
                  <v:stroke color="#000000" miterlimit="8" joinstyle="miter" endarrow="open"/>
                  <v:imagedata o:title=""/>
                  <o:lock v:ext="edit" aspectratio="f"/>
                </v:shape>
                <v:shape id="自选图形 26" o:spid="_x0000_s1026" o:spt="34" type="#_x0000_t34" style="position:absolute;left:2726055;top:5825490;flip:y;height:922655;width:485775;rotation:-5898240f;" filled="f" stroked="t" coordsize="21600,21600" o:gfxdata="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LxzqcjWAAAABgEAAA8AAAAAAAAAAQAgAAAAIgAAAGRycy9kb3ducmV2Lnht&#10;bFBLAQIUABQAAAAIAIdO4kD2bmvobQIAAJwEAAAOAAAAAAAAAAEAIAAAACUBAABkcnMvZTJvRG9j&#10;LnhtbFBLBQYAAAAABgAGAFkBAAAEBgAAAAA=&#10;" adj="10814">
                  <v:fill on="f" focussize="0,0"/>
                  <v:stroke color="#000000" miterlimit="8" joinstyle="miter" endarrow="open"/>
                  <v:imagedata o:title=""/>
                  <o:lock v:ext="edit" aspectratio="f"/>
                </v:shape>
                <v:shape id="自选图形 28" o:spid="_x0000_s1026" o:spt="34" type="#_x0000_t34" style="position:absolute;left:1815465;top:7055167;flip:x;height:998855;width:394970;rotation:5898240f;" filled="f" stroked="t" coordsize="21600,21600" o:gfxdata="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6Bll00gAAAAYBAAAPAAAAAAAAAAEAIAAAACIAAABkcnMvZG93bnJldi54bWxQ&#10;SwECFAAUAAAACACHTuJADfUWi28CAACcBAAADgAAAAAAAAABACAAAAAhAQAAZHJzL2Uyb0RvYy54&#10;bWxQSwUGAAAAAAYABgBZAQAAAgYAAAAA&#10;" adj="10800">
                  <v:fill on="f" focussize="0,0"/>
                  <v:stroke color="#000000" miterlimit="8" joinstyle="miter" endarrow="open"/>
                  <v:imagedata o:title=""/>
                  <o:lock v:ext="edit" aspectratio="f"/>
                </v:shape>
                <v:shape id="自选图形 29" o:spid="_x0000_s1026" o:spt="34" type="#_x0000_t34" style="position:absolute;left:2777173;top:7095173;height:921385;width:392430;rotation:5898240f;" filled="f" stroked="t" coordsize="21600,21600" o:gfxdata="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Og6JifVAAAABgEAAA8AAAAAAAAAAQAgAAAAIgAAAGRycy9kb3ducmV2LnhtbFBL&#10;AQIUABQAAAAIAIdO4kDVuG7UawIAAJIEAAAOAAAAAAAAAAEAIAAAACQBAABkcnMvZTJvRG9jLnht&#10;bFBLBQYAAAAABgAGAFkBAAABBgAAAAA=&#10;" adj="10783">
                  <v:fill on="f" focussize="0,0"/>
                  <v:stroke color="#000000" miterlimit="8" joinstyle="miter" endarrow="open"/>
                  <v:imagedata o:title=""/>
                  <o:lock v:ext="edit" aspectratio="f"/>
                </v:shape>
                <v:rect id="矩形 33" o:spid="_x0000_s1026" o:spt="1" style="position:absolute;left:1001395;top:6025515;height:292735;width:1071880;" filled="f" stroked="f" coordsize="21600,21600" o:gfxdata="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hYijSNgAAAAGAQAADwAAAAAAAAABACAAAAAiAAAAZHJzL2Rvd25yZXYueG1sUEsBAhQAFAAAAAgA&#10;h07iQC3BCMYlAgAAKwQAAA4AAAAAAAAAAQAgAAAAJwEAAGRycy9lMm9Eb2MueG1sUEsFBgAAAAAG&#10;AAYAWQEAAL4FAAAAAA==&#10;">
                  <v:fill on="f" focussize="0,0"/>
                  <v:stroke on="f"/>
                  <v:imagedata o:title=""/>
                  <o:lock v:ext="edit" aspectratio="f"/>
                  <v:textbox>
                    <w:txbxContent>
                      <w:p w14:paraId="6DBCBAA1">
                        <w:pPr>
                          <w:jc w:val="center"/>
                        </w:pPr>
                        <w:r>
                          <w:rPr>
                            <w:rFonts w:hint="eastAsia"/>
                          </w:rPr>
                          <w:t>钛铁精矿</w:t>
                        </w:r>
                      </w:p>
                    </w:txbxContent>
                  </v:textbox>
                </v:rect>
                <v:rect id="矩形 34" o:spid="_x0000_s1026" o:spt="1" style="position:absolute;left:2895600;top:6020435;height:292735;width:1068070;" filled="f" stroked="f" coordsize="21600,21600" o:gfxdata="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WIo0jYAAAABgEAAA8AAAAAAAAAAQAgAAAAIgAAAGRycy9kb3ducmV2LnhtbFBLAQIUABQAAAAI&#10;AIdO4kAS6g7lJgIAACwEAAAOAAAAAAAAAAEAIAAAACcBAABkcnMvZTJvRG9jLnhtbFBLBQYAAAAA&#10;BgAGAFkBAAC/BQAAAAA=&#10;">
                  <v:fill on="f" focussize="0,0"/>
                  <v:stroke on="f"/>
                  <v:imagedata o:title=""/>
                  <o:lock v:ext="edit" aspectratio="f"/>
                  <v:textbox>
                    <w:txbxContent>
                      <w:p w14:paraId="3E3789CF">
                        <w:pPr>
                          <w:jc w:val="center"/>
                        </w:pPr>
                        <w:r>
                          <w:rPr>
                            <w:rFonts w:hint="eastAsia"/>
                          </w:rPr>
                          <w:t>锆中矿</w:t>
                        </w:r>
                      </w:p>
                    </w:txbxContent>
                  </v:textbox>
                </v:rect>
                <v:shape id="自选图形 40" o:spid="_x0000_s1026" o:spt="38" type="#_x0000_t38" style="position:absolute;left:3783965;top:6327140;flip:y;height:212090;width:345440;" filled="f" stroked="t" coordsize="21600,21600" o:gfxdata="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EwNgDbSAAAA&#10;BgEAAA8AAAAAAAAAAQAgAAAAIgAAAGRycy9kb3ducmV2LnhtbFBLAQIUABQAAAAIAIdO4kC2j8J5&#10;XAIAAG0EAAAOAAAAAAAAAAEAIAAAACEBAABkcnMvZTJvRG9jLnhtbFBLBQYAAAAABgAGAFkBAADv&#10;BQAAAAA=&#10;" adj="10840">
                  <v:fill on="f" focussize="0,0"/>
                  <v:stroke color="#000000" miterlimit="8" joinstyle="miter" dashstyle="dash" endarrow="open"/>
                  <v:imagedata o:title=""/>
                  <o:lock v:ext="edit" aspectratio="f"/>
                </v:shape>
                <v:shape id="自选图形 42" o:spid="_x0000_s1026" o:spt="38" type="#_x0000_t38" style="position:absolute;left:2990215;top:5756910;flip:y;height:125095;width:396240;" filled="f" stroked="t" coordsize="21600,21600" o:gfxdata="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HZQt&#10;2AAAAAYBAAAPAAAAAAAAAAEAIAAAACIAAABkcnMvZG93bnJldi54bWxQSwECFAAUAAAACACHTuJA&#10;x51tm1oCAABsBAAADgAAAAAAAAABACAAAAAnAQAAZHJzL2Uyb0RvYy54bWxQSwUGAAAAAAYABgBZ&#10;AQAA8wUAAAAA&#10;" adj="10835">
                  <v:fill on="f" focussize="0,0"/>
                  <v:stroke color="#000000" miterlimit="8" joinstyle="miter" dashstyle="dash" endarrow="open"/>
                  <v:imagedata o:title=""/>
                  <o:lock v:ext="edit" aspectratio="f"/>
                </v:shape>
                <v:rect id="矩形 43" o:spid="_x0000_s1026" o:spt="1" style="position:absolute;left:3878580;top:6083300;height:281305;width:1404620;" filled="f" stroked="f" coordsize="21600,21600" o:gfxdata="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WIo0jYAAAABgEAAA8AAAAAAAAAAQAgAAAAIgAAAGRycy9kb3ducmV2LnhtbFBLAQIUABQAAAAI&#10;AIdO4kDdncKBJgIAACwEAAAOAAAAAAAAAAEAIAAAACcBAABkcnMvZTJvRG9jLnhtbFBLBQYAAAAA&#10;BgAGAFkBAAC/BQAAAAA=&#10;">
                  <v:fill on="f" focussize="0,0"/>
                  <v:stroke on="f"/>
                  <v:imagedata o:title=""/>
                  <o:lock v:ext="edit" aspectratio="f"/>
                  <v:textbox>
                    <w:txbxContent>
                      <w:p w14:paraId="0BA47EA8">
                        <w:pPr>
                          <w:jc w:val="center"/>
                        </w:pPr>
                        <w:r>
                          <w:rPr>
                            <w:rFonts w:hint="eastAsia"/>
                          </w:rPr>
                          <w:t>G11产品移堆扬尘</w:t>
                        </w:r>
                      </w:p>
                    </w:txbxContent>
                  </v:textbox>
                </v:rect>
                <v:shape id="自选图形 50" o:spid="_x0000_s1026" o:spt="38" type="#_x0000_t38" style="position:absolute;left:2991485;top:8244840;flip:y;height:87630;width:337820;" filled="f" stroked="t" coordsize="21600,21600" o:gfxdata="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DmYnN/X&#10;AAAABgEAAA8AAAAAAAAAAQAgAAAAIgAAAGRycy9kb3ducmV2LnhtbFBLAQIUABQAAAAIAIdO4kA0&#10;YmPgWgIAAGwEAAAOAAAAAAAAAAEAIAAAACYBAABkcnMvZTJvRG9jLnhtbFBLBQYAAAAABgAGAFkB&#10;AADyBQAAAAA=&#10;" adj="10841">
                  <v:fill on="f" focussize="0,0"/>
                  <v:stroke color="#000000" miterlimit="8" joinstyle="miter" dashstyle="dash" endarrow="open"/>
                  <v:imagedata o:title=""/>
                  <o:lock v:ext="edit" aspectratio="f"/>
                </v:shape>
                <v:rect id="矩形 51" o:spid="_x0000_s1026" o:spt="1" style="position:absolute;left:3319145;top:8135620;height:280035;width:962025;" filled="f" stroked="f" coordsize="21600,21600" o:gfxdata="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FiKNI&#10;2AAAAAYBAAAPAAAAAAAAAAEAIAAAACIAAABkcnMvZG93bnJldi54bWxQSwECFAAUAAAACACHTuJA&#10;PDvDEiECAAAqBAAADgAAAAAAAAABACAAAAAnAQAAZHJzL2Uyb0RvYy54bWxQSwUGAAAAAAYABgBZ&#10;AQAAugUAAAAA&#10;">
                  <v:fill on="f" focussize="0,0"/>
                  <v:stroke on="f"/>
                  <v:imagedata o:title=""/>
                  <o:lock v:ext="edit" aspectratio="f"/>
                  <v:textbox>
                    <w:txbxContent>
                      <w:p w14:paraId="2E9497CC">
                        <w:pPr>
                          <w:jc w:val="center"/>
                        </w:pPr>
                        <w:r>
                          <w:rPr>
                            <w:rFonts w:hint="eastAsia"/>
                          </w:rPr>
                          <w:t>G14运输扬尘</w:t>
                        </w:r>
                      </w:p>
                    </w:txbxContent>
                  </v:textbox>
                </v:rect>
                <v:rect id="矩形 15" o:spid="_x0000_s1026" o:spt="1" style="position:absolute;left:2037080;top:7752080;height:290830;width:950595;" fillcolor="#FFFFFF" filled="t" stroked="t" coordsize="21600,21600" o:gfxdata="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2qR4o9UAAAAGAQAADwAAAAAA&#10;AAABACAAAAAiAAAAZHJzL2Rvd25yZXYueG1sUEsBAhQAFAAAAAgAh07iQF8GdS5PAgAAnwQAAA4A&#10;AAAAAAAAAQAgAAAAJAEAAGRycy9lMm9Eb2MueG1sUEsFBgAAAAAGAAYAWQEAAOUFAAAAAA==&#10;">
                  <v:fill on="t" focussize="0,0"/>
                  <v:stroke color="#000000" miterlimit="8" joinstyle="miter"/>
                  <v:imagedata o:title=""/>
                  <o:lock v:ext="edit" aspectratio="f"/>
                  <v:textbox>
                    <w:txbxContent>
                      <w:p w14:paraId="579A9101">
                        <w:pPr>
                          <w:jc w:val="center"/>
                        </w:pPr>
                        <w:r>
                          <w:rPr>
                            <w:rFonts w:hint="eastAsia"/>
                          </w:rPr>
                          <w:t>产品装车</w:t>
                        </w:r>
                      </w:p>
                    </w:txbxContent>
                  </v:textbox>
                </v:rect>
                <v:rect id="矩形 15" o:spid="_x0000_s1026" o:spt="1" style="position:absolute;left:1043305;top:6529705;height:290830;width:950595;" fillcolor="#FFFFFF" filled="t" stroked="t" coordsize="21600,21600" o:gfxdata="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NqkeKPVAAAABgEAAA8AAAAA&#10;AAAAAQAgAAAAIgAAAGRycy9kb3ducmV2LnhtbFBLAQIUABQAAAAIAIdO4kAv3qApUAIAAJ8EAAAO&#10;AAAAAAAAAAEAIAAAACQBAABkcnMvZTJvRG9jLnhtbFBLBQYAAAAABgAGAFkBAADmBQAAAAA=&#10;">
                  <v:fill on="t" focussize="0,0"/>
                  <v:stroke color="#000000" miterlimit="8" joinstyle="miter"/>
                  <v:imagedata o:title=""/>
                  <o:lock v:ext="edit" aspectratio="f"/>
                  <v:textbox>
                    <w:txbxContent>
                      <w:p w14:paraId="73AED91C">
                        <w:pPr>
                          <w:jc w:val="center"/>
                        </w:pPr>
                        <w:r>
                          <w:rPr>
                            <w:rFonts w:hint="eastAsia"/>
                          </w:rPr>
                          <w:t>精矿移堆</w:t>
                        </w:r>
                      </w:p>
                    </w:txbxContent>
                  </v:textbox>
                </v:rect>
                <v:rect id="矩形 15" o:spid="_x0000_s1026" o:spt="1" style="position:absolute;left:2954655;top:6529705;height:290830;width:950595;" fillcolor="#FFFFFF" filled="t" stroked="t" coordsize="21600,21600" o:gfxdata="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apHij1QAAAAYBAAAPAAAA&#10;AAAAAAEAIAAAACIAAABkcnMvZG93bnJldi54bWxQSwECFAAUAAAACACHTuJAN86fXFECAACfBAAA&#10;DgAAAAAAAAABACAAAAAkAQAAZHJzL2Uyb0RvYy54bWxQSwUGAAAAAAYABgBZAQAA5wUAAAAA&#10;">
                  <v:fill on="t" focussize="0,0"/>
                  <v:stroke color="#000000" miterlimit="8" joinstyle="miter"/>
                  <v:imagedata o:title=""/>
                  <o:lock v:ext="edit" aspectratio="f"/>
                  <v:textbox>
                    <w:txbxContent>
                      <w:p w14:paraId="4B8F2A4D">
                        <w:pPr>
                          <w:jc w:val="center"/>
                        </w:pPr>
                        <w:r>
                          <w:rPr>
                            <w:rFonts w:hint="eastAsia"/>
                          </w:rPr>
                          <w:t>中矿移堆</w:t>
                        </w:r>
                      </w:p>
                    </w:txbxContent>
                  </v:textbox>
                </v:rect>
                <v:shape id="_x0000_s1026" o:spid="_x0000_s1026" o:spt="32" type="#_x0000_t32" style="position:absolute;left:1513840;top:6820535;flip:x;height:245745;width:5080;" filled="f" stroked="t" coordsize="21600,21600" o:gfxdata="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LHXfmnYAAAABgEAAA8AAAAAAAAAAQAgAAAAIgAAAGRycy9k&#10;b3ducmV2LnhtbFBLAQIUABQAAAAIAIdO4kBYV4WhOwIAAD8EAAAOAAAAAAAAAAEAIAAAACcBAABk&#10;cnMvZTJvRG9jLnhtbFBLBQYAAAAABgAGAFkBAADUBQAAAAA=&#10;">
                  <v:fill on="f" focussize="0,0"/>
                  <v:stroke weight="1pt" color="#000000 [3213]" miterlimit="8" joinstyle="miter" endarrow="open"/>
                  <v:imagedata o:title=""/>
                  <o:lock v:ext="edit" aspectratio="f"/>
                </v:shape>
                <v:shape id="_x0000_s1026" o:spid="_x0000_s1026" o:spt="32" type="#_x0000_t32" style="position:absolute;left:3430270;top:6820535;height:247015;width:3810;" filled="f" stroked="t" coordsize="21600,21600" o:gfxdata="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HpqlM7VAAAABgEAAA8AAAAAAAAAAQAgAAAAIgAAAGRycy9kb3ducmV2LnhtbFBL&#10;AQIUABQAAAAIAIdO4kDqppEmMgIAADYEAAAOAAAAAAAAAAEAIAAAACQBAABkcnMvZTJvRG9jLnht&#10;bFBLBQYAAAAABgAGAFkBAADIBQAAAAA=&#10;">
                  <v:fill on="f" focussize="0,0"/>
                  <v:stroke weight="1pt" color="#000000 [3213]" miterlimit="8" joinstyle="miter" endarrow="open"/>
                  <v:imagedata o:title=""/>
                  <o:lock v:ext="edit" aspectratio="f"/>
                </v:shape>
                <v:rect id="矩形 14" o:spid="_x0000_s1026" o:spt="1" style="position:absolute;left:2027555;top:5215255;height:291465;width:951865;" fillcolor="#FFFFFF" filled="t" stroked="t" coordsize="21600,21600" o:gfxdata="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4RIUu1gAAAAYBAAAPAAAAAAAA&#10;AAEAIAAAACIAAABkcnMvZG93bnJldi54bWxQSwECFAAUAAAACACHTuJAWNKZqk0CAACgBAAADgAA&#10;AAAAAAABACAAAAAlAQAAZHJzL2Uyb0RvYy54bWxQSwUGAAAAAAYABgBZAQAA5AUAAAAA&#10;">
                  <v:fill on="t" focussize="0,0"/>
                  <v:stroke weight="2pt" color="#000000" miterlimit="8" joinstyle="miter"/>
                  <v:imagedata o:title=""/>
                  <o:lock v:ext="edit" aspectratio="f"/>
                  <v:textbox>
                    <w:txbxContent>
                      <w:p w14:paraId="6AF36773">
                        <w:pPr>
                          <w:jc w:val="center"/>
                        </w:pPr>
                        <w:r>
                          <w:rPr>
                            <w:rFonts w:hint="eastAsia"/>
                          </w:rPr>
                          <w:t>磁选</w:t>
                        </w:r>
                      </w:p>
                    </w:txbxContent>
                  </v:textbox>
                </v:rect>
                <v:rect id="矩形 14" o:spid="_x0000_s1026" o:spt="1" style="position:absolute;left:2027555;top:4713605;height:291465;width:951865;" fillcolor="#FFFFFF" filled="t" stroked="t" coordsize="21600,21600" o:gfxdata="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NqkeKPVAAAABgEAAA8AAAAAAAAA&#10;AQAgAAAAIgAAAGRycy9kb3ducmV2LnhtbFBLAQIUABQAAAAIAIdO4kCIw1iPTQIAAKAEAAAOAAAA&#10;AAAAAAEAIAAAACQBAABkcnMvZTJvRG9jLnhtbFBLBQYAAAAABgAGAFkBAADjBQAAAAA=&#10;">
                  <v:fill on="t" focussize="0,0"/>
                  <v:stroke color="#000000" miterlimit="8" joinstyle="miter"/>
                  <v:imagedata o:title=""/>
                  <o:lock v:ext="edit" aspectratio="f"/>
                  <v:textbox>
                    <w:txbxContent>
                      <w:p w14:paraId="76B7E145">
                        <w:pPr>
                          <w:jc w:val="center"/>
                        </w:pPr>
                        <w:r>
                          <w:rPr>
                            <w:rFonts w:hint="eastAsia"/>
                          </w:rPr>
                          <w:t>磁选机上料</w:t>
                        </w:r>
                      </w:p>
                    </w:txbxContent>
                  </v:textbox>
                </v:rect>
                <v:rect id="矩形 14" o:spid="_x0000_s1026" o:spt="1" style="position:absolute;left:2027555;top:4199255;height:291465;width:951865;" fillcolor="#FFFFFF" filled="t" stroked="t" coordsize="21600,21600" o:gfxdata="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NqkeKPVAAAABgEAAA8AAAAAAAAA&#10;AQAgAAAAIgAAAGRycy9kb3ducmV2LnhtbFBLAQIUABQAAAAIAIdO4kCaI/W8TQIAAKAEAAAOAAAA&#10;AAAAAAEAIAAAACQBAABkcnMvZTJvRG9jLnhtbFBLBQYAAAAABgAGAFkBAADjBQAAAAA=&#10;">
                  <v:fill on="t" focussize="0,0"/>
                  <v:stroke color="#000000" miterlimit="8" joinstyle="miter"/>
                  <v:imagedata o:title=""/>
                  <o:lock v:ext="edit" aspectratio="f"/>
                  <v:textbox>
                    <w:txbxContent>
                      <w:p w14:paraId="3F6013BE">
                        <w:pPr>
                          <w:jc w:val="center"/>
                        </w:pPr>
                        <w:r>
                          <w:rPr>
                            <w:rFonts w:hint="eastAsia"/>
                          </w:rPr>
                          <w:t>铲车转运</w:t>
                        </w:r>
                      </w:p>
                    </w:txbxContent>
                  </v:textbox>
                </v:rect>
                <v:rect id="矩形 14" o:spid="_x0000_s1026" o:spt="1" style="position:absolute;left:2033905;top:3234055;height:291465;width:951865;" fillcolor="#FFFFFF" filled="t" stroked="t" coordsize="21600,21600" o:gfxdata="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apHij1QAAAAYBAAAPAAAAAAAA&#10;AAEAIAAAACIAAABkcnMvZG93bnJldi54bWxQSwECFAAUAAAACACHTuJAWcfLUU4CAACgBAAADgAA&#10;AAAAAAABACAAAAAkAQAAZHJzL2Uyb0RvYy54bWxQSwUGAAAAAAYABgBZAQAA5AUAAAAA&#10;">
                  <v:fill on="t" focussize="0,0"/>
                  <v:stroke color="#000000" miterlimit="8" joinstyle="miter"/>
                  <v:imagedata o:title=""/>
                  <o:lock v:ext="edit" aspectratio="f"/>
                  <v:textbox>
                    <w:txbxContent>
                      <w:p w14:paraId="7914C1FB">
                        <w:pPr>
                          <w:jc w:val="center"/>
                        </w:pPr>
                        <w:r>
                          <w:rPr>
                            <w:rFonts w:hint="eastAsia"/>
                          </w:rPr>
                          <w:t>干毛矿移堆</w:t>
                        </w:r>
                      </w:p>
                    </w:txbxContent>
                  </v:textbox>
                </v:rect>
                <v:rect id="矩形 14" o:spid="_x0000_s1026" o:spt="1" style="position:absolute;left:2033905;top:2732405;height:291465;width:951865;" fillcolor="#FFFFFF" filled="t" stroked="t" coordsize="21600,21600" o:gfxdata="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2qR4o9UAAAAGAQAADwAAAAAAAAAB&#10;ACAAAAAiAAAAZHJzL2Rvd25yZXYueG1sUEsBAhQAFAAAAAgAh07iQI37IWZMAgAAoAQAAA4AAAAA&#10;AAAAAQAgAAAAJAEAAGRycy9lMm9Eb2MueG1sUEsFBgAAAAAGAAYAWQEAAOIFAAAAAA==&#10;">
                  <v:fill on="t" focussize="0,0"/>
                  <v:stroke color="#000000" miterlimit="8" joinstyle="miter"/>
                  <v:imagedata o:title=""/>
                  <o:lock v:ext="edit" aspectratio="f"/>
                  <v:textbox>
                    <w:txbxContent>
                      <w:p w14:paraId="5FCF3994">
                        <w:pPr>
                          <w:jc w:val="center"/>
                        </w:pPr>
                        <w:r>
                          <w:rPr>
                            <w:rFonts w:hint="eastAsia"/>
                          </w:rPr>
                          <w:t>烘干机出料</w:t>
                        </w:r>
                      </w:p>
                    </w:txbxContent>
                  </v:textbox>
                </v:rect>
                <v:rect id="_x0000_s1026" o:spid="_x0000_s1026" o:spt="1" style="position:absolute;left:2027555;top:1697355;height:291465;width:951865;" fillcolor="#FFFFFF" filled="t" stroked="t" coordsize="21600,21600" o:gfxdata="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NqkeKPVAAAABgEAAA8AAAAAAAAA&#10;AQAgAAAAIgAAAGRycy9kb3ducmV2LnhtbFBLAQIUABQAAAAIAIdO4kAnO/uGTQIAAKAEAAAOAAAA&#10;AAAAAAEAIAAAACQBAABkcnMvZTJvRG9jLnhtbFBLBQYAAAAABgAGAFkBAADjBQAAAAA=&#10;">
                  <v:fill on="t" focussize="0,0"/>
                  <v:stroke color="#000000" miterlimit="8" joinstyle="miter"/>
                  <v:imagedata o:title=""/>
                  <o:lock v:ext="edit" aspectratio="f"/>
                  <v:textbox>
                    <w:txbxContent>
                      <w:p w14:paraId="6AAFD573">
                        <w:pPr>
                          <w:jc w:val="center"/>
                        </w:pPr>
                        <w:r>
                          <w:rPr>
                            <w:rFonts w:hint="eastAsia"/>
                          </w:rPr>
                          <w:t>烘干机上料</w:t>
                        </w:r>
                      </w:p>
                    </w:txbxContent>
                  </v:textbox>
                </v:rect>
                <v:rect id="矩形 14" o:spid="_x0000_s1026" o:spt="1" style="position:absolute;left:205105;top:2205355;height:291465;width:951865;" fillcolor="#FFFFFF" filled="t" stroked="t" coordsize="21600,21600" o:gfxdata="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2qR4o9UAAAAGAQAADwAAAAAAAAABACAA&#10;AAAiAAAAZHJzL2Rvd25yZXYueG1sUEsBAhQAFAAAAAgAh07iQPFMluRJAgAAnwQAAA4AAAAAAAAA&#10;AQAgAAAAJAEAAGRycy9lMm9Eb2MueG1sUEsFBgAAAAAGAAYAWQEAAN8FAAAAAA==&#10;">
                  <v:fill on="t" focussize="0,0"/>
                  <v:stroke color="#000000" miterlimit="8" joinstyle="miter"/>
                  <v:imagedata o:title=""/>
                  <o:lock v:ext="edit" aspectratio="f"/>
                  <v:textbox>
                    <w:txbxContent>
                      <w:p w14:paraId="6D42A8C4">
                        <w:pPr>
                          <w:jc w:val="center"/>
                        </w:pPr>
                        <w:r>
                          <w:rPr>
                            <w:rFonts w:hint="eastAsia"/>
                          </w:rPr>
                          <w:t>烘干炉</w:t>
                        </w:r>
                      </w:p>
                    </w:txbxContent>
                  </v:textbox>
                </v:rect>
                <v:rect id="_x0000_s1026" o:spid="_x0000_s1026" o:spt="1" style="position:absolute;left:2027555;top:243205;height:291465;width:951865;" fillcolor="#FFFFFF" filled="t" stroked="t" coordsize="21600,21600" o:gfxdata="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apHij1QAAAAYBAAAPAAAAAAAAAAEA&#10;IAAAACIAAABkcnMvZG93bnJldi54bWxQSwECFAAUAAAACACHTuJAOSwO/ksCAACfBAAADgAAAAAA&#10;AAABACAAAAAkAQAAZHJzL2Uyb0RvYy54bWxQSwUGAAAAAAYABgBZAQAA4QUAAAAA&#10;">
                  <v:fill on="t" focussize="0,0"/>
                  <v:stroke color="#000000" miterlimit="8" joinstyle="miter"/>
                  <v:imagedata o:title=""/>
                  <o:lock v:ext="edit" aspectratio="f"/>
                  <v:textbox>
                    <w:txbxContent>
                      <w:p w14:paraId="15F10C78">
                        <w:pPr>
                          <w:jc w:val="center"/>
                        </w:pPr>
                        <w:r>
                          <w:rPr>
                            <w:rFonts w:hint="eastAsia"/>
                          </w:rPr>
                          <w:t>拆箱卸料</w:t>
                        </w:r>
                      </w:p>
                    </w:txbxContent>
                  </v:textbox>
                </v:rect>
                <v:rect id="矩形 14" o:spid="_x0000_s1026" o:spt="1" style="position:absolute;left:2027555;top:1189355;height:291465;width:951865;" fillcolor="#FFFFFF" filled="t" stroked="t" coordsize="21600,21600" o:gfxdata="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NqkeKPVAAAABgEAAA8AAAAAAAAA&#10;AQAgAAAAIgAAAGRycy9kb3ducmV2LnhtbFBLAQIUABQAAAAIAIdO4kA2FKVBTQIAAKAEAAAOAAAA&#10;AAAAAAEAIAAAACQBAABkcnMvZTJvRG9jLnhtbFBLBQYAAAAABgAGAFkBAADjBQAAAAA=&#10;">
                  <v:fill on="t" focussize="0,0"/>
                  <v:stroke color="#000000" miterlimit="8" joinstyle="miter"/>
                  <v:imagedata o:title=""/>
                  <o:lock v:ext="edit" aspectratio="f"/>
                  <v:textbox>
                    <w:txbxContent>
                      <w:p w14:paraId="28FF8FAF">
                        <w:pPr>
                          <w:jc w:val="center"/>
                        </w:pPr>
                        <w:r>
                          <w:rPr>
                            <w:rFonts w:hint="eastAsia"/>
                          </w:rPr>
                          <w:t>铲车转运</w:t>
                        </w:r>
                      </w:p>
                    </w:txbxContent>
                  </v:textbox>
                </v:rect>
                <v:shape id="_x0000_s1026" o:spid="_x0000_s1026" o:spt="32" type="#_x0000_t32" style="position:absolute;left:2503805;top:5506720;height:245745;width:3810;" filled="f" stroked="t" coordsize="21600,21600" o:gfxdata="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emqUztUAAAAGAQAADwAAAAAAAAABACAAAAAiAAAAZHJzL2Rvd25yZXYueG1s&#10;UEsBAhQAFAAAAAgAh07iQB8Jp1Q0AgAAOAQAAA4AAAAAAAAAAQAgAAAAJAEAAGRycy9lMm9Eb2Mu&#10;eG1sUEsFBgAAAAAGAAYAWQEAAMoFAAAAAA==&#10;">
                  <v:fill on="f" focussize="0,0"/>
                  <v:stroke weight="1pt" color="#000000 [3213]" miterlimit="8" joinstyle="miter" endarrow="open"/>
                  <v:imagedata o:title=""/>
                  <o:lock v:ext="edit" aspectratio="f"/>
                </v:shape>
                <v:shape id="_x0000_s1026" o:spid="_x0000_s1026" o:spt="32" type="#_x0000_t32" style="position:absolute;left:2503805;top:5005070;height:210185;width:0;" filled="f" stroked="t" coordsize="21600,21600" o:gfxdata="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pqlM7VAAAABgEAAA8AAAAAAAAAAQAgAAAAIgAAAGRycy9kb3ducmV2LnhtbFBLAQIUABQAAAAI&#10;AIdO4kAQUMEiKQIAAC0EAAAOAAAAAAAAAAEAIAAAACQBAABkcnMvZTJvRG9jLnhtbFBLBQYAAAAA&#10;BgAGAFkBAAC/BQAAAAA=&#10;">
                  <v:fill on="f" focussize="0,0"/>
                  <v:stroke weight="1pt" color="#000000 [3213]" miterlimit="8" joinstyle="miter" endarrow="open"/>
                  <v:imagedata o:title=""/>
                  <o:lock v:ext="edit" aspectratio="f"/>
                </v:shape>
                <v:shape id="_x0000_s1026" o:spid="_x0000_s1026" o:spt="32" type="#_x0000_t32" style="position:absolute;left:2503805;top:4490720;height:222885;width:0;" filled="f" stroked="t" coordsize="21600,21600" o:gfxdata="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pqlM7VAAAABgEAAA8AAAAAAAAAAQAgAAAAIgAAAGRycy9kb3ducmV2LnhtbFBLAQIUABQAAAAI&#10;AIdO4kBsMy9wKQIAAC4EAAAOAAAAAAAAAAEAIAAAACQBAABkcnMvZTJvRG9jLnhtbFBLBQYAAAAA&#10;BgAGAFkBAAC/BQAAAAA=&#10;">
                  <v:fill on="f" focussize="0,0"/>
                  <v:stroke weight="1pt" color="#000000 [3213]" miterlimit="8" joinstyle="miter" endarrow="open"/>
                  <v:imagedata o:title=""/>
                  <o:lock v:ext="edit" aspectratio="f"/>
                </v:shape>
                <v:shape id="_x0000_s1026" o:spid="_x0000_s1026" o:spt="32" type="#_x0000_t32" style="position:absolute;left:2503805;top:3986530;flip:x;height:212725;width:635;" filled="f" stroked="t" coordsize="21600,21600" o:gfxdata="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LHXfmnYAAAABgEAAA8AAAAAAAAAAQAgAAAAIgAAAGRycy9k&#10;b3ducmV2LnhtbFBLAQIUABQAAAAIAIdO4kAmOXHUOwIAAEIEAAAOAAAAAAAAAAEAIAAAACcBAABk&#10;cnMvZTJvRG9jLnhtbFBLBQYAAAAABgAGAFkBAADUBQAAAAA=&#10;">
                  <v:fill on="f" focussize="0,0"/>
                  <v:stroke weight="1pt" color="#000000 [3213]" miterlimit="8" joinstyle="miter" endarrow="open"/>
                  <v:imagedata o:title=""/>
                  <o:lock v:ext="edit" aspectratio="f"/>
                </v:shape>
                <v:shape id="_x0000_s1026" o:spid="_x0000_s1026" o:spt="32" type="#_x0000_t32" style="position:absolute;left:2504440;top:3525520;flip:x;height:168910;width:5715;" filled="f" stroked="t" coordsize="21600,21600" o:gfxdata="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LHXfmnYAAAABgEAAA8AAAAAAAAAAQAgAAAAIgAAAGRycy9k&#10;b3ducmV2LnhtbFBLAQIUABQAAAAIAIdO4kDqcbIAOwIAAEMEAAAOAAAAAAAAAAEAIAAAACcBAABk&#10;cnMvZTJvRG9jLnhtbFBLBQYAAAAABgAGAFkBAADUBQAAAAA=&#10;">
                  <v:fill on="f" focussize="0,0"/>
                  <v:stroke weight="1pt" color="#000000 [3213]" miterlimit="8" joinstyle="miter" endarrow="open"/>
                  <v:imagedata o:title=""/>
                  <o:lock v:ext="edit" aspectratio="f"/>
                </v:shape>
                <v:shape id="_x0000_s1026" o:spid="_x0000_s1026" o:spt="32" type="#_x0000_t32" style="position:absolute;left:2510155;top:3023870;height:210185;width:0;" filled="f" stroked="t" coordsize="21600,21600" o:gfxdata="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emqUztUAAAAGAQAADwAAAAAAAAABACAAAAAiAAAAZHJzL2Rvd25yZXYueG1sUEsBAhQAFAAAAAgA&#10;h07iQCrEIRQoAgAALgQAAA4AAAAAAAAAAQAgAAAAJAEAAGRycy9lMm9Eb2MueG1sUEsFBgAAAAAG&#10;AAYAWQEAAL4FAAAAAA==&#10;">
                  <v:fill on="f" focussize="0,0"/>
                  <v:stroke weight="1pt" color="#000000 [3213]" miterlimit="8" joinstyle="miter" endarrow="open"/>
                  <v:imagedata o:title=""/>
                  <o:lock v:ext="edit" aspectratio="f"/>
                </v:shape>
                <v:shape id="_x0000_s1026" o:spid="_x0000_s1026" o:spt="32" type="#_x0000_t32" style="position:absolute;left:2509520;top:2496185;height:236220;width:635;" filled="f" stroked="t" coordsize="21600,21600" o:gfxdata="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6apTO1QAAAAYBAAAPAAAAAAAAAAEAIAAAACIAAABkcnMvZG93bnJldi54bWxQSwEC&#10;FAAUAAAACACHTuJAohDEwjACAAA4BAAADgAAAAAAAAABACAAAAAkAQAAZHJzL2Uyb0RvYy54bWxQ&#10;SwUGAAAAAAYABgBZAQAAxgUAAAAA&#10;">
                  <v:fill on="f" focussize="0,0"/>
                  <v:stroke weight="1pt" color="#000000 [3213]" miterlimit="8" joinstyle="miter" endarrow="open"/>
                  <v:imagedata o:title=""/>
                  <o:lock v:ext="edit" aspectratio="f"/>
                </v:shape>
                <v:shape id="_x0000_s1026" o:spid="_x0000_s1026" o:spt="32" type="#_x0000_t32" style="position:absolute;left:2503805;top:1988820;height:214630;width:5715;" filled="f" stroked="t" coordsize="21600,21600" o:gfxdata="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emqUztUAAAAGAQAADwAAAAAAAAABACAAAAAiAAAAZHJzL2Rvd25yZXYueG1s&#10;UEsBAhQAFAAAAAgAh07iQOgx3QU0AgAAOQQAAA4AAAAAAAAAAQAgAAAAJAEAAGRycy9lMm9Eb2Mu&#10;eG1sUEsFBgAAAAAGAAYAWQEAAMoFAAAAAA==&#10;">
                  <v:fill on="f" focussize="0,0"/>
                  <v:stroke weight="1pt" color="#000000 [3213]" miterlimit="8" joinstyle="miter" endarrow="open"/>
                  <v:imagedata o:title=""/>
                  <o:lock v:ext="edit" aspectratio="f"/>
                </v:shape>
                <v:shape id="_x0000_s1026" o:spid="_x0000_s1026" o:spt="32" type="#_x0000_t32" style="position:absolute;left:2503805;top:1480820;height:216535;width:0;" filled="f" stroked="t" coordsize="21600,21600" o:gfxdata="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pqlM7VAAAABgEAAA8AAAAAAAAAAQAgAAAAIgAAAGRycy9kb3ducmV2LnhtbFBLAQIUABQAAAAI&#10;AIdO4kA4gOXAKQIAAC4EAAAOAAAAAAAAAAEAIAAAACQBAABkcnMvZTJvRG9jLnhtbFBLBQYAAAAA&#10;BgAGAFkBAAC/BQAAAAA=&#10;">
                  <v:fill on="f" focussize="0,0"/>
                  <v:stroke weight="1pt" color="#000000 [3213]" miterlimit="8" joinstyle="miter" endarrow="open"/>
                  <v:imagedata o:title=""/>
                  <o:lock v:ext="edit" aspectratio="f"/>
                </v:shape>
                <v:shape id="_x0000_s1026" o:spid="_x0000_s1026" o:spt="32" type="#_x0000_t32" style="position:absolute;left:2503805;top:987425;flip:x;height:201930;width:5080;" filled="f" stroked="t" coordsize="21600,21600" o:gfxdata="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LHXfmnYAAAABgEAAA8AAAAAAAAAAQAgAAAAIgAAAGRycy9kb3du&#10;cmV2LnhtbFBLAQIUABQAAAAIAIdO4kBSeyAeOAIAAEAEAAAOAAAAAAAAAAEAIAAAACcBAABkcnMv&#10;ZTJvRG9jLnhtbFBLBQYAAAAABgAGAFkBAADRBQAAAAA=&#10;">
                  <v:fill on="f" focussize="0,0"/>
                  <v:stroke weight="1pt" color="#000000 [3213]" miterlimit="8" joinstyle="miter" endarrow="open"/>
                  <v:imagedata o:title=""/>
                  <o:lock v:ext="edit" aspectratio="f"/>
                </v:shape>
                <v:shape id="_x0000_s1026" o:spid="_x0000_s1026" o:spt="32" type="#_x0000_t32" style="position:absolute;left:2503805;top:534670;height:161290;width:5080;" filled="f" stroked="t" coordsize="21600,21600" o:gfxdata="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6apTO1QAAAAYBAAAPAAAAAAAAAAEAIAAAACIAAABkcnMvZG93bnJldi54bWxQ&#10;SwECFAAUAAAACACHTuJAIhQr6TMCAAA2BAAADgAAAAAAAAABACAAAAAkAQAAZHJzL2Uyb0RvYy54&#10;bWxQSwUGAAAAAAYABgBZAQAAyQUAAAAA&#10;">
                  <v:fill on="f" focussize="0,0"/>
                  <v:stroke weight="1pt" color="#000000 [3213]" miterlimit="8" joinstyle="miter" endarrow="open"/>
                  <v:imagedata o:title=""/>
                  <o:lock v:ext="edit" aspectratio="f"/>
                </v:shape>
                <v:shape id="_x0000_s1026" o:spid="_x0000_s1026" o:spt="32" type="#_x0000_t32" style="position:absolute;left:1156970;top:2350135;flip:y;height:1270;width:875665;" filled="f" stroked="t" coordsize="21600,21600" o:gfxdata="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4N9BS1gAAAAYBAAAPAAAAAAAAAAEAIAAAACIAAABkcnMvZG93bnJl&#10;di54bWxQSwECFAAUAAAACACHTuJAzNv4TzgCAABCBAAADgAAAAAAAAABACAAAAAlAQAAZHJzL2Uy&#10;b0RvYy54bWxQSwUGAAAAAAYABgBZAQAAzwUAAAAA&#10;">
                  <v:fill on="f" focussize="0,0"/>
                  <v:stroke weight="1pt" color="#000000 [3213]" miterlimit="8" joinstyle="miter" dashstyle="dash" endarrow="open"/>
                  <v:imagedata o:title=""/>
                  <o:lock v:ext="edit" aspectratio="f"/>
                </v:shape>
                <v:shape id="_x0000_s1026" o:spid="_x0000_s1026" o:spt="32" type="#_x0000_t32" style="position:absolute;left:2512695;top:8042910;height:163830;width:635;" filled="f" stroked="t" coordsize="21600,21600" o:gfxdata="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6apTO1QAAAAYBAAAPAAAAAAAAAAEAIAAAACIAAABkcnMvZG93bnJldi54bWxQ&#10;SwECFAAUAAAACACHTuJAnLUhJjMCAAA2BAAADgAAAAAAAAABACAAAAAkAQAAZHJzL2Uyb0RvYy54&#10;bWxQSwUGAAAAAAYABgBZAQAAyQUAAAAA&#10;">
                  <v:fill on="f" focussize="0,0"/>
                  <v:stroke weight="1pt" color="#000000 [3213]" miterlimit="8" joinstyle="miter" endarrow="open"/>
                  <v:imagedata o:title=""/>
                  <o:lock v:ext="edit" aspectratio="f"/>
                </v:shape>
                <v:shape id="_x0000_s1026" o:spid="_x0000_s1026" o:spt="32" type="#_x0000_t32" style="position:absolute;left:1169670;top:389255;height:0;width:857885;" filled="f" stroked="t" coordsize="21600,21600" o:gfxdata="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6apTO1QAAAAYBAAAPAAAAAAAAAAEAIAAAACIAAABkcnMvZG93bnJldi54bWxQSwECFAAUAAAA&#10;CACHTuJAlRD/iioCAAAtBAAADgAAAAAAAAABACAAAAAkAQAAZHJzL2Uyb0RvYy54bWxQSwUGAAAA&#10;AAYABgBZAQAAwAUAAAAA&#10;">
                  <v:fill on="f" focussize="0,0"/>
                  <v:stroke weight="1pt" color="#000000 [3213]" miterlimit="8" joinstyle="miter" endarrow="open"/>
                  <v:imagedata o:title=""/>
                  <o:lock v:ext="edit" aspectratio="f"/>
                </v:shape>
                <v:rect id="矩形 14" o:spid="_x0000_s1026" o:spt="1" style="position:absolute;left:217805;top:243205;height:291465;width:951865;" fillcolor="#FFFFFF" filled="t" stroked="t" coordsize="21600,21600" o:gfxdata="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qkeKPVAAAABgEAAA8AAAAAAAAAAQAg&#10;AAAAIgAAAGRycy9kb3ducmV2LnhtbFBLAQIUABQAAAAIAIdO4kBKd5VZSgIAAJ4EAAAOAAAAAAAA&#10;AAEAIAAAACQBAABkcnMvZTJvRG9jLnhtbFBLBQYAAAAABgAGAFkBAADgBQAAAAA=&#10;">
                  <v:fill on="t" focussize="0,0"/>
                  <v:stroke color="#000000" miterlimit="8" joinstyle="miter"/>
                  <v:imagedata o:title=""/>
                  <o:lock v:ext="edit" aspectratio="f"/>
                  <v:textbox>
                    <w:txbxContent>
                      <w:p w14:paraId="5204D192">
                        <w:pPr>
                          <w:jc w:val="center"/>
                        </w:pPr>
                        <w:r>
                          <w:rPr>
                            <w:rFonts w:hint="eastAsia"/>
                          </w:rPr>
                          <w:t>原料进场</w:t>
                        </w:r>
                      </w:p>
                    </w:txbxContent>
                  </v:textbox>
                </v:rect>
                <v:rect id="矩形 34" o:spid="_x0000_s1026" o:spt="1" style="position:absolute;left:141605;top:2821305;height:292735;width:1068070;" filled="f" stroked="f" coordsize="21600,21600" o:gfxdata="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WIo0jYAAAA&#10;BgEAAA8AAAAAAAAAAQAgAAAAIgAAAGRycy9kb3ducmV2LnhtbFBLAQIUABQAAAAIAIdO4kAxmZRH&#10;HQIAACMEAAAOAAAAAAAAAAEAIAAAACcBAABkcnMvZTJvRG9jLnhtbFBLBQYAAAAABgAGAFkBAAC2&#10;BQAAAAA=&#10;">
                  <v:fill on="f" focussize="0,0"/>
                  <v:stroke on="f"/>
                  <v:imagedata o:title=""/>
                  <o:lock v:ext="edit" aspectratio="f"/>
                  <v:textbox>
                    <w:txbxContent>
                      <w:p w14:paraId="002FC36B">
                        <w:pPr>
                          <w:jc w:val="center"/>
                        </w:pPr>
                        <w:r>
                          <w:rPr>
                            <w:rFonts w:hint="eastAsia"/>
                          </w:rPr>
                          <w:t>生物质燃料</w:t>
                        </w:r>
                      </w:p>
                    </w:txbxContent>
                  </v:textbox>
                </v:rect>
                <v:shape id="_x0000_s1026" o:spid="_x0000_s1026" o:spt="32" type="#_x0000_t32" style="position:absolute;left:675640;top:2496820;flip:y;height:324485;width:5715;" filled="f" stroked="t" coordsize="21600,21600" o:gfxdata="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dd+adgAAAAGAQAADwAAAAAAAAABACAAAAAiAAAAZHJzL2Rvd25yZXYueG1s&#10;UEsBAhQAFAAAAAgAh07iQPJkucExAgAAOgQAAA4AAAAAAAAAAQAgAAAAJwEAAGRycy9lMm9Eb2Mu&#10;eG1sUEsFBgAAAAAGAAYAWQEAAMoFAAAAAA==&#10;">
                  <v:fill on="f" focussize="0,0"/>
                  <v:stroke weight="1pt" color="#000000 [3213]" miterlimit="8" joinstyle="miter" endarrow="open"/>
                  <v:imagedata o:title=""/>
                  <o:lock v:ext="edit" aspectratio="f"/>
                </v:shape>
                <v:rect id="矩形 38" o:spid="_x0000_s1026" o:spt="1" style="position:absolute;left:1195705;top:2046605;height:291465;width:716280;" filled="f" stroked="f" coordsize="21600,21600" o:gfxdata="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YijSNgAAAAG&#10;AQAADwAAAAAAAAABACAAAAAiAAAAZHJzL2Rvd25yZXYueG1sUEsBAhQAFAAAAAgAh07iQLu8VR8c&#10;AgAAIwQAAA4AAAAAAAAAAQAgAAAAJwEAAGRycy9lMm9Eb2MueG1sUEsFBgAAAAAGAAYAWQEAALUF&#10;AAAAAA==&#10;">
                  <v:fill on="f" focussize="0,0"/>
                  <v:stroke on="f"/>
                  <v:imagedata o:title=""/>
                  <o:lock v:ext="edit" aspectratio="f"/>
                  <v:textbox>
                    <w:txbxContent>
                      <w:p w14:paraId="1ABEF37A">
                        <w:pPr>
                          <w:jc w:val="center"/>
                        </w:pPr>
                        <w:r>
                          <w:rPr>
                            <w:rFonts w:hint="eastAsia"/>
                          </w:rPr>
                          <w:t>干燥烟气</w:t>
                        </w:r>
                      </w:p>
                    </w:txbxContent>
                  </v:textbox>
                </v:rect>
                <v:rect id="矩形 51" o:spid="_x0000_s1026" o:spt="1" style="position:absolute;left:3284855;top:7710805;height:280035;width:1253490;" filled="f" stroked="f" coordsize="21600,21600" o:gfxdata="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WIo0jY&#10;AAAABgEAAA8AAAAAAAAAAQAgAAAAIgAAAGRycy9kb3ducmV2LnhtbFBLAQIUABQAAAAIAIdO4kCI&#10;3cJjIAIAACQEAAAOAAAAAAAAAAEAIAAAACcBAABkcnMvZTJvRG9jLnhtbFBLBQYAAAAABgAGAFkB&#10;AAC5BQAAAAA=&#10;">
                  <v:fill on="f" focussize="0,0"/>
                  <v:stroke on="f"/>
                  <v:imagedata o:title=""/>
                  <o:lock v:ext="edit" aspectratio="f"/>
                  <v:textbox>
                    <w:txbxContent>
                      <w:p w14:paraId="58C83254">
                        <w:pPr>
                          <w:jc w:val="center"/>
                        </w:pPr>
                        <w:r>
                          <w:rPr>
                            <w:rFonts w:hint="eastAsia"/>
                          </w:rPr>
                          <w:t>G12产品装车扬尘</w:t>
                        </w:r>
                      </w:p>
                    </w:txbxContent>
                  </v:textbox>
                </v:rect>
                <v:rect id="矩形 43" o:spid="_x0000_s1026" o:spt="1" style="position:absolute;left:3348355;top:5621655;height:281305;width:1404620;" filled="f" stroked="f" coordsize="21600,21600" o:gfxdata="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hYijSNgA&#10;AAAGAQAADwAAAAAAAAABACAAAAAiAAAAZHJzL2Rvd25yZXYueG1sUEsBAhQAFAAAAAgAh07iQGnq&#10;+lIfAgAAJAQAAA4AAAAAAAAAAQAgAAAAJwEAAGRycy9lMm9Eb2MueG1sUEsFBgAAAAAGAAYAWQEA&#10;ALgFAAAAAA==&#10;">
                  <v:fill on="f" focussize="0,0"/>
                  <v:stroke on="f"/>
                  <v:imagedata o:title=""/>
                  <o:lock v:ext="edit" aspectratio="f"/>
                  <v:textbox>
                    <w:txbxContent>
                      <w:p w14:paraId="09762DB8">
                        <w:pPr>
                          <w:jc w:val="left"/>
                        </w:pPr>
                        <w:r>
                          <w:rPr>
                            <w:rFonts w:hint="eastAsia"/>
                          </w:rPr>
                          <w:t>G10磁选出料扬尘</w:t>
                        </w:r>
                      </w:p>
                    </w:txbxContent>
                  </v:textbox>
                </v:rect>
                <v:shape id="自选图形 42" o:spid="_x0000_s1026" o:spt="38" type="#_x0000_t38" style="position:absolute;left:2980055;top:5210810;flip:y;height:125095;width:396240;" filled="f" stroked="t" coordsize="21600,21600" o:gfxdata="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x2ULdgAAAAG&#10;AQAADwAAAAAAAAABACAAAAAiAAAAZHJzL2Rvd25yZXYueG1sUEsBAhQAFAAAAAgAh07iQGA+wVtV&#10;AgAAZQQAAA4AAAAAAAAAAQAgAAAAJwEAAGRycy9lMm9Eb2MueG1sUEsFBgAAAAAGAAYAWQEAAO4F&#10;AAAAAA==&#10;" adj="10835">
                  <v:fill on="f" focussize="0,0"/>
                  <v:stroke color="#000000" miterlimit="8" joinstyle="miter" dashstyle="dash" endarrow="open"/>
                  <v:imagedata o:title=""/>
                  <o:lock v:ext="edit" aspectratio="f"/>
                </v:shape>
                <v:rect id="矩形 43" o:spid="_x0000_s1026" o:spt="1" style="position:absolute;left:3338195;top:5075555;height:281305;width:1404620;" filled="f" stroked="f" coordsize="21600,21600" o:gfxdata="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hYijSNgA&#10;AAAGAQAADwAAAAAAAAABACAAAAAiAAAAZHJzL2Rvd25yZXYueG1sUEsBAhQAFAAAAAgAh07iQJt6&#10;EWUfAgAAJAQAAA4AAAAAAAAAAQAgAAAAJwEAAGRycy9lMm9Eb2MueG1sUEsFBgAAAAAGAAYAWQEA&#10;ALgFAAAAAA==&#10;">
                  <v:fill on="f" focussize="0,0"/>
                  <v:stroke on="f"/>
                  <v:imagedata o:title=""/>
                  <o:lock v:ext="edit" aspectratio="f"/>
                  <v:textbox>
                    <w:txbxContent>
                      <w:p w14:paraId="31EA6C6E">
                        <w:pPr>
                          <w:jc w:val="left"/>
                        </w:pPr>
                        <w:r>
                          <w:rPr>
                            <w:rFonts w:hint="eastAsia"/>
                          </w:rPr>
                          <w:t>G9磁选过程扬尘</w:t>
                        </w:r>
                      </w:p>
                    </w:txbxContent>
                  </v:textbox>
                </v:rect>
                <v:shape id="自选图形 42" o:spid="_x0000_s1026" o:spt="38" type="#_x0000_t38" style="position:absolute;left:2999105;top:4747260;flip:y;height:125095;width:396240;" filled="f" stroked="t" coordsize="21600,21600" o:gfxdata="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P8dlC3YAAAABgEA&#10;AA8AAAAAAAAAAQAgAAAAIgAAAGRycy9kb3ducmV2LnhtbFBLAQIUABQAAAAIAIdO4kBnp2dNUwIA&#10;AGUEAAAOAAAAAAAAAAEAIAAAACcBAABkcnMvZTJvRG9jLnhtbFBLBQYAAAAABgAGAFkBAADsBQAA&#10;AAA=&#10;" adj="10835">
                  <v:fill on="f" focussize="0,0"/>
                  <v:stroke color="#000000" miterlimit="8" joinstyle="miter" dashstyle="dash" endarrow="open"/>
                  <v:imagedata o:title=""/>
                  <o:lock v:ext="edit" aspectratio="f"/>
                </v:shape>
                <v:rect id="矩形 43" o:spid="_x0000_s1026" o:spt="1" style="position:absolute;left:3357245;top:4612005;height:281305;width:1404620;" filled="f" stroked="f" coordsize="21600,21600" o:gfxdata="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WIo0jYAAAA&#10;BgEAAA8AAAAAAAAAAQAgAAAAIgAAAGRycy9kb3ducmV2LnhtbFBLAQIUABQAAAAIAIdO4kBpBWaV&#10;HQIAACQEAAAOAAAAAAAAAAEAIAAAACcBAABkcnMvZTJvRG9jLnhtbFBLBQYAAAAABgAGAFkBAAC2&#10;BQAAAAA=&#10;">
                  <v:fill on="f" focussize="0,0"/>
                  <v:stroke on="f"/>
                  <v:imagedata o:title=""/>
                  <o:lock v:ext="edit" aspectratio="f"/>
                  <v:textbox>
                    <w:txbxContent>
                      <w:p w14:paraId="23E0924E">
                        <w:pPr>
                          <w:jc w:val="left"/>
                        </w:pPr>
                        <w:r>
                          <w:rPr>
                            <w:rFonts w:hint="eastAsia"/>
                          </w:rPr>
                          <w:t>G8磁选上料扬尘</w:t>
                        </w:r>
                      </w:p>
                    </w:txbxContent>
                  </v:textbox>
                </v:rect>
                <v:shape id="自选图形 42" o:spid="_x0000_s1026" o:spt="38" type="#_x0000_t38" style="position:absolute;left:2992755;top:4226560;flip:y;height:125095;width:396240;" filled="f" stroked="t" coordsize="21600,21600" o:gfxdata="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P8dlC3YAAAABgEA&#10;AA8AAAAAAAAAAQAgAAAAIgAAAGRycy9kb3ducmV2LnhtbFBLAQIUABQAAAAIAIdO4kCv/LTaUwIA&#10;AGUEAAAOAAAAAAAAAAEAIAAAACcBAABkcnMvZTJvRG9jLnhtbFBLBQYAAAAABgAGAFkBAADsBQAA&#10;AAA=&#10;" adj="10835">
                  <v:fill on="f" focussize="0,0"/>
                  <v:stroke color="#000000" miterlimit="8" joinstyle="miter" dashstyle="dash" endarrow="open"/>
                  <v:imagedata o:title=""/>
                  <o:lock v:ext="edit" aspectratio="f"/>
                </v:shape>
                <v:rect id="_x0000_s1026" o:spid="_x0000_s1026" o:spt="1" style="position:absolute;left:3350895;top:4091305;height:281305;width:1404620;" filled="f" stroked="f" coordsize="21600,21600" o:gfxdata="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WIo0jYAAAA&#10;BgEAAA8AAAAAAAAAAQAgAAAAIgAAAGRycy9kb3ducmV2LnhtbFBLAQIUABQAAAAIAIdO4kA2s+qw&#10;HQIAACQEAAAOAAAAAAAAAAEAIAAAACcBAABkcnMvZTJvRG9jLnhtbFBLBQYAAAAABgAGAFkBAAC2&#10;BQAAAAA=&#10;">
                  <v:fill on="f" focussize="0,0"/>
                  <v:stroke on="f"/>
                  <v:imagedata o:title=""/>
                  <o:lock v:ext="edit" aspectratio="f"/>
                  <v:textbox>
                    <w:txbxContent>
                      <w:p w14:paraId="79FB7205">
                        <w:pPr>
                          <w:jc w:val="left"/>
                        </w:pPr>
                        <w:r>
                          <w:rPr>
                            <w:rFonts w:hint="eastAsia"/>
                          </w:rPr>
                          <w:t>G7铲车转运扬尘</w:t>
                        </w:r>
                      </w:p>
                    </w:txbxContent>
                  </v:textbox>
                </v:rect>
                <v:shape id="自选图形 42" o:spid="_x0000_s1026" o:spt="38" type="#_x0000_t38" style="position:absolute;left:2999105;top:3267710;flip:y;height:125095;width:396240;" filled="f" stroked="t" coordsize="21600,21600" o:gfxdata="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P8dlC3YAAAA&#10;BgEAAA8AAAAAAAAAAQAgAAAAIgAAAGRycy9kb3ducmV2LnhtbFBLAQIUABQAAAAIAIdO4kBe9x9j&#10;VgIAAGUEAAAOAAAAAAAAAAEAIAAAACcBAABkcnMvZTJvRG9jLnhtbFBLBQYAAAAABgAGAFkBAADv&#10;BQAAAAA=&#10;" adj="10835">
                  <v:fill on="f" focussize="0,0"/>
                  <v:stroke color="#000000" miterlimit="8" joinstyle="miter" dashstyle="dash" endarrow="open"/>
                  <v:imagedata o:title=""/>
                  <o:lock v:ext="edit" aspectratio="f"/>
                </v:shape>
                <v:rect id="矩形 43" o:spid="_x0000_s1026" o:spt="1" style="position:absolute;left:3357245;top:3132455;height:281305;width:1404620;" filled="f" stroked="f" coordsize="21600,21600" o:gfxdata="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YijSNgAAAAG&#10;AQAADwAAAAAAAAABACAAAAAiAAAAZHJzL2Rvd25yZXYueG1sUEsBAhQAFAAAAAgAh07iQKwsyE8c&#10;AgAAJAQAAA4AAAAAAAAAAQAgAAAAJwEAAGRycy9lMm9Eb2MueG1sUEsFBgAAAAAGAAYAWQEAALUF&#10;AAAAAA==&#10;">
                  <v:fill on="f" focussize="0,0"/>
                  <v:stroke on="f"/>
                  <v:imagedata o:title=""/>
                  <o:lock v:ext="edit" aspectratio="f"/>
                  <v:textbox>
                    <w:txbxContent>
                      <w:p w14:paraId="70A45940">
                        <w:pPr>
                          <w:jc w:val="left"/>
                        </w:pPr>
                        <w:r>
                          <w:rPr>
                            <w:rFonts w:hint="eastAsia"/>
                          </w:rPr>
                          <w:t>G6铲车移堆扬尘</w:t>
                        </w:r>
                      </w:p>
                    </w:txbxContent>
                  </v:textbox>
                </v:rect>
                <v:shape id="自选图形 42" o:spid="_x0000_s1026" o:spt="38" type="#_x0000_t38" style="position:absolute;left:2992755;top:2753360;flip:y;height:125095;width:396240;" filled="f" stroked="t" coordsize="21600,21600" o:gfxdata="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x2ULdgAAAAG&#10;AQAADwAAAAAAAAABACAAAAAiAAAAZHJzL2Rvd25yZXYueG1sUEsBAhQAFAAAAAgAh07iQP7F7VJV&#10;AgAAZQQAAA4AAAAAAAAAAQAgAAAAJwEAAGRycy9lMm9Eb2MueG1sUEsFBgAAAAAGAAYAWQEAAO4F&#10;AAAAAA==&#10;" adj="10835">
                  <v:fill on="f" focussize="0,0"/>
                  <v:stroke color="#000000" miterlimit="8" joinstyle="miter" dashstyle="dash" endarrow="open"/>
                  <v:imagedata o:title=""/>
                  <o:lock v:ext="edit" aspectratio="f"/>
                </v:shape>
                <v:rect id="矩形 43" o:spid="_x0000_s1026" o:spt="1" style="position:absolute;left:3350895;top:2618105;height:281305;width:1404620;" filled="f" stroked="f" coordsize="21600,21600" o:gfxdata="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hYijSNgA&#10;AAAGAQAADwAAAAAAAAABACAAAAAiAAAAZHJzL2Rvd25yZXYueG1sUEsBAhQAFAAAAAgAh07iQCZA&#10;ZysfAgAAJAQAAA4AAAAAAAAAAQAgAAAAJwEAAGRycy9lMm9Eb2MueG1sUEsFBgAAAAAGAAYAWQEA&#10;ALgFAAAAAA==&#10;">
                  <v:fill on="f" focussize="0,0"/>
                  <v:stroke on="f"/>
                  <v:imagedata o:title=""/>
                  <o:lock v:ext="edit" aspectratio="f"/>
                  <v:textbox>
                    <w:txbxContent>
                      <w:p w14:paraId="79E396D0">
                        <w:pPr>
                          <w:jc w:val="left"/>
                        </w:pPr>
                        <w:r>
                          <w:rPr>
                            <w:rFonts w:hint="eastAsia"/>
                          </w:rPr>
                          <w:t>G5烘干出料扬尘</w:t>
                        </w:r>
                      </w:p>
                    </w:txbxContent>
                  </v:textbox>
                </v:rect>
                <v:shape id="自选图形 42" o:spid="_x0000_s1026" o:spt="38" type="#_x0000_t38" style="position:absolute;left:2986405;top:2239010;flip:y;height:125095;width:396240;" filled="f" stroked="t" coordsize="21600,21600" o:gfxdata="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HZQt2AAAAAYB&#10;AAAPAAAAAAAAAAEAIAAAACIAAABkcnMvZG93bnJldi54bWxQSwECFAAUAAAACACHTuJAupCoMlQC&#10;AABlBAAADgAAAAAAAAABACAAAAAnAQAAZHJzL2Uyb0RvYy54bWxQSwUGAAAAAAYABgBZAQAA7QUA&#10;AAAA&#10;" adj="10835">
                  <v:fill on="f" focussize="0,0"/>
                  <v:stroke color="#000000" miterlimit="8" joinstyle="miter" dashstyle="dash" endarrow="open"/>
                  <v:imagedata o:title=""/>
                  <o:lock v:ext="edit" aspectratio="f"/>
                </v:shape>
                <v:rect id="矩形 43" o:spid="_x0000_s1026" o:spt="1" style="position:absolute;left:3344545;top:2103755;height:281305;width:1404620;" filled="f" stroked="f" coordsize="21600,21600" o:gfxdata="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WIo0jY&#10;AAAABgEAAA8AAAAAAAAAAQAgAAAAIgAAAGRycy9kb3ducmV2LnhtbFBLAQIUABQAAAAIAIdO4kCx&#10;4RSQIAIAACQEAAAOAAAAAAAAAAEAIAAAACcBAABkcnMvZTJvRG9jLnhtbFBLBQYAAAAABgAGAFkB&#10;AAC5BQAAAAA=&#10;">
                  <v:fill on="f" focussize="0,0"/>
                  <v:stroke on="f"/>
                  <v:imagedata o:title=""/>
                  <o:lock v:ext="edit" aspectratio="f"/>
                  <v:textbox>
                    <w:txbxContent>
                      <w:p w14:paraId="2C4B92D9">
                        <w:pPr>
                          <w:jc w:val="left"/>
                        </w:pPr>
                        <w:r>
                          <w:rPr>
                            <w:rFonts w:hint="eastAsia"/>
                          </w:rPr>
                          <w:t>G1烘干烟气</w:t>
                        </w:r>
                      </w:p>
                    </w:txbxContent>
                  </v:textbox>
                </v:rect>
                <v:shape id="自选图形 42" o:spid="_x0000_s1026" o:spt="38" type="#_x0000_t38" style="position:absolute;left:2986405;top:1737360;flip:y;height:125095;width:396240;" filled="f" stroked="t" coordsize="21600,21600" o:gfxdata="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HZQt2AAAAAYB&#10;AAAPAAAAAAAAAAEAIAAAACIAAABkcnMvZG93bnJldi54bWxQSwECFAAUAAAACACHTuJA2jnTolQC&#10;AABlBAAADgAAAAAAAAABACAAAAAnAQAAZHJzL2Uyb0RvYy54bWxQSwUGAAAAAAYABgBZAQAA7QUA&#10;AAAA&#10;" adj="10835">
                  <v:fill on="f" focussize="0,0"/>
                  <v:stroke color="#000000" miterlimit="8" joinstyle="miter" dashstyle="dash" endarrow="open"/>
                  <v:imagedata o:title=""/>
                  <o:lock v:ext="edit" aspectratio="f"/>
                </v:shape>
                <v:rect id="矩形 43" o:spid="_x0000_s1026" o:spt="1" style="position:absolute;left:3344545;top:1602105;height:281305;width:1404620;" filled="f" stroked="f" coordsize="21600,21600" o:gfxdata="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FiKNI2AAA&#10;AAYBAAAPAAAAAAAAAAEAIAAAACIAAABkcnMvZG93bnJldi54bWxQSwECFAAUAAAACACHTuJAuaQE&#10;7h4CAAAkBAAADgAAAAAAAAABACAAAAAnAQAAZHJzL2Uyb0RvYy54bWxQSwUGAAAAAAYABgBZAQAA&#10;twUAAAAA&#10;">
                  <v:fill on="f" focussize="0,0"/>
                  <v:stroke on="f"/>
                  <v:imagedata o:title=""/>
                  <o:lock v:ext="edit" aspectratio="f"/>
                  <v:textbox>
                    <w:txbxContent>
                      <w:p w14:paraId="345C9B30">
                        <w:pPr>
                          <w:jc w:val="left"/>
                        </w:pPr>
                        <w:r>
                          <w:rPr>
                            <w:rFonts w:hint="eastAsia"/>
                          </w:rPr>
                          <w:t>G4烘干上料扬尘</w:t>
                        </w:r>
                      </w:p>
                    </w:txbxContent>
                  </v:textbox>
                </v:rect>
                <v:shape id="自选图形 42" o:spid="_x0000_s1026" o:spt="38" type="#_x0000_t38" style="position:absolute;left:2986405;top:1242060;flip:y;height:125095;width:396240;" filled="f" stroked="t" coordsize="21600,21600" o:gfxdata="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x2ULdgAAAAGAQAA&#10;DwAAAAAAAAABACAAAAAiAAAAZHJzL2Rvd25yZXYueG1sUEsBAhQAFAAAAAgAh07iQKLr39FSAgAA&#10;ZQQAAA4AAAAAAAAAAQAgAAAAJwEAAGRycy9lMm9Eb2MueG1sUEsFBgAAAAAGAAYAWQEAAOsFAAAA&#10;AA==&#10;" adj="10835">
                  <v:fill on="f" focussize="0,0"/>
                  <v:stroke color="#000000" miterlimit="8" joinstyle="miter" dashstyle="dash" endarrow="open"/>
                  <v:imagedata o:title=""/>
                  <o:lock v:ext="edit" aspectratio="f"/>
                </v:shape>
                <v:rect id="矩形 43" o:spid="_x0000_s1026" o:spt="1" style="position:absolute;left:3344545;top:1106805;height:281305;width:1404620;" filled="f" stroked="f" coordsize="21600,21600" o:gfxdata="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FiKNI2AAA&#10;AAYBAAAPAAAAAAAAAAEAIAAAACIAAABkcnMvZG93bnJldi54bWxQSwECFAAUAAAACACHTuJAJnI1&#10;LR4CAAAkBAAADgAAAAAAAAABACAAAAAnAQAAZHJzL2Uyb0RvYy54bWxQSwUGAAAAAAYABgBZAQAA&#10;twUAAAAA&#10;">
                  <v:fill on="f" focussize="0,0"/>
                  <v:stroke on="f"/>
                  <v:imagedata o:title=""/>
                  <o:lock v:ext="edit" aspectratio="f"/>
                  <v:textbox>
                    <w:txbxContent>
                      <w:p w14:paraId="07ED2C96">
                        <w:pPr>
                          <w:jc w:val="left"/>
                        </w:pPr>
                        <w:r>
                          <w:rPr>
                            <w:rFonts w:hint="eastAsia"/>
                          </w:rPr>
                          <w:t>G3铲车转运扬尘</w:t>
                        </w:r>
                      </w:p>
                    </w:txbxContent>
                  </v:textbox>
                </v:rect>
                <v:shape id="自选图形 42" o:spid="_x0000_s1026" o:spt="38" type="#_x0000_t38" style="position:absolute;left:2999105;top:289560;flip:y;height:125095;width:396240;" filled="f" stroked="t" coordsize="21600,21600" o:gfxdata="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P8dlC3YAAAABgEA&#10;AA8AAAAAAAAAAQAgAAAAIgAAAGRycy9kb3ducmV2LnhtbFBLAQIUABQAAAAIAIdO4kAEZZKDUwIA&#10;AGQEAAAOAAAAAAAAAAEAIAAAACcBAABkcnMvZTJvRG9jLnhtbFBLBQYAAAAABgAGAFkBAADsBQAA&#10;AAA=&#10;" adj="10835">
                  <v:fill on="f" focussize="0,0"/>
                  <v:stroke color="#000000" miterlimit="8" joinstyle="miter" dashstyle="dash" endarrow="open"/>
                  <v:imagedata o:title=""/>
                  <o:lock v:ext="edit" aspectratio="f"/>
                </v:shape>
                <v:rect id="矩形 43" o:spid="_x0000_s1026" o:spt="1" style="position:absolute;left:3357245;top:154305;height:281305;width:1404620;" filled="f" stroked="f" coordsize="21600,21600" o:gfxdata="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YijSNgAAAAG&#10;AQAADwAAAAAAAAABACAAAAAiAAAAZHJzL2Rvd25yZXYueG1sUEsBAhQAFAAAAAgAh07iQNKc9lsc&#10;AgAAIwQAAA4AAAAAAAAAAQAgAAAAJwEAAGRycy9lMm9Eb2MueG1sUEsFBgAAAAAGAAYAWQEAALUF&#10;AAAAAA==&#10;">
                  <v:fill on="f" focussize="0,0"/>
                  <v:stroke on="f"/>
                  <v:imagedata o:title=""/>
                  <o:lock v:ext="edit" aspectratio="f"/>
                  <v:textbox>
                    <w:txbxContent>
                      <w:p w14:paraId="554F8CCB">
                        <w:pPr>
                          <w:jc w:val="left"/>
                        </w:pPr>
                        <w:r>
                          <w:rPr>
                            <w:rFonts w:hint="eastAsia"/>
                          </w:rPr>
                          <w:t>G2拆箱卸料扬尘</w:t>
                        </w:r>
                      </w:p>
                    </w:txbxContent>
                  </v:textbox>
                </v:rect>
                <v:shape id="自选图形 42" o:spid="_x0000_s1026" o:spt="37" type="#_x0000_t37" style="position:absolute;left:909955;top:562610;height:309245;width:333375;" filled="f" stroked="t" coordsize="21600,21600" o:gfxdata="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4NbAItcAAAAGAQAADwAAAAAAAAABACAAAAAiAAAAZHJzL2Rvd25yZXYueG1sUEsB&#10;AhQAFAAAAAgAh07iQFhYV0cvAgAALAQAAA4AAAAAAAAAAQAgAAAAJgEAAGRycy9lMm9Eb2MueG1s&#10;UEsFBgAAAAAGAAYAWQEAAMcFAAAAAA==&#10;">
                  <v:fill on="f" focussize="0,0"/>
                  <v:stroke color="#000000" miterlimit="8" joinstyle="miter" dashstyle="dash" endarrow="open"/>
                  <v:imagedata o:title=""/>
                  <o:lock v:ext="edit" aspectratio="f"/>
                </v:shape>
                <v:rect id="矩形 43" o:spid="_x0000_s1026" o:spt="1" style="position:absolute;left:696595;top:871855;height:281305;width:1093470;" filled="f" stroked="f" coordsize="21600,21600" o:gfxdata="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WIo0jY&#10;AAAABgEAAA8AAAAAAAAAAQAgAAAAIgAAAGRycy9kb3ducmV2LnhtbFBLAQIUABQAAAAIAIdO4kCm&#10;tO52IAIAACIEAAAOAAAAAAAAAAEAIAAAACcBAABkcnMvZTJvRG9jLnhtbFBLBQYAAAAABgAGAFkB&#10;AAC5BQAAAAA=&#10;">
                  <v:fill on="f" focussize="0,0"/>
                  <v:stroke on="f"/>
                  <v:imagedata o:title=""/>
                  <o:lock v:ext="edit" aspectratio="f"/>
                  <v:textbox>
                    <w:txbxContent>
                      <w:p w14:paraId="0FCAAA97">
                        <w:pPr>
                          <w:jc w:val="left"/>
                        </w:pPr>
                        <w:r>
                          <w:rPr>
                            <w:rFonts w:hint="eastAsia"/>
                          </w:rPr>
                          <w:t>G13运输扬尘</w:t>
                        </w:r>
                      </w:p>
                    </w:txbxContent>
                  </v:textbox>
                </v:rect>
                <v:shape id="自选图形 42" o:spid="_x0000_s1026" o:spt="38" type="#_x0000_t38" style="position:absolute;left:567055;top:6473190;height:201930;width:476250;rotation:11796480f;" filled="f" stroked="t" coordsize="21600,21600" o:gfxdata="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DLV&#10;7HvVAAAABgEAAA8AAAAAAAAAAQAgAAAAIgAAAGRycy9kb3ducmV2LnhtbFBLAQIUABQAAAAIAIdO&#10;4kDC60tbXwIAAIIEAAAOAAAAAAAAAAEAIAAAACQBAABkcnMvZTJvRG9jLnhtbFBLBQYAAAAABgAG&#10;AFkBAAD1BQAAAAA=&#10;" adj="10771">
                  <v:fill on="f" focussize="0,0"/>
                  <v:stroke color="#000000" miterlimit="8" joinstyle="miter" dashstyle="dash" endarrow="open"/>
                  <v:imagedata o:title=""/>
                  <o:lock v:ext="edit" aspectratio="f"/>
                </v:shape>
                <v:rect id="矩形 43" o:spid="_x0000_s1026" o:spt="1" style="position:absolute;left:74930;top:6205855;height:281305;width:1276985;" filled="f" stroked="f" coordsize="21600,21600" o:gfxdata="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hYijSNgA&#10;AAAGAQAADwAAAAAAAAABACAAAAAiAAAAZHJzL2Rvd25yZXYueG1sUEsBAhQAFAAAAAgAh07iQO1j&#10;7kUfAgAAIgQAAA4AAAAAAAAAAQAgAAAAJwEAAGRycy9lMm9Eb2MueG1sUEsFBgAAAAAGAAYAWQEA&#10;ALgFAAAAAA==&#10;">
                  <v:fill on="f" focussize="0,0"/>
                  <v:stroke on="f"/>
                  <v:imagedata o:title=""/>
                  <o:lock v:ext="edit" aspectratio="f"/>
                  <v:textbox>
                    <w:txbxContent>
                      <w:p w14:paraId="1202A14D">
                        <w:pPr>
                          <w:jc w:val="left"/>
                        </w:pPr>
                        <w:r>
                          <w:rPr>
                            <w:rFonts w:hint="eastAsia"/>
                          </w:rPr>
                          <w:t>G11产品移堆扬尘</w:t>
                        </w:r>
                      </w:p>
                    </w:txbxContent>
                  </v:textbox>
                </v:rect>
                <v:shape id="自选图形 50" o:spid="_x0000_s1026" o:spt="38" type="#_x0000_t38" style="position:absolute;left:2992755;top:7837805;flip:y;height:87630;width:337820;" filled="f" stroked="t" coordsize="21600,21600" o:gfxdata="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DmYnN/XAAAABgEA&#10;AA8AAAAAAAAAAQAgAAAAIgAAAGRycy9kb3ducmV2LnhtbFBLAQIUABQAAAAIAIdO4kAjEr8XVAIA&#10;AGQEAAAOAAAAAAAAAAEAIAAAACYBAABkcnMvZTJvRG9jLnhtbFBLBQYAAAAABgAGAFkBAADsBQAA&#10;AAA=&#10;" adj="10841">
                  <v:fill on="f" focussize="0,0"/>
                  <v:stroke color="#000000" miterlimit="8" joinstyle="miter" dashstyle="dash" endarrow="open"/>
                  <v:imagedata o:title=""/>
                  <o:lock v:ext="edit" aspectratio="f"/>
                </v:shape>
                <w10:wrap type="none"/>
                <w10:anchorlock/>
              </v:group>
            </w:pict>
          </mc:Fallback>
        </mc:AlternateContent>
      </w:r>
    </w:p>
    <w:p w14:paraId="7C01654E">
      <w:pPr>
        <w:pStyle w:val="9"/>
        <w:rPr>
          <w:sz w:val="24"/>
        </w:rPr>
      </w:pPr>
      <w:r>
        <w:rPr>
          <w:sz w:val="24"/>
        </w:rPr>
        <w:t>项目工艺流程及排污节点图</w:t>
      </w:r>
    </w:p>
    <w:bookmarkEnd w:id="104"/>
    <w:p w14:paraId="5C98643C">
      <w:pPr>
        <w:pStyle w:val="6"/>
      </w:pPr>
      <w:r>
        <w:t>物料平衡、核素平衡</w:t>
      </w:r>
    </w:p>
    <w:p w14:paraId="5D4A3839">
      <w:pPr>
        <w:pStyle w:val="7"/>
      </w:pPr>
      <w:r>
        <w:t>物料平衡</w:t>
      </w:r>
    </w:p>
    <w:p w14:paraId="035BC82A">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（1）总体物料平衡表</w:t>
      </w:r>
    </w:p>
    <w:p w14:paraId="731AA47C">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项目年处理毛矿</w:t>
      </w:r>
      <w:r>
        <w:rPr>
          <w:rFonts w:hint="eastAsia" w:ascii="Times New Roman" w:hAnsi="Times New Roman"/>
          <w:spacing w:val="-2"/>
          <w:kern w:val="0"/>
          <w:sz w:val="24"/>
          <w:szCs w:val="24"/>
          <w:u w:val="single"/>
        </w:rPr>
        <w:t>24</w:t>
      </w:r>
      <w:r>
        <w:rPr>
          <w:rFonts w:ascii="Times New Roman" w:hAnsi="Times New Roman"/>
          <w:spacing w:val="-2"/>
          <w:kern w:val="0"/>
          <w:sz w:val="24"/>
          <w:szCs w:val="24"/>
        </w:rPr>
        <w:t>万吨，</w:t>
      </w:r>
      <w:r>
        <w:rPr>
          <w:rFonts w:hint="eastAsia" w:ascii="Times New Roman" w:hAnsi="Times New Roman"/>
          <w:spacing w:val="-2"/>
          <w:kern w:val="0"/>
          <w:sz w:val="24"/>
          <w:szCs w:val="24"/>
        </w:rPr>
        <w:t>原料毛矿含有一定量的水分，含水情况根据毛矿来源以及天气变化均有影响，本次毛矿含水率根据《扬尘源颗粒物排放清单编制技术指南》（环境保护部公告2014年第92号）中表11中混合矿石物料含水率</w:t>
      </w:r>
      <w:r>
        <w:rPr>
          <w:rFonts w:hint="eastAsia" w:ascii="Times New Roman" w:hAnsi="Times New Roman"/>
          <w:spacing w:val="-2"/>
          <w:kern w:val="0"/>
          <w:sz w:val="24"/>
          <w:szCs w:val="24"/>
          <w:u w:val="single"/>
        </w:rPr>
        <w:t>3.8%</w:t>
      </w:r>
      <w:r>
        <w:rPr>
          <w:rFonts w:hint="eastAsia" w:ascii="Times New Roman" w:hAnsi="Times New Roman"/>
          <w:spacing w:val="-2"/>
          <w:kern w:val="0"/>
          <w:sz w:val="24"/>
          <w:szCs w:val="24"/>
        </w:rPr>
        <w:t>进行核算，干燥后的物料按照磁选机进料要求的含水率2.5%进行核算。</w:t>
      </w:r>
    </w:p>
    <w:p w14:paraId="60250FD9">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项目总物料平衡表见表2.2-</w:t>
      </w:r>
      <w:r>
        <w:rPr>
          <w:rFonts w:hint="eastAsia" w:ascii="Times New Roman" w:hAnsi="Times New Roman"/>
          <w:spacing w:val="-2"/>
          <w:kern w:val="0"/>
          <w:sz w:val="24"/>
          <w:szCs w:val="24"/>
        </w:rPr>
        <w:t>1</w:t>
      </w:r>
      <w:r>
        <w:rPr>
          <w:rFonts w:ascii="Times New Roman" w:hAnsi="Times New Roman"/>
          <w:spacing w:val="-2"/>
          <w:kern w:val="0"/>
          <w:sz w:val="24"/>
          <w:szCs w:val="24"/>
        </w:rPr>
        <w:t>。</w:t>
      </w:r>
    </w:p>
    <w:p w14:paraId="08DDD9C4">
      <w:pPr>
        <w:pStyle w:val="8"/>
        <w:numPr>
          <w:ilvl w:val="4"/>
          <w:numId w:val="3"/>
        </w:numPr>
        <w:rPr>
          <w:sz w:val="24"/>
          <w:szCs w:val="24"/>
        </w:rPr>
      </w:pPr>
      <w:r>
        <w:rPr>
          <w:sz w:val="24"/>
          <w:szCs w:val="24"/>
        </w:rPr>
        <w:t>项目总物料平衡表</w:t>
      </w:r>
    </w:p>
    <w:tbl>
      <w:tblPr>
        <w:tblStyle w:val="88"/>
        <w:tblW w:w="904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39"/>
        <w:gridCol w:w="1400"/>
        <w:gridCol w:w="1399"/>
        <w:gridCol w:w="1403"/>
        <w:gridCol w:w="1399"/>
        <w:gridCol w:w="1399"/>
        <w:gridCol w:w="1401"/>
      </w:tblGrid>
      <w:tr w14:paraId="14238B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39" w:type="dxa"/>
            <w:vMerge w:val="restart"/>
            <w:noWrap/>
            <w:vAlign w:val="center"/>
          </w:tcPr>
          <w:p w14:paraId="41F7F730">
            <w:pPr>
              <w:widowControl/>
              <w:jc w:val="center"/>
              <w:rPr>
                <w:rFonts w:ascii="Times New Roman" w:hAnsi="Times New Roman" w:eastAsia="等线"/>
                <w:b/>
                <w:bCs/>
                <w:kern w:val="0"/>
                <w:szCs w:val="21"/>
              </w:rPr>
            </w:pPr>
            <w:r>
              <w:rPr>
                <w:rFonts w:ascii="Times New Roman" w:hAnsi="Times New Roman"/>
                <w:b/>
                <w:bCs/>
                <w:kern w:val="0"/>
                <w:szCs w:val="21"/>
              </w:rPr>
              <w:t>序号</w:t>
            </w:r>
          </w:p>
        </w:tc>
        <w:tc>
          <w:tcPr>
            <w:tcW w:w="4202" w:type="dxa"/>
            <w:gridSpan w:val="3"/>
            <w:noWrap/>
            <w:vAlign w:val="center"/>
          </w:tcPr>
          <w:p w14:paraId="60D2D51C">
            <w:pPr>
              <w:widowControl/>
              <w:jc w:val="center"/>
              <w:rPr>
                <w:rFonts w:ascii="Times New Roman" w:hAnsi="Times New Roman"/>
                <w:b/>
                <w:bCs/>
                <w:kern w:val="0"/>
                <w:szCs w:val="21"/>
              </w:rPr>
            </w:pPr>
            <w:r>
              <w:rPr>
                <w:rFonts w:ascii="Times New Roman" w:hAnsi="Times New Roman"/>
                <w:b/>
                <w:bCs/>
                <w:kern w:val="0"/>
                <w:szCs w:val="21"/>
              </w:rPr>
              <w:t>加入项</w:t>
            </w:r>
          </w:p>
        </w:tc>
        <w:tc>
          <w:tcPr>
            <w:tcW w:w="4199" w:type="dxa"/>
            <w:gridSpan w:val="3"/>
            <w:noWrap/>
            <w:vAlign w:val="center"/>
          </w:tcPr>
          <w:p w14:paraId="134689DD">
            <w:pPr>
              <w:widowControl/>
              <w:jc w:val="center"/>
              <w:rPr>
                <w:rFonts w:ascii="Times New Roman" w:hAnsi="Times New Roman"/>
                <w:b/>
                <w:bCs/>
                <w:kern w:val="0"/>
                <w:szCs w:val="21"/>
              </w:rPr>
            </w:pPr>
            <w:r>
              <w:rPr>
                <w:rFonts w:ascii="Times New Roman" w:hAnsi="Times New Roman"/>
                <w:b/>
                <w:bCs/>
                <w:kern w:val="0"/>
                <w:szCs w:val="21"/>
              </w:rPr>
              <w:t>产出项</w:t>
            </w:r>
          </w:p>
        </w:tc>
      </w:tr>
      <w:tr w14:paraId="722ADA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39" w:type="dxa"/>
            <w:vMerge w:val="continue"/>
            <w:vAlign w:val="center"/>
          </w:tcPr>
          <w:p w14:paraId="32BD9B23">
            <w:pPr>
              <w:widowControl/>
              <w:jc w:val="left"/>
              <w:rPr>
                <w:rFonts w:ascii="Times New Roman" w:hAnsi="Times New Roman" w:eastAsia="等线"/>
                <w:b/>
                <w:bCs/>
                <w:kern w:val="0"/>
                <w:szCs w:val="21"/>
              </w:rPr>
            </w:pPr>
          </w:p>
        </w:tc>
        <w:tc>
          <w:tcPr>
            <w:tcW w:w="1400" w:type="dxa"/>
            <w:noWrap/>
            <w:vAlign w:val="center"/>
          </w:tcPr>
          <w:p w14:paraId="2EF552BA">
            <w:pPr>
              <w:widowControl/>
              <w:jc w:val="center"/>
              <w:rPr>
                <w:rFonts w:ascii="Times New Roman" w:hAnsi="Times New Roman" w:eastAsia="等线"/>
                <w:b/>
                <w:bCs/>
                <w:kern w:val="0"/>
                <w:szCs w:val="21"/>
              </w:rPr>
            </w:pPr>
            <w:r>
              <w:rPr>
                <w:rFonts w:ascii="Times New Roman" w:hAnsi="Times New Roman"/>
                <w:b/>
                <w:bCs/>
                <w:kern w:val="0"/>
                <w:szCs w:val="21"/>
              </w:rPr>
              <w:t>原料</w:t>
            </w:r>
          </w:p>
        </w:tc>
        <w:tc>
          <w:tcPr>
            <w:tcW w:w="1399" w:type="dxa"/>
            <w:noWrap/>
            <w:vAlign w:val="center"/>
          </w:tcPr>
          <w:p w14:paraId="14736837">
            <w:pPr>
              <w:widowControl/>
              <w:jc w:val="center"/>
              <w:rPr>
                <w:rFonts w:ascii="Times New Roman" w:hAnsi="Times New Roman" w:eastAsia="等线"/>
                <w:b/>
                <w:bCs/>
                <w:kern w:val="0"/>
                <w:szCs w:val="21"/>
              </w:rPr>
            </w:pPr>
            <w:r>
              <w:rPr>
                <w:rFonts w:hint="eastAsia" w:ascii="Times New Roman" w:hAnsi="Times New Roman"/>
                <w:b/>
                <w:bCs/>
                <w:kern w:val="0"/>
                <w:szCs w:val="21"/>
              </w:rPr>
              <w:t>总重</w:t>
            </w:r>
            <w:r>
              <w:rPr>
                <w:rFonts w:ascii="Times New Roman" w:hAnsi="Times New Roman"/>
                <w:b/>
                <w:bCs/>
                <w:kern w:val="0"/>
                <w:szCs w:val="21"/>
              </w:rPr>
              <w:t>（t/a）</w:t>
            </w:r>
          </w:p>
        </w:tc>
        <w:tc>
          <w:tcPr>
            <w:tcW w:w="1403" w:type="dxa"/>
            <w:vAlign w:val="center"/>
          </w:tcPr>
          <w:p w14:paraId="2A71B3C3">
            <w:pPr>
              <w:widowControl/>
              <w:jc w:val="center"/>
              <w:rPr>
                <w:rFonts w:ascii="Times New Roman" w:hAnsi="Times New Roman" w:eastAsia="等线"/>
                <w:b/>
                <w:bCs/>
                <w:kern w:val="0"/>
                <w:szCs w:val="21"/>
              </w:rPr>
            </w:pPr>
            <w:r>
              <w:rPr>
                <w:rFonts w:hint="eastAsia" w:ascii="Times New Roman" w:hAnsi="Times New Roman" w:eastAsia="等线"/>
                <w:b/>
                <w:bCs/>
                <w:kern w:val="0"/>
                <w:szCs w:val="21"/>
              </w:rPr>
              <w:t>含水</w:t>
            </w:r>
            <w:r>
              <w:rPr>
                <w:rFonts w:ascii="Times New Roman" w:hAnsi="Times New Roman"/>
                <w:b/>
                <w:bCs/>
                <w:kern w:val="0"/>
                <w:szCs w:val="21"/>
              </w:rPr>
              <w:t>（t/a）</w:t>
            </w:r>
          </w:p>
        </w:tc>
        <w:tc>
          <w:tcPr>
            <w:tcW w:w="1399" w:type="dxa"/>
            <w:noWrap/>
            <w:vAlign w:val="center"/>
          </w:tcPr>
          <w:p w14:paraId="670A1901">
            <w:pPr>
              <w:widowControl/>
              <w:jc w:val="center"/>
              <w:rPr>
                <w:rFonts w:ascii="Times New Roman" w:hAnsi="Times New Roman" w:eastAsia="等线"/>
                <w:b/>
                <w:bCs/>
                <w:kern w:val="0"/>
                <w:szCs w:val="21"/>
              </w:rPr>
            </w:pPr>
            <w:r>
              <w:rPr>
                <w:rFonts w:ascii="Times New Roman" w:hAnsi="Times New Roman"/>
                <w:b/>
                <w:bCs/>
                <w:kern w:val="0"/>
                <w:szCs w:val="21"/>
              </w:rPr>
              <w:t>产品及其他</w:t>
            </w:r>
          </w:p>
        </w:tc>
        <w:tc>
          <w:tcPr>
            <w:tcW w:w="1399" w:type="dxa"/>
            <w:noWrap/>
            <w:vAlign w:val="center"/>
          </w:tcPr>
          <w:p w14:paraId="096E1B0D">
            <w:pPr>
              <w:widowControl/>
              <w:jc w:val="center"/>
              <w:rPr>
                <w:rFonts w:ascii="Times New Roman" w:hAnsi="Times New Roman" w:eastAsia="等线"/>
                <w:b/>
                <w:bCs/>
                <w:kern w:val="0"/>
                <w:szCs w:val="21"/>
              </w:rPr>
            </w:pPr>
            <w:r>
              <w:rPr>
                <w:rFonts w:hint="eastAsia" w:ascii="Times New Roman" w:hAnsi="Times New Roman"/>
                <w:b/>
                <w:bCs/>
                <w:kern w:val="0"/>
                <w:szCs w:val="21"/>
              </w:rPr>
              <w:t>总重</w:t>
            </w:r>
            <w:r>
              <w:rPr>
                <w:rFonts w:ascii="Times New Roman" w:hAnsi="Times New Roman"/>
                <w:b/>
                <w:bCs/>
                <w:kern w:val="0"/>
                <w:szCs w:val="21"/>
              </w:rPr>
              <w:t>（t/a）</w:t>
            </w:r>
          </w:p>
        </w:tc>
        <w:tc>
          <w:tcPr>
            <w:tcW w:w="1401" w:type="dxa"/>
            <w:vAlign w:val="center"/>
          </w:tcPr>
          <w:p w14:paraId="60107379">
            <w:pPr>
              <w:widowControl/>
              <w:jc w:val="center"/>
              <w:rPr>
                <w:rFonts w:ascii="Times New Roman" w:hAnsi="Times New Roman" w:eastAsia="等线"/>
                <w:b/>
                <w:bCs/>
                <w:kern w:val="0"/>
                <w:szCs w:val="21"/>
              </w:rPr>
            </w:pPr>
            <w:r>
              <w:rPr>
                <w:rFonts w:hint="eastAsia" w:ascii="Times New Roman" w:hAnsi="Times New Roman" w:eastAsia="等线"/>
                <w:b/>
                <w:bCs/>
                <w:kern w:val="0"/>
                <w:szCs w:val="21"/>
              </w:rPr>
              <w:t>含水</w:t>
            </w:r>
            <w:r>
              <w:rPr>
                <w:rFonts w:ascii="Times New Roman" w:hAnsi="Times New Roman"/>
                <w:b/>
                <w:bCs/>
                <w:kern w:val="0"/>
                <w:szCs w:val="21"/>
              </w:rPr>
              <w:t>（t/a）</w:t>
            </w:r>
          </w:p>
        </w:tc>
      </w:tr>
      <w:tr w14:paraId="2BFF3A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39" w:type="dxa"/>
            <w:noWrap/>
            <w:vAlign w:val="center"/>
          </w:tcPr>
          <w:p w14:paraId="7100B56E">
            <w:pPr>
              <w:widowControl/>
              <w:jc w:val="center"/>
              <w:rPr>
                <w:rFonts w:ascii="Times New Roman" w:hAnsi="Times New Roman" w:eastAsia="等线"/>
                <w:kern w:val="0"/>
                <w:szCs w:val="21"/>
              </w:rPr>
            </w:pPr>
            <w:r>
              <w:rPr>
                <w:rFonts w:ascii="Times New Roman" w:hAnsi="Times New Roman" w:eastAsia="等线"/>
                <w:kern w:val="0"/>
                <w:szCs w:val="21"/>
              </w:rPr>
              <w:t>1</w:t>
            </w:r>
          </w:p>
        </w:tc>
        <w:tc>
          <w:tcPr>
            <w:tcW w:w="1400" w:type="dxa"/>
            <w:noWrap/>
            <w:vAlign w:val="center"/>
          </w:tcPr>
          <w:p w14:paraId="433D2915">
            <w:pPr>
              <w:widowControl/>
              <w:jc w:val="center"/>
              <w:rPr>
                <w:rFonts w:ascii="Times New Roman" w:hAnsi="Times New Roman" w:eastAsia="等线"/>
                <w:kern w:val="0"/>
                <w:szCs w:val="21"/>
              </w:rPr>
            </w:pPr>
            <w:r>
              <w:rPr>
                <w:rFonts w:ascii="Times New Roman" w:hAnsi="Times New Roman"/>
                <w:kern w:val="0"/>
                <w:szCs w:val="21"/>
              </w:rPr>
              <w:t>毛矿</w:t>
            </w:r>
          </w:p>
        </w:tc>
        <w:tc>
          <w:tcPr>
            <w:tcW w:w="1399" w:type="dxa"/>
            <w:noWrap/>
            <w:vAlign w:val="center"/>
          </w:tcPr>
          <w:p w14:paraId="1C5DE8AB">
            <w:pPr>
              <w:widowControl/>
              <w:jc w:val="center"/>
              <w:rPr>
                <w:rFonts w:ascii="Times New Roman" w:hAnsi="Times New Roman" w:eastAsia="等线"/>
                <w:kern w:val="0"/>
                <w:szCs w:val="21"/>
                <w:u w:val="single"/>
              </w:rPr>
            </w:pPr>
            <w:r>
              <w:rPr>
                <w:rFonts w:hint="eastAsia" w:ascii="Times New Roman" w:hAnsi="Times New Roman" w:eastAsia="等线"/>
                <w:kern w:val="0"/>
                <w:szCs w:val="21"/>
                <w:u w:val="single"/>
              </w:rPr>
              <w:t>24</w:t>
            </w:r>
            <w:r>
              <w:rPr>
                <w:rFonts w:ascii="Times New Roman" w:hAnsi="Times New Roman" w:eastAsia="等线"/>
                <w:kern w:val="0"/>
                <w:szCs w:val="21"/>
                <w:u w:val="single"/>
              </w:rPr>
              <w:t>0000</w:t>
            </w:r>
          </w:p>
        </w:tc>
        <w:tc>
          <w:tcPr>
            <w:tcW w:w="1403" w:type="dxa"/>
            <w:vAlign w:val="center"/>
          </w:tcPr>
          <w:p w14:paraId="59B39A06">
            <w:pPr>
              <w:widowControl/>
              <w:jc w:val="center"/>
              <w:rPr>
                <w:rFonts w:ascii="Times New Roman" w:hAnsi="Times New Roman" w:eastAsia="等线"/>
                <w:kern w:val="0"/>
                <w:szCs w:val="21"/>
                <w:u w:val="single"/>
              </w:rPr>
            </w:pPr>
            <w:r>
              <w:rPr>
                <w:rFonts w:hint="eastAsia" w:ascii="Times New Roman" w:hAnsi="Times New Roman" w:eastAsia="等线"/>
                <w:kern w:val="0"/>
                <w:szCs w:val="21"/>
                <w:u w:val="single"/>
              </w:rPr>
              <w:t>9144</w:t>
            </w:r>
          </w:p>
        </w:tc>
        <w:tc>
          <w:tcPr>
            <w:tcW w:w="1399" w:type="dxa"/>
            <w:noWrap/>
            <w:vAlign w:val="center"/>
          </w:tcPr>
          <w:p w14:paraId="5A28B0F8">
            <w:pPr>
              <w:widowControl/>
              <w:jc w:val="center"/>
              <w:rPr>
                <w:rFonts w:ascii="Times New Roman" w:hAnsi="Times New Roman" w:eastAsia="等线"/>
                <w:kern w:val="0"/>
                <w:szCs w:val="21"/>
              </w:rPr>
            </w:pPr>
            <w:r>
              <w:rPr>
                <w:rFonts w:ascii="Times New Roman" w:hAnsi="Times New Roman"/>
                <w:kern w:val="0"/>
                <w:szCs w:val="21"/>
              </w:rPr>
              <w:t>钛铁精矿</w:t>
            </w:r>
          </w:p>
        </w:tc>
        <w:tc>
          <w:tcPr>
            <w:tcW w:w="1399" w:type="dxa"/>
            <w:noWrap/>
            <w:vAlign w:val="center"/>
          </w:tcPr>
          <w:p w14:paraId="6619FD4C">
            <w:pPr>
              <w:widowControl/>
              <w:jc w:val="center"/>
              <w:rPr>
                <w:rFonts w:ascii="Times New Roman" w:hAnsi="Times New Roman" w:eastAsia="等线"/>
                <w:kern w:val="0"/>
                <w:szCs w:val="21"/>
                <w:u w:val="single"/>
              </w:rPr>
            </w:pPr>
            <w:r>
              <w:rPr>
                <w:rFonts w:ascii="Times New Roman" w:hAnsi="Times New Roman" w:eastAsia="等线"/>
                <w:sz w:val="22"/>
                <w:u w:val="single"/>
              </w:rPr>
              <w:t>165000</w:t>
            </w:r>
          </w:p>
        </w:tc>
        <w:tc>
          <w:tcPr>
            <w:tcW w:w="1401" w:type="dxa"/>
            <w:vAlign w:val="center"/>
          </w:tcPr>
          <w:p w14:paraId="0E173955">
            <w:pPr>
              <w:widowControl/>
              <w:jc w:val="center"/>
              <w:rPr>
                <w:rFonts w:ascii="Times New Roman" w:hAnsi="Times New Roman" w:eastAsia="等线"/>
                <w:kern w:val="0"/>
                <w:szCs w:val="21"/>
                <w:u w:val="single"/>
              </w:rPr>
            </w:pPr>
            <w:r>
              <w:rPr>
                <w:rFonts w:ascii="Times New Roman" w:hAnsi="Times New Roman" w:eastAsia="等线"/>
                <w:sz w:val="22"/>
                <w:u w:val="single"/>
              </w:rPr>
              <w:t>4125</w:t>
            </w:r>
          </w:p>
        </w:tc>
      </w:tr>
      <w:tr w14:paraId="364122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39" w:type="dxa"/>
            <w:noWrap/>
            <w:vAlign w:val="center"/>
          </w:tcPr>
          <w:p w14:paraId="7981E09C">
            <w:pPr>
              <w:widowControl/>
              <w:jc w:val="center"/>
              <w:rPr>
                <w:rFonts w:ascii="Times New Roman" w:hAnsi="Times New Roman" w:eastAsia="等线"/>
                <w:kern w:val="0"/>
                <w:szCs w:val="21"/>
              </w:rPr>
            </w:pPr>
            <w:r>
              <w:rPr>
                <w:rFonts w:ascii="Times New Roman" w:hAnsi="Times New Roman" w:eastAsia="等线"/>
                <w:kern w:val="0"/>
                <w:szCs w:val="21"/>
              </w:rPr>
              <w:t>2</w:t>
            </w:r>
          </w:p>
        </w:tc>
        <w:tc>
          <w:tcPr>
            <w:tcW w:w="1400" w:type="dxa"/>
            <w:noWrap/>
            <w:vAlign w:val="center"/>
          </w:tcPr>
          <w:p w14:paraId="0692C6F2">
            <w:pPr>
              <w:widowControl/>
              <w:jc w:val="center"/>
              <w:rPr>
                <w:rFonts w:ascii="Times New Roman" w:hAnsi="Times New Roman" w:eastAsia="等线"/>
                <w:kern w:val="0"/>
                <w:szCs w:val="21"/>
              </w:rPr>
            </w:pPr>
            <w:r>
              <w:rPr>
                <w:rFonts w:ascii="Times New Roman" w:hAnsi="Times New Roman" w:eastAsia="等线"/>
                <w:kern w:val="0"/>
                <w:szCs w:val="21"/>
              </w:rPr>
              <w:t>　</w:t>
            </w:r>
          </w:p>
        </w:tc>
        <w:tc>
          <w:tcPr>
            <w:tcW w:w="1399" w:type="dxa"/>
            <w:noWrap/>
            <w:vAlign w:val="center"/>
          </w:tcPr>
          <w:p w14:paraId="47E6F892">
            <w:pPr>
              <w:widowControl/>
              <w:jc w:val="center"/>
              <w:rPr>
                <w:rFonts w:ascii="Times New Roman" w:hAnsi="Times New Roman" w:eastAsia="等线"/>
                <w:kern w:val="0"/>
                <w:szCs w:val="21"/>
              </w:rPr>
            </w:pPr>
            <w:r>
              <w:rPr>
                <w:rFonts w:ascii="Times New Roman" w:hAnsi="Times New Roman" w:eastAsia="等线"/>
                <w:kern w:val="0"/>
                <w:szCs w:val="21"/>
              </w:rPr>
              <w:t>　</w:t>
            </w:r>
          </w:p>
        </w:tc>
        <w:tc>
          <w:tcPr>
            <w:tcW w:w="1403" w:type="dxa"/>
            <w:vAlign w:val="center"/>
          </w:tcPr>
          <w:p w14:paraId="02DADDE6">
            <w:pPr>
              <w:widowControl/>
              <w:jc w:val="center"/>
              <w:rPr>
                <w:rFonts w:ascii="Times New Roman" w:hAnsi="Times New Roman" w:eastAsia="等线"/>
                <w:kern w:val="0"/>
                <w:szCs w:val="21"/>
              </w:rPr>
            </w:pPr>
          </w:p>
        </w:tc>
        <w:tc>
          <w:tcPr>
            <w:tcW w:w="1399" w:type="dxa"/>
            <w:noWrap/>
            <w:vAlign w:val="center"/>
          </w:tcPr>
          <w:p w14:paraId="217F6067">
            <w:pPr>
              <w:widowControl/>
              <w:jc w:val="center"/>
              <w:rPr>
                <w:rFonts w:ascii="Times New Roman" w:hAnsi="Times New Roman"/>
                <w:kern w:val="0"/>
                <w:szCs w:val="21"/>
              </w:rPr>
            </w:pPr>
            <w:r>
              <w:rPr>
                <w:rFonts w:ascii="Times New Roman" w:hAnsi="Times New Roman"/>
                <w:kern w:val="0"/>
                <w:szCs w:val="21"/>
              </w:rPr>
              <w:t>锆中矿</w:t>
            </w:r>
          </w:p>
        </w:tc>
        <w:tc>
          <w:tcPr>
            <w:tcW w:w="1399" w:type="dxa"/>
            <w:noWrap/>
            <w:vAlign w:val="center"/>
          </w:tcPr>
          <w:p w14:paraId="2EA20A77">
            <w:pPr>
              <w:widowControl/>
              <w:jc w:val="center"/>
              <w:rPr>
                <w:rFonts w:ascii="Times New Roman" w:hAnsi="Times New Roman" w:eastAsia="等线"/>
                <w:kern w:val="0"/>
                <w:szCs w:val="21"/>
                <w:u w:val="single"/>
              </w:rPr>
            </w:pPr>
            <w:r>
              <w:rPr>
                <w:rFonts w:ascii="Times New Roman" w:hAnsi="Times New Roman" w:eastAsia="等线"/>
                <w:sz w:val="22"/>
                <w:u w:val="single"/>
              </w:rPr>
              <w:t>71769.9</w:t>
            </w:r>
            <w:r>
              <w:rPr>
                <w:rFonts w:hint="eastAsia" w:ascii="Times New Roman" w:hAnsi="Times New Roman" w:eastAsia="等线"/>
                <w:sz w:val="22"/>
                <w:u w:val="single"/>
              </w:rPr>
              <w:t>0</w:t>
            </w:r>
          </w:p>
        </w:tc>
        <w:tc>
          <w:tcPr>
            <w:tcW w:w="1401" w:type="dxa"/>
            <w:vAlign w:val="center"/>
          </w:tcPr>
          <w:p w14:paraId="197846CF">
            <w:pPr>
              <w:widowControl/>
              <w:jc w:val="center"/>
              <w:rPr>
                <w:rFonts w:ascii="Times New Roman" w:hAnsi="Times New Roman" w:eastAsia="等线"/>
                <w:kern w:val="0"/>
                <w:szCs w:val="21"/>
                <w:u w:val="single"/>
              </w:rPr>
            </w:pPr>
            <w:r>
              <w:rPr>
                <w:rFonts w:ascii="Times New Roman" w:hAnsi="Times New Roman" w:eastAsia="等线"/>
                <w:sz w:val="22"/>
                <w:u w:val="single"/>
              </w:rPr>
              <w:t>1794.25</w:t>
            </w:r>
          </w:p>
        </w:tc>
      </w:tr>
      <w:tr w14:paraId="710C70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39" w:type="dxa"/>
            <w:noWrap/>
            <w:vAlign w:val="center"/>
          </w:tcPr>
          <w:p w14:paraId="7BE5D2FC">
            <w:pPr>
              <w:widowControl/>
              <w:jc w:val="center"/>
              <w:rPr>
                <w:rFonts w:ascii="Times New Roman" w:hAnsi="Times New Roman" w:eastAsia="等线"/>
                <w:kern w:val="0"/>
                <w:szCs w:val="21"/>
              </w:rPr>
            </w:pPr>
            <w:r>
              <w:rPr>
                <w:rFonts w:ascii="Times New Roman" w:hAnsi="Times New Roman" w:eastAsia="等线"/>
                <w:kern w:val="0"/>
                <w:szCs w:val="21"/>
              </w:rPr>
              <w:t>3</w:t>
            </w:r>
          </w:p>
        </w:tc>
        <w:tc>
          <w:tcPr>
            <w:tcW w:w="1400" w:type="dxa"/>
            <w:noWrap/>
            <w:vAlign w:val="center"/>
          </w:tcPr>
          <w:p w14:paraId="3ADBF52C">
            <w:pPr>
              <w:widowControl/>
              <w:jc w:val="center"/>
              <w:rPr>
                <w:rFonts w:ascii="Times New Roman" w:hAnsi="Times New Roman" w:eastAsia="等线"/>
                <w:kern w:val="0"/>
                <w:szCs w:val="21"/>
              </w:rPr>
            </w:pPr>
            <w:r>
              <w:rPr>
                <w:rFonts w:ascii="Times New Roman" w:hAnsi="Times New Roman" w:eastAsia="等线"/>
                <w:kern w:val="0"/>
                <w:szCs w:val="21"/>
              </w:rPr>
              <w:t>　</w:t>
            </w:r>
          </w:p>
        </w:tc>
        <w:tc>
          <w:tcPr>
            <w:tcW w:w="1399" w:type="dxa"/>
            <w:noWrap/>
            <w:vAlign w:val="center"/>
          </w:tcPr>
          <w:p w14:paraId="23597AEB">
            <w:pPr>
              <w:widowControl/>
              <w:jc w:val="center"/>
              <w:rPr>
                <w:rFonts w:ascii="Times New Roman" w:hAnsi="Times New Roman" w:eastAsia="等线"/>
                <w:kern w:val="0"/>
                <w:szCs w:val="21"/>
              </w:rPr>
            </w:pPr>
            <w:r>
              <w:rPr>
                <w:rFonts w:ascii="Times New Roman" w:hAnsi="Times New Roman" w:eastAsia="等线"/>
                <w:kern w:val="0"/>
                <w:szCs w:val="21"/>
              </w:rPr>
              <w:t>　</w:t>
            </w:r>
          </w:p>
        </w:tc>
        <w:tc>
          <w:tcPr>
            <w:tcW w:w="1403" w:type="dxa"/>
            <w:vAlign w:val="center"/>
          </w:tcPr>
          <w:p w14:paraId="3ACD4C5C">
            <w:pPr>
              <w:widowControl/>
              <w:jc w:val="center"/>
              <w:rPr>
                <w:rFonts w:ascii="Times New Roman" w:hAnsi="Times New Roman" w:eastAsia="等线"/>
                <w:kern w:val="0"/>
                <w:szCs w:val="21"/>
              </w:rPr>
            </w:pPr>
          </w:p>
        </w:tc>
        <w:tc>
          <w:tcPr>
            <w:tcW w:w="1399" w:type="dxa"/>
            <w:noWrap/>
            <w:vAlign w:val="center"/>
          </w:tcPr>
          <w:p w14:paraId="70F727BB">
            <w:pPr>
              <w:widowControl/>
              <w:jc w:val="center"/>
              <w:rPr>
                <w:rFonts w:ascii="Times New Roman" w:hAnsi="Times New Roman"/>
                <w:kern w:val="0"/>
                <w:szCs w:val="21"/>
              </w:rPr>
            </w:pPr>
            <w:r>
              <w:rPr>
                <w:rFonts w:hint="eastAsia" w:ascii="Times New Roman" w:hAnsi="Times New Roman"/>
                <w:kern w:val="0"/>
                <w:szCs w:val="21"/>
              </w:rPr>
              <w:t>粉尘</w:t>
            </w:r>
          </w:p>
        </w:tc>
        <w:tc>
          <w:tcPr>
            <w:tcW w:w="1399" w:type="dxa"/>
            <w:noWrap/>
            <w:vAlign w:val="center"/>
          </w:tcPr>
          <w:p w14:paraId="54BC279E">
            <w:pPr>
              <w:widowControl/>
              <w:jc w:val="center"/>
              <w:rPr>
                <w:rFonts w:ascii="Times New Roman" w:hAnsi="Times New Roman" w:eastAsia="等线"/>
                <w:kern w:val="0"/>
                <w:szCs w:val="21"/>
                <w:u w:val="single"/>
              </w:rPr>
            </w:pPr>
            <w:r>
              <w:rPr>
                <w:rFonts w:ascii="Times New Roman" w:hAnsi="Times New Roman" w:eastAsia="等线"/>
                <w:sz w:val="22"/>
                <w:u w:val="single"/>
              </w:rPr>
              <w:t>5.49</w:t>
            </w:r>
          </w:p>
        </w:tc>
        <w:tc>
          <w:tcPr>
            <w:tcW w:w="1401" w:type="dxa"/>
            <w:vAlign w:val="center"/>
          </w:tcPr>
          <w:p w14:paraId="5148CDCF">
            <w:pPr>
              <w:widowControl/>
              <w:jc w:val="center"/>
              <w:rPr>
                <w:rFonts w:ascii="Times New Roman" w:hAnsi="Times New Roman" w:eastAsia="等线"/>
                <w:kern w:val="0"/>
                <w:szCs w:val="21"/>
                <w:u w:val="single"/>
              </w:rPr>
            </w:pPr>
            <w:r>
              <w:rPr>
                <w:rFonts w:ascii="Times New Roman" w:hAnsi="Times New Roman" w:eastAsia="等线"/>
                <w:sz w:val="22"/>
                <w:u w:val="single"/>
              </w:rPr>
              <w:t>0.14</w:t>
            </w:r>
          </w:p>
        </w:tc>
      </w:tr>
      <w:tr w14:paraId="7ADB43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39" w:type="dxa"/>
            <w:noWrap/>
            <w:vAlign w:val="center"/>
          </w:tcPr>
          <w:p w14:paraId="053ABF89">
            <w:pPr>
              <w:widowControl/>
              <w:jc w:val="center"/>
              <w:rPr>
                <w:rFonts w:ascii="Times New Roman" w:hAnsi="Times New Roman" w:eastAsia="等线"/>
                <w:kern w:val="0"/>
                <w:szCs w:val="21"/>
              </w:rPr>
            </w:pPr>
            <w:r>
              <w:rPr>
                <w:rFonts w:ascii="Times New Roman" w:hAnsi="Times New Roman" w:eastAsia="等线"/>
                <w:kern w:val="0"/>
                <w:szCs w:val="21"/>
              </w:rPr>
              <w:t>4</w:t>
            </w:r>
          </w:p>
        </w:tc>
        <w:tc>
          <w:tcPr>
            <w:tcW w:w="1400" w:type="dxa"/>
            <w:noWrap/>
            <w:vAlign w:val="center"/>
          </w:tcPr>
          <w:p w14:paraId="39D2A97C">
            <w:pPr>
              <w:widowControl/>
              <w:jc w:val="center"/>
              <w:rPr>
                <w:rFonts w:ascii="Times New Roman" w:hAnsi="Times New Roman"/>
                <w:kern w:val="0"/>
                <w:szCs w:val="21"/>
              </w:rPr>
            </w:pPr>
            <w:r>
              <w:rPr>
                <w:rFonts w:ascii="Times New Roman" w:hAnsi="Times New Roman"/>
                <w:kern w:val="0"/>
                <w:szCs w:val="21"/>
              </w:rPr>
              <w:t>　</w:t>
            </w:r>
          </w:p>
        </w:tc>
        <w:tc>
          <w:tcPr>
            <w:tcW w:w="1399" w:type="dxa"/>
            <w:noWrap/>
            <w:vAlign w:val="center"/>
          </w:tcPr>
          <w:p w14:paraId="61BCD528">
            <w:pPr>
              <w:widowControl/>
              <w:jc w:val="center"/>
              <w:rPr>
                <w:rFonts w:ascii="Times New Roman" w:hAnsi="Times New Roman"/>
                <w:kern w:val="0"/>
                <w:szCs w:val="21"/>
              </w:rPr>
            </w:pPr>
            <w:r>
              <w:rPr>
                <w:rFonts w:ascii="Times New Roman" w:hAnsi="Times New Roman"/>
                <w:kern w:val="0"/>
                <w:szCs w:val="21"/>
              </w:rPr>
              <w:t>　</w:t>
            </w:r>
          </w:p>
        </w:tc>
        <w:tc>
          <w:tcPr>
            <w:tcW w:w="1403" w:type="dxa"/>
            <w:vAlign w:val="center"/>
          </w:tcPr>
          <w:p w14:paraId="244A5AF1">
            <w:pPr>
              <w:widowControl/>
              <w:jc w:val="center"/>
              <w:rPr>
                <w:rFonts w:ascii="Times New Roman" w:hAnsi="Times New Roman" w:eastAsia="等线"/>
                <w:kern w:val="0"/>
                <w:szCs w:val="21"/>
              </w:rPr>
            </w:pPr>
          </w:p>
        </w:tc>
        <w:tc>
          <w:tcPr>
            <w:tcW w:w="1399" w:type="dxa"/>
            <w:noWrap/>
            <w:vAlign w:val="center"/>
          </w:tcPr>
          <w:p w14:paraId="538F893F">
            <w:pPr>
              <w:widowControl/>
              <w:jc w:val="center"/>
              <w:rPr>
                <w:rFonts w:ascii="Times New Roman" w:hAnsi="Times New Roman"/>
                <w:kern w:val="0"/>
                <w:szCs w:val="21"/>
              </w:rPr>
            </w:pPr>
            <w:r>
              <w:rPr>
                <w:rFonts w:hint="eastAsia" w:ascii="Times New Roman" w:hAnsi="Times New Roman"/>
                <w:kern w:val="0"/>
                <w:szCs w:val="21"/>
              </w:rPr>
              <w:t>蒸发水分</w:t>
            </w:r>
          </w:p>
        </w:tc>
        <w:tc>
          <w:tcPr>
            <w:tcW w:w="1399" w:type="dxa"/>
            <w:noWrap/>
            <w:vAlign w:val="center"/>
          </w:tcPr>
          <w:p w14:paraId="44910A7B">
            <w:pPr>
              <w:widowControl/>
              <w:jc w:val="center"/>
              <w:rPr>
                <w:rFonts w:ascii="Times New Roman" w:hAnsi="Times New Roman"/>
                <w:kern w:val="0"/>
                <w:szCs w:val="21"/>
                <w:u w:val="single"/>
              </w:rPr>
            </w:pPr>
            <w:r>
              <w:rPr>
                <w:rFonts w:ascii="Times New Roman" w:hAnsi="Times New Roman" w:eastAsia="等线"/>
                <w:sz w:val="22"/>
                <w:u w:val="single"/>
              </w:rPr>
              <w:t>3224.61</w:t>
            </w:r>
          </w:p>
        </w:tc>
        <w:tc>
          <w:tcPr>
            <w:tcW w:w="1401" w:type="dxa"/>
            <w:vAlign w:val="center"/>
          </w:tcPr>
          <w:p w14:paraId="0B4BED4C">
            <w:pPr>
              <w:widowControl/>
              <w:jc w:val="center"/>
              <w:rPr>
                <w:rFonts w:ascii="Times New Roman" w:hAnsi="Times New Roman" w:eastAsia="等线"/>
                <w:kern w:val="0"/>
                <w:szCs w:val="21"/>
                <w:u w:val="single"/>
              </w:rPr>
            </w:pPr>
            <w:r>
              <w:rPr>
                <w:rFonts w:ascii="Times New Roman" w:hAnsi="Times New Roman" w:eastAsia="等线"/>
                <w:sz w:val="22"/>
                <w:u w:val="single"/>
              </w:rPr>
              <w:t>3224.61</w:t>
            </w:r>
          </w:p>
        </w:tc>
      </w:tr>
      <w:tr w14:paraId="492D74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39" w:type="dxa"/>
            <w:noWrap/>
            <w:vAlign w:val="center"/>
          </w:tcPr>
          <w:p w14:paraId="48BBEC0A">
            <w:pPr>
              <w:widowControl/>
              <w:jc w:val="center"/>
              <w:rPr>
                <w:rFonts w:ascii="Times New Roman" w:hAnsi="Times New Roman" w:eastAsia="等线"/>
                <w:kern w:val="0"/>
                <w:szCs w:val="21"/>
              </w:rPr>
            </w:pPr>
            <w:r>
              <w:rPr>
                <w:rFonts w:ascii="Times New Roman" w:hAnsi="Times New Roman" w:eastAsia="等线"/>
                <w:kern w:val="0"/>
                <w:szCs w:val="21"/>
              </w:rPr>
              <w:t>　</w:t>
            </w:r>
          </w:p>
        </w:tc>
        <w:tc>
          <w:tcPr>
            <w:tcW w:w="1400" w:type="dxa"/>
            <w:noWrap/>
            <w:vAlign w:val="center"/>
          </w:tcPr>
          <w:p w14:paraId="6C5B17DE">
            <w:pPr>
              <w:widowControl/>
              <w:jc w:val="center"/>
              <w:rPr>
                <w:rFonts w:ascii="Times New Roman" w:hAnsi="Times New Roman" w:eastAsia="等线"/>
                <w:kern w:val="0"/>
                <w:szCs w:val="21"/>
              </w:rPr>
            </w:pPr>
            <w:r>
              <w:rPr>
                <w:rFonts w:ascii="Times New Roman" w:hAnsi="Times New Roman"/>
                <w:kern w:val="0"/>
                <w:szCs w:val="21"/>
              </w:rPr>
              <w:t>合计</w:t>
            </w:r>
          </w:p>
        </w:tc>
        <w:tc>
          <w:tcPr>
            <w:tcW w:w="1399" w:type="dxa"/>
            <w:noWrap/>
            <w:vAlign w:val="center"/>
          </w:tcPr>
          <w:p w14:paraId="7DAF907D">
            <w:pPr>
              <w:widowControl/>
              <w:jc w:val="center"/>
              <w:rPr>
                <w:rFonts w:ascii="Times New Roman" w:hAnsi="Times New Roman" w:eastAsia="等线"/>
                <w:kern w:val="0"/>
                <w:szCs w:val="21"/>
                <w:u w:val="single"/>
              </w:rPr>
            </w:pPr>
            <w:r>
              <w:rPr>
                <w:rFonts w:hint="eastAsia" w:ascii="Times New Roman" w:hAnsi="Times New Roman" w:eastAsia="等线"/>
                <w:kern w:val="0"/>
                <w:szCs w:val="21"/>
                <w:u w:val="single"/>
              </w:rPr>
              <w:t>24</w:t>
            </w:r>
            <w:r>
              <w:rPr>
                <w:rFonts w:ascii="Times New Roman" w:hAnsi="Times New Roman" w:eastAsia="等线"/>
                <w:kern w:val="0"/>
                <w:szCs w:val="21"/>
                <w:u w:val="single"/>
              </w:rPr>
              <w:t>0000</w:t>
            </w:r>
          </w:p>
        </w:tc>
        <w:tc>
          <w:tcPr>
            <w:tcW w:w="1403" w:type="dxa"/>
            <w:vAlign w:val="center"/>
          </w:tcPr>
          <w:p w14:paraId="5346FA87">
            <w:pPr>
              <w:widowControl/>
              <w:jc w:val="center"/>
              <w:rPr>
                <w:rFonts w:ascii="Times New Roman" w:hAnsi="Times New Roman" w:eastAsia="等线"/>
                <w:kern w:val="0"/>
                <w:szCs w:val="21"/>
                <w:u w:val="single"/>
              </w:rPr>
            </w:pPr>
            <w:r>
              <w:rPr>
                <w:rFonts w:hint="eastAsia" w:ascii="Times New Roman" w:hAnsi="Times New Roman" w:eastAsia="等线"/>
                <w:kern w:val="0"/>
                <w:szCs w:val="21"/>
                <w:u w:val="single"/>
              </w:rPr>
              <w:t>9144</w:t>
            </w:r>
          </w:p>
        </w:tc>
        <w:tc>
          <w:tcPr>
            <w:tcW w:w="1399" w:type="dxa"/>
            <w:noWrap/>
            <w:vAlign w:val="center"/>
          </w:tcPr>
          <w:p w14:paraId="6505F544">
            <w:pPr>
              <w:widowControl/>
              <w:jc w:val="center"/>
              <w:rPr>
                <w:rFonts w:ascii="Times New Roman" w:hAnsi="Times New Roman" w:eastAsia="等线"/>
                <w:kern w:val="0"/>
                <w:szCs w:val="21"/>
              </w:rPr>
            </w:pPr>
            <w:r>
              <w:rPr>
                <w:rFonts w:ascii="Times New Roman" w:hAnsi="Times New Roman"/>
                <w:kern w:val="0"/>
                <w:szCs w:val="21"/>
              </w:rPr>
              <w:t>合计</w:t>
            </w:r>
          </w:p>
        </w:tc>
        <w:tc>
          <w:tcPr>
            <w:tcW w:w="1399" w:type="dxa"/>
            <w:noWrap/>
            <w:vAlign w:val="center"/>
          </w:tcPr>
          <w:p w14:paraId="309F24F2">
            <w:pPr>
              <w:widowControl/>
              <w:jc w:val="center"/>
              <w:rPr>
                <w:rFonts w:ascii="Times New Roman" w:hAnsi="Times New Roman" w:eastAsia="等线"/>
                <w:kern w:val="0"/>
                <w:szCs w:val="21"/>
                <w:u w:val="single"/>
              </w:rPr>
            </w:pPr>
            <w:r>
              <w:rPr>
                <w:rFonts w:ascii="Times New Roman" w:hAnsi="Times New Roman" w:eastAsia="等线"/>
                <w:sz w:val="22"/>
                <w:u w:val="single"/>
              </w:rPr>
              <w:t>240000</w:t>
            </w:r>
          </w:p>
        </w:tc>
        <w:tc>
          <w:tcPr>
            <w:tcW w:w="1401" w:type="dxa"/>
            <w:vAlign w:val="center"/>
          </w:tcPr>
          <w:p w14:paraId="64591953">
            <w:pPr>
              <w:widowControl/>
              <w:jc w:val="center"/>
              <w:rPr>
                <w:rFonts w:ascii="Times New Roman" w:hAnsi="Times New Roman" w:eastAsia="等线"/>
                <w:kern w:val="0"/>
                <w:szCs w:val="21"/>
                <w:u w:val="single"/>
              </w:rPr>
            </w:pPr>
            <w:r>
              <w:rPr>
                <w:rFonts w:ascii="Times New Roman" w:hAnsi="Times New Roman" w:eastAsia="等线"/>
                <w:sz w:val="22"/>
                <w:u w:val="single"/>
              </w:rPr>
              <w:t>9144</w:t>
            </w:r>
          </w:p>
        </w:tc>
      </w:tr>
    </w:tbl>
    <w:p w14:paraId="6FEC420D">
      <w:pPr>
        <w:adjustRightInd w:val="0"/>
        <w:snapToGrid w:val="0"/>
        <w:spacing w:line="360" w:lineRule="auto"/>
        <w:ind w:firstLine="472" w:firstLineChars="200"/>
        <w:rPr>
          <w:rFonts w:ascii="Times New Roman" w:hAnsi="Times New Roman"/>
          <w:spacing w:val="-2"/>
          <w:kern w:val="0"/>
          <w:sz w:val="24"/>
          <w:szCs w:val="24"/>
        </w:rPr>
      </w:pPr>
    </w:p>
    <w:p w14:paraId="55AEDA44">
      <w:pPr>
        <w:adjustRightInd w:val="0"/>
        <w:snapToGri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（2）钛</w:t>
      </w:r>
      <w:r>
        <w:rPr>
          <w:rFonts w:hint="eastAsia" w:ascii="Times New Roman" w:hAnsi="Times New Roman"/>
          <w:spacing w:val="-2"/>
          <w:kern w:val="0"/>
          <w:sz w:val="24"/>
          <w:szCs w:val="24"/>
        </w:rPr>
        <w:t>元素</w:t>
      </w:r>
      <w:r>
        <w:rPr>
          <w:rFonts w:ascii="Times New Roman" w:hAnsi="Times New Roman"/>
          <w:spacing w:val="-2"/>
          <w:kern w:val="0"/>
          <w:sz w:val="24"/>
          <w:szCs w:val="24"/>
        </w:rPr>
        <w:t>物料平衡表</w:t>
      </w:r>
    </w:p>
    <w:p w14:paraId="2FF8521F">
      <w:pPr>
        <w:adjustRightInd w:val="0"/>
        <w:snapToGri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本项目钛回收率</w:t>
      </w:r>
      <w:r>
        <w:rPr>
          <w:rFonts w:hint="eastAsia" w:ascii="Times New Roman" w:hAnsi="Times New Roman"/>
          <w:spacing w:val="-2"/>
          <w:kern w:val="0"/>
          <w:sz w:val="24"/>
          <w:szCs w:val="24"/>
        </w:rPr>
        <w:t>96.96</w:t>
      </w:r>
      <w:r>
        <w:rPr>
          <w:rFonts w:ascii="Times New Roman" w:hAnsi="Times New Roman"/>
          <w:spacing w:val="-2"/>
          <w:kern w:val="0"/>
          <w:sz w:val="24"/>
          <w:szCs w:val="24"/>
        </w:rPr>
        <w:t>%，剩余钛元素</w:t>
      </w:r>
      <w:r>
        <w:rPr>
          <w:rFonts w:hint="eastAsia" w:ascii="Times New Roman" w:hAnsi="Times New Roman"/>
          <w:spacing w:val="-2"/>
          <w:kern w:val="0"/>
          <w:sz w:val="24"/>
          <w:szCs w:val="24"/>
        </w:rPr>
        <w:t>主要</w:t>
      </w:r>
      <w:r>
        <w:rPr>
          <w:rFonts w:ascii="Times New Roman" w:hAnsi="Times New Roman"/>
          <w:spacing w:val="-2"/>
          <w:kern w:val="0"/>
          <w:sz w:val="24"/>
          <w:szCs w:val="24"/>
        </w:rPr>
        <w:t>进入到</w:t>
      </w:r>
      <w:r>
        <w:rPr>
          <w:rFonts w:hint="eastAsia" w:ascii="Times New Roman" w:hAnsi="Times New Roman"/>
          <w:spacing w:val="-2"/>
          <w:kern w:val="0"/>
          <w:sz w:val="24"/>
          <w:szCs w:val="24"/>
        </w:rPr>
        <w:t>副产品锆中矿</w:t>
      </w:r>
      <w:r>
        <w:rPr>
          <w:rFonts w:ascii="Times New Roman" w:hAnsi="Times New Roman"/>
          <w:spacing w:val="-2"/>
          <w:kern w:val="0"/>
          <w:sz w:val="24"/>
          <w:szCs w:val="24"/>
        </w:rPr>
        <w:t>中</w:t>
      </w:r>
      <w:r>
        <w:rPr>
          <w:rFonts w:hint="eastAsia" w:ascii="Times New Roman" w:hAnsi="Times New Roman"/>
          <w:spacing w:val="-2"/>
          <w:kern w:val="0"/>
          <w:sz w:val="24"/>
          <w:szCs w:val="24"/>
        </w:rPr>
        <w:t>，少量随着粉尘排放</w:t>
      </w:r>
      <w:r>
        <w:rPr>
          <w:rFonts w:ascii="Times New Roman" w:hAnsi="Times New Roman"/>
          <w:spacing w:val="-2"/>
          <w:kern w:val="0"/>
          <w:sz w:val="24"/>
          <w:szCs w:val="24"/>
        </w:rPr>
        <w:t>。项目钛平衡表见表2.2-</w:t>
      </w:r>
      <w:r>
        <w:rPr>
          <w:rFonts w:hint="eastAsia" w:ascii="Times New Roman" w:hAnsi="Times New Roman"/>
          <w:spacing w:val="-2"/>
          <w:kern w:val="0"/>
          <w:sz w:val="24"/>
          <w:szCs w:val="24"/>
        </w:rPr>
        <w:t>2</w:t>
      </w:r>
      <w:r>
        <w:rPr>
          <w:rFonts w:ascii="Times New Roman" w:hAnsi="Times New Roman"/>
          <w:spacing w:val="-2"/>
          <w:kern w:val="0"/>
          <w:sz w:val="24"/>
          <w:szCs w:val="24"/>
        </w:rPr>
        <w:t>。</w:t>
      </w:r>
    </w:p>
    <w:p w14:paraId="64734CEC">
      <w:pPr>
        <w:pStyle w:val="8"/>
        <w:numPr>
          <w:ilvl w:val="4"/>
          <w:numId w:val="3"/>
        </w:numPr>
        <w:rPr>
          <w:sz w:val="24"/>
          <w:szCs w:val="24"/>
        </w:rPr>
      </w:pPr>
      <w:r>
        <w:rPr>
          <w:sz w:val="24"/>
          <w:szCs w:val="24"/>
        </w:rPr>
        <w:t>项目</w:t>
      </w:r>
      <w:r>
        <w:rPr>
          <w:rFonts w:hint="eastAsia"/>
          <w:sz w:val="24"/>
          <w:szCs w:val="24"/>
        </w:rPr>
        <w:t>钛</w:t>
      </w:r>
      <w:r>
        <w:rPr>
          <w:sz w:val="24"/>
          <w:szCs w:val="24"/>
        </w:rPr>
        <w:t>平衡表</w:t>
      </w:r>
    </w:p>
    <w:tbl>
      <w:tblPr>
        <w:tblStyle w:val="88"/>
        <w:tblW w:w="904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08"/>
        <w:gridCol w:w="2009"/>
        <w:gridCol w:w="2009"/>
        <w:gridCol w:w="2009"/>
        <w:gridCol w:w="2005"/>
      </w:tblGrid>
      <w:tr w14:paraId="77275A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blHeader/>
          <w:jc w:val="center"/>
        </w:trPr>
        <w:tc>
          <w:tcPr>
            <w:tcW w:w="1008" w:type="dxa"/>
            <w:vMerge w:val="restart"/>
            <w:noWrap/>
            <w:vAlign w:val="center"/>
          </w:tcPr>
          <w:p w14:paraId="365AD586">
            <w:pPr>
              <w:widowControl/>
              <w:jc w:val="center"/>
              <w:rPr>
                <w:rFonts w:ascii="Times New Roman" w:hAnsi="Times New Roman" w:eastAsia="等线"/>
                <w:b/>
                <w:bCs/>
                <w:kern w:val="0"/>
                <w:szCs w:val="21"/>
              </w:rPr>
            </w:pPr>
            <w:r>
              <w:rPr>
                <w:rFonts w:ascii="Times New Roman" w:hAnsi="Times New Roman"/>
                <w:b/>
                <w:bCs/>
                <w:kern w:val="0"/>
                <w:szCs w:val="21"/>
              </w:rPr>
              <w:t>序号</w:t>
            </w:r>
          </w:p>
        </w:tc>
        <w:tc>
          <w:tcPr>
            <w:tcW w:w="4018" w:type="dxa"/>
            <w:gridSpan w:val="2"/>
            <w:noWrap/>
            <w:vAlign w:val="center"/>
          </w:tcPr>
          <w:p w14:paraId="55BE3CB6">
            <w:pPr>
              <w:widowControl/>
              <w:jc w:val="center"/>
              <w:rPr>
                <w:rFonts w:ascii="Times New Roman" w:hAnsi="Times New Roman"/>
                <w:b/>
                <w:bCs/>
                <w:kern w:val="0"/>
                <w:szCs w:val="21"/>
              </w:rPr>
            </w:pPr>
            <w:r>
              <w:rPr>
                <w:rFonts w:ascii="Times New Roman" w:hAnsi="Times New Roman"/>
                <w:b/>
                <w:bCs/>
                <w:kern w:val="0"/>
                <w:szCs w:val="21"/>
              </w:rPr>
              <w:t>加入项</w:t>
            </w:r>
          </w:p>
        </w:tc>
        <w:tc>
          <w:tcPr>
            <w:tcW w:w="4014" w:type="dxa"/>
            <w:gridSpan w:val="2"/>
            <w:noWrap/>
            <w:vAlign w:val="center"/>
          </w:tcPr>
          <w:p w14:paraId="7E2BF372">
            <w:pPr>
              <w:widowControl/>
              <w:jc w:val="center"/>
              <w:rPr>
                <w:rFonts w:ascii="Times New Roman" w:hAnsi="Times New Roman"/>
                <w:b/>
                <w:bCs/>
                <w:kern w:val="0"/>
                <w:szCs w:val="21"/>
              </w:rPr>
            </w:pPr>
            <w:r>
              <w:rPr>
                <w:rFonts w:ascii="Times New Roman" w:hAnsi="Times New Roman"/>
                <w:b/>
                <w:bCs/>
                <w:kern w:val="0"/>
                <w:szCs w:val="21"/>
              </w:rPr>
              <w:t>产出项</w:t>
            </w:r>
          </w:p>
        </w:tc>
      </w:tr>
      <w:tr w14:paraId="62680C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blHeader/>
          <w:jc w:val="center"/>
        </w:trPr>
        <w:tc>
          <w:tcPr>
            <w:tcW w:w="1008" w:type="dxa"/>
            <w:vMerge w:val="continue"/>
            <w:vAlign w:val="center"/>
          </w:tcPr>
          <w:p w14:paraId="3BD10E74">
            <w:pPr>
              <w:widowControl/>
              <w:jc w:val="left"/>
              <w:rPr>
                <w:rFonts w:ascii="Times New Roman" w:hAnsi="Times New Roman" w:eastAsia="等线"/>
                <w:b/>
                <w:bCs/>
                <w:kern w:val="0"/>
                <w:szCs w:val="21"/>
              </w:rPr>
            </w:pPr>
          </w:p>
        </w:tc>
        <w:tc>
          <w:tcPr>
            <w:tcW w:w="2009" w:type="dxa"/>
            <w:noWrap/>
            <w:vAlign w:val="center"/>
          </w:tcPr>
          <w:p w14:paraId="5E24537A">
            <w:pPr>
              <w:widowControl/>
              <w:jc w:val="center"/>
              <w:rPr>
                <w:rFonts w:ascii="Times New Roman" w:hAnsi="Times New Roman" w:eastAsia="等线"/>
                <w:b/>
                <w:bCs/>
                <w:kern w:val="0"/>
                <w:szCs w:val="21"/>
              </w:rPr>
            </w:pPr>
            <w:r>
              <w:rPr>
                <w:rFonts w:ascii="Times New Roman" w:hAnsi="Times New Roman"/>
                <w:b/>
                <w:bCs/>
                <w:kern w:val="0"/>
                <w:szCs w:val="21"/>
              </w:rPr>
              <w:t>原料</w:t>
            </w:r>
          </w:p>
        </w:tc>
        <w:tc>
          <w:tcPr>
            <w:tcW w:w="2009" w:type="dxa"/>
            <w:noWrap/>
            <w:vAlign w:val="center"/>
          </w:tcPr>
          <w:p w14:paraId="32A35945">
            <w:pPr>
              <w:widowControl/>
              <w:jc w:val="center"/>
              <w:rPr>
                <w:rFonts w:ascii="Times New Roman" w:hAnsi="Times New Roman" w:eastAsia="等线"/>
                <w:b/>
                <w:bCs/>
                <w:kern w:val="0"/>
                <w:szCs w:val="21"/>
              </w:rPr>
            </w:pPr>
            <w:r>
              <w:rPr>
                <w:rFonts w:ascii="Times New Roman" w:hAnsi="Times New Roman"/>
                <w:b/>
                <w:bCs/>
                <w:kern w:val="0"/>
                <w:szCs w:val="21"/>
              </w:rPr>
              <w:t>数量（t/a）</w:t>
            </w:r>
          </w:p>
        </w:tc>
        <w:tc>
          <w:tcPr>
            <w:tcW w:w="2009" w:type="dxa"/>
            <w:noWrap/>
            <w:vAlign w:val="center"/>
          </w:tcPr>
          <w:p w14:paraId="3FA47FC3">
            <w:pPr>
              <w:widowControl/>
              <w:jc w:val="center"/>
              <w:rPr>
                <w:rFonts w:ascii="Times New Roman" w:hAnsi="Times New Roman" w:eastAsia="等线"/>
                <w:b/>
                <w:bCs/>
                <w:kern w:val="0"/>
                <w:szCs w:val="21"/>
              </w:rPr>
            </w:pPr>
            <w:r>
              <w:rPr>
                <w:rFonts w:ascii="Times New Roman" w:hAnsi="Times New Roman"/>
                <w:b/>
                <w:bCs/>
                <w:kern w:val="0"/>
                <w:szCs w:val="21"/>
              </w:rPr>
              <w:t>产品及其他</w:t>
            </w:r>
          </w:p>
        </w:tc>
        <w:tc>
          <w:tcPr>
            <w:tcW w:w="2005" w:type="dxa"/>
            <w:noWrap/>
            <w:vAlign w:val="center"/>
          </w:tcPr>
          <w:p w14:paraId="24C6318F">
            <w:pPr>
              <w:widowControl/>
              <w:jc w:val="center"/>
              <w:rPr>
                <w:rFonts w:ascii="Times New Roman" w:hAnsi="Times New Roman" w:eastAsia="等线"/>
                <w:b/>
                <w:bCs/>
                <w:kern w:val="0"/>
                <w:szCs w:val="21"/>
              </w:rPr>
            </w:pPr>
            <w:r>
              <w:rPr>
                <w:rFonts w:ascii="Times New Roman" w:hAnsi="Times New Roman"/>
                <w:b/>
                <w:bCs/>
                <w:kern w:val="0"/>
                <w:szCs w:val="21"/>
              </w:rPr>
              <w:t>数量（t/a）</w:t>
            </w:r>
          </w:p>
        </w:tc>
      </w:tr>
      <w:tr w14:paraId="1D651F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008" w:type="dxa"/>
            <w:noWrap/>
            <w:vAlign w:val="center"/>
          </w:tcPr>
          <w:p w14:paraId="4CC76881">
            <w:pPr>
              <w:widowControl/>
              <w:jc w:val="center"/>
              <w:rPr>
                <w:rFonts w:ascii="Times New Roman" w:hAnsi="Times New Roman" w:eastAsia="等线"/>
                <w:kern w:val="0"/>
                <w:szCs w:val="21"/>
              </w:rPr>
            </w:pPr>
            <w:r>
              <w:rPr>
                <w:rFonts w:ascii="Times New Roman" w:hAnsi="Times New Roman" w:eastAsia="等线"/>
                <w:sz w:val="22"/>
              </w:rPr>
              <w:t>1</w:t>
            </w:r>
          </w:p>
        </w:tc>
        <w:tc>
          <w:tcPr>
            <w:tcW w:w="2009" w:type="dxa"/>
            <w:noWrap/>
            <w:vAlign w:val="center"/>
          </w:tcPr>
          <w:p w14:paraId="1900FCD9">
            <w:pPr>
              <w:widowControl/>
              <w:jc w:val="center"/>
              <w:rPr>
                <w:rFonts w:ascii="Times New Roman" w:hAnsi="Times New Roman" w:eastAsia="等线"/>
                <w:kern w:val="0"/>
                <w:szCs w:val="21"/>
              </w:rPr>
            </w:pPr>
            <w:r>
              <w:rPr>
                <w:rFonts w:ascii="Times New Roman" w:hAnsi="Times New Roman"/>
                <w:sz w:val="22"/>
              </w:rPr>
              <w:t>原料钛</w:t>
            </w:r>
            <w:r>
              <w:rPr>
                <w:rFonts w:hint="eastAsia" w:ascii="Times New Roman" w:hAnsi="Times New Roman"/>
                <w:sz w:val="22"/>
              </w:rPr>
              <w:t>元素</w:t>
            </w:r>
          </w:p>
        </w:tc>
        <w:tc>
          <w:tcPr>
            <w:tcW w:w="2009" w:type="dxa"/>
            <w:noWrap/>
            <w:vAlign w:val="center"/>
          </w:tcPr>
          <w:p w14:paraId="55F0DE75">
            <w:pPr>
              <w:widowControl/>
              <w:jc w:val="center"/>
              <w:rPr>
                <w:rFonts w:ascii="Times New Roman" w:hAnsi="Times New Roman" w:eastAsia="等线"/>
                <w:kern w:val="0"/>
                <w:szCs w:val="21"/>
                <w:u w:val="single"/>
              </w:rPr>
            </w:pPr>
            <w:r>
              <w:rPr>
                <w:rFonts w:hint="eastAsia" w:ascii="Times New Roman" w:hAnsi="Times New Roman" w:eastAsia="等线"/>
                <w:sz w:val="22"/>
                <w:u w:val="single"/>
              </w:rPr>
              <w:t>48433.59</w:t>
            </w:r>
          </w:p>
        </w:tc>
        <w:tc>
          <w:tcPr>
            <w:tcW w:w="2009" w:type="dxa"/>
            <w:noWrap/>
            <w:vAlign w:val="center"/>
          </w:tcPr>
          <w:p w14:paraId="14930F3D">
            <w:pPr>
              <w:widowControl/>
              <w:jc w:val="center"/>
              <w:rPr>
                <w:rFonts w:ascii="Times New Roman" w:hAnsi="Times New Roman" w:eastAsia="等线"/>
                <w:kern w:val="0"/>
                <w:szCs w:val="21"/>
              </w:rPr>
            </w:pPr>
            <w:r>
              <w:rPr>
                <w:rFonts w:ascii="Times New Roman" w:hAnsi="Times New Roman"/>
                <w:sz w:val="22"/>
              </w:rPr>
              <w:t>钛铁精矿含钛</w:t>
            </w:r>
          </w:p>
        </w:tc>
        <w:tc>
          <w:tcPr>
            <w:tcW w:w="2005" w:type="dxa"/>
            <w:noWrap/>
            <w:vAlign w:val="center"/>
          </w:tcPr>
          <w:p w14:paraId="68BC5DBE">
            <w:pPr>
              <w:widowControl/>
              <w:jc w:val="center"/>
              <w:rPr>
                <w:rFonts w:ascii="Times New Roman" w:hAnsi="Times New Roman" w:eastAsia="等线"/>
                <w:kern w:val="0"/>
                <w:szCs w:val="21"/>
                <w:u w:val="single"/>
              </w:rPr>
            </w:pPr>
            <w:r>
              <w:rPr>
                <w:rFonts w:ascii="Times New Roman" w:hAnsi="Times New Roman" w:eastAsia="等线"/>
                <w:sz w:val="22"/>
                <w:u w:val="single"/>
              </w:rPr>
              <w:t>46959.41</w:t>
            </w:r>
          </w:p>
        </w:tc>
      </w:tr>
      <w:tr w14:paraId="1A178C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008" w:type="dxa"/>
            <w:noWrap/>
            <w:vAlign w:val="center"/>
          </w:tcPr>
          <w:p w14:paraId="4B85F7F9">
            <w:pPr>
              <w:widowControl/>
              <w:jc w:val="center"/>
              <w:rPr>
                <w:rFonts w:ascii="Times New Roman" w:hAnsi="Times New Roman" w:eastAsia="等线"/>
                <w:kern w:val="0"/>
                <w:szCs w:val="21"/>
              </w:rPr>
            </w:pPr>
            <w:r>
              <w:rPr>
                <w:rFonts w:ascii="Times New Roman" w:hAnsi="Times New Roman" w:eastAsia="等线"/>
                <w:sz w:val="22"/>
              </w:rPr>
              <w:t>2</w:t>
            </w:r>
          </w:p>
        </w:tc>
        <w:tc>
          <w:tcPr>
            <w:tcW w:w="2009" w:type="dxa"/>
            <w:noWrap/>
            <w:vAlign w:val="center"/>
          </w:tcPr>
          <w:p w14:paraId="6D86EC7D">
            <w:pPr>
              <w:widowControl/>
              <w:jc w:val="center"/>
              <w:rPr>
                <w:rFonts w:ascii="Times New Roman" w:hAnsi="Times New Roman" w:eastAsia="等线"/>
                <w:kern w:val="0"/>
                <w:szCs w:val="21"/>
              </w:rPr>
            </w:pPr>
            <w:r>
              <w:rPr>
                <w:rFonts w:ascii="Times New Roman" w:hAnsi="Times New Roman" w:eastAsia="等线"/>
                <w:sz w:val="22"/>
              </w:rPr>
              <w:t>　</w:t>
            </w:r>
          </w:p>
        </w:tc>
        <w:tc>
          <w:tcPr>
            <w:tcW w:w="2009" w:type="dxa"/>
            <w:noWrap/>
            <w:vAlign w:val="center"/>
          </w:tcPr>
          <w:p w14:paraId="6C2B59DD">
            <w:pPr>
              <w:widowControl/>
              <w:jc w:val="center"/>
              <w:rPr>
                <w:rFonts w:ascii="Times New Roman" w:hAnsi="Times New Roman" w:eastAsia="等线"/>
                <w:kern w:val="0"/>
                <w:szCs w:val="21"/>
                <w:u w:val="single"/>
              </w:rPr>
            </w:pPr>
          </w:p>
        </w:tc>
        <w:tc>
          <w:tcPr>
            <w:tcW w:w="2009" w:type="dxa"/>
            <w:noWrap/>
            <w:vAlign w:val="center"/>
          </w:tcPr>
          <w:p w14:paraId="56236733">
            <w:pPr>
              <w:widowControl/>
              <w:jc w:val="center"/>
              <w:rPr>
                <w:rFonts w:ascii="Times New Roman" w:hAnsi="Times New Roman"/>
                <w:kern w:val="0"/>
                <w:szCs w:val="21"/>
              </w:rPr>
            </w:pPr>
            <w:r>
              <w:rPr>
                <w:rFonts w:hint="eastAsia" w:ascii="Times New Roman" w:hAnsi="Times New Roman"/>
                <w:sz w:val="22"/>
              </w:rPr>
              <w:t>锆中矿</w:t>
            </w:r>
            <w:r>
              <w:rPr>
                <w:rFonts w:ascii="Times New Roman" w:hAnsi="Times New Roman"/>
                <w:sz w:val="22"/>
              </w:rPr>
              <w:t>含钛</w:t>
            </w:r>
          </w:p>
        </w:tc>
        <w:tc>
          <w:tcPr>
            <w:tcW w:w="2005" w:type="dxa"/>
            <w:noWrap/>
            <w:vAlign w:val="center"/>
          </w:tcPr>
          <w:p w14:paraId="273AE95E">
            <w:pPr>
              <w:widowControl/>
              <w:jc w:val="center"/>
              <w:rPr>
                <w:rFonts w:ascii="Times New Roman" w:hAnsi="Times New Roman" w:eastAsia="等线"/>
                <w:sz w:val="22"/>
                <w:u w:val="single"/>
              </w:rPr>
            </w:pPr>
            <w:r>
              <w:rPr>
                <w:rFonts w:ascii="Times New Roman" w:hAnsi="Times New Roman" w:eastAsia="等线"/>
                <w:sz w:val="22"/>
                <w:u w:val="single"/>
              </w:rPr>
              <w:t>1473.06</w:t>
            </w:r>
          </w:p>
        </w:tc>
      </w:tr>
      <w:tr w14:paraId="7CC954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008" w:type="dxa"/>
            <w:noWrap/>
            <w:vAlign w:val="center"/>
          </w:tcPr>
          <w:p w14:paraId="14822DAE">
            <w:pPr>
              <w:widowControl/>
              <w:jc w:val="center"/>
              <w:rPr>
                <w:rFonts w:ascii="Times New Roman" w:hAnsi="Times New Roman" w:eastAsia="等线"/>
                <w:kern w:val="0"/>
                <w:szCs w:val="21"/>
              </w:rPr>
            </w:pPr>
            <w:r>
              <w:rPr>
                <w:rFonts w:ascii="Times New Roman" w:hAnsi="Times New Roman" w:eastAsia="等线"/>
                <w:sz w:val="22"/>
              </w:rPr>
              <w:t>3</w:t>
            </w:r>
          </w:p>
        </w:tc>
        <w:tc>
          <w:tcPr>
            <w:tcW w:w="2009" w:type="dxa"/>
            <w:noWrap/>
            <w:vAlign w:val="center"/>
          </w:tcPr>
          <w:p w14:paraId="611F3A6F">
            <w:pPr>
              <w:widowControl/>
              <w:jc w:val="center"/>
              <w:rPr>
                <w:rFonts w:ascii="Times New Roman" w:hAnsi="Times New Roman" w:eastAsia="等线"/>
                <w:kern w:val="0"/>
                <w:szCs w:val="21"/>
              </w:rPr>
            </w:pPr>
            <w:r>
              <w:rPr>
                <w:rFonts w:ascii="Times New Roman" w:hAnsi="Times New Roman" w:eastAsia="等线"/>
                <w:sz w:val="22"/>
              </w:rPr>
              <w:t>　</w:t>
            </w:r>
          </w:p>
        </w:tc>
        <w:tc>
          <w:tcPr>
            <w:tcW w:w="2009" w:type="dxa"/>
            <w:noWrap/>
            <w:vAlign w:val="center"/>
          </w:tcPr>
          <w:p w14:paraId="0611A672">
            <w:pPr>
              <w:widowControl/>
              <w:jc w:val="center"/>
              <w:rPr>
                <w:rFonts w:ascii="Times New Roman" w:hAnsi="Times New Roman" w:eastAsia="等线"/>
                <w:kern w:val="0"/>
                <w:szCs w:val="21"/>
                <w:u w:val="single"/>
              </w:rPr>
            </w:pPr>
          </w:p>
        </w:tc>
        <w:tc>
          <w:tcPr>
            <w:tcW w:w="2009" w:type="dxa"/>
            <w:noWrap/>
            <w:vAlign w:val="center"/>
          </w:tcPr>
          <w:p w14:paraId="6E2B0907">
            <w:pPr>
              <w:widowControl/>
              <w:jc w:val="center"/>
              <w:rPr>
                <w:rFonts w:ascii="Times New Roman" w:hAnsi="Times New Roman"/>
                <w:kern w:val="0"/>
                <w:szCs w:val="21"/>
              </w:rPr>
            </w:pPr>
            <w:r>
              <w:rPr>
                <w:rFonts w:ascii="Times New Roman" w:hAnsi="Times New Roman"/>
                <w:sz w:val="22"/>
              </w:rPr>
              <w:t>粉尘含钛</w:t>
            </w:r>
          </w:p>
        </w:tc>
        <w:tc>
          <w:tcPr>
            <w:tcW w:w="2005" w:type="dxa"/>
            <w:noWrap/>
            <w:vAlign w:val="center"/>
          </w:tcPr>
          <w:p w14:paraId="0406326E">
            <w:pPr>
              <w:widowControl/>
              <w:jc w:val="center"/>
              <w:rPr>
                <w:rFonts w:ascii="Times New Roman" w:hAnsi="Times New Roman" w:eastAsia="等线"/>
                <w:sz w:val="22"/>
                <w:u w:val="single"/>
              </w:rPr>
            </w:pPr>
            <w:r>
              <w:rPr>
                <w:rFonts w:ascii="Times New Roman" w:hAnsi="Times New Roman" w:eastAsia="等线"/>
                <w:sz w:val="22"/>
                <w:u w:val="single"/>
              </w:rPr>
              <w:t>1.12</w:t>
            </w:r>
          </w:p>
        </w:tc>
      </w:tr>
      <w:tr w14:paraId="03AB39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008" w:type="dxa"/>
            <w:noWrap/>
            <w:vAlign w:val="center"/>
          </w:tcPr>
          <w:p w14:paraId="52AFB869">
            <w:pPr>
              <w:widowControl/>
              <w:jc w:val="center"/>
              <w:rPr>
                <w:rFonts w:ascii="Times New Roman" w:hAnsi="Times New Roman" w:eastAsia="等线"/>
                <w:kern w:val="0"/>
                <w:szCs w:val="21"/>
              </w:rPr>
            </w:pPr>
            <w:r>
              <w:rPr>
                <w:rFonts w:ascii="Times New Roman" w:hAnsi="Times New Roman" w:eastAsia="等线"/>
                <w:sz w:val="22"/>
              </w:rPr>
              <w:t>　</w:t>
            </w:r>
          </w:p>
        </w:tc>
        <w:tc>
          <w:tcPr>
            <w:tcW w:w="2009" w:type="dxa"/>
            <w:noWrap/>
            <w:vAlign w:val="center"/>
          </w:tcPr>
          <w:p w14:paraId="3A428177">
            <w:pPr>
              <w:widowControl/>
              <w:jc w:val="center"/>
              <w:rPr>
                <w:rFonts w:ascii="Times New Roman" w:hAnsi="Times New Roman" w:eastAsia="等线"/>
                <w:kern w:val="0"/>
                <w:szCs w:val="21"/>
              </w:rPr>
            </w:pPr>
            <w:r>
              <w:rPr>
                <w:rFonts w:ascii="Times New Roman" w:hAnsi="Times New Roman"/>
                <w:sz w:val="22"/>
              </w:rPr>
              <w:t>合计</w:t>
            </w:r>
          </w:p>
        </w:tc>
        <w:tc>
          <w:tcPr>
            <w:tcW w:w="2009" w:type="dxa"/>
            <w:noWrap/>
            <w:vAlign w:val="center"/>
          </w:tcPr>
          <w:p w14:paraId="246D8C99">
            <w:pPr>
              <w:widowControl/>
              <w:jc w:val="center"/>
              <w:rPr>
                <w:rFonts w:ascii="Times New Roman" w:hAnsi="Times New Roman" w:eastAsia="等线"/>
                <w:kern w:val="0"/>
                <w:szCs w:val="21"/>
                <w:u w:val="single"/>
              </w:rPr>
            </w:pPr>
            <w:r>
              <w:rPr>
                <w:rFonts w:hint="eastAsia" w:ascii="Times New Roman" w:hAnsi="Times New Roman" w:eastAsia="等线"/>
                <w:sz w:val="22"/>
                <w:u w:val="single"/>
              </w:rPr>
              <w:t>48433.59</w:t>
            </w:r>
          </w:p>
        </w:tc>
        <w:tc>
          <w:tcPr>
            <w:tcW w:w="2009" w:type="dxa"/>
            <w:noWrap/>
            <w:vAlign w:val="center"/>
          </w:tcPr>
          <w:p w14:paraId="19B77F4F">
            <w:pPr>
              <w:widowControl/>
              <w:jc w:val="center"/>
              <w:rPr>
                <w:rFonts w:ascii="Times New Roman" w:hAnsi="Times New Roman" w:eastAsia="等线"/>
                <w:kern w:val="0"/>
                <w:szCs w:val="21"/>
              </w:rPr>
            </w:pPr>
            <w:r>
              <w:rPr>
                <w:rFonts w:ascii="Times New Roman" w:hAnsi="Times New Roman"/>
                <w:sz w:val="22"/>
              </w:rPr>
              <w:t>合计</w:t>
            </w:r>
          </w:p>
        </w:tc>
        <w:tc>
          <w:tcPr>
            <w:tcW w:w="2005" w:type="dxa"/>
            <w:noWrap/>
            <w:vAlign w:val="center"/>
          </w:tcPr>
          <w:p w14:paraId="2F9BB63E">
            <w:pPr>
              <w:widowControl/>
              <w:jc w:val="center"/>
              <w:rPr>
                <w:rFonts w:ascii="Times New Roman" w:hAnsi="Times New Roman" w:eastAsia="等线"/>
                <w:kern w:val="0"/>
                <w:szCs w:val="21"/>
                <w:u w:val="single"/>
              </w:rPr>
            </w:pPr>
            <w:r>
              <w:rPr>
                <w:rFonts w:ascii="Times New Roman" w:hAnsi="Times New Roman" w:eastAsia="等线"/>
                <w:sz w:val="22"/>
                <w:u w:val="single"/>
              </w:rPr>
              <w:t>48433.59</w:t>
            </w:r>
          </w:p>
        </w:tc>
      </w:tr>
    </w:tbl>
    <w:p w14:paraId="5AC4CAFA">
      <w:pPr>
        <w:adjustRightInd w:val="0"/>
        <w:snapToGrid w:val="0"/>
        <w:spacing w:line="360" w:lineRule="auto"/>
        <w:ind w:firstLine="472" w:firstLineChars="200"/>
        <w:rPr>
          <w:rFonts w:ascii="Times New Roman" w:hAnsi="Times New Roman"/>
          <w:spacing w:val="-2"/>
          <w:kern w:val="0"/>
          <w:sz w:val="24"/>
          <w:szCs w:val="24"/>
        </w:rPr>
      </w:pPr>
    </w:p>
    <w:p w14:paraId="4AABAE03">
      <w:pPr>
        <w:adjustRightInd w:val="0"/>
        <w:snapToGri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（3）铁</w:t>
      </w:r>
      <w:r>
        <w:rPr>
          <w:rFonts w:hint="eastAsia" w:ascii="Times New Roman" w:hAnsi="Times New Roman"/>
          <w:spacing w:val="-2"/>
          <w:kern w:val="0"/>
          <w:sz w:val="24"/>
          <w:szCs w:val="24"/>
        </w:rPr>
        <w:t>元素</w:t>
      </w:r>
      <w:r>
        <w:rPr>
          <w:rFonts w:ascii="Times New Roman" w:hAnsi="Times New Roman"/>
          <w:spacing w:val="-2"/>
          <w:kern w:val="0"/>
          <w:sz w:val="24"/>
          <w:szCs w:val="24"/>
        </w:rPr>
        <w:t>平衡表</w:t>
      </w:r>
    </w:p>
    <w:p w14:paraId="55C05DAC">
      <w:pPr>
        <w:adjustRightInd w:val="0"/>
        <w:snapToGri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本项目铁回收率为</w:t>
      </w:r>
      <w:r>
        <w:rPr>
          <w:rFonts w:hint="eastAsia" w:ascii="Times New Roman" w:hAnsi="Times New Roman"/>
          <w:spacing w:val="-2"/>
          <w:kern w:val="0"/>
          <w:sz w:val="24"/>
          <w:szCs w:val="24"/>
        </w:rPr>
        <w:t>92.40</w:t>
      </w:r>
      <w:r>
        <w:rPr>
          <w:rFonts w:ascii="Times New Roman" w:hAnsi="Times New Roman"/>
          <w:spacing w:val="-2"/>
          <w:kern w:val="0"/>
          <w:sz w:val="24"/>
          <w:szCs w:val="24"/>
        </w:rPr>
        <w:t>%，剩余铁元素</w:t>
      </w:r>
      <w:r>
        <w:rPr>
          <w:rFonts w:hint="eastAsia" w:ascii="Times New Roman" w:hAnsi="Times New Roman"/>
          <w:spacing w:val="-2"/>
          <w:kern w:val="0"/>
          <w:sz w:val="24"/>
          <w:szCs w:val="24"/>
        </w:rPr>
        <w:t>主要</w:t>
      </w:r>
      <w:r>
        <w:rPr>
          <w:rFonts w:ascii="Times New Roman" w:hAnsi="Times New Roman"/>
          <w:spacing w:val="-2"/>
          <w:kern w:val="0"/>
          <w:sz w:val="24"/>
          <w:szCs w:val="24"/>
        </w:rPr>
        <w:t>进入到</w:t>
      </w:r>
      <w:r>
        <w:rPr>
          <w:rFonts w:hint="eastAsia" w:ascii="Times New Roman" w:hAnsi="Times New Roman"/>
          <w:spacing w:val="-2"/>
          <w:kern w:val="0"/>
          <w:sz w:val="24"/>
          <w:szCs w:val="24"/>
        </w:rPr>
        <w:t>副产品锆中矿</w:t>
      </w:r>
      <w:r>
        <w:rPr>
          <w:rFonts w:ascii="Times New Roman" w:hAnsi="Times New Roman"/>
          <w:spacing w:val="-2"/>
          <w:kern w:val="0"/>
          <w:sz w:val="24"/>
          <w:szCs w:val="24"/>
        </w:rPr>
        <w:t>中</w:t>
      </w:r>
      <w:r>
        <w:rPr>
          <w:rFonts w:hint="eastAsia" w:ascii="Times New Roman" w:hAnsi="Times New Roman"/>
          <w:spacing w:val="-2"/>
          <w:kern w:val="0"/>
          <w:sz w:val="24"/>
          <w:szCs w:val="24"/>
        </w:rPr>
        <w:t>，少量随着粉尘排放</w:t>
      </w:r>
      <w:r>
        <w:rPr>
          <w:rFonts w:ascii="Times New Roman" w:hAnsi="Times New Roman"/>
          <w:spacing w:val="-2"/>
          <w:kern w:val="0"/>
          <w:sz w:val="24"/>
          <w:szCs w:val="24"/>
        </w:rPr>
        <w:t>。项目铁平衡表见表2.2-</w:t>
      </w:r>
      <w:r>
        <w:rPr>
          <w:rFonts w:hint="eastAsia" w:ascii="Times New Roman" w:hAnsi="Times New Roman"/>
          <w:spacing w:val="-2"/>
          <w:kern w:val="0"/>
          <w:sz w:val="24"/>
          <w:szCs w:val="24"/>
        </w:rPr>
        <w:t>3</w:t>
      </w:r>
      <w:r>
        <w:rPr>
          <w:rFonts w:ascii="Times New Roman" w:hAnsi="Times New Roman"/>
          <w:spacing w:val="-2"/>
          <w:kern w:val="0"/>
          <w:sz w:val="24"/>
          <w:szCs w:val="24"/>
        </w:rPr>
        <w:t>。</w:t>
      </w:r>
    </w:p>
    <w:p w14:paraId="7364BADA">
      <w:pPr>
        <w:adjustRightInd w:val="0"/>
        <w:snapToGrid w:val="0"/>
        <w:spacing w:line="360" w:lineRule="auto"/>
        <w:ind w:firstLine="472" w:firstLineChars="200"/>
        <w:rPr>
          <w:rFonts w:ascii="Times New Roman" w:hAnsi="Times New Roman"/>
          <w:spacing w:val="-2"/>
          <w:kern w:val="0"/>
          <w:sz w:val="24"/>
          <w:szCs w:val="24"/>
        </w:rPr>
      </w:pPr>
    </w:p>
    <w:p w14:paraId="7C69A73C">
      <w:pPr>
        <w:adjustRightInd w:val="0"/>
        <w:snapToGrid w:val="0"/>
        <w:spacing w:line="360" w:lineRule="auto"/>
        <w:ind w:firstLine="472" w:firstLineChars="200"/>
        <w:rPr>
          <w:rFonts w:ascii="Times New Roman" w:hAnsi="Times New Roman"/>
          <w:spacing w:val="-2"/>
          <w:kern w:val="0"/>
          <w:sz w:val="24"/>
          <w:szCs w:val="24"/>
        </w:rPr>
      </w:pPr>
    </w:p>
    <w:p w14:paraId="373F9716">
      <w:pPr>
        <w:adjustRightInd w:val="0"/>
        <w:snapToGrid w:val="0"/>
        <w:spacing w:line="360" w:lineRule="auto"/>
        <w:ind w:firstLine="472" w:firstLineChars="200"/>
        <w:rPr>
          <w:rFonts w:ascii="Times New Roman" w:hAnsi="Times New Roman"/>
          <w:spacing w:val="-2"/>
          <w:kern w:val="0"/>
          <w:sz w:val="24"/>
          <w:szCs w:val="24"/>
        </w:rPr>
      </w:pPr>
    </w:p>
    <w:p w14:paraId="1D93F359">
      <w:pPr>
        <w:pStyle w:val="8"/>
        <w:numPr>
          <w:ilvl w:val="4"/>
          <w:numId w:val="3"/>
        </w:numPr>
        <w:rPr>
          <w:sz w:val="24"/>
          <w:szCs w:val="24"/>
        </w:rPr>
      </w:pPr>
      <w:r>
        <w:rPr>
          <w:sz w:val="24"/>
          <w:szCs w:val="24"/>
        </w:rPr>
        <w:t>项目</w:t>
      </w:r>
      <w:r>
        <w:rPr>
          <w:rFonts w:hint="eastAsia"/>
          <w:sz w:val="24"/>
          <w:szCs w:val="24"/>
        </w:rPr>
        <w:t>铁</w:t>
      </w:r>
      <w:r>
        <w:rPr>
          <w:sz w:val="24"/>
          <w:szCs w:val="24"/>
        </w:rPr>
        <w:t>平衡表</w:t>
      </w:r>
    </w:p>
    <w:tbl>
      <w:tblPr>
        <w:tblStyle w:val="88"/>
        <w:tblW w:w="904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08"/>
        <w:gridCol w:w="2009"/>
        <w:gridCol w:w="2009"/>
        <w:gridCol w:w="2009"/>
        <w:gridCol w:w="2005"/>
      </w:tblGrid>
      <w:tr w14:paraId="268741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blHeader/>
          <w:jc w:val="center"/>
        </w:trPr>
        <w:tc>
          <w:tcPr>
            <w:tcW w:w="1008" w:type="dxa"/>
            <w:vMerge w:val="restart"/>
            <w:noWrap/>
            <w:vAlign w:val="center"/>
          </w:tcPr>
          <w:p w14:paraId="4FEB5454">
            <w:pPr>
              <w:widowControl/>
              <w:jc w:val="center"/>
              <w:rPr>
                <w:rFonts w:ascii="Times New Roman" w:hAnsi="Times New Roman" w:eastAsia="等线"/>
                <w:b/>
                <w:bCs/>
                <w:kern w:val="0"/>
                <w:szCs w:val="21"/>
              </w:rPr>
            </w:pPr>
            <w:r>
              <w:rPr>
                <w:rFonts w:ascii="Times New Roman" w:hAnsi="Times New Roman"/>
                <w:b/>
                <w:bCs/>
                <w:kern w:val="0"/>
                <w:szCs w:val="21"/>
              </w:rPr>
              <w:t>序号</w:t>
            </w:r>
          </w:p>
        </w:tc>
        <w:tc>
          <w:tcPr>
            <w:tcW w:w="4018" w:type="dxa"/>
            <w:gridSpan w:val="2"/>
            <w:noWrap/>
            <w:vAlign w:val="center"/>
          </w:tcPr>
          <w:p w14:paraId="120F00CC">
            <w:pPr>
              <w:widowControl/>
              <w:jc w:val="center"/>
              <w:rPr>
                <w:rFonts w:ascii="Times New Roman" w:hAnsi="Times New Roman"/>
                <w:b/>
                <w:bCs/>
                <w:kern w:val="0"/>
                <w:szCs w:val="21"/>
              </w:rPr>
            </w:pPr>
            <w:r>
              <w:rPr>
                <w:rFonts w:ascii="Times New Roman" w:hAnsi="Times New Roman"/>
                <w:b/>
                <w:bCs/>
                <w:kern w:val="0"/>
                <w:szCs w:val="21"/>
              </w:rPr>
              <w:t>加入项</w:t>
            </w:r>
          </w:p>
        </w:tc>
        <w:tc>
          <w:tcPr>
            <w:tcW w:w="4014" w:type="dxa"/>
            <w:gridSpan w:val="2"/>
            <w:noWrap/>
            <w:vAlign w:val="center"/>
          </w:tcPr>
          <w:p w14:paraId="649E4343">
            <w:pPr>
              <w:widowControl/>
              <w:jc w:val="center"/>
              <w:rPr>
                <w:rFonts w:ascii="Times New Roman" w:hAnsi="Times New Roman"/>
                <w:b/>
                <w:bCs/>
                <w:kern w:val="0"/>
                <w:szCs w:val="21"/>
              </w:rPr>
            </w:pPr>
            <w:r>
              <w:rPr>
                <w:rFonts w:ascii="Times New Roman" w:hAnsi="Times New Roman"/>
                <w:b/>
                <w:bCs/>
                <w:kern w:val="0"/>
                <w:szCs w:val="21"/>
              </w:rPr>
              <w:t>产出项</w:t>
            </w:r>
          </w:p>
        </w:tc>
      </w:tr>
      <w:tr w14:paraId="2C7F3C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blHeader/>
          <w:jc w:val="center"/>
        </w:trPr>
        <w:tc>
          <w:tcPr>
            <w:tcW w:w="1008" w:type="dxa"/>
            <w:vMerge w:val="continue"/>
            <w:vAlign w:val="center"/>
          </w:tcPr>
          <w:p w14:paraId="2DDC1B0A">
            <w:pPr>
              <w:widowControl/>
              <w:jc w:val="left"/>
              <w:rPr>
                <w:rFonts w:ascii="Times New Roman" w:hAnsi="Times New Roman" w:eastAsia="等线"/>
                <w:b/>
                <w:bCs/>
                <w:kern w:val="0"/>
                <w:szCs w:val="21"/>
              </w:rPr>
            </w:pPr>
          </w:p>
        </w:tc>
        <w:tc>
          <w:tcPr>
            <w:tcW w:w="2009" w:type="dxa"/>
            <w:noWrap/>
            <w:vAlign w:val="center"/>
          </w:tcPr>
          <w:p w14:paraId="7006113E">
            <w:pPr>
              <w:widowControl/>
              <w:jc w:val="center"/>
              <w:rPr>
                <w:rFonts w:ascii="Times New Roman" w:hAnsi="Times New Roman" w:eastAsia="等线"/>
                <w:b/>
                <w:bCs/>
                <w:kern w:val="0"/>
                <w:szCs w:val="21"/>
              </w:rPr>
            </w:pPr>
            <w:r>
              <w:rPr>
                <w:rFonts w:ascii="Times New Roman" w:hAnsi="Times New Roman"/>
                <w:b/>
                <w:bCs/>
                <w:kern w:val="0"/>
                <w:szCs w:val="21"/>
              </w:rPr>
              <w:t>原料</w:t>
            </w:r>
          </w:p>
        </w:tc>
        <w:tc>
          <w:tcPr>
            <w:tcW w:w="2009" w:type="dxa"/>
            <w:noWrap/>
            <w:vAlign w:val="center"/>
          </w:tcPr>
          <w:p w14:paraId="33D063B9">
            <w:pPr>
              <w:widowControl/>
              <w:jc w:val="center"/>
              <w:rPr>
                <w:rFonts w:ascii="Times New Roman" w:hAnsi="Times New Roman" w:eastAsia="等线"/>
                <w:b/>
                <w:bCs/>
                <w:kern w:val="0"/>
                <w:szCs w:val="21"/>
              </w:rPr>
            </w:pPr>
            <w:r>
              <w:rPr>
                <w:rFonts w:ascii="Times New Roman" w:hAnsi="Times New Roman"/>
                <w:b/>
                <w:bCs/>
                <w:kern w:val="0"/>
                <w:szCs w:val="21"/>
              </w:rPr>
              <w:t>数量（t/a）</w:t>
            </w:r>
          </w:p>
        </w:tc>
        <w:tc>
          <w:tcPr>
            <w:tcW w:w="2009" w:type="dxa"/>
            <w:noWrap/>
            <w:vAlign w:val="center"/>
          </w:tcPr>
          <w:p w14:paraId="5C8E6EC5">
            <w:pPr>
              <w:widowControl/>
              <w:jc w:val="center"/>
              <w:rPr>
                <w:rFonts w:ascii="Times New Roman" w:hAnsi="Times New Roman" w:eastAsia="等线"/>
                <w:b/>
                <w:bCs/>
                <w:kern w:val="0"/>
                <w:szCs w:val="21"/>
              </w:rPr>
            </w:pPr>
            <w:r>
              <w:rPr>
                <w:rFonts w:ascii="Times New Roman" w:hAnsi="Times New Roman"/>
                <w:b/>
                <w:bCs/>
                <w:kern w:val="0"/>
                <w:szCs w:val="21"/>
              </w:rPr>
              <w:t>产品及其他</w:t>
            </w:r>
          </w:p>
        </w:tc>
        <w:tc>
          <w:tcPr>
            <w:tcW w:w="2005" w:type="dxa"/>
            <w:noWrap/>
            <w:vAlign w:val="center"/>
          </w:tcPr>
          <w:p w14:paraId="5F3C6F1B">
            <w:pPr>
              <w:widowControl/>
              <w:jc w:val="center"/>
              <w:rPr>
                <w:rFonts w:ascii="Times New Roman" w:hAnsi="Times New Roman" w:eastAsia="等线"/>
                <w:b/>
                <w:bCs/>
                <w:kern w:val="0"/>
                <w:szCs w:val="21"/>
              </w:rPr>
            </w:pPr>
            <w:r>
              <w:rPr>
                <w:rFonts w:ascii="Times New Roman" w:hAnsi="Times New Roman"/>
                <w:b/>
                <w:bCs/>
                <w:kern w:val="0"/>
                <w:szCs w:val="21"/>
              </w:rPr>
              <w:t>数量（t/a）</w:t>
            </w:r>
          </w:p>
        </w:tc>
      </w:tr>
      <w:tr w14:paraId="363EF7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008" w:type="dxa"/>
            <w:noWrap/>
            <w:vAlign w:val="center"/>
          </w:tcPr>
          <w:p w14:paraId="28314408">
            <w:pPr>
              <w:widowControl/>
              <w:jc w:val="center"/>
              <w:rPr>
                <w:rFonts w:ascii="Times New Roman" w:hAnsi="Times New Roman" w:eastAsia="等线"/>
                <w:kern w:val="0"/>
                <w:szCs w:val="21"/>
              </w:rPr>
            </w:pPr>
            <w:r>
              <w:rPr>
                <w:rFonts w:ascii="Times New Roman" w:hAnsi="Times New Roman" w:eastAsia="等线"/>
                <w:sz w:val="22"/>
              </w:rPr>
              <w:t>1</w:t>
            </w:r>
          </w:p>
        </w:tc>
        <w:tc>
          <w:tcPr>
            <w:tcW w:w="2009" w:type="dxa"/>
            <w:noWrap/>
            <w:vAlign w:val="center"/>
          </w:tcPr>
          <w:p w14:paraId="050B9C2F">
            <w:pPr>
              <w:widowControl/>
              <w:jc w:val="center"/>
              <w:rPr>
                <w:rFonts w:ascii="Times New Roman" w:hAnsi="Times New Roman" w:eastAsia="等线"/>
                <w:kern w:val="0"/>
                <w:szCs w:val="21"/>
              </w:rPr>
            </w:pPr>
            <w:r>
              <w:rPr>
                <w:rFonts w:ascii="Times New Roman" w:hAnsi="Times New Roman"/>
                <w:sz w:val="22"/>
              </w:rPr>
              <w:t>原料铁</w:t>
            </w:r>
            <w:r>
              <w:rPr>
                <w:rFonts w:hint="eastAsia" w:ascii="Times New Roman" w:hAnsi="Times New Roman"/>
                <w:sz w:val="22"/>
              </w:rPr>
              <w:t>元素</w:t>
            </w:r>
          </w:p>
        </w:tc>
        <w:tc>
          <w:tcPr>
            <w:tcW w:w="2009" w:type="dxa"/>
            <w:noWrap/>
            <w:vAlign w:val="center"/>
          </w:tcPr>
          <w:p w14:paraId="2973702C">
            <w:pPr>
              <w:widowControl/>
              <w:jc w:val="center"/>
              <w:rPr>
                <w:rFonts w:ascii="Times New Roman" w:hAnsi="Times New Roman" w:eastAsia="等线"/>
                <w:kern w:val="0"/>
                <w:szCs w:val="21"/>
                <w:u w:val="single"/>
              </w:rPr>
            </w:pPr>
            <w:r>
              <w:rPr>
                <w:rFonts w:ascii="Times New Roman" w:hAnsi="Times New Roman" w:eastAsia="等线"/>
                <w:sz w:val="22"/>
                <w:u w:val="single"/>
              </w:rPr>
              <w:t>60345.76</w:t>
            </w:r>
          </w:p>
        </w:tc>
        <w:tc>
          <w:tcPr>
            <w:tcW w:w="2009" w:type="dxa"/>
            <w:noWrap/>
            <w:vAlign w:val="center"/>
          </w:tcPr>
          <w:p w14:paraId="4CA30B32">
            <w:pPr>
              <w:widowControl/>
              <w:jc w:val="center"/>
              <w:rPr>
                <w:rFonts w:ascii="Times New Roman" w:hAnsi="Times New Roman" w:eastAsia="等线"/>
                <w:kern w:val="0"/>
                <w:szCs w:val="21"/>
              </w:rPr>
            </w:pPr>
            <w:r>
              <w:rPr>
                <w:rFonts w:ascii="Times New Roman" w:hAnsi="Times New Roman"/>
                <w:sz w:val="22"/>
              </w:rPr>
              <w:t>钛铁精矿含铁</w:t>
            </w:r>
          </w:p>
        </w:tc>
        <w:tc>
          <w:tcPr>
            <w:tcW w:w="2005" w:type="dxa"/>
            <w:noWrap/>
            <w:vAlign w:val="center"/>
          </w:tcPr>
          <w:p w14:paraId="25F15462">
            <w:pPr>
              <w:widowControl/>
              <w:jc w:val="center"/>
              <w:rPr>
                <w:rFonts w:ascii="Times New Roman" w:hAnsi="Times New Roman" w:eastAsia="等线"/>
                <w:kern w:val="0"/>
                <w:szCs w:val="21"/>
                <w:u w:val="single"/>
              </w:rPr>
            </w:pPr>
            <w:r>
              <w:rPr>
                <w:rFonts w:ascii="Times New Roman" w:hAnsi="Times New Roman" w:eastAsia="等线"/>
                <w:sz w:val="22"/>
                <w:u w:val="single"/>
              </w:rPr>
              <w:t>55759.28</w:t>
            </w:r>
          </w:p>
        </w:tc>
      </w:tr>
      <w:tr w14:paraId="56F0FB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008" w:type="dxa"/>
            <w:noWrap/>
            <w:vAlign w:val="center"/>
          </w:tcPr>
          <w:p w14:paraId="28AC1F7D">
            <w:pPr>
              <w:widowControl/>
              <w:jc w:val="center"/>
              <w:rPr>
                <w:rFonts w:ascii="Times New Roman" w:hAnsi="Times New Roman" w:eastAsia="等线"/>
                <w:kern w:val="0"/>
                <w:szCs w:val="21"/>
              </w:rPr>
            </w:pPr>
            <w:r>
              <w:rPr>
                <w:rFonts w:ascii="Times New Roman" w:hAnsi="Times New Roman" w:eastAsia="等线"/>
                <w:sz w:val="22"/>
              </w:rPr>
              <w:t>2</w:t>
            </w:r>
          </w:p>
        </w:tc>
        <w:tc>
          <w:tcPr>
            <w:tcW w:w="2009" w:type="dxa"/>
            <w:noWrap/>
            <w:vAlign w:val="center"/>
          </w:tcPr>
          <w:p w14:paraId="6E40BF85">
            <w:pPr>
              <w:widowControl/>
              <w:jc w:val="center"/>
              <w:rPr>
                <w:rFonts w:ascii="Times New Roman" w:hAnsi="Times New Roman" w:eastAsia="等线"/>
                <w:kern w:val="0"/>
                <w:szCs w:val="21"/>
              </w:rPr>
            </w:pPr>
            <w:r>
              <w:rPr>
                <w:rFonts w:ascii="Times New Roman" w:hAnsi="Times New Roman" w:eastAsia="等线"/>
                <w:sz w:val="22"/>
              </w:rPr>
              <w:t>　</w:t>
            </w:r>
          </w:p>
        </w:tc>
        <w:tc>
          <w:tcPr>
            <w:tcW w:w="2009" w:type="dxa"/>
            <w:noWrap/>
            <w:vAlign w:val="center"/>
          </w:tcPr>
          <w:p w14:paraId="45004B99">
            <w:pPr>
              <w:widowControl/>
              <w:jc w:val="center"/>
              <w:rPr>
                <w:rFonts w:ascii="Times New Roman" w:hAnsi="Times New Roman" w:eastAsia="等线"/>
                <w:kern w:val="0"/>
                <w:szCs w:val="21"/>
                <w:u w:val="single"/>
              </w:rPr>
            </w:pPr>
          </w:p>
        </w:tc>
        <w:tc>
          <w:tcPr>
            <w:tcW w:w="2009" w:type="dxa"/>
            <w:noWrap/>
            <w:vAlign w:val="center"/>
          </w:tcPr>
          <w:p w14:paraId="37611735">
            <w:pPr>
              <w:widowControl/>
              <w:jc w:val="center"/>
              <w:rPr>
                <w:rFonts w:ascii="Times New Roman" w:hAnsi="Times New Roman"/>
                <w:kern w:val="0"/>
                <w:szCs w:val="21"/>
              </w:rPr>
            </w:pPr>
            <w:r>
              <w:rPr>
                <w:rFonts w:hint="eastAsia" w:ascii="Times New Roman" w:hAnsi="Times New Roman"/>
                <w:sz w:val="22"/>
              </w:rPr>
              <w:t>锆中矿</w:t>
            </w:r>
            <w:r>
              <w:rPr>
                <w:rFonts w:ascii="Times New Roman" w:hAnsi="Times New Roman"/>
                <w:sz w:val="22"/>
              </w:rPr>
              <w:t>含铁</w:t>
            </w:r>
          </w:p>
        </w:tc>
        <w:tc>
          <w:tcPr>
            <w:tcW w:w="2005" w:type="dxa"/>
            <w:noWrap/>
            <w:vAlign w:val="center"/>
          </w:tcPr>
          <w:p w14:paraId="22C411F0">
            <w:pPr>
              <w:widowControl/>
              <w:jc w:val="center"/>
              <w:rPr>
                <w:rFonts w:ascii="Times New Roman" w:hAnsi="Times New Roman" w:eastAsia="等线"/>
                <w:sz w:val="22"/>
                <w:u w:val="single"/>
              </w:rPr>
            </w:pPr>
            <w:r>
              <w:rPr>
                <w:rFonts w:ascii="Times New Roman" w:hAnsi="Times New Roman" w:eastAsia="等线"/>
                <w:sz w:val="22"/>
                <w:u w:val="single"/>
              </w:rPr>
              <w:t>4585.08</w:t>
            </w:r>
          </w:p>
        </w:tc>
      </w:tr>
      <w:tr w14:paraId="439C51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008" w:type="dxa"/>
            <w:noWrap/>
            <w:vAlign w:val="center"/>
          </w:tcPr>
          <w:p w14:paraId="75E0E920">
            <w:pPr>
              <w:widowControl/>
              <w:jc w:val="center"/>
              <w:rPr>
                <w:rFonts w:ascii="Times New Roman" w:hAnsi="Times New Roman" w:eastAsia="等线"/>
                <w:kern w:val="0"/>
                <w:szCs w:val="21"/>
              </w:rPr>
            </w:pPr>
            <w:r>
              <w:rPr>
                <w:rFonts w:ascii="Times New Roman" w:hAnsi="Times New Roman" w:eastAsia="等线"/>
                <w:sz w:val="22"/>
              </w:rPr>
              <w:t>3</w:t>
            </w:r>
          </w:p>
        </w:tc>
        <w:tc>
          <w:tcPr>
            <w:tcW w:w="2009" w:type="dxa"/>
            <w:noWrap/>
            <w:vAlign w:val="center"/>
          </w:tcPr>
          <w:p w14:paraId="505C7386">
            <w:pPr>
              <w:widowControl/>
              <w:jc w:val="center"/>
              <w:rPr>
                <w:rFonts w:ascii="Times New Roman" w:hAnsi="Times New Roman" w:eastAsia="等线"/>
                <w:kern w:val="0"/>
                <w:szCs w:val="21"/>
              </w:rPr>
            </w:pPr>
            <w:r>
              <w:rPr>
                <w:rFonts w:ascii="Times New Roman" w:hAnsi="Times New Roman" w:eastAsia="等线"/>
                <w:sz w:val="22"/>
              </w:rPr>
              <w:t>　</w:t>
            </w:r>
          </w:p>
        </w:tc>
        <w:tc>
          <w:tcPr>
            <w:tcW w:w="2009" w:type="dxa"/>
            <w:noWrap/>
            <w:vAlign w:val="center"/>
          </w:tcPr>
          <w:p w14:paraId="05C8C21C">
            <w:pPr>
              <w:widowControl/>
              <w:jc w:val="center"/>
              <w:rPr>
                <w:rFonts w:ascii="Times New Roman" w:hAnsi="Times New Roman" w:eastAsia="等线"/>
                <w:kern w:val="0"/>
                <w:szCs w:val="21"/>
                <w:u w:val="single"/>
              </w:rPr>
            </w:pPr>
          </w:p>
        </w:tc>
        <w:tc>
          <w:tcPr>
            <w:tcW w:w="2009" w:type="dxa"/>
            <w:noWrap/>
            <w:vAlign w:val="center"/>
          </w:tcPr>
          <w:p w14:paraId="01CB6B44">
            <w:pPr>
              <w:widowControl/>
              <w:jc w:val="center"/>
              <w:rPr>
                <w:rFonts w:ascii="Times New Roman" w:hAnsi="Times New Roman"/>
                <w:kern w:val="0"/>
                <w:szCs w:val="21"/>
              </w:rPr>
            </w:pPr>
            <w:r>
              <w:rPr>
                <w:rFonts w:ascii="Times New Roman" w:hAnsi="Times New Roman"/>
                <w:sz w:val="22"/>
              </w:rPr>
              <w:t>粉尘含铁</w:t>
            </w:r>
          </w:p>
        </w:tc>
        <w:tc>
          <w:tcPr>
            <w:tcW w:w="2005" w:type="dxa"/>
            <w:noWrap/>
            <w:vAlign w:val="center"/>
          </w:tcPr>
          <w:p w14:paraId="73DEC0EE">
            <w:pPr>
              <w:widowControl/>
              <w:jc w:val="center"/>
              <w:rPr>
                <w:rFonts w:ascii="Times New Roman" w:hAnsi="Times New Roman" w:eastAsia="等线"/>
                <w:sz w:val="22"/>
                <w:u w:val="single"/>
              </w:rPr>
            </w:pPr>
            <w:r>
              <w:rPr>
                <w:rFonts w:ascii="Times New Roman" w:hAnsi="Times New Roman" w:eastAsia="等线"/>
                <w:sz w:val="22"/>
                <w:u w:val="single"/>
              </w:rPr>
              <w:t>1.4</w:t>
            </w:r>
          </w:p>
        </w:tc>
      </w:tr>
      <w:tr w14:paraId="5DA39D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008" w:type="dxa"/>
            <w:noWrap/>
            <w:vAlign w:val="center"/>
          </w:tcPr>
          <w:p w14:paraId="5EE67059">
            <w:pPr>
              <w:widowControl/>
              <w:jc w:val="center"/>
              <w:rPr>
                <w:rFonts w:ascii="Times New Roman" w:hAnsi="Times New Roman" w:eastAsia="等线"/>
                <w:kern w:val="0"/>
                <w:szCs w:val="21"/>
              </w:rPr>
            </w:pPr>
            <w:r>
              <w:rPr>
                <w:rFonts w:ascii="Times New Roman" w:hAnsi="Times New Roman" w:eastAsia="等线"/>
                <w:sz w:val="22"/>
              </w:rPr>
              <w:t>　</w:t>
            </w:r>
          </w:p>
        </w:tc>
        <w:tc>
          <w:tcPr>
            <w:tcW w:w="2009" w:type="dxa"/>
            <w:noWrap/>
            <w:vAlign w:val="center"/>
          </w:tcPr>
          <w:p w14:paraId="4970ED95">
            <w:pPr>
              <w:widowControl/>
              <w:jc w:val="center"/>
              <w:rPr>
                <w:rFonts w:ascii="Times New Roman" w:hAnsi="Times New Roman" w:eastAsia="等线"/>
                <w:kern w:val="0"/>
                <w:szCs w:val="21"/>
              </w:rPr>
            </w:pPr>
            <w:r>
              <w:rPr>
                <w:rFonts w:ascii="Times New Roman" w:hAnsi="Times New Roman"/>
                <w:sz w:val="22"/>
              </w:rPr>
              <w:t>合计</w:t>
            </w:r>
          </w:p>
        </w:tc>
        <w:tc>
          <w:tcPr>
            <w:tcW w:w="2009" w:type="dxa"/>
            <w:noWrap/>
            <w:vAlign w:val="center"/>
          </w:tcPr>
          <w:p w14:paraId="0C575283">
            <w:pPr>
              <w:widowControl/>
              <w:jc w:val="center"/>
              <w:rPr>
                <w:rFonts w:ascii="Times New Roman" w:hAnsi="Times New Roman" w:eastAsia="等线"/>
                <w:kern w:val="0"/>
                <w:szCs w:val="21"/>
                <w:u w:val="single"/>
              </w:rPr>
            </w:pPr>
            <w:r>
              <w:rPr>
                <w:rFonts w:ascii="Times New Roman" w:hAnsi="Times New Roman" w:eastAsia="等线"/>
                <w:sz w:val="22"/>
                <w:u w:val="single"/>
              </w:rPr>
              <w:t>60345.76</w:t>
            </w:r>
          </w:p>
        </w:tc>
        <w:tc>
          <w:tcPr>
            <w:tcW w:w="2009" w:type="dxa"/>
            <w:noWrap/>
            <w:vAlign w:val="center"/>
          </w:tcPr>
          <w:p w14:paraId="0D0515DA">
            <w:pPr>
              <w:widowControl/>
              <w:jc w:val="center"/>
              <w:rPr>
                <w:rFonts w:ascii="Times New Roman" w:hAnsi="Times New Roman" w:eastAsia="等线"/>
                <w:kern w:val="0"/>
                <w:szCs w:val="21"/>
              </w:rPr>
            </w:pPr>
            <w:r>
              <w:rPr>
                <w:rFonts w:ascii="Times New Roman" w:hAnsi="Times New Roman"/>
                <w:sz w:val="22"/>
              </w:rPr>
              <w:t>合计</w:t>
            </w:r>
          </w:p>
        </w:tc>
        <w:tc>
          <w:tcPr>
            <w:tcW w:w="2005" w:type="dxa"/>
            <w:noWrap/>
            <w:vAlign w:val="center"/>
          </w:tcPr>
          <w:p w14:paraId="172410C2">
            <w:pPr>
              <w:widowControl/>
              <w:jc w:val="center"/>
              <w:rPr>
                <w:rFonts w:ascii="Times New Roman" w:hAnsi="Times New Roman" w:eastAsia="等线"/>
                <w:kern w:val="0"/>
                <w:szCs w:val="21"/>
                <w:u w:val="single"/>
              </w:rPr>
            </w:pPr>
            <w:r>
              <w:rPr>
                <w:rFonts w:ascii="Times New Roman" w:hAnsi="Times New Roman" w:eastAsia="等线"/>
                <w:sz w:val="22"/>
                <w:u w:val="single"/>
              </w:rPr>
              <w:t>60345.76</w:t>
            </w:r>
          </w:p>
        </w:tc>
      </w:tr>
    </w:tbl>
    <w:p w14:paraId="68E495FD">
      <w:pPr>
        <w:spacing w:line="360" w:lineRule="auto"/>
        <w:ind w:firstLine="472" w:firstLineChars="200"/>
        <w:rPr>
          <w:rFonts w:ascii="Times New Roman" w:hAnsi="Times New Roman"/>
          <w:spacing w:val="-2"/>
          <w:kern w:val="0"/>
          <w:sz w:val="24"/>
          <w:szCs w:val="24"/>
        </w:rPr>
      </w:pPr>
    </w:p>
    <w:p w14:paraId="245B0831">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（4）元素平衡一览表</w:t>
      </w:r>
    </w:p>
    <w:p w14:paraId="53560E40">
      <w:pPr>
        <w:spacing w:line="360" w:lineRule="auto"/>
        <w:ind w:firstLine="472" w:firstLineChars="200"/>
        <w:rPr>
          <w:rFonts w:ascii="Times New Roman" w:hAnsi="Times New Roman"/>
          <w:spacing w:val="-2"/>
          <w:kern w:val="0"/>
          <w:sz w:val="24"/>
          <w:szCs w:val="20"/>
        </w:rPr>
      </w:pPr>
      <w:r>
        <w:rPr>
          <w:rFonts w:hint="eastAsia" w:ascii="Times New Roman" w:hAnsi="Times New Roman"/>
          <w:spacing w:val="-2"/>
          <w:kern w:val="0"/>
          <w:sz w:val="24"/>
          <w:szCs w:val="24"/>
        </w:rPr>
        <w:t>根据物料平衡及产品元素分析，项目钛、铁、锆、硅、铈、钍六种元素平衡情况详见表2.2-4和图2.3-2～9。</w:t>
      </w:r>
    </w:p>
    <w:p w14:paraId="276D8DE9">
      <w:pPr>
        <w:spacing w:line="360" w:lineRule="auto"/>
        <w:ind w:firstLine="472" w:firstLineChars="200"/>
        <w:rPr>
          <w:rFonts w:ascii="Times New Roman" w:hAnsi="Times New Roman"/>
          <w:spacing w:val="-2"/>
          <w:kern w:val="0"/>
          <w:sz w:val="24"/>
          <w:szCs w:val="20"/>
        </w:rPr>
        <w:sectPr>
          <w:headerReference r:id="rId14" w:type="first"/>
          <w:footerReference r:id="rId16" w:type="first"/>
          <w:headerReference r:id="rId13" w:type="even"/>
          <w:footerReference r:id="rId15" w:type="even"/>
          <w:pgSz w:w="11906" w:h="16838"/>
          <w:pgMar w:top="1418" w:right="1418" w:bottom="1418" w:left="1418" w:header="851" w:footer="737" w:gutter="0"/>
          <w:cols w:space="720" w:num="1"/>
          <w:docGrid w:linePitch="323" w:charSpace="0"/>
        </w:sectPr>
      </w:pPr>
    </w:p>
    <w:p w14:paraId="30E9E343">
      <w:pPr>
        <w:snapToGrid w:val="0"/>
        <w:spacing w:line="360" w:lineRule="auto"/>
        <w:ind w:firstLine="472" w:firstLineChars="200"/>
        <w:rPr>
          <w:rFonts w:ascii="Times New Roman" w:hAnsi="Times New Roman"/>
          <w:spacing w:val="-2"/>
          <w:kern w:val="0"/>
          <w:sz w:val="24"/>
          <w:szCs w:val="24"/>
        </w:rPr>
      </w:pPr>
    </w:p>
    <w:p w14:paraId="17C03CFC">
      <w:pPr>
        <w:pStyle w:val="8"/>
        <w:numPr>
          <w:ilvl w:val="4"/>
          <w:numId w:val="3"/>
        </w:numPr>
        <w:rPr>
          <w:sz w:val="24"/>
          <w:szCs w:val="24"/>
        </w:rPr>
      </w:pPr>
      <w:r>
        <w:rPr>
          <w:sz w:val="24"/>
          <w:szCs w:val="24"/>
        </w:rPr>
        <w:t>项目物料平衡及元素平衡表</w:t>
      </w:r>
    </w:p>
    <w:tbl>
      <w:tblPr>
        <w:tblStyle w:val="88"/>
        <w:tblW w:w="1606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78"/>
        <w:gridCol w:w="939"/>
        <w:gridCol w:w="1431"/>
        <w:gridCol w:w="621"/>
        <w:gridCol w:w="891"/>
        <w:gridCol w:w="621"/>
        <w:gridCol w:w="891"/>
        <w:gridCol w:w="578"/>
        <w:gridCol w:w="801"/>
        <w:gridCol w:w="621"/>
        <w:gridCol w:w="891"/>
        <w:gridCol w:w="711"/>
        <w:gridCol w:w="621"/>
        <w:gridCol w:w="578"/>
        <w:gridCol w:w="694"/>
        <w:gridCol w:w="567"/>
        <w:gridCol w:w="739"/>
        <w:gridCol w:w="801"/>
        <w:gridCol w:w="981"/>
        <w:gridCol w:w="621"/>
        <w:gridCol w:w="891"/>
      </w:tblGrid>
      <w:tr w14:paraId="0CECD1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578" w:type="dxa"/>
            <w:vMerge w:val="restart"/>
            <w:shd w:val="clear" w:color="auto" w:fill="auto"/>
            <w:noWrap/>
            <w:vAlign w:val="center"/>
          </w:tcPr>
          <w:p w14:paraId="44F05980">
            <w:pPr>
              <w:widowControl/>
              <w:jc w:val="center"/>
              <w:rPr>
                <w:rFonts w:ascii="Times New Roman" w:hAnsi="Times New Roman"/>
                <w:b/>
                <w:bCs/>
                <w:kern w:val="0"/>
                <w:sz w:val="18"/>
                <w:szCs w:val="18"/>
              </w:rPr>
            </w:pPr>
            <w:bookmarkStart w:id="105" w:name="_Hlk193445343"/>
            <w:r>
              <w:rPr>
                <w:rFonts w:ascii="Times New Roman" w:hAnsi="Times New Roman"/>
                <w:b/>
                <w:bCs/>
                <w:kern w:val="0"/>
                <w:sz w:val="18"/>
                <w:szCs w:val="18"/>
              </w:rPr>
              <w:t>序号</w:t>
            </w:r>
          </w:p>
        </w:tc>
        <w:tc>
          <w:tcPr>
            <w:tcW w:w="939" w:type="dxa"/>
            <w:vMerge w:val="restart"/>
            <w:shd w:val="clear" w:color="auto" w:fill="auto"/>
            <w:noWrap/>
            <w:vAlign w:val="center"/>
          </w:tcPr>
          <w:p w14:paraId="53A6680E">
            <w:pPr>
              <w:widowControl/>
              <w:jc w:val="center"/>
              <w:rPr>
                <w:rFonts w:ascii="Times New Roman" w:hAnsi="Times New Roman"/>
                <w:b/>
                <w:bCs/>
                <w:kern w:val="0"/>
                <w:sz w:val="18"/>
                <w:szCs w:val="18"/>
              </w:rPr>
            </w:pPr>
            <w:r>
              <w:rPr>
                <w:rFonts w:ascii="Times New Roman" w:hAnsi="Times New Roman"/>
                <w:b/>
                <w:bCs/>
                <w:kern w:val="0"/>
                <w:sz w:val="18"/>
                <w:szCs w:val="18"/>
              </w:rPr>
              <w:t>物料名称</w:t>
            </w:r>
          </w:p>
        </w:tc>
        <w:tc>
          <w:tcPr>
            <w:tcW w:w="1431" w:type="dxa"/>
            <w:vMerge w:val="restart"/>
            <w:shd w:val="clear" w:color="auto" w:fill="auto"/>
            <w:noWrap/>
            <w:vAlign w:val="center"/>
          </w:tcPr>
          <w:p w14:paraId="31F2B1C9">
            <w:pPr>
              <w:widowControl/>
              <w:jc w:val="center"/>
              <w:rPr>
                <w:rFonts w:ascii="Times New Roman" w:hAnsi="Times New Roman"/>
                <w:b/>
                <w:bCs/>
                <w:kern w:val="0"/>
                <w:sz w:val="18"/>
                <w:szCs w:val="18"/>
              </w:rPr>
            </w:pPr>
            <w:r>
              <w:rPr>
                <w:rFonts w:ascii="Times New Roman" w:hAnsi="Times New Roman"/>
                <w:b/>
                <w:bCs/>
                <w:kern w:val="0"/>
                <w:sz w:val="18"/>
                <w:szCs w:val="18"/>
              </w:rPr>
              <w:t>数量</w:t>
            </w:r>
          </w:p>
          <w:p w14:paraId="469B378C">
            <w:pPr>
              <w:widowControl/>
              <w:jc w:val="center"/>
              <w:rPr>
                <w:rFonts w:ascii="Times New Roman" w:hAnsi="Times New Roman"/>
                <w:b/>
                <w:bCs/>
                <w:kern w:val="0"/>
                <w:sz w:val="18"/>
                <w:szCs w:val="18"/>
              </w:rPr>
            </w:pPr>
            <w:r>
              <w:rPr>
                <w:rFonts w:ascii="Times New Roman" w:hAnsi="Times New Roman"/>
                <w:b/>
                <w:bCs/>
                <w:kern w:val="0"/>
                <w:sz w:val="18"/>
                <w:szCs w:val="18"/>
              </w:rPr>
              <w:t>(t/a)</w:t>
            </w:r>
          </w:p>
        </w:tc>
        <w:tc>
          <w:tcPr>
            <w:tcW w:w="13119" w:type="dxa"/>
            <w:gridSpan w:val="18"/>
            <w:shd w:val="clear" w:color="auto" w:fill="auto"/>
            <w:noWrap/>
            <w:vAlign w:val="center"/>
          </w:tcPr>
          <w:p w14:paraId="4BAED34B">
            <w:pPr>
              <w:widowControl/>
              <w:jc w:val="center"/>
              <w:rPr>
                <w:rFonts w:ascii="Times New Roman" w:hAnsi="Times New Roman"/>
                <w:b/>
                <w:bCs/>
                <w:kern w:val="0"/>
                <w:sz w:val="18"/>
                <w:szCs w:val="18"/>
              </w:rPr>
            </w:pPr>
            <w:r>
              <w:rPr>
                <w:rFonts w:ascii="Times New Roman" w:hAnsi="Times New Roman"/>
                <w:b/>
                <w:bCs/>
                <w:kern w:val="0"/>
                <w:sz w:val="18"/>
                <w:szCs w:val="18"/>
              </w:rPr>
              <w:t>元素数量（t/a）</w:t>
            </w:r>
          </w:p>
        </w:tc>
      </w:tr>
      <w:tr w14:paraId="37748E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578" w:type="dxa"/>
            <w:vMerge w:val="continue"/>
            <w:shd w:val="clear" w:color="auto" w:fill="auto"/>
            <w:noWrap/>
            <w:vAlign w:val="center"/>
          </w:tcPr>
          <w:p w14:paraId="742DA22A">
            <w:pPr>
              <w:widowControl/>
              <w:jc w:val="center"/>
              <w:rPr>
                <w:rFonts w:ascii="Times New Roman" w:hAnsi="Times New Roman"/>
                <w:b/>
                <w:bCs/>
                <w:kern w:val="0"/>
                <w:sz w:val="18"/>
                <w:szCs w:val="18"/>
              </w:rPr>
            </w:pPr>
          </w:p>
        </w:tc>
        <w:tc>
          <w:tcPr>
            <w:tcW w:w="939" w:type="dxa"/>
            <w:vMerge w:val="continue"/>
            <w:shd w:val="clear" w:color="auto" w:fill="auto"/>
            <w:noWrap/>
            <w:vAlign w:val="center"/>
          </w:tcPr>
          <w:p w14:paraId="15B32BD5">
            <w:pPr>
              <w:widowControl/>
              <w:jc w:val="center"/>
              <w:rPr>
                <w:rFonts w:ascii="Times New Roman" w:hAnsi="Times New Roman"/>
                <w:b/>
                <w:bCs/>
                <w:kern w:val="0"/>
                <w:sz w:val="18"/>
                <w:szCs w:val="18"/>
              </w:rPr>
            </w:pPr>
          </w:p>
        </w:tc>
        <w:tc>
          <w:tcPr>
            <w:tcW w:w="1431" w:type="dxa"/>
            <w:vMerge w:val="continue"/>
            <w:shd w:val="clear" w:color="auto" w:fill="auto"/>
            <w:noWrap/>
            <w:vAlign w:val="center"/>
          </w:tcPr>
          <w:p w14:paraId="15A5468D">
            <w:pPr>
              <w:widowControl/>
              <w:jc w:val="center"/>
              <w:rPr>
                <w:rFonts w:ascii="Times New Roman" w:hAnsi="Times New Roman"/>
                <w:b/>
                <w:bCs/>
                <w:kern w:val="0"/>
                <w:sz w:val="18"/>
                <w:szCs w:val="18"/>
              </w:rPr>
            </w:pPr>
          </w:p>
        </w:tc>
        <w:tc>
          <w:tcPr>
            <w:tcW w:w="1512" w:type="dxa"/>
            <w:gridSpan w:val="2"/>
            <w:shd w:val="clear" w:color="auto" w:fill="auto"/>
            <w:noWrap/>
            <w:vAlign w:val="center"/>
          </w:tcPr>
          <w:p w14:paraId="00903D3C">
            <w:pPr>
              <w:widowControl/>
              <w:jc w:val="center"/>
              <w:rPr>
                <w:rFonts w:ascii="Times New Roman" w:hAnsi="Times New Roman"/>
                <w:b/>
                <w:bCs/>
                <w:kern w:val="0"/>
                <w:sz w:val="18"/>
                <w:szCs w:val="18"/>
              </w:rPr>
            </w:pPr>
            <w:r>
              <w:rPr>
                <w:rFonts w:ascii="Times New Roman" w:hAnsi="Times New Roman"/>
                <w:b/>
                <w:bCs/>
                <w:kern w:val="0"/>
                <w:sz w:val="18"/>
                <w:szCs w:val="18"/>
              </w:rPr>
              <w:t>Ti</w:t>
            </w:r>
          </w:p>
        </w:tc>
        <w:tc>
          <w:tcPr>
            <w:tcW w:w="1512" w:type="dxa"/>
            <w:gridSpan w:val="2"/>
            <w:shd w:val="clear" w:color="auto" w:fill="auto"/>
            <w:noWrap/>
            <w:vAlign w:val="center"/>
          </w:tcPr>
          <w:p w14:paraId="3889C824">
            <w:pPr>
              <w:widowControl/>
              <w:jc w:val="center"/>
              <w:rPr>
                <w:rFonts w:ascii="Times New Roman" w:hAnsi="Times New Roman"/>
                <w:b/>
                <w:bCs/>
                <w:kern w:val="0"/>
                <w:sz w:val="18"/>
                <w:szCs w:val="18"/>
              </w:rPr>
            </w:pPr>
            <w:r>
              <w:rPr>
                <w:rFonts w:ascii="Times New Roman" w:hAnsi="Times New Roman"/>
                <w:b/>
                <w:bCs/>
                <w:kern w:val="0"/>
                <w:sz w:val="18"/>
                <w:szCs w:val="18"/>
              </w:rPr>
              <w:t>Fe</w:t>
            </w:r>
          </w:p>
        </w:tc>
        <w:tc>
          <w:tcPr>
            <w:tcW w:w="1379" w:type="dxa"/>
            <w:gridSpan w:val="2"/>
            <w:shd w:val="clear" w:color="auto" w:fill="auto"/>
            <w:noWrap/>
            <w:vAlign w:val="center"/>
          </w:tcPr>
          <w:p w14:paraId="18CFE067">
            <w:pPr>
              <w:widowControl/>
              <w:jc w:val="center"/>
              <w:rPr>
                <w:rFonts w:ascii="Times New Roman" w:hAnsi="Times New Roman"/>
                <w:b/>
                <w:bCs/>
                <w:kern w:val="0"/>
                <w:sz w:val="18"/>
                <w:szCs w:val="18"/>
              </w:rPr>
            </w:pPr>
            <w:r>
              <w:rPr>
                <w:rFonts w:ascii="Times New Roman" w:hAnsi="Times New Roman"/>
                <w:b/>
                <w:bCs/>
                <w:kern w:val="0"/>
                <w:sz w:val="18"/>
                <w:szCs w:val="18"/>
              </w:rPr>
              <w:t>Zr</w:t>
            </w:r>
          </w:p>
        </w:tc>
        <w:tc>
          <w:tcPr>
            <w:tcW w:w="1512" w:type="dxa"/>
            <w:gridSpan w:val="2"/>
            <w:shd w:val="clear" w:color="auto" w:fill="auto"/>
            <w:noWrap/>
            <w:vAlign w:val="center"/>
          </w:tcPr>
          <w:p w14:paraId="79E08DC1">
            <w:pPr>
              <w:widowControl/>
              <w:jc w:val="center"/>
              <w:rPr>
                <w:rFonts w:ascii="Times New Roman" w:hAnsi="Times New Roman"/>
                <w:b/>
                <w:bCs/>
                <w:kern w:val="0"/>
                <w:sz w:val="18"/>
                <w:szCs w:val="18"/>
              </w:rPr>
            </w:pPr>
            <w:r>
              <w:rPr>
                <w:rFonts w:ascii="Times New Roman" w:hAnsi="Times New Roman"/>
                <w:b/>
                <w:bCs/>
                <w:kern w:val="0"/>
                <w:sz w:val="18"/>
                <w:szCs w:val="18"/>
              </w:rPr>
              <w:t>Si</w:t>
            </w:r>
          </w:p>
        </w:tc>
        <w:tc>
          <w:tcPr>
            <w:tcW w:w="1332" w:type="dxa"/>
            <w:gridSpan w:val="2"/>
            <w:shd w:val="clear" w:color="auto" w:fill="auto"/>
            <w:noWrap/>
            <w:vAlign w:val="center"/>
          </w:tcPr>
          <w:p w14:paraId="36AB2A1D">
            <w:pPr>
              <w:widowControl/>
              <w:jc w:val="center"/>
              <w:rPr>
                <w:rFonts w:ascii="Times New Roman" w:hAnsi="Times New Roman"/>
                <w:b/>
                <w:bCs/>
                <w:kern w:val="0"/>
                <w:sz w:val="18"/>
                <w:szCs w:val="18"/>
              </w:rPr>
            </w:pPr>
            <w:r>
              <w:rPr>
                <w:rFonts w:ascii="Times New Roman" w:hAnsi="Times New Roman"/>
                <w:b/>
                <w:bCs/>
                <w:kern w:val="0"/>
                <w:sz w:val="18"/>
                <w:szCs w:val="18"/>
              </w:rPr>
              <w:t>Sn</w:t>
            </w:r>
          </w:p>
        </w:tc>
        <w:tc>
          <w:tcPr>
            <w:tcW w:w="1272" w:type="dxa"/>
            <w:gridSpan w:val="2"/>
            <w:shd w:val="clear" w:color="auto" w:fill="auto"/>
            <w:noWrap/>
            <w:vAlign w:val="center"/>
          </w:tcPr>
          <w:p w14:paraId="5F7B5DE5">
            <w:pPr>
              <w:widowControl/>
              <w:jc w:val="center"/>
              <w:rPr>
                <w:rFonts w:ascii="Times New Roman" w:hAnsi="Times New Roman"/>
                <w:b/>
                <w:bCs/>
                <w:kern w:val="0"/>
                <w:sz w:val="18"/>
                <w:szCs w:val="18"/>
              </w:rPr>
            </w:pPr>
            <w:r>
              <w:rPr>
                <w:rFonts w:ascii="Times New Roman" w:hAnsi="Times New Roman"/>
                <w:b/>
                <w:bCs/>
                <w:kern w:val="0"/>
                <w:sz w:val="18"/>
                <w:szCs w:val="18"/>
              </w:rPr>
              <w:t>Ce</w:t>
            </w:r>
          </w:p>
        </w:tc>
        <w:tc>
          <w:tcPr>
            <w:tcW w:w="1306" w:type="dxa"/>
            <w:gridSpan w:val="2"/>
            <w:shd w:val="clear" w:color="auto" w:fill="auto"/>
            <w:noWrap/>
            <w:vAlign w:val="center"/>
          </w:tcPr>
          <w:p w14:paraId="1ACDFF59">
            <w:pPr>
              <w:widowControl/>
              <w:jc w:val="center"/>
              <w:rPr>
                <w:rFonts w:ascii="Times New Roman" w:hAnsi="Times New Roman"/>
                <w:b/>
                <w:bCs/>
                <w:kern w:val="0"/>
                <w:sz w:val="18"/>
                <w:szCs w:val="18"/>
              </w:rPr>
            </w:pPr>
            <w:r>
              <w:rPr>
                <w:rFonts w:ascii="Times New Roman" w:hAnsi="Times New Roman"/>
                <w:b/>
                <w:bCs/>
                <w:kern w:val="0"/>
                <w:sz w:val="18"/>
                <w:szCs w:val="18"/>
              </w:rPr>
              <w:t>Th</w:t>
            </w:r>
          </w:p>
        </w:tc>
        <w:tc>
          <w:tcPr>
            <w:tcW w:w="1782" w:type="dxa"/>
            <w:gridSpan w:val="2"/>
            <w:shd w:val="clear" w:color="auto" w:fill="auto"/>
            <w:noWrap/>
            <w:vAlign w:val="center"/>
          </w:tcPr>
          <w:p w14:paraId="6BC9B50C">
            <w:pPr>
              <w:widowControl/>
              <w:jc w:val="center"/>
              <w:rPr>
                <w:rFonts w:ascii="Times New Roman" w:hAnsi="Times New Roman"/>
                <w:b/>
                <w:bCs/>
                <w:kern w:val="0"/>
                <w:sz w:val="18"/>
                <w:szCs w:val="18"/>
              </w:rPr>
            </w:pPr>
            <w:r>
              <w:rPr>
                <w:rFonts w:ascii="Times New Roman" w:hAnsi="Times New Roman"/>
                <w:b/>
                <w:bCs/>
                <w:kern w:val="0"/>
                <w:sz w:val="18"/>
                <w:szCs w:val="18"/>
              </w:rPr>
              <w:t>其他元素</w:t>
            </w:r>
          </w:p>
        </w:tc>
        <w:tc>
          <w:tcPr>
            <w:tcW w:w="1512" w:type="dxa"/>
            <w:gridSpan w:val="2"/>
            <w:shd w:val="clear" w:color="auto" w:fill="auto"/>
            <w:noWrap/>
            <w:vAlign w:val="center"/>
          </w:tcPr>
          <w:p w14:paraId="343384A5">
            <w:pPr>
              <w:widowControl/>
              <w:jc w:val="center"/>
              <w:rPr>
                <w:rFonts w:ascii="Times New Roman" w:hAnsi="Times New Roman"/>
                <w:b/>
                <w:bCs/>
                <w:kern w:val="0"/>
                <w:sz w:val="18"/>
                <w:szCs w:val="18"/>
              </w:rPr>
            </w:pPr>
            <w:r>
              <w:rPr>
                <w:rFonts w:ascii="Times New Roman" w:hAnsi="Times New Roman"/>
                <w:b/>
                <w:bCs/>
                <w:kern w:val="0"/>
                <w:sz w:val="18"/>
                <w:szCs w:val="18"/>
              </w:rPr>
              <w:t>含水</w:t>
            </w:r>
          </w:p>
        </w:tc>
      </w:tr>
      <w:tr w14:paraId="4D74A6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578" w:type="dxa"/>
            <w:vMerge w:val="continue"/>
            <w:shd w:val="clear" w:color="auto" w:fill="auto"/>
            <w:vAlign w:val="center"/>
          </w:tcPr>
          <w:p w14:paraId="0D86C9F3">
            <w:pPr>
              <w:widowControl/>
              <w:jc w:val="left"/>
              <w:rPr>
                <w:rFonts w:ascii="Times New Roman" w:hAnsi="Times New Roman"/>
                <w:b/>
                <w:bCs/>
                <w:kern w:val="0"/>
                <w:sz w:val="18"/>
                <w:szCs w:val="18"/>
              </w:rPr>
            </w:pPr>
          </w:p>
        </w:tc>
        <w:tc>
          <w:tcPr>
            <w:tcW w:w="939" w:type="dxa"/>
            <w:vMerge w:val="continue"/>
            <w:shd w:val="clear" w:color="auto" w:fill="auto"/>
            <w:vAlign w:val="center"/>
          </w:tcPr>
          <w:p w14:paraId="06FE374A">
            <w:pPr>
              <w:widowControl/>
              <w:jc w:val="left"/>
              <w:rPr>
                <w:rFonts w:ascii="Times New Roman" w:hAnsi="Times New Roman"/>
                <w:b/>
                <w:bCs/>
                <w:kern w:val="0"/>
                <w:sz w:val="18"/>
                <w:szCs w:val="18"/>
              </w:rPr>
            </w:pPr>
          </w:p>
        </w:tc>
        <w:tc>
          <w:tcPr>
            <w:tcW w:w="1431" w:type="dxa"/>
            <w:vMerge w:val="continue"/>
            <w:shd w:val="clear" w:color="auto" w:fill="auto"/>
            <w:vAlign w:val="center"/>
          </w:tcPr>
          <w:p w14:paraId="619BB459">
            <w:pPr>
              <w:widowControl/>
              <w:jc w:val="left"/>
              <w:rPr>
                <w:rFonts w:ascii="Times New Roman" w:hAnsi="Times New Roman"/>
                <w:b/>
                <w:bCs/>
                <w:kern w:val="0"/>
                <w:sz w:val="18"/>
                <w:szCs w:val="18"/>
              </w:rPr>
            </w:pPr>
          </w:p>
        </w:tc>
        <w:tc>
          <w:tcPr>
            <w:tcW w:w="621" w:type="dxa"/>
            <w:shd w:val="clear" w:color="auto" w:fill="auto"/>
            <w:noWrap/>
            <w:vAlign w:val="center"/>
          </w:tcPr>
          <w:p w14:paraId="2D62A974">
            <w:pPr>
              <w:widowControl/>
              <w:jc w:val="center"/>
              <w:rPr>
                <w:rFonts w:ascii="Times New Roman" w:hAnsi="Times New Roman"/>
                <w:b/>
                <w:bCs/>
                <w:kern w:val="0"/>
                <w:sz w:val="18"/>
                <w:szCs w:val="18"/>
              </w:rPr>
            </w:pPr>
            <w:r>
              <w:rPr>
                <w:rFonts w:hint="eastAsia" w:ascii="Times New Roman" w:hAnsi="Times New Roman"/>
                <w:b/>
                <w:bCs/>
                <w:kern w:val="0"/>
                <w:sz w:val="18"/>
                <w:szCs w:val="18"/>
              </w:rPr>
              <w:t>干绝</w:t>
            </w:r>
          </w:p>
          <w:p w14:paraId="3D0B88EE">
            <w:pPr>
              <w:widowControl/>
              <w:jc w:val="center"/>
              <w:rPr>
                <w:rFonts w:ascii="Times New Roman" w:hAnsi="Times New Roman"/>
                <w:b/>
                <w:bCs/>
                <w:kern w:val="0"/>
                <w:sz w:val="18"/>
                <w:szCs w:val="18"/>
              </w:rPr>
            </w:pPr>
            <w:r>
              <w:rPr>
                <w:rFonts w:ascii="Times New Roman" w:hAnsi="Times New Roman"/>
                <w:b/>
                <w:bCs/>
                <w:kern w:val="0"/>
                <w:sz w:val="18"/>
                <w:szCs w:val="18"/>
              </w:rPr>
              <w:t>占比</w:t>
            </w:r>
          </w:p>
        </w:tc>
        <w:tc>
          <w:tcPr>
            <w:tcW w:w="891" w:type="dxa"/>
            <w:shd w:val="clear" w:color="auto" w:fill="auto"/>
            <w:noWrap/>
            <w:vAlign w:val="center"/>
          </w:tcPr>
          <w:p w14:paraId="7E90D85E">
            <w:pPr>
              <w:widowControl/>
              <w:jc w:val="center"/>
              <w:rPr>
                <w:rFonts w:ascii="Times New Roman" w:hAnsi="Times New Roman"/>
                <w:b/>
                <w:bCs/>
                <w:kern w:val="0"/>
                <w:sz w:val="18"/>
                <w:szCs w:val="18"/>
              </w:rPr>
            </w:pPr>
            <w:r>
              <w:rPr>
                <w:rFonts w:ascii="Times New Roman" w:hAnsi="Times New Roman"/>
                <w:b/>
                <w:bCs/>
                <w:kern w:val="0"/>
                <w:sz w:val="18"/>
                <w:szCs w:val="18"/>
              </w:rPr>
              <w:t>数量</w:t>
            </w:r>
          </w:p>
        </w:tc>
        <w:tc>
          <w:tcPr>
            <w:tcW w:w="621" w:type="dxa"/>
            <w:shd w:val="clear" w:color="auto" w:fill="auto"/>
            <w:noWrap/>
            <w:vAlign w:val="center"/>
          </w:tcPr>
          <w:p w14:paraId="15C97A0C">
            <w:pPr>
              <w:widowControl/>
              <w:jc w:val="center"/>
              <w:rPr>
                <w:rFonts w:ascii="Times New Roman" w:hAnsi="Times New Roman"/>
                <w:b/>
                <w:bCs/>
                <w:kern w:val="0"/>
                <w:sz w:val="18"/>
                <w:szCs w:val="18"/>
              </w:rPr>
            </w:pPr>
            <w:r>
              <w:rPr>
                <w:rFonts w:hint="eastAsia" w:ascii="Times New Roman" w:hAnsi="Times New Roman"/>
                <w:b/>
                <w:bCs/>
                <w:kern w:val="0"/>
                <w:sz w:val="18"/>
                <w:szCs w:val="18"/>
              </w:rPr>
              <w:t>干绝</w:t>
            </w:r>
          </w:p>
          <w:p w14:paraId="6D5BE769">
            <w:pPr>
              <w:widowControl/>
              <w:jc w:val="center"/>
              <w:rPr>
                <w:rFonts w:ascii="Times New Roman" w:hAnsi="Times New Roman"/>
                <w:b/>
                <w:bCs/>
                <w:kern w:val="0"/>
                <w:sz w:val="18"/>
                <w:szCs w:val="18"/>
              </w:rPr>
            </w:pPr>
            <w:r>
              <w:rPr>
                <w:rFonts w:ascii="Times New Roman" w:hAnsi="Times New Roman"/>
                <w:b/>
                <w:bCs/>
                <w:kern w:val="0"/>
                <w:sz w:val="18"/>
                <w:szCs w:val="18"/>
              </w:rPr>
              <w:t>占比</w:t>
            </w:r>
          </w:p>
        </w:tc>
        <w:tc>
          <w:tcPr>
            <w:tcW w:w="891" w:type="dxa"/>
            <w:shd w:val="clear" w:color="auto" w:fill="auto"/>
            <w:noWrap/>
            <w:vAlign w:val="center"/>
          </w:tcPr>
          <w:p w14:paraId="79C9AB2A">
            <w:pPr>
              <w:widowControl/>
              <w:jc w:val="center"/>
              <w:rPr>
                <w:rFonts w:ascii="Times New Roman" w:hAnsi="Times New Roman"/>
                <w:b/>
                <w:bCs/>
                <w:kern w:val="0"/>
                <w:sz w:val="18"/>
                <w:szCs w:val="18"/>
              </w:rPr>
            </w:pPr>
            <w:r>
              <w:rPr>
                <w:rFonts w:ascii="Times New Roman" w:hAnsi="Times New Roman"/>
                <w:b/>
                <w:bCs/>
                <w:kern w:val="0"/>
                <w:sz w:val="18"/>
                <w:szCs w:val="18"/>
              </w:rPr>
              <w:t>数量</w:t>
            </w:r>
          </w:p>
        </w:tc>
        <w:tc>
          <w:tcPr>
            <w:tcW w:w="578" w:type="dxa"/>
            <w:shd w:val="clear" w:color="auto" w:fill="auto"/>
            <w:noWrap/>
            <w:vAlign w:val="center"/>
          </w:tcPr>
          <w:p w14:paraId="48B86C8F">
            <w:pPr>
              <w:widowControl/>
              <w:jc w:val="center"/>
              <w:rPr>
                <w:rFonts w:ascii="Times New Roman" w:hAnsi="Times New Roman"/>
                <w:b/>
                <w:bCs/>
                <w:kern w:val="0"/>
                <w:sz w:val="18"/>
                <w:szCs w:val="18"/>
              </w:rPr>
            </w:pPr>
            <w:r>
              <w:rPr>
                <w:rFonts w:hint="eastAsia" w:ascii="Times New Roman" w:hAnsi="Times New Roman"/>
                <w:b/>
                <w:bCs/>
                <w:kern w:val="0"/>
                <w:sz w:val="18"/>
                <w:szCs w:val="18"/>
              </w:rPr>
              <w:t>干绝</w:t>
            </w:r>
          </w:p>
          <w:p w14:paraId="66297EFE">
            <w:pPr>
              <w:widowControl/>
              <w:jc w:val="center"/>
              <w:rPr>
                <w:rFonts w:ascii="Times New Roman" w:hAnsi="Times New Roman"/>
                <w:b/>
                <w:bCs/>
                <w:kern w:val="0"/>
                <w:sz w:val="18"/>
                <w:szCs w:val="18"/>
              </w:rPr>
            </w:pPr>
            <w:r>
              <w:rPr>
                <w:rFonts w:ascii="Times New Roman" w:hAnsi="Times New Roman"/>
                <w:b/>
                <w:bCs/>
                <w:kern w:val="0"/>
                <w:sz w:val="18"/>
                <w:szCs w:val="18"/>
              </w:rPr>
              <w:t>占比</w:t>
            </w:r>
          </w:p>
        </w:tc>
        <w:tc>
          <w:tcPr>
            <w:tcW w:w="801" w:type="dxa"/>
            <w:shd w:val="clear" w:color="auto" w:fill="auto"/>
            <w:noWrap/>
            <w:vAlign w:val="center"/>
          </w:tcPr>
          <w:p w14:paraId="60F9B654">
            <w:pPr>
              <w:widowControl/>
              <w:jc w:val="center"/>
              <w:rPr>
                <w:rFonts w:ascii="Times New Roman" w:hAnsi="Times New Roman"/>
                <w:b/>
                <w:bCs/>
                <w:kern w:val="0"/>
                <w:sz w:val="18"/>
                <w:szCs w:val="18"/>
              </w:rPr>
            </w:pPr>
            <w:r>
              <w:rPr>
                <w:rFonts w:ascii="Times New Roman" w:hAnsi="Times New Roman"/>
                <w:b/>
                <w:bCs/>
                <w:kern w:val="0"/>
                <w:sz w:val="18"/>
                <w:szCs w:val="18"/>
              </w:rPr>
              <w:t>数量</w:t>
            </w:r>
          </w:p>
        </w:tc>
        <w:tc>
          <w:tcPr>
            <w:tcW w:w="621" w:type="dxa"/>
            <w:shd w:val="clear" w:color="auto" w:fill="auto"/>
            <w:noWrap/>
            <w:vAlign w:val="center"/>
          </w:tcPr>
          <w:p w14:paraId="66D4AF79">
            <w:pPr>
              <w:widowControl/>
              <w:jc w:val="center"/>
              <w:rPr>
                <w:rFonts w:ascii="Times New Roman" w:hAnsi="Times New Roman"/>
                <w:b/>
                <w:bCs/>
                <w:kern w:val="0"/>
                <w:sz w:val="18"/>
                <w:szCs w:val="18"/>
              </w:rPr>
            </w:pPr>
            <w:r>
              <w:rPr>
                <w:rFonts w:hint="eastAsia" w:ascii="Times New Roman" w:hAnsi="Times New Roman"/>
                <w:b/>
                <w:bCs/>
                <w:kern w:val="0"/>
                <w:sz w:val="18"/>
                <w:szCs w:val="18"/>
              </w:rPr>
              <w:t>干绝</w:t>
            </w:r>
          </w:p>
          <w:p w14:paraId="085C9192">
            <w:pPr>
              <w:widowControl/>
              <w:jc w:val="center"/>
              <w:rPr>
                <w:rFonts w:ascii="Times New Roman" w:hAnsi="Times New Roman"/>
                <w:b/>
                <w:bCs/>
                <w:kern w:val="0"/>
                <w:sz w:val="18"/>
                <w:szCs w:val="18"/>
              </w:rPr>
            </w:pPr>
            <w:r>
              <w:rPr>
                <w:rFonts w:ascii="Times New Roman" w:hAnsi="Times New Roman"/>
                <w:b/>
                <w:bCs/>
                <w:kern w:val="0"/>
                <w:sz w:val="18"/>
                <w:szCs w:val="18"/>
              </w:rPr>
              <w:t>占比</w:t>
            </w:r>
          </w:p>
        </w:tc>
        <w:tc>
          <w:tcPr>
            <w:tcW w:w="891" w:type="dxa"/>
            <w:shd w:val="clear" w:color="auto" w:fill="auto"/>
            <w:noWrap/>
            <w:vAlign w:val="center"/>
          </w:tcPr>
          <w:p w14:paraId="624954FF">
            <w:pPr>
              <w:widowControl/>
              <w:jc w:val="center"/>
              <w:rPr>
                <w:rFonts w:ascii="Times New Roman" w:hAnsi="Times New Roman"/>
                <w:b/>
                <w:bCs/>
                <w:kern w:val="0"/>
                <w:sz w:val="18"/>
                <w:szCs w:val="18"/>
              </w:rPr>
            </w:pPr>
            <w:r>
              <w:rPr>
                <w:rFonts w:ascii="Times New Roman" w:hAnsi="Times New Roman"/>
                <w:b/>
                <w:bCs/>
                <w:kern w:val="0"/>
                <w:sz w:val="18"/>
                <w:szCs w:val="18"/>
              </w:rPr>
              <w:t>数量</w:t>
            </w:r>
          </w:p>
        </w:tc>
        <w:tc>
          <w:tcPr>
            <w:tcW w:w="711" w:type="dxa"/>
            <w:shd w:val="clear" w:color="auto" w:fill="auto"/>
            <w:noWrap/>
            <w:vAlign w:val="center"/>
          </w:tcPr>
          <w:p w14:paraId="324E9500">
            <w:pPr>
              <w:widowControl/>
              <w:jc w:val="center"/>
              <w:rPr>
                <w:rFonts w:ascii="Times New Roman" w:hAnsi="Times New Roman"/>
                <w:b/>
                <w:bCs/>
                <w:kern w:val="0"/>
                <w:sz w:val="18"/>
                <w:szCs w:val="18"/>
              </w:rPr>
            </w:pPr>
            <w:r>
              <w:rPr>
                <w:rFonts w:hint="eastAsia" w:ascii="Times New Roman" w:hAnsi="Times New Roman"/>
                <w:b/>
                <w:bCs/>
                <w:kern w:val="0"/>
                <w:sz w:val="18"/>
                <w:szCs w:val="18"/>
              </w:rPr>
              <w:t>干绝</w:t>
            </w:r>
          </w:p>
          <w:p w14:paraId="0BB6FD17">
            <w:pPr>
              <w:widowControl/>
              <w:jc w:val="center"/>
              <w:rPr>
                <w:rFonts w:ascii="Times New Roman" w:hAnsi="Times New Roman"/>
                <w:b/>
                <w:bCs/>
                <w:kern w:val="0"/>
                <w:sz w:val="18"/>
                <w:szCs w:val="18"/>
              </w:rPr>
            </w:pPr>
            <w:r>
              <w:rPr>
                <w:rFonts w:ascii="Times New Roman" w:hAnsi="Times New Roman"/>
                <w:b/>
                <w:bCs/>
                <w:kern w:val="0"/>
                <w:sz w:val="18"/>
                <w:szCs w:val="18"/>
              </w:rPr>
              <w:t>占比</w:t>
            </w:r>
          </w:p>
        </w:tc>
        <w:tc>
          <w:tcPr>
            <w:tcW w:w="621" w:type="dxa"/>
            <w:shd w:val="clear" w:color="auto" w:fill="auto"/>
            <w:noWrap/>
            <w:vAlign w:val="center"/>
          </w:tcPr>
          <w:p w14:paraId="061817E7">
            <w:pPr>
              <w:widowControl/>
              <w:jc w:val="center"/>
              <w:rPr>
                <w:rFonts w:ascii="Times New Roman" w:hAnsi="Times New Roman"/>
                <w:b/>
                <w:bCs/>
                <w:kern w:val="0"/>
                <w:sz w:val="18"/>
                <w:szCs w:val="18"/>
              </w:rPr>
            </w:pPr>
            <w:r>
              <w:rPr>
                <w:rFonts w:ascii="Times New Roman" w:hAnsi="Times New Roman"/>
                <w:b/>
                <w:bCs/>
                <w:kern w:val="0"/>
                <w:sz w:val="18"/>
                <w:szCs w:val="18"/>
              </w:rPr>
              <w:t>数量</w:t>
            </w:r>
          </w:p>
        </w:tc>
        <w:tc>
          <w:tcPr>
            <w:tcW w:w="578" w:type="dxa"/>
            <w:shd w:val="clear" w:color="auto" w:fill="auto"/>
            <w:noWrap/>
            <w:vAlign w:val="center"/>
          </w:tcPr>
          <w:p w14:paraId="6559A366">
            <w:pPr>
              <w:widowControl/>
              <w:jc w:val="center"/>
              <w:rPr>
                <w:rFonts w:ascii="Times New Roman" w:hAnsi="Times New Roman"/>
                <w:b/>
                <w:bCs/>
                <w:kern w:val="0"/>
                <w:sz w:val="18"/>
                <w:szCs w:val="18"/>
              </w:rPr>
            </w:pPr>
            <w:r>
              <w:rPr>
                <w:rFonts w:hint="eastAsia" w:ascii="Times New Roman" w:hAnsi="Times New Roman"/>
                <w:b/>
                <w:bCs/>
                <w:kern w:val="0"/>
                <w:sz w:val="18"/>
                <w:szCs w:val="18"/>
              </w:rPr>
              <w:t>干绝</w:t>
            </w:r>
          </w:p>
          <w:p w14:paraId="3ADE7FE2">
            <w:pPr>
              <w:widowControl/>
              <w:jc w:val="center"/>
              <w:rPr>
                <w:rFonts w:ascii="Times New Roman" w:hAnsi="Times New Roman"/>
                <w:b/>
                <w:bCs/>
                <w:kern w:val="0"/>
                <w:sz w:val="18"/>
                <w:szCs w:val="18"/>
              </w:rPr>
            </w:pPr>
            <w:r>
              <w:rPr>
                <w:rFonts w:ascii="Times New Roman" w:hAnsi="Times New Roman"/>
                <w:b/>
                <w:bCs/>
                <w:kern w:val="0"/>
                <w:sz w:val="18"/>
                <w:szCs w:val="18"/>
              </w:rPr>
              <w:t>占比</w:t>
            </w:r>
          </w:p>
        </w:tc>
        <w:tc>
          <w:tcPr>
            <w:tcW w:w="694" w:type="dxa"/>
            <w:shd w:val="clear" w:color="auto" w:fill="auto"/>
            <w:noWrap/>
            <w:vAlign w:val="center"/>
          </w:tcPr>
          <w:p w14:paraId="04DCD64D">
            <w:pPr>
              <w:widowControl/>
              <w:jc w:val="center"/>
              <w:rPr>
                <w:rFonts w:ascii="Times New Roman" w:hAnsi="Times New Roman"/>
                <w:b/>
                <w:bCs/>
                <w:kern w:val="0"/>
                <w:sz w:val="18"/>
                <w:szCs w:val="18"/>
              </w:rPr>
            </w:pPr>
            <w:r>
              <w:rPr>
                <w:rFonts w:ascii="Times New Roman" w:hAnsi="Times New Roman"/>
                <w:b/>
                <w:bCs/>
                <w:kern w:val="0"/>
                <w:sz w:val="18"/>
                <w:szCs w:val="18"/>
              </w:rPr>
              <w:t>数量</w:t>
            </w:r>
          </w:p>
        </w:tc>
        <w:tc>
          <w:tcPr>
            <w:tcW w:w="567" w:type="dxa"/>
            <w:shd w:val="clear" w:color="auto" w:fill="auto"/>
            <w:noWrap/>
            <w:vAlign w:val="center"/>
          </w:tcPr>
          <w:p w14:paraId="2715E93E">
            <w:pPr>
              <w:widowControl/>
              <w:jc w:val="center"/>
              <w:rPr>
                <w:rFonts w:ascii="Times New Roman" w:hAnsi="Times New Roman"/>
                <w:b/>
                <w:bCs/>
                <w:kern w:val="0"/>
                <w:sz w:val="18"/>
                <w:szCs w:val="18"/>
              </w:rPr>
            </w:pPr>
            <w:r>
              <w:rPr>
                <w:rFonts w:hint="eastAsia" w:ascii="Times New Roman" w:hAnsi="Times New Roman"/>
                <w:b/>
                <w:bCs/>
                <w:kern w:val="0"/>
                <w:sz w:val="18"/>
                <w:szCs w:val="18"/>
              </w:rPr>
              <w:t>干绝</w:t>
            </w:r>
          </w:p>
          <w:p w14:paraId="0EA1BBE1">
            <w:pPr>
              <w:widowControl/>
              <w:jc w:val="center"/>
              <w:rPr>
                <w:rFonts w:ascii="Times New Roman" w:hAnsi="Times New Roman"/>
                <w:b/>
                <w:bCs/>
                <w:kern w:val="0"/>
                <w:sz w:val="18"/>
                <w:szCs w:val="18"/>
              </w:rPr>
            </w:pPr>
            <w:r>
              <w:rPr>
                <w:rFonts w:ascii="Times New Roman" w:hAnsi="Times New Roman"/>
                <w:b/>
                <w:bCs/>
                <w:kern w:val="0"/>
                <w:sz w:val="18"/>
                <w:szCs w:val="18"/>
              </w:rPr>
              <w:t>占比</w:t>
            </w:r>
          </w:p>
        </w:tc>
        <w:tc>
          <w:tcPr>
            <w:tcW w:w="739" w:type="dxa"/>
            <w:shd w:val="clear" w:color="auto" w:fill="auto"/>
            <w:noWrap/>
            <w:vAlign w:val="center"/>
          </w:tcPr>
          <w:p w14:paraId="6DB15DBC">
            <w:pPr>
              <w:widowControl/>
              <w:jc w:val="center"/>
              <w:rPr>
                <w:rFonts w:ascii="Times New Roman" w:hAnsi="Times New Roman"/>
                <w:b/>
                <w:bCs/>
                <w:kern w:val="0"/>
                <w:sz w:val="18"/>
                <w:szCs w:val="18"/>
              </w:rPr>
            </w:pPr>
            <w:r>
              <w:rPr>
                <w:rFonts w:ascii="Times New Roman" w:hAnsi="Times New Roman"/>
                <w:b/>
                <w:bCs/>
                <w:kern w:val="0"/>
                <w:sz w:val="18"/>
                <w:szCs w:val="18"/>
              </w:rPr>
              <w:t>数量</w:t>
            </w:r>
          </w:p>
        </w:tc>
        <w:tc>
          <w:tcPr>
            <w:tcW w:w="801" w:type="dxa"/>
            <w:shd w:val="clear" w:color="auto" w:fill="auto"/>
            <w:noWrap/>
            <w:vAlign w:val="center"/>
          </w:tcPr>
          <w:p w14:paraId="4865DB93">
            <w:pPr>
              <w:widowControl/>
              <w:jc w:val="center"/>
              <w:rPr>
                <w:rFonts w:ascii="Times New Roman" w:hAnsi="Times New Roman"/>
                <w:b/>
                <w:bCs/>
                <w:kern w:val="0"/>
                <w:sz w:val="18"/>
                <w:szCs w:val="18"/>
              </w:rPr>
            </w:pPr>
            <w:r>
              <w:rPr>
                <w:rFonts w:hint="eastAsia" w:ascii="Times New Roman" w:hAnsi="Times New Roman"/>
                <w:b/>
                <w:bCs/>
                <w:kern w:val="0"/>
                <w:sz w:val="18"/>
                <w:szCs w:val="18"/>
              </w:rPr>
              <w:t>干绝</w:t>
            </w:r>
          </w:p>
          <w:p w14:paraId="06A56DFF">
            <w:pPr>
              <w:widowControl/>
              <w:jc w:val="center"/>
              <w:rPr>
                <w:rFonts w:ascii="Times New Roman" w:hAnsi="Times New Roman"/>
                <w:b/>
                <w:bCs/>
                <w:kern w:val="0"/>
                <w:sz w:val="18"/>
                <w:szCs w:val="18"/>
              </w:rPr>
            </w:pPr>
            <w:r>
              <w:rPr>
                <w:rFonts w:ascii="Times New Roman" w:hAnsi="Times New Roman"/>
                <w:b/>
                <w:bCs/>
                <w:kern w:val="0"/>
                <w:sz w:val="18"/>
                <w:szCs w:val="18"/>
              </w:rPr>
              <w:t>占比</w:t>
            </w:r>
          </w:p>
        </w:tc>
        <w:tc>
          <w:tcPr>
            <w:tcW w:w="981" w:type="dxa"/>
            <w:shd w:val="clear" w:color="auto" w:fill="auto"/>
            <w:noWrap/>
            <w:vAlign w:val="center"/>
          </w:tcPr>
          <w:p w14:paraId="13799014">
            <w:pPr>
              <w:widowControl/>
              <w:jc w:val="center"/>
              <w:rPr>
                <w:rFonts w:ascii="Times New Roman" w:hAnsi="Times New Roman"/>
                <w:b/>
                <w:bCs/>
                <w:kern w:val="0"/>
                <w:sz w:val="18"/>
                <w:szCs w:val="18"/>
              </w:rPr>
            </w:pPr>
            <w:r>
              <w:rPr>
                <w:rFonts w:ascii="Times New Roman" w:hAnsi="Times New Roman"/>
                <w:b/>
                <w:bCs/>
                <w:kern w:val="0"/>
                <w:sz w:val="18"/>
                <w:szCs w:val="18"/>
              </w:rPr>
              <w:t>数量</w:t>
            </w:r>
          </w:p>
        </w:tc>
        <w:tc>
          <w:tcPr>
            <w:tcW w:w="621" w:type="dxa"/>
            <w:shd w:val="clear" w:color="auto" w:fill="auto"/>
            <w:noWrap/>
            <w:vAlign w:val="center"/>
          </w:tcPr>
          <w:p w14:paraId="39990AD6">
            <w:pPr>
              <w:widowControl/>
              <w:jc w:val="center"/>
              <w:rPr>
                <w:rFonts w:ascii="Times New Roman" w:hAnsi="Times New Roman"/>
                <w:b/>
                <w:bCs/>
                <w:kern w:val="0"/>
                <w:sz w:val="18"/>
                <w:szCs w:val="18"/>
              </w:rPr>
            </w:pPr>
            <w:r>
              <w:rPr>
                <w:rFonts w:ascii="Times New Roman" w:hAnsi="Times New Roman"/>
                <w:b/>
                <w:bCs/>
                <w:kern w:val="0"/>
                <w:sz w:val="18"/>
                <w:szCs w:val="18"/>
              </w:rPr>
              <w:t>占比</w:t>
            </w:r>
          </w:p>
        </w:tc>
        <w:tc>
          <w:tcPr>
            <w:tcW w:w="891" w:type="dxa"/>
            <w:shd w:val="clear" w:color="auto" w:fill="auto"/>
            <w:noWrap/>
            <w:vAlign w:val="center"/>
          </w:tcPr>
          <w:p w14:paraId="3F4176BA">
            <w:pPr>
              <w:widowControl/>
              <w:jc w:val="center"/>
              <w:rPr>
                <w:rFonts w:ascii="Times New Roman" w:hAnsi="Times New Roman"/>
                <w:b/>
                <w:bCs/>
                <w:kern w:val="0"/>
                <w:sz w:val="18"/>
                <w:szCs w:val="18"/>
              </w:rPr>
            </w:pPr>
            <w:r>
              <w:rPr>
                <w:rFonts w:ascii="Times New Roman" w:hAnsi="Times New Roman"/>
                <w:b/>
                <w:bCs/>
                <w:kern w:val="0"/>
                <w:sz w:val="18"/>
                <w:szCs w:val="18"/>
              </w:rPr>
              <w:t>数量</w:t>
            </w:r>
          </w:p>
        </w:tc>
      </w:tr>
      <w:tr w14:paraId="215A9F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578" w:type="dxa"/>
            <w:shd w:val="clear" w:color="auto" w:fill="auto"/>
            <w:noWrap/>
            <w:vAlign w:val="center"/>
          </w:tcPr>
          <w:p w14:paraId="0F1A8F37">
            <w:pPr>
              <w:widowControl/>
              <w:jc w:val="center"/>
              <w:rPr>
                <w:rFonts w:ascii="Times New Roman" w:hAnsi="Times New Roman"/>
                <w:b/>
                <w:bCs/>
                <w:kern w:val="0"/>
                <w:sz w:val="18"/>
                <w:szCs w:val="18"/>
              </w:rPr>
            </w:pPr>
            <w:r>
              <w:rPr>
                <w:rFonts w:ascii="Times New Roman" w:hAnsi="Times New Roman"/>
                <w:b/>
                <w:bCs/>
                <w:kern w:val="0"/>
                <w:sz w:val="18"/>
                <w:szCs w:val="18"/>
              </w:rPr>
              <w:t>一</w:t>
            </w:r>
          </w:p>
        </w:tc>
        <w:tc>
          <w:tcPr>
            <w:tcW w:w="939" w:type="dxa"/>
            <w:shd w:val="clear" w:color="auto" w:fill="auto"/>
            <w:noWrap/>
            <w:vAlign w:val="center"/>
          </w:tcPr>
          <w:p w14:paraId="08F4D9AC">
            <w:pPr>
              <w:widowControl/>
              <w:jc w:val="center"/>
              <w:rPr>
                <w:rFonts w:ascii="Times New Roman" w:hAnsi="Times New Roman"/>
                <w:b/>
                <w:bCs/>
                <w:kern w:val="0"/>
                <w:sz w:val="18"/>
                <w:szCs w:val="18"/>
              </w:rPr>
            </w:pPr>
            <w:r>
              <w:rPr>
                <w:rFonts w:ascii="Times New Roman" w:hAnsi="Times New Roman"/>
                <w:b/>
                <w:bCs/>
                <w:kern w:val="0"/>
                <w:sz w:val="18"/>
                <w:szCs w:val="18"/>
              </w:rPr>
              <w:t>加入项</w:t>
            </w:r>
          </w:p>
        </w:tc>
        <w:tc>
          <w:tcPr>
            <w:tcW w:w="1431" w:type="dxa"/>
            <w:shd w:val="clear" w:color="auto" w:fill="auto"/>
            <w:noWrap/>
            <w:vAlign w:val="center"/>
          </w:tcPr>
          <w:p w14:paraId="344F40CD">
            <w:pPr>
              <w:widowControl/>
              <w:jc w:val="center"/>
              <w:rPr>
                <w:rFonts w:ascii="Times New Roman" w:hAnsi="Times New Roman"/>
                <w:b/>
                <w:bCs/>
                <w:kern w:val="0"/>
                <w:sz w:val="18"/>
                <w:szCs w:val="18"/>
                <w:u w:val="single"/>
              </w:rPr>
            </w:pPr>
          </w:p>
        </w:tc>
        <w:tc>
          <w:tcPr>
            <w:tcW w:w="621" w:type="dxa"/>
            <w:shd w:val="clear" w:color="auto" w:fill="auto"/>
            <w:noWrap/>
            <w:vAlign w:val="center"/>
          </w:tcPr>
          <w:p w14:paraId="5F75BD7B">
            <w:pPr>
              <w:widowControl/>
              <w:jc w:val="center"/>
              <w:rPr>
                <w:rFonts w:ascii="Times New Roman" w:hAnsi="Times New Roman"/>
                <w:b/>
                <w:bCs/>
                <w:kern w:val="0"/>
                <w:sz w:val="18"/>
                <w:szCs w:val="18"/>
              </w:rPr>
            </w:pPr>
          </w:p>
        </w:tc>
        <w:tc>
          <w:tcPr>
            <w:tcW w:w="891" w:type="dxa"/>
            <w:shd w:val="clear" w:color="auto" w:fill="auto"/>
            <w:noWrap/>
            <w:vAlign w:val="center"/>
          </w:tcPr>
          <w:p w14:paraId="42F2FCB0">
            <w:pPr>
              <w:widowControl/>
              <w:jc w:val="center"/>
              <w:rPr>
                <w:rFonts w:ascii="Times New Roman" w:hAnsi="Times New Roman"/>
                <w:b/>
                <w:bCs/>
                <w:kern w:val="0"/>
                <w:sz w:val="18"/>
                <w:szCs w:val="18"/>
              </w:rPr>
            </w:pPr>
          </w:p>
        </w:tc>
        <w:tc>
          <w:tcPr>
            <w:tcW w:w="621" w:type="dxa"/>
            <w:shd w:val="clear" w:color="auto" w:fill="auto"/>
            <w:noWrap/>
            <w:vAlign w:val="center"/>
          </w:tcPr>
          <w:p w14:paraId="7ED4C014">
            <w:pPr>
              <w:widowControl/>
              <w:jc w:val="center"/>
              <w:rPr>
                <w:rFonts w:ascii="Times New Roman" w:hAnsi="Times New Roman"/>
                <w:b/>
                <w:bCs/>
                <w:kern w:val="0"/>
                <w:sz w:val="18"/>
                <w:szCs w:val="18"/>
              </w:rPr>
            </w:pPr>
            <w:r>
              <w:rPr>
                <w:rFonts w:ascii="Times New Roman" w:hAnsi="Times New Roman"/>
                <w:b/>
                <w:bCs/>
                <w:kern w:val="0"/>
                <w:sz w:val="18"/>
                <w:szCs w:val="18"/>
              </w:rPr>
              <w:t>　</w:t>
            </w:r>
          </w:p>
        </w:tc>
        <w:tc>
          <w:tcPr>
            <w:tcW w:w="891" w:type="dxa"/>
            <w:shd w:val="clear" w:color="auto" w:fill="auto"/>
            <w:noWrap/>
            <w:vAlign w:val="center"/>
          </w:tcPr>
          <w:p w14:paraId="42D9BECB">
            <w:pPr>
              <w:widowControl/>
              <w:jc w:val="center"/>
              <w:rPr>
                <w:rFonts w:ascii="Times New Roman" w:hAnsi="Times New Roman"/>
                <w:b/>
                <w:bCs/>
                <w:kern w:val="0"/>
                <w:sz w:val="18"/>
                <w:szCs w:val="18"/>
              </w:rPr>
            </w:pPr>
            <w:r>
              <w:rPr>
                <w:rFonts w:ascii="Times New Roman" w:hAnsi="Times New Roman"/>
                <w:b/>
                <w:bCs/>
                <w:kern w:val="0"/>
                <w:sz w:val="18"/>
                <w:szCs w:val="18"/>
              </w:rPr>
              <w:t>　</w:t>
            </w:r>
          </w:p>
        </w:tc>
        <w:tc>
          <w:tcPr>
            <w:tcW w:w="578" w:type="dxa"/>
            <w:shd w:val="clear" w:color="auto" w:fill="auto"/>
            <w:noWrap/>
            <w:vAlign w:val="center"/>
          </w:tcPr>
          <w:p w14:paraId="36795195">
            <w:pPr>
              <w:widowControl/>
              <w:jc w:val="center"/>
              <w:rPr>
                <w:rFonts w:ascii="Times New Roman" w:hAnsi="Times New Roman"/>
                <w:b/>
                <w:bCs/>
                <w:kern w:val="0"/>
                <w:sz w:val="18"/>
                <w:szCs w:val="18"/>
              </w:rPr>
            </w:pPr>
            <w:r>
              <w:rPr>
                <w:rFonts w:ascii="Times New Roman" w:hAnsi="Times New Roman"/>
                <w:b/>
                <w:bCs/>
                <w:kern w:val="0"/>
                <w:sz w:val="18"/>
                <w:szCs w:val="18"/>
              </w:rPr>
              <w:t>　</w:t>
            </w:r>
          </w:p>
        </w:tc>
        <w:tc>
          <w:tcPr>
            <w:tcW w:w="801" w:type="dxa"/>
            <w:shd w:val="clear" w:color="auto" w:fill="auto"/>
            <w:noWrap/>
            <w:vAlign w:val="center"/>
          </w:tcPr>
          <w:p w14:paraId="673B80D1">
            <w:pPr>
              <w:widowControl/>
              <w:jc w:val="center"/>
              <w:rPr>
                <w:rFonts w:ascii="Times New Roman" w:hAnsi="Times New Roman"/>
                <w:b/>
                <w:bCs/>
                <w:kern w:val="0"/>
                <w:sz w:val="18"/>
                <w:szCs w:val="18"/>
              </w:rPr>
            </w:pPr>
            <w:r>
              <w:rPr>
                <w:rFonts w:ascii="Times New Roman" w:hAnsi="Times New Roman"/>
                <w:b/>
                <w:bCs/>
                <w:kern w:val="0"/>
                <w:sz w:val="18"/>
                <w:szCs w:val="18"/>
              </w:rPr>
              <w:t>　</w:t>
            </w:r>
          </w:p>
        </w:tc>
        <w:tc>
          <w:tcPr>
            <w:tcW w:w="621" w:type="dxa"/>
            <w:shd w:val="clear" w:color="auto" w:fill="auto"/>
            <w:noWrap/>
            <w:vAlign w:val="center"/>
          </w:tcPr>
          <w:p w14:paraId="70C9BAE6">
            <w:pPr>
              <w:widowControl/>
              <w:jc w:val="center"/>
              <w:rPr>
                <w:rFonts w:ascii="Times New Roman" w:hAnsi="Times New Roman"/>
                <w:b/>
                <w:bCs/>
                <w:kern w:val="0"/>
                <w:sz w:val="18"/>
                <w:szCs w:val="18"/>
              </w:rPr>
            </w:pPr>
            <w:r>
              <w:rPr>
                <w:rFonts w:ascii="Times New Roman" w:hAnsi="Times New Roman"/>
                <w:b/>
                <w:bCs/>
                <w:kern w:val="0"/>
                <w:sz w:val="18"/>
                <w:szCs w:val="18"/>
              </w:rPr>
              <w:t>　</w:t>
            </w:r>
          </w:p>
        </w:tc>
        <w:tc>
          <w:tcPr>
            <w:tcW w:w="891" w:type="dxa"/>
            <w:shd w:val="clear" w:color="auto" w:fill="auto"/>
            <w:noWrap/>
            <w:vAlign w:val="center"/>
          </w:tcPr>
          <w:p w14:paraId="0613F5C1">
            <w:pPr>
              <w:widowControl/>
              <w:jc w:val="center"/>
              <w:rPr>
                <w:rFonts w:ascii="Times New Roman" w:hAnsi="Times New Roman"/>
                <w:b/>
                <w:bCs/>
                <w:kern w:val="0"/>
                <w:sz w:val="18"/>
                <w:szCs w:val="18"/>
              </w:rPr>
            </w:pPr>
            <w:r>
              <w:rPr>
                <w:rFonts w:ascii="Times New Roman" w:hAnsi="Times New Roman"/>
                <w:b/>
                <w:bCs/>
                <w:kern w:val="0"/>
                <w:sz w:val="18"/>
                <w:szCs w:val="18"/>
              </w:rPr>
              <w:t>　</w:t>
            </w:r>
          </w:p>
        </w:tc>
        <w:tc>
          <w:tcPr>
            <w:tcW w:w="711" w:type="dxa"/>
            <w:shd w:val="clear" w:color="auto" w:fill="auto"/>
            <w:noWrap/>
            <w:vAlign w:val="center"/>
          </w:tcPr>
          <w:p w14:paraId="46C7ABAE">
            <w:pPr>
              <w:widowControl/>
              <w:jc w:val="center"/>
              <w:rPr>
                <w:rFonts w:ascii="Times New Roman" w:hAnsi="Times New Roman"/>
                <w:b/>
                <w:bCs/>
                <w:kern w:val="0"/>
                <w:sz w:val="18"/>
                <w:szCs w:val="18"/>
              </w:rPr>
            </w:pPr>
            <w:r>
              <w:rPr>
                <w:rFonts w:ascii="Times New Roman" w:hAnsi="Times New Roman"/>
                <w:b/>
                <w:bCs/>
                <w:kern w:val="0"/>
                <w:sz w:val="18"/>
                <w:szCs w:val="18"/>
              </w:rPr>
              <w:t>　</w:t>
            </w:r>
          </w:p>
        </w:tc>
        <w:tc>
          <w:tcPr>
            <w:tcW w:w="621" w:type="dxa"/>
            <w:shd w:val="clear" w:color="auto" w:fill="auto"/>
            <w:noWrap/>
            <w:vAlign w:val="center"/>
          </w:tcPr>
          <w:p w14:paraId="7511FF62">
            <w:pPr>
              <w:widowControl/>
              <w:jc w:val="center"/>
              <w:rPr>
                <w:rFonts w:ascii="Times New Roman" w:hAnsi="Times New Roman"/>
                <w:b/>
                <w:bCs/>
                <w:kern w:val="0"/>
                <w:sz w:val="18"/>
                <w:szCs w:val="18"/>
              </w:rPr>
            </w:pPr>
            <w:r>
              <w:rPr>
                <w:rFonts w:ascii="Times New Roman" w:hAnsi="Times New Roman"/>
                <w:b/>
                <w:bCs/>
                <w:kern w:val="0"/>
                <w:sz w:val="18"/>
                <w:szCs w:val="18"/>
              </w:rPr>
              <w:t>　</w:t>
            </w:r>
          </w:p>
        </w:tc>
        <w:tc>
          <w:tcPr>
            <w:tcW w:w="578" w:type="dxa"/>
            <w:shd w:val="clear" w:color="auto" w:fill="auto"/>
            <w:noWrap/>
            <w:vAlign w:val="center"/>
          </w:tcPr>
          <w:p w14:paraId="4E7F5640">
            <w:pPr>
              <w:widowControl/>
              <w:jc w:val="center"/>
              <w:rPr>
                <w:rFonts w:ascii="Times New Roman" w:hAnsi="Times New Roman"/>
                <w:b/>
                <w:bCs/>
                <w:kern w:val="0"/>
                <w:sz w:val="18"/>
                <w:szCs w:val="18"/>
              </w:rPr>
            </w:pPr>
            <w:r>
              <w:rPr>
                <w:rFonts w:ascii="Times New Roman" w:hAnsi="Times New Roman"/>
                <w:b/>
                <w:bCs/>
                <w:kern w:val="0"/>
                <w:sz w:val="18"/>
                <w:szCs w:val="18"/>
              </w:rPr>
              <w:t>　</w:t>
            </w:r>
          </w:p>
        </w:tc>
        <w:tc>
          <w:tcPr>
            <w:tcW w:w="694" w:type="dxa"/>
            <w:shd w:val="clear" w:color="auto" w:fill="auto"/>
            <w:noWrap/>
            <w:vAlign w:val="center"/>
          </w:tcPr>
          <w:p w14:paraId="061CB4A3">
            <w:pPr>
              <w:widowControl/>
              <w:jc w:val="center"/>
              <w:rPr>
                <w:rFonts w:ascii="Times New Roman" w:hAnsi="Times New Roman"/>
                <w:b/>
                <w:bCs/>
                <w:kern w:val="0"/>
                <w:sz w:val="18"/>
                <w:szCs w:val="18"/>
              </w:rPr>
            </w:pPr>
            <w:r>
              <w:rPr>
                <w:rFonts w:ascii="Times New Roman" w:hAnsi="Times New Roman"/>
                <w:b/>
                <w:bCs/>
                <w:kern w:val="0"/>
                <w:sz w:val="18"/>
                <w:szCs w:val="18"/>
              </w:rPr>
              <w:t>　</w:t>
            </w:r>
          </w:p>
        </w:tc>
        <w:tc>
          <w:tcPr>
            <w:tcW w:w="567" w:type="dxa"/>
            <w:shd w:val="clear" w:color="auto" w:fill="auto"/>
            <w:noWrap/>
            <w:vAlign w:val="center"/>
          </w:tcPr>
          <w:p w14:paraId="164A8D76">
            <w:pPr>
              <w:widowControl/>
              <w:jc w:val="center"/>
              <w:rPr>
                <w:rFonts w:ascii="Times New Roman" w:hAnsi="Times New Roman"/>
                <w:b/>
                <w:bCs/>
                <w:kern w:val="0"/>
                <w:sz w:val="18"/>
                <w:szCs w:val="18"/>
              </w:rPr>
            </w:pPr>
            <w:r>
              <w:rPr>
                <w:rFonts w:ascii="Times New Roman" w:hAnsi="Times New Roman"/>
                <w:b/>
                <w:bCs/>
                <w:kern w:val="0"/>
                <w:sz w:val="18"/>
                <w:szCs w:val="18"/>
              </w:rPr>
              <w:t>　</w:t>
            </w:r>
          </w:p>
        </w:tc>
        <w:tc>
          <w:tcPr>
            <w:tcW w:w="739" w:type="dxa"/>
            <w:shd w:val="clear" w:color="auto" w:fill="auto"/>
            <w:noWrap/>
            <w:vAlign w:val="center"/>
          </w:tcPr>
          <w:p w14:paraId="45219CD7">
            <w:pPr>
              <w:widowControl/>
              <w:jc w:val="center"/>
              <w:rPr>
                <w:rFonts w:ascii="Times New Roman" w:hAnsi="Times New Roman"/>
                <w:b/>
                <w:bCs/>
                <w:kern w:val="0"/>
                <w:sz w:val="18"/>
                <w:szCs w:val="18"/>
              </w:rPr>
            </w:pPr>
            <w:r>
              <w:rPr>
                <w:rFonts w:ascii="Times New Roman" w:hAnsi="Times New Roman"/>
                <w:b/>
                <w:bCs/>
                <w:kern w:val="0"/>
                <w:sz w:val="18"/>
                <w:szCs w:val="18"/>
              </w:rPr>
              <w:t>　</w:t>
            </w:r>
          </w:p>
        </w:tc>
        <w:tc>
          <w:tcPr>
            <w:tcW w:w="801" w:type="dxa"/>
            <w:shd w:val="clear" w:color="auto" w:fill="auto"/>
            <w:noWrap/>
            <w:vAlign w:val="center"/>
          </w:tcPr>
          <w:p w14:paraId="358ACE0E">
            <w:pPr>
              <w:widowControl/>
              <w:jc w:val="center"/>
              <w:rPr>
                <w:rFonts w:ascii="Times New Roman" w:hAnsi="Times New Roman"/>
                <w:b/>
                <w:bCs/>
                <w:kern w:val="0"/>
                <w:sz w:val="18"/>
                <w:szCs w:val="18"/>
              </w:rPr>
            </w:pPr>
            <w:r>
              <w:rPr>
                <w:rFonts w:ascii="Times New Roman" w:hAnsi="Times New Roman"/>
                <w:b/>
                <w:bCs/>
                <w:kern w:val="0"/>
                <w:sz w:val="18"/>
                <w:szCs w:val="18"/>
              </w:rPr>
              <w:t>　</w:t>
            </w:r>
          </w:p>
        </w:tc>
        <w:tc>
          <w:tcPr>
            <w:tcW w:w="981" w:type="dxa"/>
            <w:shd w:val="clear" w:color="auto" w:fill="auto"/>
            <w:noWrap/>
            <w:vAlign w:val="center"/>
          </w:tcPr>
          <w:p w14:paraId="290FC2C8">
            <w:pPr>
              <w:widowControl/>
              <w:jc w:val="center"/>
              <w:rPr>
                <w:rFonts w:ascii="Times New Roman" w:hAnsi="Times New Roman"/>
                <w:b/>
                <w:bCs/>
                <w:kern w:val="0"/>
                <w:sz w:val="18"/>
                <w:szCs w:val="18"/>
              </w:rPr>
            </w:pPr>
            <w:r>
              <w:rPr>
                <w:rFonts w:ascii="Times New Roman" w:hAnsi="Times New Roman"/>
                <w:b/>
                <w:bCs/>
                <w:kern w:val="0"/>
                <w:sz w:val="18"/>
                <w:szCs w:val="18"/>
              </w:rPr>
              <w:t>　</w:t>
            </w:r>
          </w:p>
        </w:tc>
        <w:tc>
          <w:tcPr>
            <w:tcW w:w="621" w:type="dxa"/>
            <w:shd w:val="clear" w:color="auto" w:fill="auto"/>
            <w:noWrap/>
            <w:vAlign w:val="center"/>
          </w:tcPr>
          <w:p w14:paraId="5CB0485F">
            <w:pPr>
              <w:widowControl/>
              <w:jc w:val="center"/>
              <w:rPr>
                <w:rFonts w:ascii="Times New Roman" w:hAnsi="Times New Roman"/>
                <w:b/>
                <w:bCs/>
                <w:kern w:val="0"/>
                <w:sz w:val="18"/>
                <w:szCs w:val="18"/>
              </w:rPr>
            </w:pPr>
            <w:r>
              <w:rPr>
                <w:rFonts w:ascii="Times New Roman" w:hAnsi="Times New Roman"/>
                <w:b/>
                <w:bCs/>
                <w:kern w:val="0"/>
                <w:sz w:val="18"/>
                <w:szCs w:val="18"/>
              </w:rPr>
              <w:t>　</w:t>
            </w:r>
          </w:p>
        </w:tc>
        <w:tc>
          <w:tcPr>
            <w:tcW w:w="891" w:type="dxa"/>
            <w:shd w:val="clear" w:color="auto" w:fill="auto"/>
            <w:noWrap/>
            <w:vAlign w:val="center"/>
          </w:tcPr>
          <w:p w14:paraId="71D55CEB">
            <w:pPr>
              <w:widowControl/>
              <w:jc w:val="center"/>
              <w:rPr>
                <w:rFonts w:ascii="Times New Roman" w:hAnsi="Times New Roman"/>
                <w:b/>
                <w:bCs/>
                <w:kern w:val="0"/>
                <w:sz w:val="18"/>
                <w:szCs w:val="18"/>
              </w:rPr>
            </w:pPr>
            <w:r>
              <w:rPr>
                <w:rFonts w:ascii="Times New Roman" w:hAnsi="Times New Roman"/>
                <w:b/>
                <w:bCs/>
                <w:kern w:val="0"/>
                <w:sz w:val="18"/>
                <w:szCs w:val="18"/>
              </w:rPr>
              <w:t>　</w:t>
            </w:r>
          </w:p>
        </w:tc>
      </w:tr>
      <w:tr w14:paraId="37CAC9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578" w:type="dxa"/>
            <w:shd w:val="clear" w:color="auto" w:fill="auto"/>
            <w:noWrap/>
            <w:vAlign w:val="center"/>
          </w:tcPr>
          <w:p w14:paraId="2CA9B714">
            <w:pPr>
              <w:widowControl/>
              <w:jc w:val="center"/>
              <w:rPr>
                <w:rFonts w:ascii="Times New Roman" w:hAnsi="Times New Roman"/>
                <w:kern w:val="0"/>
                <w:sz w:val="18"/>
                <w:szCs w:val="18"/>
              </w:rPr>
            </w:pPr>
            <w:r>
              <w:rPr>
                <w:rFonts w:ascii="Times New Roman" w:hAnsi="Times New Roman"/>
                <w:kern w:val="0"/>
                <w:sz w:val="18"/>
                <w:szCs w:val="18"/>
              </w:rPr>
              <w:t>1</w:t>
            </w:r>
          </w:p>
        </w:tc>
        <w:tc>
          <w:tcPr>
            <w:tcW w:w="939" w:type="dxa"/>
            <w:shd w:val="clear" w:color="auto" w:fill="auto"/>
            <w:noWrap/>
            <w:vAlign w:val="center"/>
          </w:tcPr>
          <w:p w14:paraId="05E155D5">
            <w:pPr>
              <w:widowControl/>
              <w:jc w:val="center"/>
              <w:rPr>
                <w:rFonts w:ascii="Times New Roman" w:hAnsi="Times New Roman"/>
                <w:kern w:val="0"/>
                <w:sz w:val="18"/>
                <w:szCs w:val="18"/>
              </w:rPr>
            </w:pPr>
            <w:r>
              <w:rPr>
                <w:rFonts w:ascii="Times New Roman" w:hAnsi="Times New Roman"/>
                <w:kern w:val="0"/>
                <w:sz w:val="18"/>
                <w:szCs w:val="18"/>
              </w:rPr>
              <w:t>毛矿</w:t>
            </w:r>
          </w:p>
        </w:tc>
        <w:tc>
          <w:tcPr>
            <w:tcW w:w="1431" w:type="dxa"/>
            <w:shd w:val="clear" w:color="auto" w:fill="auto"/>
            <w:noWrap/>
            <w:vAlign w:val="center"/>
          </w:tcPr>
          <w:p w14:paraId="30A67E82">
            <w:pPr>
              <w:widowControl/>
              <w:jc w:val="center"/>
              <w:rPr>
                <w:rFonts w:ascii="Times New Roman" w:hAnsi="Times New Roman"/>
                <w:kern w:val="0"/>
                <w:sz w:val="18"/>
                <w:szCs w:val="18"/>
                <w:u w:val="single"/>
              </w:rPr>
            </w:pPr>
            <w:r>
              <w:rPr>
                <w:rFonts w:hint="eastAsia" w:ascii="Times New Roman" w:hAnsi="Times New Roman"/>
                <w:kern w:val="0"/>
                <w:sz w:val="18"/>
                <w:szCs w:val="18"/>
                <w:u w:val="single"/>
              </w:rPr>
              <w:t>24</w:t>
            </w:r>
            <w:r>
              <w:rPr>
                <w:rFonts w:ascii="Times New Roman" w:hAnsi="Times New Roman"/>
                <w:kern w:val="0"/>
                <w:sz w:val="18"/>
                <w:szCs w:val="18"/>
                <w:u w:val="single"/>
              </w:rPr>
              <w:t>0000</w:t>
            </w:r>
          </w:p>
          <w:p w14:paraId="7E50088E">
            <w:pPr>
              <w:widowControl/>
              <w:jc w:val="center"/>
              <w:rPr>
                <w:rFonts w:ascii="Times New Roman" w:hAnsi="Times New Roman"/>
                <w:kern w:val="0"/>
                <w:sz w:val="18"/>
                <w:szCs w:val="18"/>
                <w:u w:val="single"/>
              </w:rPr>
            </w:pPr>
            <w:r>
              <w:rPr>
                <w:rFonts w:hint="eastAsia" w:ascii="Times New Roman" w:hAnsi="Times New Roman"/>
                <w:kern w:val="0"/>
                <w:sz w:val="18"/>
                <w:szCs w:val="18"/>
                <w:u w:val="single"/>
              </w:rPr>
              <w:t>干绝：230856</w:t>
            </w:r>
          </w:p>
        </w:tc>
        <w:tc>
          <w:tcPr>
            <w:tcW w:w="621" w:type="dxa"/>
            <w:shd w:val="clear" w:color="auto" w:fill="auto"/>
            <w:noWrap/>
            <w:vAlign w:val="center"/>
          </w:tcPr>
          <w:p w14:paraId="5F652CCA">
            <w:pPr>
              <w:widowControl/>
              <w:jc w:val="center"/>
              <w:rPr>
                <w:rFonts w:ascii="Times New Roman" w:hAnsi="Times New Roman"/>
                <w:kern w:val="0"/>
                <w:sz w:val="18"/>
                <w:szCs w:val="18"/>
              </w:rPr>
            </w:pPr>
            <w:r>
              <w:rPr>
                <w:rFonts w:ascii="Times New Roman" w:hAnsi="Times New Roman" w:eastAsia="等线"/>
                <w:sz w:val="18"/>
                <w:szCs w:val="18"/>
                <w:u w:val="single"/>
              </w:rPr>
              <w:t>20.98</w:t>
            </w:r>
          </w:p>
        </w:tc>
        <w:tc>
          <w:tcPr>
            <w:tcW w:w="891" w:type="dxa"/>
            <w:shd w:val="clear" w:color="auto" w:fill="auto"/>
            <w:noWrap/>
            <w:vAlign w:val="center"/>
          </w:tcPr>
          <w:p w14:paraId="47742F4D">
            <w:pPr>
              <w:widowControl/>
              <w:jc w:val="center"/>
              <w:rPr>
                <w:rFonts w:ascii="Times New Roman" w:hAnsi="Times New Roman"/>
                <w:kern w:val="0"/>
                <w:sz w:val="18"/>
                <w:szCs w:val="18"/>
              </w:rPr>
            </w:pPr>
            <w:r>
              <w:rPr>
                <w:rFonts w:ascii="Times New Roman" w:hAnsi="Times New Roman" w:eastAsia="等线"/>
                <w:sz w:val="18"/>
                <w:szCs w:val="18"/>
                <w:u w:val="single"/>
              </w:rPr>
              <w:t>48433.59</w:t>
            </w:r>
          </w:p>
        </w:tc>
        <w:tc>
          <w:tcPr>
            <w:tcW w:w="621" w:type="dxa"/>
            <w:shd w:val="clear" w:color="auto" w:fill="auto"/>
            <w:noWrap/>
            <w:vAlign w:val="center"/>
          </w:tcPr>
          <w:p w14:paraId="4F4788B8">
            <w:pPr>
              <w:widowControl/>
              <w:jc w:val="center"/>
              <w:rPr>
                <w:rFonts w:ascii="Times New Roman" w:hAnsi="Times New Roman"/>
                <w:kern w:val="0"/>
                <w:sz w:val="18"/>
                <w:szCs w:val="18"/>
              </w:rPr>
            </w:pPr>
            <w:r>
              <w:rPr>
                <w:rFonts w:ascii="Times New Roman" w:hAnsi="Times New Roman" w:eastAsia="等线"/>
                <w:sz w:val="18"/>
                <w:szCs w:val="18"/>
                <w:u w:val="single"/>
              </w:rPr>
              <w:t>26.14</w:t>
            </w:r>
          </w:p>
        </w:tc>
        <w:tc>
          <w:tcPr>
            <w:tcW w:w="891" w:type="dxa"/>
            <w:shd w:val="clear" w:color="auto" w:fill="auto"/>
            <w:noWrap/>
            <w:vAlign w:val="center"/>
          </w:tcPr>
          <w:p w14:paraId="0654DC54">
            <w:pPr>
              <w:widowControl/>
              <w:jc w:val="center"/>
              <w:rPr>
                <w:rFonts w:ascii="Times New Roman" w:hAnsi="Times New Roman"/>
                <w:kern w:val="0"/>
                <w:sz w:val="18"/>
                <w:szCs w:val="18"/>
              </w:rPr>
            </w:pPr>
            <w:r>
              <w:rPr>
                <w:rFonts w:ascii="Times New Roman" w:hAnsi="Times New Roman" w:eastAsia="等线"/>
                <w:sz w:val="18"/>
                <w:szCs w:val="18"/>
                <w:u w:val="single"/>
              </w:rPr>
              <w:t>60345.76</w:t>
            </w:r>
          </w:p>
        </w:tc>
        <w:tc>
          <w:tcPr>
            <w:tcW w:w="578" w:type="dxa"/>
            <w:shd w:val="clear" w:color="auto" w:fill="auto"/>
            <w:noWrap/>
            <w:vAlign w:val="center"/>
          </w:tcPr>
          <w:p w14:paraId="0095420F">
            <w:pPr>
              <w:widowControl/>
              <w:jc w:val="center"/>
              <w:rPr>
                <w:rFonts w:ascii="Times New Roman" w:hAnsi="Times New Roman"/>
                <w:kern w:val="0"/>
                <w:sz w:val="18"/>
                <w:szCs w:val="18"/>
              </w:rPr>
            </w:pPr>
            <w:r>
              <w:rPr>
                <w:rFonts w:ascii="Times New Roman" w:hAnsi="Times New Roman" w:eastAsia="等线"/>
                <w:sz w:val="18"/>
                <w:szCs w:val="18"/>
                <w:u w:val="single"/>
              </w:rPr>
              <w:t>1.12</w:t>
            </w:r>
          </w:p>
        </w:tc>
        <w:tc>
          <w:tcPr>
            <w:tcW w:w="801" w:type="dxa"/>
            <w:shd w:val="clear" w:color="auto" w:fill="auto"/>
            <w:noWrap/>
            <w:vAlign w:val="center"/>
          </w:tcPr>
          <w:p w14:paraId="7913EE1F">
            <w:pPr>
              <w:widowControl/>
              <w:jc w:val="center"/>
              <w:rPr>
                <w:rFonts w:ascii="Times New Roman" w:hAnsi="Times New Roman"/>
                <w:kern w:val="0"/>
                <w:sz w:val="18"/>
                <w:szCs w:val="18"/>
              </w:rPr>
            </w:pPr>
            <w:r>
              <w:rPr>
                <w:rFonts w:ascii="Times New Roman" w:hAnsi="Times New Roman" w:eastAsia="等线"/>
                <w:sz w:val="18"/>
                <w:szCs w:val="18"/>
                <w:u w:val="single"/>
              </w:rPr>
              <w:t>2585.59</w:t>
            </w:r>
          </w:p>
        </w:tc>
        <w:tc>
          <w:tcPr>
            <w:tcW w:w="621" w:type="dxa"/>
            <w:shd w:val="clear" w:color="auto" w:fill="auto"/>
            <w:noWrap/>
            <w:vAlign w:val="center"/>
          </w:tcPr>
          <w:p w14:paraId="0CA30FB4">
            <w:pPr>
              <w:widowControl/>
              <w:jc w:val="center"/>
              <w:rPr>
                <w:rFonts w:ascii="Times New Roman" w:hAnsi="Times New Roman"/>
                <w:kern w:val="0"/>
                <w:sz w:val="18"/>
                <w:szCs w:val="18"/>
              </w:rPr>
            </w:pPr>
            <w:r>
              <w:rPr>
                <w:rFonts w:ascii="Times New Roman" w:hAnsi="Times New Roman" w:eastAsia="等线"/>
                <w:sz w:val="18"/>
                <w:szCs w:val="18"/>
                <w:u w:val="single"/>
              </w:rPr>
              <w:t>9.78</w:t>
            </w:r>
          </w:p>
        </w:tc>
        <w:tc>
          <w:tcPr>
            <w:tcW w:w="891" w:type="dxa"/>
            <w:shd w:val="clear" w:color="auto" w:fill="auto"/>
            <w:noWrap/>
            <w:vAlign w:val="center"/>
          </w:tcPr>
          <w:p w14:paraId="669E35BE">
            <w:pPr>
              <w:widowControl/>
              <w:jc w:val="center"/>
              <w:rPr>
                <w:rFonts w:ascii="Times New Roman" w:hAnsi="Times New Roman"/>
                <w:kern w:val="0"/>
                <w:sz w:val="18"/>
                <w:szCs w:val="18"/>
              </w:rPr>
            </w:pPr>
            <w:r>
              <w:rPr>
                <w:rFonts w:ascii="Times New Roman" w:hAnsi="Times New Roman" w:eastAsia="等线"/>
                <w:sz w:val="18"/>
                <w:szCs w:val="18"/>
                <w:u w:val="single"/>
              </w:rPr>
              <w:t>22577.72</w:t>
            </w:r>
          </w:p>
        </w:tc>
        <w:tc>
          <w:tcPr>
            <w:tcW w:w="711" w:type="dxa"/>
            <w:shd w:val="clear" w:color="auto" w:fill="auto"/>
            <w:noWrap/>
            <w:vAlign w:val="center"/>
          </w:tcPr>
          <w:p w14:paraId="5E80B38E">
            <w:pPr>
              <w:widowControl/>
              <w:jc w:val="center"/>
              <w:rPr>
                <w:rFonts w:ascii="Times New Roman" w:hAnsi="Times New Roman"/>
                <w:kern w:val="0"/>
                <w:sz w:val="18"/>
                <w:szCs w:val="18"/>
              </w:rPr>
            </w:pPr>
            <w:r>
              <w:rPr>
                <w:rFonts w:ascii="Times New Roman" w:hAnsi="Times New Roman" w:eastAsia="等线"/>
                <w:sz w:val="18"/>
                <w:szCs w:val="18"/>
                <w:u w:val="single"/>
              </w:rPr>
              <w:t>0.0050</w:t>
            </w:r>
          </w:p>
        </w:tc>
        <w:tc>
          <w:tcPr>
            <w:tcW w:w="621" w:type="dxa"/>
            <w:shd w:val="clear" w:color="auto" w:fill="auto"/>
            <w:noWrap/>
            <w:vAlign w:val="center"/>
          </w:tcPr>
          <w:p w14:paraId="0A754041">
            <w:pPr>
              <w:widowControl/>
              <w:jc w:val="center"/>
              <w:rPr>
                <w:rFonts w:ascii="Times New Roman" w:hAnsi="Times New Roman"/>
                <w:kern w:val="0"/>
                <w:sz w:val="18"/>
                <w:szCs w:val="18"/>
              </w:rPr>
            </w:pPr>
            <w:r>
              <w:rPr>
                <w:rFonts w:ascii="Times New Roman" w:hAnsi="Times New Roman" w:eastAsia="等线"/>
                <w:sz w:val="18"/>
                <w:szCs w:val="18"/>
                <w:u w:val="single"/>
              </w:rPr>
              <w:t>11.54</w:t>
            </w:r>
          </w:p>
        </w:tc>
        <w:tc>
          <w:tcPr>
            <w:tcW w:w="578" w:type="dxa"/>
            <w:shd w:val="clear" w:color="auto" w:fill="auto"/>
            <w:noWrap/>
            <w:vAlign w:val="center"/>
          </w:tcPr>
          <w:p w14:paraId="4F2EC625">
            <w:pPr>
              <w:widowControl/>
              <w:jc w:val="center"/>
              <w:rPr>
                <w:rFonts w:ascii="Times New Roman" w:hAnsi="Times New Roman"/>
                <w:kern w:val="0"/>
                <w:sz w:val="18"/>
                <w:szCs w:val="18"/>
              </w:rPr>
            </w:pPr>
            <w:r>
              <w:rPr>
                <w:rFonts w:ascii="Times New Roman" w:hAnsi="Times New Roman" w:eastAsia="等线"/>
                <w:sz w:val="18"/>
                <w:szCs w:val="18"/>
                <w:u w:val="single"/>
              </w:rPr>
              <w:t>0.42</w:t>
            </w:r>
          </w:p>
        </w:tc>
        <w:tc>
          <w:tcPr>
            <w:tcW w:w="694" w:type="dxa"/>
            <w:shd w:val="clear" w:color="auto" w:fill="auto"/>
            <w:noWrap/>
            <w:vAlign w:val="center"/>
          </w:tcPr>
          <w:p w14:paraId="50744CB0">
            <w:pPr>
              <w:widowControl/>
              <w:jc w:val="center"/>
              <w:rPr>
                <w:rFonts w:ascii="Times New Roman" w:hAnsi="Times New Roman"/>
                <w:kern w:val="0"/>
                <w:sz w:val="18"/>
                <w:szCs w:val="18"/>
              </w:rPr>
            </w:pPr>
            <w:r>
              <w:rPr>
                <w:rFonts w:ascii="Times New Roman" w:hAnsi="Times New Roman" w:eastAsia="等线"/>
                <w:sz w:val="18"/>
                <w:szCs w:val="18"/>
                <w:u w:val="single"/>
              </w:rPr>
              <w:t>969.6</w:t>
            </w:r>
          </w:p>
        </w:tc>
        <w:tc>
          <w:tcPr>
            <w:tcW w:w="567" w:type="dxa"/>
            <w:shd w:val="clear" w:color="auto" w:fill="auto"/>
            <w:noWrap/>
            <w:vAlign w:val="center"/>
          </w:tcPr>
          <w:p w14:paraId="18AECE36">
            <w:pPr>
              <w:widowControl/>
              <w:jc w:val="center"/>
              <w:rPr>
                <w:rFonts w:ascii="Times New Roman" w:hAnsi="Times New Roman"/>
                <w:kern w:val="0"/>
                <w:sz w:val="18"/>
                <w:szCs w:val="18"/>
              </w:rPr>
            </w:pPr>
            <w:r>
              <w:rPr>
                <w:rFonts w:ascii="Times New Roman" w:hAnsi="Times New Roman" w:eastAsia="等线"/>
                <w:sz w:val="18"/>
                <w:szCs w:val="18"/>
                <w:u w:val="single"/>
              </w:rPr>
              <w:t>0.07</w:t>
            </w:r>
          </w:p>
        </w:tc>
        <w:tc>
          <w:tcPr>
            <w:tcW w:w="739" w:type="dxa"/>
            <w:shd w:val="clear" w:color="auto" w:fill="auto"/>
            <w:noWrap/>
            <w:vAlign w:val="center"/>
          </w:tcPr>
          <w:p w14:paraId="0529B208">
            <w:pPr>
              <w:widowControl/>
              <w:jc w:val="center"/>
              <w:rPr>
                <w:rFonts w:ascii="Times New Roman" w:hAnsi="Times New Roman"/>
                <w:kern w:val="0"/>
                <w:sz w:val="18"/>
                <w:szCs w:val="18"/>
              </w:rPr>
            </w:pPr>
            <w:r>
              <w:rPr>
                <w:rFonts w:ascii="Times New Roman" w:hAnsi="Times New Roman" w:eastAsia="等线"/>
                <w:sz w:val="18"/>
                <w:szCs w:val="18"/>
                <w:u w:val="single"/>
              </w:rPr>
              <w:t>161.6</w:t>
            </w:r>
          </w:p>
        </w:tc>
        <w:tc>
          <w:tcPr>
            <w:tcW w:w="801" w:type="dxa"/>
            <w:shd w:val="clear" w:color="auto" w:fill="auto"/>
            <w:noWrap/>
            <w:vAlign w:val="center"/>
          </w:tcPr>
          <w:p w14:paraId="2B9F8A2A">
            <w:pPr>
              <w:widowControl/>
              <w:jc w:val="center"/>
              <w:rPr>
                <w:rFonts w:ascii="Times New Roman" w:hAnsi="Times New Roman"/>
                <w:kern w:val="0"/>
                <w:sz w:val="18"/>
                <w:szCs w:val="18"/>
              </w:rPr>
            </w:pPr>
            <w:r>
              <w:rPr>
                <w:rFonts w:ascii="Times New Roman" w:hAnsi="Times New Roman" w:eastAsia="等线"/>
                <w:sz w:val="18"/>
                <w:szCs w:val="18"/>
                <w:u w:val="single"/>
              </w:rPr>
              <w:t>41.4850</w:t>
            </w:r>
          </w:p>
        </w:tc>
        <w:tc>
          <w:tcPr>
            <w:tcW w:w="981" w:type="dxa"/>
            <w:shd w:val="clear" w:color="auto" w:fill="auto"/>
            <w:noWrap/>
            <w:vAlign w:val="center"/>
          </w:tcPr>
          <w:p w14:paraId="22843C02">
            <w:pPr>
              <w:widowControl/>
              <w:jc w:val="center"/>
              <w:rPr>
                <w:rFonts w:ascii="Times New Roman" w:hAnsi="Times New Roman"/>
                <w:kern w:val="0"/>
                <w:sz w:val="18"/>
                <w:szCs w:val="18"/>
              </w:rPr>
            </w:pPr>
            <w:r>
              <w:rPr>
                <w:rFonts w:ascii="Times New Roman" w:hAnsi="Times New Roman" w:eastAsia="等线"/>
                <w:sz w:val="18"/>
                <w:szCs w:val="18"/>
                <w:u w:val="single"/>
              </w:rPr>
              <w:t>95770.6</w:t>
            </w:r>
          </w:p>
        </w:tc>
        <w:tc>
          <w:tcPr>
            <w:tcW w:w="621" w:type="dxa"/>
            <w:shd w:val="clear" w:color="auto" w:fill="auto"/>
            <w:noWrap/>
            <w:vAlign w:val="center"/>
          </w:tcPr>
          <w:p w14:paraId="45FEEEE5">
            <w:pPr>
              <w:widowControl/>
              <w:jc w:val="center"/>
              <w:rPr>
                <w:rFonts w:ascii="Times New Roman" w:hAnsi="Times New Roman"/>
                <w:kern w:val="0"/>
                <w:sz w:val="18"/>
                <w:szCs w:val="18"/>
              </w:rPr>
            </w:pPr>
            <w:r>
              <w:rPr>
                <w:rFonts w:ascii="Times New Roman" w:hAnsi="Times New Roman" w:eastAsia="等线"/>
                <w:sz w:val="18"/>
                <w:szCs w:val="18"/>
                <w:u w:val="single"/>
              </w:rPr>
              <w:t>3.8</w:t>
            </w:r>
          </w:p>
        </w:tc>
        <w:tc>
          <w:tcPr>
            <w:tcW w:w="891" w:type="dxa"/>
            <w:shd w:val="clear" w:color="auto" w:fill="auto"/>
            <w:noWrap/>
            <w:vAlign w:val="center"/>
          </w:tcPr>
          <w:p w14:paraId="601F9CAF">
            <w:pPr>
              <w:widowControl/>
              <w:jc w:val="center"/>
              <w:rPr>
                <w:rFonts w:ascii="Times New Roman" w:hAnsi="Times New Roman"/>
                <w:kern w:val="0"/>
                <w:sz w:val="18"/>
                <w:szCs w:val="18"/>
              </w:rPr>
            </w:pPr>
            <w:r>
              <w:rPr>
                <w:rFonts w:ascii="Times New Roman" w:hAnsi="Times New Roman" w:eastAsia="等线"/>
                <w:sz w:val="18"/>
                <w:szCs w:val="18"/>
                <w:u w:val="single"/>
              </w:rPr>
              <w:t>9144</w:t>
            </w:r>
          </w:p>
        </w:tc>
      </w:tr>
      <w:tr w14:paraId="31F5F2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578" w:type="dxa"/>
            <w:shd w:val="clear" w:color="auto" w:fill="auto"/>
            <w:noWrap/>
            <w:vAlign w:val="center"/>
          </w:tcPr>
          <w:p w14:paraId="7990E67E">
            <w:pPr>
              <w:widowControl/>
              <w:jc w:val="center"/>
              <w:rPr>
                <w:rFonts w:ascii="Times New Roman" w:hAnsi="Times New Roman"/>
                <w:kern w:val="0"/>
                <w:sz w:val="18"/>
                <w:szCs w:val="18"/>
              </w:rPr>
            </w:pPr>
          </w:p>
        </w:tc>
        <w:tc>
          <w:tcPr>
            <w:tcW w:w="939" w:type="dxa"/>
            <w:shd w:val="clear" w:color="auto" w:fill="auto"/>
            <w:noWrap/>
            <w:vAlign w:val="center"/>
          </w:tcPr>
          <w:p w14:paraId="46E774FF">
            <w:pPr>
              <w:widowControl/>
              <w:jc w:val="center"/>
              <w:rPr>
                <w:rFonts w:ascii="Times New Roman" w:hAnsi="Times New Roman"/>
                <w:kern w:val="0"/>
                <w:sz w:val="18"/>
                <w:szCs w:val="18"/>
              </w:rPr>
            </w:pPr>
            <w:r>
              <w:rPr>
                <w:rFonts w:ascii="Times New Roman" w:hAnsi="Times New Roman"/>
                <w:kern w:val="0"/>
                <w:sz w:val="18"/>
                <w:szCs w:val="18"/>
              </w:rPr>
              <w:t>合计</w:t>
            </w:r>
          </w:p>
        </w:tc>
        <w:tc>
          <w:tcPr>
            <w:tcW w:w="1431" w:type="dxa"/>
            <w:shd w:val="clear" w:color="auto" w:fill="auto"/>
            <w:noWrap/>
            <w:vAlign w:val="center"/>
          </w:tcPr>
          <w:p w14:paraId="388032FA">
            <w:pPr>
              <w:widowControl/>
              <w:jc w:val="center"/>
              <w:rPr>
                <w:rFonts w:ascii="Times New Roman" w:hAnsi="Times New Roman"/>
                <w:kern w:val="0"/>
                <w:sz w:val="18"/>
                <w:szCs w:val="18"/>
                <w:u w:val="single"/>
              </w:rPr>
            </w:pPr>
            <w:r>
              <w:rPr>
                <w:rFonts w:hint="eastAsia" w:ascii="Times New Roman" w:hAnsi="Times New Roman"/>
                <w:kern w:val="0"/>
                <w:sz w:val="18"/>
                <w:szCs w:val="18"/>
                <w:u w:val="single"/>
              </w:rPr>
              <w:t>24</w:t>
            </w:r>
            <w:r>
              <w:rPr>
                <w:rFonts w:ascii="Times New Roman" w:hAnsi="Times New Roman"/>
                <w:kern w:val="0"/>
                <w:sz w:val="18"/>
                <w:szCs w:val="18"/>
                <w:u w:val="single"/>
              </w:rPr>
              <w:t>0000</w:t>
            </w:r>
          </w:p>
        </w:tc>
        <w:tc>
          <w:tcPr>
            <w:tcW w:w="621" w:type="dxa"/>
            <w:shd w:val="clear" w:color="auto" w:fill="auto"/>
            <w:noWrap/>
            <w:vAlign w:val="center"/>
          </w:tcPr>
          <w:p w14:paraId="29308095">
            <w:pPr>
              <w:widowControl/>
              <w:jc w:val="center"/>
              <w:rPr>
                <w:rFonts w:ascii="Times New Roman" w:hAnsi="Times New Roman"/>
                <w:kern w:val="0"/>
                <w:sz w:val="18"/>
                <w:szCs w:val="18"/>
              </w:rPr>
            </w:pPr>
          </w:p>
        </w:tc>
        <w:tc>
          <w:tcPr>
            <w:tcW w:w="891" w:type="dxa"/>
            <w:shd w:val="clear" w:color="auto" w:fill="auto"/>
            <w:noWrap/>
            <w:vAlign w:val="center"/>
          </w:tcPr>
          <w:p w14:paraId="44C18CDA">
            <w:pPr>
              <w:widowControl/>
              <w:jc w:val="center"/>
              <w:rPr>
                <w:rFonts w:ascii="Times New Roman" w:hAnsi="Times New Roman"/>
                <w:kern w:val="0"/>
                <w:sz w:val="18"/>
                <w:szCs w:val="18"/>
              </w:rPr>
            </w:pPr>
            <w:r>
              <w:rPr>
                <w:rFonts w:ascii="Times New Roman" w:hAnsi="Times New Roman" w:eastAsia="等线"/>
                <w:sz w:val="18"/>
                <w:szCs w:val="18"/>
                <w:u w:val="single"/>
              </w:rPr>
              <w:t>48433.59</w:t>
            </w:r>
          </w:p>
        </w:tc>
        <w:tc>
          <w:tcPr>
            <w:tcW w:w="621" w:type="dxa"/>
            <w:shd w:val="clear" w:color="auto" w:fill="auto"/>
            <w:noWrap/>
            <w:vAlign w:val="center"/>
          </w:tcPr>
          <w:p w14:paraId="50454DED">
            <w:pPr>
              <w:widowControl/>
              <w:jc w:val="center"/>
              <w:rPr>
                <w:rFonts w:ascii="Times New Roman" w:hAnsi="Times New Roman"/>
                <w:kern w:val="0"/>
                <w:sz w:val="18"/>
                <w:szCs w:val="18"/>
              </w:rPr>
            </w:pPr>
          </w:p>
        </w:tc>
        <w:tc>
          <w:tcPr>
            <w:tcW w:w="891" w:type="dxa"/>
            <w:shd w:val="clear" w:color="auto" w:fill="auto"/>
            <w:noWrap/>
            <w:vAlign w:val="center"/>
          </w:tcPr>
          <w:p w14:paraId="0DCB68EC">
            <w:pPr>
              <w:widowControl/>
              <w:jc w:val="center"/>
              <w:rPr>
                <w:rFonts w:ascii="Times New Roman" w:hAnsi="Times New Roman"/>
                <w:kern w:val="0"/>
                <w:sz w:val="18"/>
                <w:szCs w:val="18"/>
              </w:rPr>
            </w:pPr>
            <w:r>
              <w:rPr>
                <w:rFonts w:ascii="Times New Roman" w:hAnsi="Times New Roman" w:eastAsia="等线"/>
                <w:sz w:val="18"/>
                <w:szCs w:val="18"/>
                <w:u w:val="single"/>
              </w:rPr>
              <w:t>60345.76</w:t>
            </w:r>
          </w:p>
        </w:tc>
        <w:tc>
          <w:tcPr>
            <w:tcW w:w="578" w:type="dxa"/>
            <w:shd w:val="clear" w:color="auto" w:fill="auto"/>
            <w:noWrap/>
            <w:vAlign w:val="center"/>
          </w:tcPr>
          <w:p w14:paraId="4F84E7D2">
            <w:pPr>
              <w:widowControl/>
              <w:jc w:val="center"/>
              <w:rPr>
                <w:rFonts w:ascii="Times New Roman" w:hAnsi="Times New Roman"/>
                <w:kern w:val="0"/>
                <w:sz w:val="18"/>
                <w:szCs w:val="18"/>
              </w:rPr>
            </w:pPr>
          </w:p>
        </w:tc>
        <w:tc>
          <w:tcPr>
            <w:tcW w:w="801" w:type="dxa"/>
            <w:shd w:val="clear" w:color="auto" w:fill="auto"/>
            <w:noWrap/>
            <w:vAlign w:val="center"/>
          </w:tcPr>
          <w:p w14:paraId="38BE4512">
            <w:pPr>
              <w:widowControl/>
              <w:jc w:val="center"/>
              <w:rPr>
                <w:rFonts w:ascii="Times New Roman" w:hAnsi="Times New Roman"/>
                <w:kern w:val="0"/>
                <w:sz w:val="18"/>
                <w:szCs w:val="18"/>
              </w:rPr>
            </w:pPr>
            <w:r>
              <w:rPr>
                <w:rFonts w:ascii="Times New Roman" w:hAnsi="Times New Roman" w:eastAsia="等线"/>
                <w:sz w:val="18"/>
                <w:szCs w:val="18"/>
                <w:u w:val="single"/>
              </w:rPr>
              <w:t>2585.59</w:t>
            </w:r>
          </w:p>
        </w:tc>
        <w:tc>
          <w:tcPr>
            <w:tcW w:w="621" w:type="dxa"/>
            <w:shd w:val="clear" w:color="auto" w:fill="auto"/>
            <w:noWrap/>
            <w:vAlign w:val="center"/>
          </w:tcPr>
          <w:p w14:paraId="766C9EF3">
            <w:pPr>
              <w:widowControl/>
              <w:jc w:val="center"/>
              <w:rPr>
                <w:rFonts w:ascii="Times New Roman" w:hAnsi="Times New Roman"/>
                <w:kern w:val="0"/>
                <w:sz w:val="18"/>
                <w:szCs w:val="18"/>
              </w:rPr>
            </w:pPr>
          </w:p>
        </w:tc>
        <w:tc>
          <w:tcPr>
            <w:tcW w:w="891" w:type="dxa"/>
            <w:shd w:val="clear" w:color="auto" w:fill="auto"/>
            <w:noWrap/>
            <w:vAlign w:val="center"/>
          </w:tcPr>
          <w:p w14:paraId="401AC132">
            <w:pPr>
              <w:widowControl/>
              <w:jc w:val="center"/>
              <w:rPr>
                <w:rFonts w:ascii="Times New Roman" w:hAnsi="Times New Roman"/>
                <w:kern w:val="0"/>
                <w:sz w:val="18"/>
                <w:szCs w:val="18"/>
              </w:rPr>
            </w:pPr>
            <w:r>
              <w:rPr>
                <w:rFonts w:ascii="Times New Roman" w:hAnsi="Times New Roman" w:eastAsia="等线"/>
                <w:sz w:val="18"/>
                <w:szCs w:val="18"/>
                <w:u w:val="single"/>
              </w:rPr>
              <w:t>22577.72</w:t>
            </w:r>
          </w:p>
        </w:tc>
        <w:tc>
          <w:tcPr>
            <w:tcW w:w="711" w:type="dxa"/>
            <w:shd w:val="clear" w:color="auto" w:fill="auto"/>
            <w:noWrap/>
            <w:vAlign w:val="center"/>
          </w:tcPr>
          <w:p w14:paraId="5D726AD0">
            <w:pPr>
              <w:widowControl/>
              <w:jc w:val="center"/>
              <w:rPr>
                <w:rFonts w:ascii="Times New Roman" w:hAnsi="Times New Roman"/>
                <w:kern w:val="0"/>
                <w:sz w:val="18"/>
                <w:szCs w:val="18"/>
              </w:rPr>
            </w:pPr>
          </w:p>
        </w:tc>
        <w:tc>
          <w:tcPr>
            <w:tcW w:w="621" w:type="dxa"/>
            <w:shd w:val="clear" w:color="auto" w:fill="auto"/>
            <w:noWrap/>
            <w:vAlign w:val="center"/>
          </w:tcPr>
          <w:p w14:paraId="09788AA1">
            <w:pPr>
              <w:widowControl/>
              <w:jc w:val="center"/>
              <w:rPr>
                <w:rFonts w:ascii="Times New Roman" w:hAnsi="Times New Roman"/>
                <w:kern w:val="0"/>
                <w:sz w:val="18"/>
                <w:szCs w:val="18"/>
              </w:rPr>
            </w:pPr>
            <w:r>
              <w:rPr>
                <w:rFonts w:ascii="Times New Roman" w:hAnsi="Times New Roman" w:eastAsia="等线"/>
                <w:sz w:val="18"/>
                <w:szCs w:val="18"/>
                <w:u w:val="single"/>
              </w:rPr>
              <w:t>11.54</w:t>
            </w:r>
          </w:p>
        </w:tc>
        <w:tc>
          <w:tcPr>
            <w:tcW w:w="578" w:type="dxa"/>
            <w:shd w:val="clear" w:color="auto" w:fill="auto"/>
            <w:noWrap/>
            <w:vAlign w:val="center"/>
          </w:tcPr>
          <w:p w14:paraId="706AE687">
            <w:pPr>
              <w:widowControl/>
              <w:jc w:val="center"/>
              <w:rPr>
                <w:rFonts w:ascii="Times New Roman" w:hAnsi="Times New Roman"/>
                <w:kern w:val="0"/>
                <w:sz w:val="18"/>
                <w:szCs w:val="18"/>
              </w:rPr>
            </w:pPr>
          </w:p>
        </w:tc>
        <w:tc>
          <w:tcPr>
            <w:tcW w:w="694" w:type="dxa"/>
            <w:shd w:val="clear" w:color="auto" w:fill="auto"/>
            <w:noWrap/>
            <w:vAlign w:val="center"/>
          </w:tcPr>
          <w:p w14:paraId="501AB10B">
            <w:pPr>
              <w:widowControl/>
              <w:jc w:val="center"/>
              <w:rPr>
                <w:rFonts w:ascii="Times New Roman" w:hAnsi="Times New Roman"/>
                <w:kern w:val="0"/>
                <w:sz w:val="18"/>
                <w:szCs w:val="18"/>
              </w:rPr>
            </w:pPr>
            <w:r>
              <w:rPr>
                <w:rFonts w:ascii="Times New Roman" w:hAnsi="Times New Roman" w:eastAsia="等线"/>
                <w:sz w:val="18"/>
                <w:szCs w:val="18"/>
                <w:u w:val="single"/>
              </w:rPr>
              <w:t>969.6</w:t>
            </w:r>
          </w:p>
        </w:tc>
        <w:tc>
          <w:tcPr>
            <w:tcW w:w="567" w:type="dxa"/>
            <w:shd w:val="clear" w:color="auto" w:fill="auto"/>
            <w:noWrap/>
            <w:vAlign w:val="center"/>
          </w:tcPr>
          <w:p w14:paraId="2B06D155">
            <w:pPr>
              <w:widowControl/>
              <w:jc w:val="center"/>
              <w:rPr>
                <w:rFonts w:ascii="Times New Roman" w:hAnsi="Times New Roman"/>
                <w:kern w:val="0"/>
                <w:sz w:val="18"/>
                <w:szCs w:val="18"/>
              </w:rPr>
            </w:pPr>
          </w:p>
        </w:tc>
        <w:tc>
          <w:tcPr>
            <w:tcW w:w="739" w:type="dxa"/>
            <w:shd w:val="clear" w:color="auto" w:fill="auto"/>
            <w:noWrap/>
            <w:vAlign w:val="center"/>
          </w:tcPr>
          <w:p w14:paraId="3F9977A8">
            <w:pPr>
              <w:widowControl/>
              <w:jc w:val="center"/>
              <w:rPr>
                <w:rFonts w:ascii="Times New Roman" w:hAnsi="Times New Roman"/>
                <w:kern w:val="0"/>
                <w:sz w:val="18"/>
                <w:szCs w:val="18"/>
              </w:rPr>
            </w:pPr>
            <w:r>
              <w:rPr>
                <w:rFonts w:ascii="Times New Roman" w:hAnsi="Times New Roman" w:eastAsia="等线"/>
                <w:sz w:val="18"/>
                <w:szCs w:val="18"/>
                <w:u w:val="single"/>
              </w:rPr>
              <w:t>161.6</w:t>
            </w:r>
          </w:p>
        </w:tc>
        <w:tc>
          <w:tcPr>
            <w:tcW w:w="801" w:type="dxa"/>
            <w:shd w:val="clear" w:color="auto" w:fill="auto"/>
            <w:noWrap/>
            <w:vAlign w:val="center"/>
          </w:tcPr>
          <w:p w14:paraId="7D903055">
            <w:pPr>
              <w:widowControl/>
              <w:jc w:val="center"/>
              <w:rPr>
                <w:rFonts w:ascii="Times New Roman" w:hAnsi="Times New Roman"/>
                <w:kern w:val="0"/>
                <w:sz w:val="18"/>
                <w:szCs w:val="18"/>
              </w:rPr>
            </w:pPr>
          </w:p>
        </w:tc>
        <w:tc>
          <w:tcPr>
            <w:tcW w:w="981" w:type="dxa"/>
            <w:shd w:val="clear" w:color="auto" w:fill="auto"/>
            <w:noWrap/>
            <w:vAlign w:val="center"/>
          </w:tcPr>
          <w:p w14:paraId="1F9B37F3">
            <w:pPr>
              <w:widowControl/>
              <w:jc w:val="center"/>
              <w:rPr>
                <w:rFonts w:ascii="Times New Roman" w:hAnsi="Times New Roman"/>
                <w:kern w:val="0"/>
                <w:sz w:val="18"/>
                <w:szCs w:val="18"/>
              </w:rPr>
            </w:pPr>
            <w:r>
              <w:rPr>
                <w:rFonts w:ascii="Times New Roman" w:hAnsi="Times New Roman" w:eastAsia="等线"/>
                <w:sz w:val="18"/>
                <w:szCs w:val="18"/>
                <w:u w:val="single"/>
              </w:rPr>
              <w:t>95770.6</w:t>
            </w:r>
          </w:p>
        </w:tc>
        <w:tc>
          <w:tcPr>
            <w:tcW w:w="621" w:type="dxa"/>
            <w:shd w:val="clear" w:color="auto" w:fill="auto"/>
            <w:noWrap/>
            <w:vAlign w:val="center"/>
          </w:tcPr>
          <w:p w14:paraId="20BE1D8D">
            <w:pPr>
              <w:widowControl/>
              <w:jc w:val="center"/>
              <w:rPr>
                <w:rFonts w:ascii="Times New Roman" w:hAnsi="Times New Roman"/>
                <w:kern w:val="0"/>
                <w:sz w:val="18"/>
                <w:szCs w:val="18"/>
              </w:rPr>
            </w:pPr>
          </w:p>
        </w:tc>
        <w:tc>
          <w:tcPr>
            <w:tcW w:w="891" w:type="dxa"/>
            <w:shd w:val="clear" w:color="auto" w:fill="auto"/>
            <w:noWrap/>
            <w:vAlign w:val="center"/>
          </w:tcPr>
          <w:p w14:paraId="38806D82">
            <w:pPr>
              <w:widowControl/>
              <w:jc w:val="center"/>
              <w:rPr>
                <w:rFonts w:ascii="Times New Roman" w:hAnsi="Times New Roman"/>
                <w:kern w:val="0"/>
                <w:sz w:val="18"/>
                <w:szCs w:val="18"/>
              </w:rPr>
            </w:pPr>
            <w:r>
              <w:rPr>
                <w:rFonts w:ascii="Times New Roman" w:hAnsi="Times New Roman" w:eastAsia="等线"/>
                <w:sz w:val="18"/>
                <w:szCs w:val="18"/>
                <w:u w:val="single"/>
              </w:rPr>
              <w:t>9144</w:t>
            </w:r>
          </w:p>
        </w:tc>
      </w:tr>
      <w:tr w14:paraId="226803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578" w:type="dxa"/>
            <w:shd w:val="clear" w:color="auto" w:fill="auto"/>
            <w:noWrap/>
            <w:vAlign w:val="center"/>
          </w:tcPr>
          <w:p w14:paraId="43618C59">
            <w:pPr>
              <w:widowControl/>
              <w:jc w:val="center"/>
              <w:rPr>
                <w:rFonts w:ascii="Times New Roman" w:hAnsi="Times New Roman"/>
                <w:b/>
                <w:bCs/>
                <w:kern w:val="0"/>
                <w:sz w:val="18"/>
                <w:szCs w:val="18"/>
              </w:rPr>
            </w:pPr>
            <w:r>
              <w:rPr>
                <w:rFonts w:ascii="Times New Roman" w:hAnsi="Times New Roman"/>
                <w:b/>
                <w:bCs/>
                <w:kern w:val="0"/>
                <w:sz w:val="18"/>
                <w:szCs w:val="18"/>
              </w:rPr>
              <w:t>二</w:t>
            </w:r>
          </w:p>
        </w:tc>
        <w:tc>
          <w:tcPr>
            <w:tcW w:w="939" w:type="dxa"/>
            <w:shd w:val="clear" w:color="auto" w:fill="auto"/>
            <w:noWrap/>
            <w:vAlign w:val="center"/>
          </w:tcPr>
          <w:p w14:paraId="105202E2">
            <w:pPr>
              <w:widowControl/>
              <w:jc w:val="center"/>
              <w:rPr>
                <w:rFonts w:ascii="Times New Roman" w:hAnsi="Times New Roman"/>
                <w:b/>
                <w:bCs/>
                <w:kern w:val="0"/>
                <w:sz w:val="18"/>
                <w:szCs w:val="18"/>
              </w:rPr>
            </w:pPr>
            <w:r>
              <w:rPr>
                <w:rFonts w:ascii="Times New Roman" w:hAnsi="Times New Roman"/>
                <w:b/>
                <w:bCs/>
                <w:kern w:val="0"/>
                <w:sz w:val="18"/>
                <w:szCs w:val="18"/>
              </w:rPr>
              <w:t>产出项</w:t>
            </w:r>
          </w:p>
        </w:tc>
        <w:tc>
          <w:tcPr>
            <w:tcW w:w="1431" w:type="dxa"/>
            <w:shd w:val="clear" w:color="auto" w:fill="auto"/>
            <w:noWrap/>
            <w:vAlign w:val="center"/>
          </w:tcPr>
          <w:p w14:paraId="354555B2">
            <w:pPr>
              <w:widowControl/>
              <w:jc w:val="center"/>
              <w:rPr>
                <w:rFonts w:ascii="Times New Roman" w:hAnsi="Times New Roman"/>
                <w:b/>
                <w:bCs/>
                <w:kern w:val="0"/>
                <w:sz w:val="18"/>
                <w:szCs w:val="18"/>
                <w:u w:val="single"/>
              </w:rPr>
            </w:pPr>
          </w:p>
        </w:tc>
        <w:tc>
          <w:tcPr>
            <w:tcW w:w="621" w:type="dxa"/>
            <w:shd w:val="clear" w:color="auto" w:fill="auto"/>
            <w:noWrap/>
            <w:vAlign w:val="center"/>
          </w:tcPr>
          <w:p w14:paraId="3FF54CFB">
            <w:pPr>
              <w:widowControl/>
              <w:jc w:val="center"/>
              <w:rPr>
                <w:rFonts w:ascii="Times New Roman" w:hAnsi="Times New Roman"/>
                <w:b/>
                <w:bCs/>
                <w:kern w:val="0"/>
                <w:sz w:val="18"/>
                <w:szCs w:val="18"/>
              </w:rPr>
            </w:pPr>
          </w:p>
        </w:tc>
        <w:tc>
          <w:tcPr>
            <w:tcW w:w="891" w:type="dxa"/>
            <w:shd w:val="clear" w:color="auto" w:fill="auto"/>
            <w:noWrap/>
            <w:vAlign w:val="center"/>
          </w:tcPr>
          <w:p w14:paraId="4096FF51">
            <w:pPr>
              <w:widowControl/>
              <w:jc w:val="center"/>
              <w:rPr>
                <w:rFonts w:ascii="Times New Roman" w:hAnsi="Times New Roman"/>
                <w:b/>
                <w:bCs/>
                <w:kern w:val="0"/>
                <w:sz w:val="18"/>
                <w:szCs w:val="18"/>
              </w:rPr>
            </w:pPr>
          </w:p>
        </w:tc>
        <w:tc>
          <w:tcPr>
            <w:tcW w:w="621" w:type="dxa"/>
            <w:shd w:val="clear" w:color="auto" w:fill="auto"/>
            <w:noWrap/>
            <w:vAlign w:val="center"/>
          </w:tcPr>
          <w:p w14:paraId="7BCDA0DC">
            <w:pPr>
              <w:widowControl/>
              <w:jc w:val="center"/>
              <w:rPr>
                <w:rFonts w:ascii="Times New Roman" w:hAnsi="Times New Roman"/>
                <w:b/>
                <w:bCs/>
                <w:kern w:val="0"/>
                <w:sz w:val="18"/>
                <w:szCs w:val="18"/>
              </w:rPr>
            </w:pPr>
          </w:p>
        </w:tc>
        <w:tc>
          <w:tcPr>
            <w:tcW w:w="891" w:type="dxa"/>
            <w:shd w:val="clear" w:color="auto" w:fill="auto"/>
            <w:noWrap/>
            <w:vAlign w:val="center"/>
          </w:tcPr>
          <w:p w14:paraId="1AA12158">
            <w:pPr>
              <w:widowControl/>
              <w:jc w:val="center"/>
              <w:rPr>
                <w:rFonts w:ascii="Times New Roman" w:hAnsi="Times New Roman"/>
                <w:b/>
                <w:bCs/>
                <w:kern w:val="0"/>
                <w:sz w:val="18"/>
                <w:szCs w:val="18"/>
              </w:rPr>
            </w:pPr>
          </w:p>
        </w:tc>
        <w:tc>
          <w:tcPr>
            <w:tcW w:w="578" w:type="dxa"/>
            <w:shd w:val="clear" w:color="auto" w:fill="auto"/>
            <w:noWrap/>
            <w:vAlign w:val="center"/>
          </w:tcPr>
          <w:p w14:paraId="3288E58A">
            <w:pPr>
              <w:widowControl/>
              <w:jc w:val="center"/>
              <w:rPr>
                <w:rFonts w:ascii="Times New Roman" w:hAnsi="Times New Roman"/>
                <w:b/>
                <w:bCs/>
                <w:kern w:val="0"/>
                <w:sz w:val="18"/>
                <w:szCs w:val="18"/>
              </w:rPr>
            </w:pPr>
          </w:p>
        </w:tc>
        <w:tc>
          <w:tcPr>
            <w:tcW w:w="801" w:type="dxa"/>
            <w:shd w:val="clear" w:color="auto" w:fill="auto"/>
            <w:noWrap/>
            <w:vAlign w:val="center"/>
          </w:tcPr>
          <w:p w14:paraId="48DABE4B">
            <w:pPr>
              <w:widowControl/>
              <w:jc w:val="center"/>
              <w:rPr>
                <w:rFonts w:ascii="Times New Roman" w:hAnsi="Times New Roman"/>
                <w:b/>
                <w:bCs/>
                <w:kern w:val="0"/>
                <w:sz w:val="18"/>
                <w:szCs w:val="18"/>
              </w:rPr>
            </w:pPr>
          </w:p>
        </w:tc>
        <w:tc>
          <w:tcPr>
            <w:tcW w:w="621" w:type="dxa"/>
            <w:shd w:val="clear" w:color="auto" w:fill="auto"/>
            <w:noWrap/>
            <w:vAlign w:val="center"/>
          </w:tcPr>
          <w:p w14:paraId="0AC310F3">
            <w:pPr>
              <w:widowControl/>
              <w:jc w:val="center"/>
              <w:rPr>
                <w:rFonts w:ascii="Times New Roman" w:hAnsi="Times New Roman"/>
                <w:b/>
                <w:bCs/>
                <w:kern w:val="0"/>
                <w:sz w:val="18"/>
                <w:szCs w:val="18"/>
              </w:rPr>
            </w:pPr>
          </w:p>
        </w:tc>
        <w:tc>
          <w:tcPr>
            <w:tcW w:w="891" w:type="dxa"/>
            <w:shd w:val="clear" w:color="auto" w:fill="auto"/>
            <w:noWrap/>
            <w:vAlign w:val="center"/>
          </w:tcPr>
          <w:p w14:paraId="786DFB9D">
            <w:pPr>
              <w:widowControl/>
              <w:jc w:val="center"/>
              <w:rPr>
                <w:rFonts w:ascii="Times New Roman" w:hAnsi="Times New Roman"/>
                <w:b/>
                <w:bCs/>
                <w:kern w:val="0"/>
                <w:sz w:val="18"/>
                <w:szCs w:val="18"/>
              </w:rPr>
            </w:pPr>
          </w:p>
        </w:tc>
        <w:tc>
          <w:tcPr>
            <w:tcW w:w="711" w:type="dxa"/>
            <w:shd w:val="clear" w:color="auto" w:fill="auto"/>
            <w:noWrap/>
            <w:vAlign w:val="center"/>
          </w:tcPr>
          <w:p w14:paraId="2E5A9EDC">
            <w:pPr>
              <w:widowControl/>
              <w:jc w:val="center"/>
              <w:rPr>
                <w:rFonts w:ascii="Times New Roman" w:hAnsi="Times New Roman"/>
                <w:b/>
                <w:bCs/>
                <w:kern w:val="0"/>
                <w:sz w:val="18"/>
                <w:szCs w:val="18"/>
              </w:rPr>
            </w:pPr>
          </w:p>
        </w:tc>
        <w:tc>
          <w:tcPr>
            <w:tcW w:w="621" w:type="dxa"/>
            <w:shd w:val="clear" w:color="auto" w:fill="auto"/>
            <w:noWrap/>
            <w:vAlign w:val="center"/>
          </w:tcPr>
          <w:p w14:paraId="658D3C41">
            <w:pPr>
              <w:widowControl/>
              <w:jc w:val="center"/>
              <w:rPr>
                <w:rFonts w:ascii="Times New Roman" w:hAnsi="Times New Roman"/>
                <w:b/>
                <w:bCs/>
                <w:kern w:val="0"/>
                <w:sz w:val="18"/>
                <w:szCs w:val="18"/>
              </w:rPr>
            </w:pPr>
          </w:p>
        </w:tc>
        <w:tc>
          <w:tcPr>
            <w:tcW w:w="578" w:type="dxa"/>
            <w:shd w:val="clear" w:color="auto" w:fill="auto"/>
            <w:noWrap/>
            <w:vAlign w:val="center"/>
          </w:tcPr>
          <w:p w14:paraId="764D7DC0">
            <w:pPr>
              <w:widowControl/>
              <w:jc w:val="center"/>
              <w:rPr>
                <w:rFonts w:ascii="Times New Roman" w:hAnsi="Times New Roman"/>
                <w:b/>
                <w:bCs/>
                <w:kern w:val="0"/>
                <w:sz w:val="18"/>
                <w:szCs w:val="18"/>
              </w:rPr>
            </w:pPr>
          </w:p>
        </w:tc>
        <w:tc>
          <w:tcPr>
            <w:tcW w:w="694" w:type="dxa"/>
            <w:shd w:val="clear" w:color="auto" w:fill="auto"/>
            <w:noWrap/>
            <w:vAlign w:val="center"/>
          </w:tcPr>
          <w:p w14:paraId="15DE1D6C">
            <w:pPr>
              <w:widowControl/>
              <w:jc w:val="center"/>
              <w:rPr>
                <w:rFonts w:ascii="Times New Roman" w:hAnsi="Times New Roman"/>
                <w:b/>
                <w:bCs/>
                <w:kern w:val="0"/>
                <w:sz w:val="18"/>
                <w:szCs w:val="18"/>
              </w:rPr>
            </w:pPr>
          </w:p>
        </w:tc>
        <w:tc>
          <w:tcPr>
            <w:tcW w:w="567" w:type="dxa"/>
            <w:shd w:val="clear" w:color="auto" w:fill="auto"/>
            <w:noWrap/>
            <w:vAlign w:val="center"/>
          </w:tcPr>
          <w:p w14:paraId="051B76A7">
            <w:pPr>
              <w:widowControl/>
              <w:jc w:val="center"/>
              <w:rPr>
                <w:rFonts w:ascii="Times New Roman" w:hAnsi="Times New Roman"/>
                <w:b/>
                <w:bCs/>
                <w:kern w:val="0"/>
                <w:sz w:val="18"/>
                <w:szCs w:val="18"/>
              </w:rPr>
            </w:pPr>
          </w:p>
        </w:tc>
        <w:tc>
          <w:tcPr>
            <w:tcW w:w="739" w:type="dxa"/>
            <w:shd w:val="clear" w:color="auto" w:fill="auto"/>
            <w:noWrap/>
            <w:vAlign w:val="center"/>
          </w:tcPr>
          <w:p w14:paraId="09A3A3E9">
            <w:pPr>
              <w:widowControl/>
              <w:jc w:val="center"/>
              <w:rPr>
                <w:rFonts w:ascii="Times New Roman" w:hAnsi="Times New Roman"/>
                <w:b/>
                <w:bCs/>
                <w:kern w:val="0"/>
                <w:sz w:val="18"/>
                <w:szCs w:val="18"/>
              </w:rPr>
            </w:pPr>
          </w:p>
        </w:tc>
        <w:tc>
          <w:tcPr>
            <w:tcW w:w="801" w:type="dxa"/>
            <w:shd w:val="clear" w:color="auto" w:fill="auto"/>
            <w:noWrap/>
            <w:vAlign w:val="center"/>
          </w:tcPr>
          <w:p w14:paraId="65D3E0CF">
            <w:pPr>
              <w:widowControl/>
              <w:jc w:val="center"/>
              <w:rPr>
                <w:rFonts w:ascii="Times New Roman" w:hAnsi="Times New Roman"/>
                <w:b/>
                <w:bCs/>
                <w:kern w:val="0"/>
                <w:sz w:val="18"/>
                <w:szCs w:val="18"/>
              </w:rPr>
            </w:pPr>
          </w:p>
        </w:tc>
        <w:tc>
          <w:tcPr>
            <w:tcW w:w="981" w:type="dxa"/>
            <w:shd w:val="clear" w:color="auto" w:fill="auto"/>
            <w:noWrap/>
            <w:vAlign w:val="center"/>
          </w:tcPr>
          <w:p w14:paraId="0C6443C3">
            <w:pPr>
              <w:widowControl/>
              <w:jc w:val="center"/>
              <w:rPr>
                <w:rFonts w:ascii="Times New Roman" w:hAnsi="Times New Roman"/>
                <w:b/>
                <w:bCs/>
                <w:kern w:val="0"/>
                <w:sz w:val="18"/>
                <w:szCs w:val="18"/>
              </w:rPr>
            </w:pPr>
          </w:p>
        </w:tc>
        <w:tc>
          <w:tcPr>
            <w:tcW w:w="621" w:type="dxa"/>
            <w:shd w:val="clear" w:color="auto" w:fill="auto"/>
            <w:noWrap/>
            <w:vAlign w:val="center"/>
          </w:tcPr>
          <w:p w14:paraId="7D884C27">
            <w:pPr>
              <w:widowControl/>
              <w:jc w:val="center"/>
              <w:rPr>
                <w:rFonts w:ascii="Times New Roman" w:hAnsi="Times New Roman"/>
                <w:b/>
                <w:bCs/>
                <w:kern w:val="0"/>
                <w:sz w:val="18"/>
                <w:szCs w:val="18"/>
              </w:rPr>
            </w:pPr>
          </w:p>
        </w:tc>
        <w:tc>
          <w:tcPr>
            <w:tcW w:w="891" w:type="dxa"/>
            <w:shd w:val="clear" w:color="auto" w:fill="auto"/>
            <w:noWrap/>
            <w:vAlign w:val="center"/>
          </w:tcPr>
          <w:p w14:paraId="70DE7CD6">
            <w:pPr>
              <w:widowControl/>
              <w:jc w:val="center"/>
              <w:rPr>
                <w:rFonts w:ascii="Times New Roman" w:hAnsi="Times New Roman"/>
                <w:b/>
                <w:bCs/>
                <w:kern w:val="0"/>
                <w:sz w:val="18"/>
                <w:szCs w:val="18"/>
              </w:rPr>
            </w:pPr>
          </w:p>
        </w:tc>
      </w:tr>
      <w:tr w14:paraId="760A03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578" w:type="dxa"/>
            <w:shd w:val="clear" w:color="auto" w:fill="auto"/>
            <w:noWrap/>
            <w:vAlign w:val="center"/>
          </w:tcPr>
          <w:p w14:paraId="0B5DCC30">
            <w:pPr>
              <w:widowControl/>
              <w:jc w:val="center"/>
              <w:rPr>
                <w:rFonts w:ascii="Times New Roman" w:hAnsi="Times New Roman"/>
                <w:kern w:val="0"/>
                <w:sz w:val="18"/>
                <w:szCs w:val="18"/>
              </w:rPr>
            </w:pPr>
            <w:r>
              <w:rPr>
                <w:rFonts w:ascii="Times New Roman" w:hAnsi="Times New Roman"/>
                <w:kern w:val="0"/>
                <w:sz w:val="18"/>
                <w:szCs w:val="18"/>
              </w:rPr>
              <w:t>1</w:t>
            </w:r>
          </w:p>
        </w:tc>
        <w:tc>
          <w:tcPr>
            <w:tcW w:w="939" w:type="dxa"/>
            <w:shd w:val="clear" w:color="auto" w:fill="auto"/>
            <w:noWrap/>
            <w:vAlign w:val="center"/>
          </w:tcPr>
          <w:p w14:paraId="286F003E">
            <w:pPr>
              <w:widowControl/>
              <w:jc w:val="center"/>
              <w:rPr>
                <w:rFonts w:ascii="Times New Roman" w:hAnsi="Times New Roman"/>
                <w:kern w:val="0"/>
                <w:sz w:val="18"/>
                <w:szCs w:val="18"/>
              </w:rPr>
            </w:pPr>
            <w:r>
              <w:rPr>
                <w:rFonts w:ascii="Times New Roman" w:hAnsi="Times New Roman"/>
                <w:kern w:val="0"/>
                <w:sz w:val="18"/>
                <w:szCs w:val="18"/>
              </w:rPr>
              <w:t>钛铁精矿</w:t>
            </w:r>
          </w:p>
        </w:tc>
        <w:tc>
          <w:tcPr>
            <w:tcW w:w="1431" w:type="dxa"/>
            <w:shd w:val="clear" w:color="auto" w:fill="auto"/>
            <w:noWrap/>
            <w:vAlign w:val="center"/>
          </w:tcPr>
          <w:p w14:paraId="456903D8">
            <w:pPr>
              <w:widowControl/>
              <w:jc w:val="center"/>
              <w:rPr>
                <w:rFonts w:ascii="Times New Roman" w:hAnsi="Times New Roman"/>
                <w:kern w:val="0"/>
                <w:sz w:val="18"/>
                <w:szCs w:val="18"/>
                <w:u w:val="single"/>
              </w:rPr>
            </w:pPr>
            <w:r>
              <w:rPr>
                <w:rFonts w:hint="eastAsia" w:ascii="Times New Roman" w:hAnsi="Times New Roman"/>
                <w:kern w:val="0"/>
                <w:sz w:val="18"/>
                <w:szCs w:val="18"/>
                <w:u w:val="single"/>
              </w:rPr>
              <w:t>165</w:t>
            </w:r>
            <w:r>
              <w:rPr>
                <w:rFonts w:ascii="Times New Roman" w:hAnsi="Times New Roman"/>
                <w:kern w:val="0"/>
                <w:sz w:val="18"/>
                <w:szCs w:val="18"/>
                <w:u w:val="single"/>
              </w:rPr>
              <w:t>000</w:t>
            </w:r>
          </w:p>
          <w:p w14:paraId="68C54D95">
            <w:pPr>
              <w:widowControl/>
              <w:jc w:val="center"/>
              <w:rPr>
                <w:rFonts w:ascii="Times New Roman" w:hAnsi="Times New Roman"/>
                <w:kern w:val="0"/>
                <w:sz w:val="18"/>
                <w:szCs w:val="18"/>
                <w:u w:val="single"/>
              </w:rPr>
            </w:pPr>
            <w:r>
              <w:rPr>
                <w:rFonts w:hint="eastAsia" w:ascii="Times New Roman" w:hAnsi="Times New Roman"/>
                <w:kern w:val="0"/>
                <w:sz w:val="18"/>
                <w:szCs w:val="18"/>
                <w:u w:val="single"/>
              </w:rPr>
              <w:t>干绝：160875</w:t>
            </w:r>
          </w:p>
        </w:tc>
        <w:tc>
          <w:tcPr>
            <w:tcW w:w="621" w:type="dxa"/>
            <w:shd w:val="clear" w:color="auto" w:fill="auto"/>
            <w:noWrap/>
            <w:vAlign w:val="center"/>
          </w:tcPr>
          <w:p w14:paraId="743E3E58">
            <w:pPr>
              <w:widowControl/>
              <w:jc w:val="center"/>
              <w:rPr>
                <w:rFonts w:ascii="Times New Roman" w:hAnsi="Times New Roman"/>
                <w:kern w:val="0"/>
                <w:sz w:val="18"/>
                <w:szCs w:val="18"/>
              </w:rPr>
            </w:pPr>
            <w:r>
              <w:rPr>
                <w:rFonts w:ascii="Times New Roman" w:hAnsi="Times New Roman" w:eastAsia="等线"/>
                <w:sz w:val="18"/>
                <w:szCs w:val="18"/>
                <w:u w:val="single"/>
              </w:rPr>
              <w:t>29.19</w:t>
            </w:r>
          </w:p>
        </w:tc>
        <w:tc>
          <w:tcPr>
            <w:tcW w:w="891" w:type="dxa"/>
            <w:shd w:val="clear" w:color="auto" w:fill="auto"/>
            <w:noWrap/>
            <w:vAlign w:val="center"/>
          </w:tcPr>
          <w:p w14:paraId="12EAA16B">
            <w:pPr>
              <w:widowControl/>
              <w:jc w:val="center"/>
              <w:rPr>
                <w:rFonts w:ascii="Times New Roman" w:hAnsi="Times New Roman"/>
                <w:kern w:val="0"/>
                <w:sz w:val="18"/>
                <w:szCs w:val="18"/>
              </w:rPr>
            </w:pPr>
            <w:r>
              <w:rPr>
                <w:rFonts w:ascii="Times New Roman" w:hAnsi="Times New Roman" w:eastAsia="等线"/>
                <w:sz w:val="18"/>
                <w:szCs w:val="18"/>
                <w:u w:val="single"/>
              </w:rPr>
              <w:t>46959.41</w:t>
            </w:r>
          </w:p>
        </w:tc>
        <w:tc>
          <w:tcPr>
            <w:tcW w:w="621" w:type="dxa"/>
            <w:shd w:val="clear" w:color="auto" w:fill="auto"/>
            <w:noWrap/>
            <w:vAlign w:val="center"/>
          </w:tcPr>
          <w:p w14:paraId="4E3F4BA1">
            <w:pPr>
              <w:widowControl/>
              <w:jc w:val="center"/>
              <w:rPr>
                <w:rFonts w:ascii="Times New Roman" w:hAnsi="Times New Roman"/>
                <w:kern w:val="0"/>
                <w:sz w:val="18"/>
                <w:szCs w:val="18"/>
              </w:rPr>
            </w:pPr>
            <w:r>
              <w:rPr>
                <w:rFonts w:ascii="Times New Roman" w:hAnsi="Times New Roman" w:eastAsia="等线"/>
                <w:sz w:val="18"/>
                <w:szCs w:val="18"/>
                <w:u w:val="single"/>
              </w:rPr>
              <w:t>34.66</w:t>
            </w:r>
          </w:p>
        </w:tc>
        <w:tc>
          <w:tcPr>
            <w:tcW w:w="891" w:type="dxa"/>
            <w:shd w:val="clear" w:color="auto" w:fill="auto"/>
            <w:noWrap/>
            <w:vAlign w:val="center"/>
          </w:tcPr>
          <w:p w14:paraId="6D453D72">
            <w:pPr>
              <w:widowControl/>
              <w:jc w:val="center"/>
              <w:rPr>
                <w:rFonts w:ascii="Times New Roman" w:hAnsi="Times New Roman"/>
                <w:kern w:val="0"/>
                <w:sz w:val="18"/>
                <w:szCs w:val="18"/>
              </w:rPr>
            </w:pPr>
            <w:r>
              <w:rPr>
                <w:rFonts w:ascii="Times New Roman" w:hAnsi="Times New Roman" w:eastAsia="等线"/>
                <w:sz w:val="18"/>
                <w:szCs w:val="18"/>
                <w:u w:val="single"/>
              </w:rPr>
              <w:t>55759.28</w:t>
            </w:r>
          </w:p>
        </w:tc>
        <w:tc>
          <w:tcPr>
            <w:tcW w:w="578" w:type="dxa"/>
            <w:shd w:val="clear" w:color="auto" w:fill="auto"/>
            <w:noWrap/>
            <w:vAlign w:val="center"/>
          </w:tcPr>
          <w:p w14:paraId="14533614">
            <w:pPr>
              <w:widowControl/>
              <w:jc w:val="center"/>
              <w:rPr>
                <w:rFonts w:ascii="Times New Roman" w:hAnsi="Times New Roman"/>
                <w:kern w:val="0"/>
                <w:sz w:val="18"/>
                <w:szCs w:val="18"/>
              </w:rPr>
            </w:pPr>
            <w:r>
              <w:rPr>
                <w:rFonts w:ascii="Times New Roman" w:hAnsi="Times New Roman" w:eastAsia="等线"/>
                <w:sz w:val="18"/>
                <w:szCs w:val="18"/>
                <w:u w:val="single"/>
              </w:rPr>
              <w:t>0.11</w:t>
            </w:r>
          </w:p>
        </w:tc>
        <w:tc>
          <w:tcPr>
            <w:tcW w:w="801" w:type="dxa"/>
            <w:shd w:val="clear" w:color="auto" w:fill="auto"/>
            <w:noWrap/>
            <w:vAlign w:val="center"/>
          </w:tcPr>
          <w:p w14:paraId="574E53E3">
            <w:pPr>
              <w:widowControl/>
              <w:jc w:val="center"/>
              <w:rPr>
                <w:rFonts w:ascii="Times New Roman" w:hAnsi="Times New Roman"/>
                <w:kern w:val="0"/>
                <w:sz w:val="18"/>
                <w:szCs w:val="18"/>
              </w:rPr>
            </w:pPr>
            <w:r>
              <w:rPr>
                <w:rFonts w:ascii="Times New Roman" w:hAnsi="Times New Roman" w:eastAsia="等线"/>
                <w:sz w:val="18"/>
                <w:szCs w:val="18"/>
                <w:u w:val="single"/>
              </w:rPr>
              <w:t>176.96</w:t>
            </w:r>
          </w:p>
        </w:tc>
        <w:tc>
          <w:tcPr>
            <w:tcW w:w="621" w:type="dxa"/>
            <w:shd w:val="clear" w:color="auto" w:fill="auto"/>
            <w:noWrap/>
            <w:vAlign w:val="center"/>
          </w:tcPr>
          <w:p w14:paraId="72F51543">
            <w:pPr>
              <w:widowControl/>
              <w:jc w:val="center"/>
              <w:rPr>
                <w:rFonts w:ascii="Times New Roman" w:hAnsi="Times New Roman"/>
                <w:kern w:val="0"/>
                <w:sz w:val="18"/>
                <w:szCs w:val="18"/>
              </w:rPr>
            </w:pPr>
            <w:r>
              <w:rPr>
                <w:rFonts w:ascii="Times New Roman" w:hAnsi="Times New Roman" w:eastAsia="等线"/>
                <w:sz w:val="18"/>
                <w:szCs w:val="18"/>
                <w:u w:val="single"/>
              </w:rPr>
              <w:t>0.7</w:t>
            </w:r>
          </w:p>
        </w:tc>
        <w:tc>
          <w:tcPr>
            <w:tcW w:w="891" w:type="dxa"/>
            <w:shd w:val="clear" w:color="auto" w:fill="auto"/>
            <w:noWrap/>
            <w:vAlign w:val="center"/>
          </w:tcPr>
          <w:p w14:paraId="3F3D9776">
            <w:pPr>
              <w:widowControl/>
              <w:jc w:val="center"/>
              <w:rPr>
                <w:rFonts w:ascii="Times New Roman" w:hAnsi="Times New Roman"/>
                <w:kern w:val="0"/>
                <w:sz w:val="18"/>
                <w:szCs w:val="18"/>
              </w:rPr>
            </w:pPr>
            <w:r>
              <w:rPr>
                <w:rFonts w:ascii="Times New Roman" w:hAnsi="Times New Roman" w:eastAsia="等线"/>
                <w:sz w:val="18"/>
                <w:szCs w:val="18"/>
                <w:u w:val="single"/>
              </w:rPr>
              <w:t>1126.13</w:t>
            </w:r>
          </w:p>
        </w:tc>
        <w:tc>
          <w:tcPr>
            <w:tcW w:w="711" w:type="dxa"/>
            <w:shd w:val="clear" w:color="auto" w:fill="auto"/>
            <w:noWrap/>
            <w:vAlign w:val="center"/>
          </w:tcPr>
          <w:p w14:paraId="38E867E7">
            <w:pPr>
              <w:widowControl/>
              <w:jc w:val="center"/>
              <w:rPr>
                <w:rFonts w:ascii="Times New Roman" w:hAnsi="Times New Roman"/>
                <w:kern w:val="0"/>
                <w:sz w:val="18"/>
                <w:szCs w:val="18"/>
              </w:rPr>
            </w:pPr>
            <w:r>
              <w:rPr>
                <w:rFonts w:ascii="Times New Roman" w:hAnsi="Times New Roman" w:eastAsia="等线"/>
                <w:sz w:val="18"/>
                <w:szCs w:val="18"/>
                <w:u w:val="single"/>
              </w:rPr>
              <w:t>0.0050</w:t>
            </w:r>
          </w:p>
        </w:tc>
        <w:tc>
          <w:tcPr>
            <w:tcW w:w="621" w:type="dxa"/>
            <w:shd w:val="clear" w:color="auto" w:fill="auto"/>
            <w:noWrap/>
            <w:vAlign w:val="center"/>
          </w:tcPr>
          <w:p w14:paraId="46E6E12F">
            <w:pPr>
              <w:widowControl/>
              <w:jc w:val="center"/>
              <w:rPr>
                <w:rFonts w:ascii="Times New Roman" w:hAnsi="Times New Roman"/>
                <w:kern w:val="0"/>
                <w:sz w:val="18"/>
                <w:szCs w:val="18"/>
              </w:rPr>
            </w:pPr>
            <w:r>
              <w:rPr>
                <w:rFonts w:ascii="Times New Roman" w:hAnsi="Times New Roman" w:eastAsia="等线"/>
                <w:sz w:val="18"/>
                <w:szCs w:val="18"/>
                <w:u w:val="single"/>
              </w:rPr>
              <w:t>8.04</w:t>
            </w:r>
          </w:p>
        </w:tc>
        <w:tc>
          <w:tcPr>
            <w:tcW w:w="578" w:type="dxa"/>
            <w:shd w:val="clear" w:color="auto" w:fill="auto"/>
            <w:noWrap/>
            <w:vAlign w:val="center"/>
          </w:tcPr>
          <w:p w14:paraId="2259A0DE">
            <w:pPr>
              <w:widowControl/>
              <w:jc w:val="center"/>
              <w:rPr>
                <w:rFonts w:ascii="Times New Roman" w:hAnsi="Times New Roman"/>
                <w:kern w:val="0"/>
                <w:sz w:val="18"/>
                <w:szCs w:val="18"/>
              </w:rPr>
            </w:pPr>
            <w:r>
              <w:rPr>
                <w:rFonts w:ascii="Times New Roman" w:hAnsi="Times New Roman" w:eastAsia="等线"/>
                <w:sz w:val="18"/>
                <w:szCs w:val="18"/>
                <w:u w:val="single"/>
              </w:rPr>
              <w:t>0.57</w:t>
            </w:r>
          </w:p>
        </w:tc>
        <w:tc>
          <w:tcPr>
            <w:tcW w:w="694" w:type="dxa"/>
            <w:shd w:val="clear" w:color="auto" w:fill="auto"/>
            <w:noWrap/>
            <w:vAlign w:val="center"/>
          </w:tcPr>
          <w:p w14:paraId="637D217D">
            <w:pPr>
              <w:widowControl/>
              <w:jc w:val="center"/>
              <w:rPr>
                <w:rFonts w:ascii="Times New Roman" w:hAnsi="Times New Roman"/>
                <w:kern w:val="0"/>
                <w:sz w:val="18"/>
                <w:szCs w:val="18"/>
              </w:rPr>
            </w:pPr>
            <w:r>
              <w:rPr>
                <w:rFonts w:ascii="Times New Roman" w:hAnsi="Times New Roman" w:eastAsia="等线"/>
                <w:sz w:val="18"/>
                <w:szCs w:val="18"/>
                <w:u w:val="single"/>
              </w:rPr>
              <w:t>920.6</w:t>
            </w:r>
          </w:p>
        </w:tc>
        <w:tc>
          <w:tcPr>
            <w:tcW w:w="567" w:type="dxa"/>
            <w:shd w:val="clear" w:color="auto" w:fill="auto"/>
            <w:noWrap/>
            <w:vAlign w:val="center"/>
          </w:tcPr>
          <w:p w14:paraId="527AA521">
            <w:pPr>
              <w:widowControl/>
              <w:jc w:val="center"/>
              <w:rPr>
                <w:rFonts w:ascii="Times New Roman" w:hAnsi="Times New Roman"/>
                <w:kern w:val="0"/>
                <w:sz w:val="18"/>
                <w:szCs w:val="18"/>
              </w:rPr>
            </w:pPr>
            <w:r>
              <w:rPr>
                <w:rFonts w:ascii="Times New Roman" w:hAnsi="Times New Roman" w:eastAsia="等线"/>
                <w:sz w:val="18"/>
                <w:szCs w:val="18"/>
                <w:u w:val="single"/>
              </w:rPr>
              <w:t>0.09</w:t>
            </w:r>
          </w:p>
        </w:tc>
        <w:tc>
          <w:tcPr>
            <w:tcW w:w="739" w:type="dxa"/>
            <w:shd w:val="clear" w:color="auto" w:fill="auto"/>
            <w:noWrap/>
            <w:vAlign w:val="center"/>
          </w:tcPr>
          <w:p w14:paraId="461DD255">
            <w:pPr>
              <w:widowControl/>
              <w:jc w:val="center"/>
              <w:rPr>
                <w:rFonts w:ascii="Times New Roman" w:hAnsi="Times New Roman"/>
                <w:kern w:val="0"/>
                <w:sz w:val="18"/>
                <w:szCs w:val="18"/>
              </w:rPr>
            </w:pPr>
            <w:r>
              <w:rPr>
                <w:rFonts w:ascii="Times New Roman" w:hAnsi="Times New Roman" w:eastAsia="等线"/>
                <w:sz w:val="18"/>
                <w:szCs w:val="18"/>
                <w:u w:val="single"/>
              </w:rPr>
              <w:t>140.61</w:t>
            </w:r>
          </w:p>
        </w:tc>
        <w:tc>
          <w:tcPr>
            <w:tcW w:w="801" w:type="dxa"/>
            <w:shd w:val="clear" w:color="auto" w:fill="auto"/>
            <w:noWrap/>
            <w:vAlign w:val="center"/>
          </w:tcPr>
          <w:p w14:paraId="011ADD93">
            <w:pPr>
              <w:widowControl/>
              <w:jc w:val="center"/>
              <w:rPr>
                <w:rFonts w:ascii="Times New Roman" w:hAnsi="Times New Roman"/>
                <w:kern w:val="0"/>
                <w:sz w:val="18"/>
                <w:szCs w:val="18"/>
              </w:rPr>
            </w:pPr>
            <w:r>
              <w:rPr>
                <w:rFonts w:ascii="Times New Roman" w:hAnsi="Times New Roman" w:eastAsia="等线"/>
                <w:sz w:val="18"/>
                <w:szCs w:val="18"/>
                <w:u w:val="single"/>
              </w:rPr>
              <w:t>34.68</w:t>
            </w:r>
          </w:p>
        </w:tc>
        <w:tc>
          <w:tcPr>
            <w:tcW w:w="981" w:type="dxa"/>
            <w:shd w:val="clear" w:color="auto" w:fill="auto"/>
            <w:noWrap/>
            <w:vAlign w:val="center"/>
          </w:tcPr>
          <w:p w14:paraId="7EB309F2">
            <w:pPr>
              <w:widowControl/>
              <w:jc w:val="center"/>
              <w:rPr>
                <w:rFonts w:ascii="Times New Roman" w:hAnsi="Times New Roman"/>
                <w:kern w:val="0"/>
                <w:sz w:val="18"/>
                <w:szCs w:val="18"/>
              </w:rPr>
            </w:pPr>
            <w:r>
              <w:rPr>
                <w:rFonts w:ascii="Times New Roman" w:hAnsi="Times New Roman" w:eastAsia="等线"/>
                <w:sz w:val="18"/>
                <w:szCs w:val="18"/>
                <w:u w:val="single"/>
              </w:rPr>
              <w:t>55783.97</w:t>
            </w:r>
          </w:p>
        </w:tc>
        <w:tc>
          <w:tcPr>
            <w:tcW w:w="621" w:type="dxa"/>
            <w:shd w:val="clear" w:color="auto" w:fill="auto"/>
            <w:noWrap/>
            <w:vAlign w:val="center"/>
          </w:tcPr>
          <w:p w14:paraId="359175F0">
            <w:pPr>
              <w:widowControl/>
              <w:jc w:val="center"/>
              <w:rPr>
                <w:rFonts w:ascii="Times New Roman" w:hAnsi="Times New Roman"/>
                <w:kern w:val="0"/>
                <w:sz w:val="18"/>
                <w:szCs w:val="18"/>
              </w:rPr>
            </w:pPr>
            <w:r>
              <w:rPr>
                <w:rFonts w:ascii="Times New Roman" w:hAnsi="Times New Roman" w:eastAsia="等线"/>
                <w:sz w:val="18"/>
                <w:szCs w:val="18"/>
                <w:u w:val="single"/>
              </w:rPr>
              <w:t>2.5</w:t>
            </w:r>
          </w:p>
        </w:tc>
        <w:tc>
          <w:tcPr>
            <w:tcW w:w="891" w:type="dxa"/>
            <w:shd w:val="clear" w:color="auto" w:fill="auto"/>
            <w:noWrap/>
            <w:vAlign w:val="center"/>
          </w:tcPr>
          <w:p w14:paraId="2866424B">
            <w:pPr>
              <w:widowControl/>
              <w:jc w:val="center"/>
              <w:rPr>
                <w:rFonts w:ascii="Times New Roman" w:hAnsi="Times New Roman"/>
                <w:kern w:val="0"/>
                <w:sz w:val="18"/>
                <w:szCs w:val="18"/>
              </w:rPr>
            </w:pPr>
            <w:r>
              <w:rPr>
                <w:rFonts w:ascii="Times New Roman" w:hAnsi="Times New Roman" w:eastAsia="等线"/>
                <w:sz w:val="18"/>
                <w:szCs w:val="18"/>
                <w:u w:val="single"/>
              </w:rPr>
              <w:t>4125</w:t>
            </w:r>
          </w:p>
        </w:tc>
      </w:tr>
      <w:tr w14:paraId="73DDE1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578" w:type="dxa"/>
            <w:shd w:val="clear" w:color="auto" w:fill="auto"/>
            <w:noWrap/>
            <w:vAlign w:val="center"/>
          </w:tcPr>
          <w:p w14:paraId="79304254">
            <w:pPr>
              <w:widowControl/>
              <w:jc w:val="center"/>
              <w:rPr>
                <w:rFonts w:ascii="Times New Roman" w:hAnsi="Times New Roman"/>
                <w:kern w:val="0"/>
                <w:sz w:val="18"/>
                <w:szCs w:val="18"/>
              </w:rPr>
            </w:pPr>
            <w:r>
              <w:rPr>
                <w:rFonts w:ascii="Times New Roman" w:hAnsi="Times New Roman"/>
                <w:kern w:val="0"/>
                <w:sz w:val="18"/>
                <w:szCs w:val="18"/>
              </w:rPr>
              <w:t>2</w:t>
            </w:r>
          </w:p>
        </w:tc>
        <w:tc>
          <w:tcPr>
            <w:tcW w:w="939" w:type="dxa"/>
            <w:shd w:val="clear" w:color="auto" w:fill="auto"/>
            <w:noWrap/>
            <w:vAlign w:val="center"/>
          </w:tcPr>
          <w:p w14:paraId="4B6D833B">
            <w:pPr>
              <w:widowControl/>
              <w:jc w:val="center"/>
              <w:rPr>
                <w:rFonts w:ascii="Times New Roman" w:hAnsi="Times New Roman"/>
                <w:kern w:val="0"/>
                <w:sz w:val="18"/>
                <w:szCs w:val="18"/>
              </w:rPr>
            </w:pPr>
            <w:r>
              <w:rPr>
                <w:rFonts w:ascii="Times New Roman" w:hAnsi="Times New Roman"/>
                <w:kern w:val="0"/>
                <w:sz w:val="18"/>
                <w:szCs w:val="18"/>
              </w:rPr>
              <w:t>锆中矿</w:t>
            </w:r>
          </w:p>
        </w:tc>
        <w:tc>
          <w:tcPr>
            <w:tcW w:w="1431" w:type="dxa"/>
            <w:shd w:val="clear" w:color="auto" w:fill="auto"/>
            <w:noWrap/>
            <w:vAlign w:val="center"/>
          </w:tcPr>
          <w:p w14:paraId="43504BDF">
            <w:pPr>
              <w:widowControl/>
              <w:jc w:val="center"/>
              <w:rPr>
                <w:rFonts w:ascii="Times New Roman" w:hAnsi="Times New Roman" w:eastAsia="等线"/>
                <w:sz w:val="18"/>
                <w:szCs w:val="18"/>
                <w:u w:val="single"/>
              </w:rPr>
            </w:pPr>
            <w:r>
              <w:rPr>
                <w:rFonts w:hint="eastAsia" w:ascii="Times New Roman" w:hAnsi="Times New Roman" w:eastAsia="等线"/>
                <w:sz w:val="18"/>
                <w:szCs w:val="18"/>
                <w:u w:val="single"/>
              </w:rPr>
              <w:t>71769.9</w:t>
            </w:r>
          </w:p>
          <w:p w14:paraId="7A7B70E4">
            <w:pPr>
              <w:widowControl/>
              <w:jc w:val="center"/>
              <w:rPr>
                <w:rFonts w:ascii="Times New Roman" w:hAnsi="Times New Roman"/>
                <w:kern w:val="0"/>
                <w:sz w:val="18"/>
                <w:szCs w:val="18"/>
                <w:u w:val="single"/>
              </w:rPr>
            </w:pPr>
            <w:r>
              <w:rPr>
                <w:rFonts w:hint="eastAsia" w:ascii="Times New Roman" w:hAnsi="Times New Roman" w:eastAsia="等线"/>
                <w:sz w:val="18"/>
                <w:szCs w:val="18"/>
                <w:u w:val="single"/>
              </w:rPr>
              <w:t>干绝：69975.65</w:t>
            </w:r>
          </w:p>
        </w:tc>
        <w:tc>
          <w:tcPr>
            <w:tcW w:w="621" w:type="dxa"/>
            <w:shd w:val="clear" w:color="auto" w:fill="auto"/>
            <w:noWrap/>
            <w:vAlign w:val="center"/>
          </w:tcPr>
          <w:p w14:paraId="6CA6D496">
            <w:pPr>
              <w:widowControl/>
              <w:jc w:val="center"/>
              <w:rPr>
                <w:rFonts w:ascii="Times New Roman" w:hAnsi="Times New Roman"/>
                <w:kern w:val="0"/>
                <w:sz w:val="18"/>
                <w:szCs w:val="18"/>
              </w:rPr>
            </w:pPr>
            <w:r>
              <w:rPr>
                <w:rFonts w:ascii="Times New Roman" w:hAnsi="Times New Roman" w:eastAsia="等线"/>
                <w:sz w:val="18"/>
                <w:szCs w:val="18"/>
                <w:u w:val="single"/>
              </w:rPr>
              <w:t>2.11</w:t>
            </w:r>
          </w:p>
        </w:tc>
        <w:tc>
          <w:tcPr>
            <w:tcW w:w="891" w:type="dxa"/>
            <w:shd w:val="clear" w:color="auto" w:fill="auto"/>
            <w:noWrap/>
            <w:vAlign w:val="center"/>
          </w:tcPr>
          <w:p w14:paraId="57365EC6">
            <w:pPr>
              <w:widowControl/>
              <w:jc w:val="center"/>
              <w:rPr>
                <w:rFonts w:ascii="Times New Roman" w:hAnsi="Times New Roman"/>
                <w:kern w:val="0"/>
                <w:sz w:val="18"/>
                <w:szCs w:val="18"/>
              </w:rPr>
            </w:pPr>
            <w:r>
              <w:rPr>
                <w:rFonts w:ascii="Times New Roman" w:hAnsi="Times New Roman" w:eastAsia="等线"/>
                <w:sz w:val="18"/>
                <w:szCs w:val="18"/>
                <w:u w:val="single"/>
              </w:rPr>
              <w:t>1473.06</w:t>
            </w:r>
          </w:p>
        </w:tc>
        <w:tc>
          <w:tcPr>
            <w:tcW w:w="621" w:type="dxa"/>
            <w:shd w:val="clear" w:color="auto" w:fill="auto"/>
            <w:noWrap/>
            <w:vAlign w:val="center"/>
          </w:tcPr>
          <w:p w14:paraId="5BDEBB81">
            <w:pPr>
              <w:widowControl/>
              <w:jc w:val="center"/>
              <w:rPr>
                <w:rFonts w:ascii="Times New Roman" w:hAnsi="Times New Roman"/>
                <w:kern w:val="0"/>
                <w:sz w:val="18"/>
                <w:szCs w:val="18"/>
              </w:rPr>
            </w:pPr>
            <w:r>
              <w:rPr>
                <w:rFonts w:ascii="Times New Roman" w:hAnsi="Times New Roman" w:eastAsia="等线"/>
                <w:sz w:val="18"/>
                <w:szCs w:val="18"/>
                <w:u w:val="single"/>
              </w:rPr>
              <w:t>6.55</w:t>
            </w:r>
          </w:p>
        </w:tc>
        <w:tc>
          <w:tcPr>
            <w:tcW w:w="891" w:type="dxa"/>
            <w:shd w:val="clear" w:color="auto" w:fill="auto"/>
            <w:noWrap/>
            <w:vAlign w:val="center"/>
          </w:tcPr>
          <w:p w14:paraId="0ACC1B15">
            <w:pPr>
              <w:widowControl/>
              <w:jc w:val="center"/>
              <w:rPr>
                <w:rFonts w:ascii="Times New Roman" w:hAnsi="Times New Roman"/>
                <w:kern w:val="0"/>
                <w:sz w:val="18"/>
                <w:szCs w:val="18"/>
              </w:rPr>
            </w:pPr>
            <w:r>
              <w:rPr>
                <w:rFonts w:ascii="Times New Roman" w:hAnsi="Times New Roman" w:eastAsia="等线"/>
                <w:sz w:val="18"/>
                <w:szCs w:val="18"/>
                <w:u w:val="single"/>
              </w:rPr>
              <w:t>4585.08</w:t>
            </w:r>
          </w:p>
        </w:tc>
        <w:tc>
          <w:tcPr>
            <w:tcW w:w="578" w:type="dxa"/>
            <w:shd w:val="clear" w:color="auto" w:fill="auto"/>
            <w:noWrap/>
            <w:vAlign w:val="center"/>
          </w:tcPr>
          <w:p w14:paraId="5337B897">
            <w:pPr>
              <w:widowControl/>
              <w:jc w:val="center"/>
              <w:rPr>
                <w:rFonts w:ascii="Times New Roman" w:hAnsi="Times New Roman"/>
                <w:kern w:val="0"/>
                <w:sz w:val="18"/>
                <w:szCs w:val="18"/>
              </w:rPr>
            </w:pPr>
            <w:r>
              <w:rPr>
                <w:rFonts w:ascii="Times New Roman" w:hAnsi="Times New Roman" w:eastAsia="等线"/>
                <w:sz w:val="18"/>
                <w:szCs w:val="18"/>
                <w:u w:val="single"/>
              </w:rPr>
              <w:t>3.44</w:t>
            </w:r>
          </w:p>
        </w:tc>
        <w:tc>
          <w:tcPr>
            <w:tcW w:w="801" w:type="dxa"/>
            <w:shd w:val="clear" w:color="auto" w:fill="auto"/>
            <w:noWrap/>
            <w:vAlign w:val="center"/>
          </w:tcPr>
          <w:p w14:paraId="1BB14908">
            <w:pPr>
              <w:widowControl/>
              <w:jc w:val="center"/>
              <w:rPr>
                <w:rFonts w:ascii="Times New Roman" w:hAnsi="Times New Roman"/>
                <w:kern w:val="0"/>
                <w:sz w:val="18"/>
                <w:szCs w:val="18"/>
              </w:rPr>
            </w:pPr>
            <w:r>
              <w:rPr>
                <w:rFonts w:ascii="Times New Roman" w:hAnsi="Times New Roman" w:eastAsia="等线"/>
                <w:sz w:val="18"/>
                <w:szCs w:val="18"/>
                <w:u w:val="single"/>
              </w:rPr>
              <w:t>2408.57</w:t>
            </w:r>
          </w:p>
        </w:tc>
        <w:tc>
          <w:tcPr>
            <w:tcW w:w="621" w:type="dxa"/>
            <w:shd w:val="clear" w:color="auto" w:fill="auto"/>
            <w:noWrap/>
            <w:vAlign w:val="center"/>
          </w:tcPr>
          <w:p w14:paraId="7B4B7904">
            <w:pPr>
              <w:widowControl/>
              <w:jc w:val="center"/>
              <w:rPr>
                <w:rFonts w:ascii="Times New Roman" w:hAnsi="Times New Roman"/>
                <w:kern w:val="0"/>
                <w:sz w:val="18"/>
                <w:szCs w:val="18"/>
              </w:rPr>
            </w:pPr>
            <w:r>
              <w:rPr>
                <w:rFonts w:ascii="Times New Roman" w:hAnsi="Times New Roman" w:eastAsia="等线"/>
                <w:sz w:val="18"/>
                <w:szCs w:val="18"/>
                <w:u w:val="single"/>
              </w:rPr>
              <w:t>30.66</w:t>
            </w:r>
          </w:p>
        </w:tc>
        <w:tc>
          <w:tcPr>
            <w:tcW w:w="891" w:type="dxa"/>
            <w:shd w:val="clear" w:color="auto" w:fill="auto"/>
            <w:noWrap/>
            <w:vAlign w:val="center"/>
          </w:tcPr>
          <w:p w14:paraId="196E88BD">
            <w:pPr>
              <w:widowControl/>
              <w:jc w:val="center"/>
              <w:rPr>
                <w:rFonts w:ascii="Times New Roman" w:hAnsi="Times New Roman"/>
                <w:kern w:val="0"/>
                <w:sz w:val="18"/>
                <w:szCs w:val="18"/>
              </w:rPr>
            </w:pPr>
            <w:r>
              <w:rPr>
                <w:rFonts w:ascii="Times New Roman" w:hAnsi="Times New Roman" w:eastAsia="等线"/>
                <w:sz w:val="18"/>
                <w:szCs w:val="18"/>
                <w:u w:val="single"/>
              </w:rPr>
              <w:t>21451.07</w:t>
            </w:r>
          </w:p>
        </w:tc>
        <w:tc>
          <w:tcPr>
            <w:tcW w:w="711" w:type="dxa"/>
            <w:shd w:val="clear" w:color="auto" w:fill="auto"/>
            <w:noWrap/>
            <w:vAlign w:val="center"/>
          </w:tcPr>
          <w:p w14:paraId="40807EEC">
            <w:pPr>
              <w:widowControl/>
              <w:jc w:val="center"/>
              <w:rPr>
                <w:rFonts w:ascii="Times New Roman" w:hAnsi="Times New Roman"/>
                <w:kern w:val="0"/>
                <w:sz w:val="18"/>
                <w:szCs w:val="18"/>
              </w:rPr>
            </w:pPr>
            <w:r>
              <w:rPr>
                <w:rFonts w:ascii="Times New Roman" w:hAnsi="Times New Roman" w:eastAsia="等线"/>
                <w:sz w:val="18"/>
                <w:szCs w:val="18"/>
                <w:u w:val="single"/>
              </w:rPr>
              <w:t>0.01</w:t>
            </w:r>
          </w:p>
        </w:tc>
        <w:tc>
          <w:tcPr>
            <w:tcW w:w="621" w:type="dxa"/>
            <w:shd w:val="clear" w:color="auto" w:fill="auto"/>
            <w:noWrap/>
            <w:vAlign w:val="center"/>
          </w:tcPr>
          <w:p w14:paraId="1C91E96C">
            <w:pPr>
              <w:widowControl/>
              <w:jc w:val="center"/>
              <w:rPr>
                <w:rFonts w:ascii="Times New Roman" w:hAnsi="Times New Roman"/>
                <w:kern w:val="0"/>
                <w:sz w:val="18"/>
                <w:szCs w:val="18"/>
              </w:rPr>
            </w:pPr>
            <w:r>
              <w:rPr>
                <w:rFonts w:ascii="Times New Roman" w:hAnsi="Times New Roman" w:eastAsia="等线"/>
                <w:sz w:val="18"/>
                <w:szCs w:val="18"/>
                <w:u w:val="single"/>
              </w:rPr>
              <w:t>3.5</w:t>
            </w:r>
          </w:p>
        </w:tc>
        <w:tc>
          <w:tcPr>
            <w:tcW w:w="578" w:type="dxa"/>
            <w:shd w:val="clear" w:color="auto" w:fill="auto"/>
            <w:noWrap/>
            <w:vAlign w:val="center"/>
          </w:tcPr>
          <w:p w14:paraId="24B484DD">
            <w:pPr>
              <w:widowControl/>
              <w:jc w:val="center"/>
              <w:rPr>
                <w:rFonts w:ascii="Times New Roman" w:hAnsi="Times New Roman"/>
                <w:kern w:val="0"/>
                <w:sz w:val="18"/>
                <w:szCs w:val="18"/>
              </w:rPr>
            </w:pPr>
            <w:r>
              <w:rPr>
                <w:rFonts w:ascii="Times New Roman" w:hAnsi="Times New Roman" w:eastAsia="等线"/>
                <w:sz w:val="18"/>
                <w:szCs w:val="18"/>
                <w:u w:val="single"/>
              </w:rPr>
              <w:t>0.07</w:t>
            </w:r>
          </w:p>
        </w:tc>
        <w:tc>
          <w:tcPr>
            <w:tcW w:w="694" w:type="dxa"/>
            <w:shd w:val="clear" w:color="auto" w:fill="auto"/>
            <w:noWrap/>
            <w:vAlign w:val="center"/>
          </w:tcPr>
          <w:p w14:paraId="3C59E7B4">
            <w:pPr>
              <w:widowControl/>
              <w:jc w:val="center"/>
              <w:rPr>
                <w:rFonts w:ascii="Times New Roman" w:hAnsi="Times New Roman"/>
                <w:kern w:val="0"/>
                <w:sz w:val="18"/>
                <w:szCs w:val="18"/>
              </w:rPr>
            </w:pPr>
            <w:r>
              <w:rPr>
                <w:rFonts w:ascii="Times New Roman" w:hAnsi="Times New Roman" w:eastAsia="等线"/>
                <w:sz w:val="18"/>
                <w:szCs w:val="18"/>
                <w:u w:val="single"/>
              </w:rPr>
              <w:t>48.98</w:t>
            </w:r>
          </w:p>
        </w:tc>
        <w:tc>
          <w:tcPr>
            <w:tcW w:w="567" w:type="dxa"/>
            <w:shd w:val="clear" w:color="auto" w:fill="auto"/>
            <w:noWrap/>
            <w:vAlign w:val="center"/>
          </w:tcPr>
          <w:p w14:paraId="601AC0ED">
            <w:pPr>
              <w:widowControl/>
              <w:jc w:val="center"/>
              <w:rPr>
                <w:rFonts w:ascii="Times New Roman" w:hAnsi="Times New Roman"/>
                <w:kern w:val="0"/>
                <w:sz w:val="18"/>
                <w:szCs w:val="18"/>
              </w:rPr>
            </w:pPr>
            <w:r>
              <w:rPr>
                <w:rFonts w:ascii="Times New Roman" w:hAnsi="Times New Roman" w:eastAsia="等线"/>
                <w:sz w:val="18"/>
                <w:szCs w:val="18"/>
                <w:u w:val="single"/>
              </w:rPr>
              <w:t>0.03</w:t>
            </w:r>
          </w:p>
        </w:tc>
        <w:tc>
          <w:tcPr>
            <w:tcW w:w="739" w:type="dxa"/>
            <w:shd w:val="clear" w:color="auto" w:fill="auto"/>
            <w:noWrap/>
            <w:vAlign w:val="center"/>
          </w:tcPr>
          <w:p w14:paraId="7D682A72">
            <w:pPr>
              <w:widowControl/>
              <w:jc w:val="center"/>
              <w:rPr>
                <w:rFonts w:ascii="Times New Roman" w:hAnsi="Times New Roman"/>
                <w:kern w:val="0"/>
                <w:sz w:val="18"/>
                <w:szCs w:val="18"/>
              </w:rPr>
            </w:pPr>
            <w:r>
              <w:rPr>
                <w:rFonts w:ascii="Times New Roman" w:hAnsi="Times New Roman" w:eastAsia="等线"/>
                <w:sz w:val="18"/>
                <w:szCs w:val="18"/>
                <w:u w:val="single"/>
              </w:rPr>
              <w:t>20.99</w:t>
            </w:r>
          </w:p>
        </w:tc>
        <w:tc>
          <w:tcPr>
            <w:tcW w:w="801" w:type="dxa"/>
            <w:shd w:val="clear" w:color="auto" w:fill="auto"/>
            <w:noWrap/>
            <w:vAlign w:val="center"/>
          </w:tcPr>
          <w:p w14:paraId="20315C44">
            <w:pPr>
              <w:widowControl/>
              <w:jc w:val="center"/>
              <w:rPr>
                <w:rFonts w:ascii="Times New Roman" w:hAnsi="Times New Roman"/>
                <w:kern w:val="0"/>
                <w:sz w:val="18"/>
                <w:szCs w:val="18"/>
              </w:rPr>
            </w:pPr>
            <w:r>
              <w:rPr>
                <w:rFonts w:ascii="Times New Roman" w:hAnsi="Times New Roman" w:eastAsia="等线"/>
                <w:sz w:val="18"/>
                <w:szCs w:val="18"/>
                <w:u w:val="single"/>
              </w:rPr>
              <w:t>57.14</w:t>
            </w:r>
          </w:p>
        </w:tc>
        <w:tc>
          <w:tcPr>
            <w:tcW w:w="981" w:type="dxa"/>
            <w:shd w:val="clear" w:color="auto" w:fill="auto"/>
            <w:noWrap/>
            <w:vAlign w:val="center"/>
          </w:tcPr>
          <w:p w14:paraId="20AD5221">
            <w:pPr>
              <w:widowControl/>
              <w:jc w:val="center"/>
              <w:rPr>
                <w:rFonts w:ascii="Times New Roman" w:hAnsi="Times New Roman"/>
                <w:kern w:val="0"/>
                <w:sz w:val="18"/>
                <w:szCs w:val="18"/>
              </w:rPr>
            </w:pPr>
            <w:r>
              <w:rPr>
                <w:rFonts w:ascii="Times New Roman" w:hAnsi="Times New Roman" w:eastAsia="等线"/>
                <w:sz w:val="18"/>
                <w:szCs w:val="18"/>
                <w:u w:val="single"/>
              </w:rPr>
              <w:t>39984.4</w:t>
            </w:r>
          </w:p>
        </w:tc>
        <w:tc>
          <w:tcPr>
            <w:tcW w:w="621" w:type="dxa"/>
            <w:shd w:val="clear" w:color="auto" w:fill="auto"/>
            <w:noWrap/>
            <w:vAlign w:val="center"/>
          </w:tcPr>
          <w:p w14:paraId="34348305">
            <w:pPr>
              <w:widowControl/>
              <w:jc w:val="center"/>
              <w:rPr>
                <w:rFonts w:ascii="Times New Roman" w:hAnsi="Times New Roman"/>
                <w:kern w:val="0"/>
                <w:sz w:val="18"/>
                <w:szCs w:val="18"/>
              </w:rPr>
            </w:pPr>
            <w:r>
              <w:rPr>
                <w:rFonts w:ascii="Times New Roman" w:hAnsi="Times New Roman" w:eastAsia="等线"/>
                <w:sz w:val="18"/>
                <w:szCs w:val="18"/>
                <w:u w:val="single"/>
              </w:rPr>
              <w:t>2.5</w:t>
            </w:r>
          </w:p>
        </w:tc>
        <w:tc>
          <w:tcPr>
            <w:tcW w:w="891" w:type="dxa"/>
            <w:shd w:val="clear" w:color="auto" w:fill="auto"/>
            <w:noWrap/>
            <w:vAlign w:val="center"/>
          </w:tcPr>
          <w:p w14:paraId="5D933826">
            <w:pPr>
              <w:widowControl/>
              <w:jc w:val="center"/>
              <w:rPr>
                <w:rFonts w:ascii="Times New Roman" w:hAnsi="Times New Roman"/>
                <w:kern w:val="0"/>
                <w:sz w:val="18"/>
                <w:szCs w:val="18"/>
              </w:rPr>
            </w:pPr>
            <w:r>
              <w:rPr>
                <w:rFonts w:ascii="Times New Roman" w:hAnsi="Times New Roman" w:eastAsia="等线"/>
                <w:sz w:val="18"/>
                <w:szCs w:val="18"/>
                <w:u w:val="single"/>
              </w:rPr>
              <w:t>1794.25</w:t>
            </w:r>
          </w:p>
        </w:tc>
      </w:tr>
      <w:tr w14:paraId="0E6B69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578" w:type="dxa"/>
            <w:shd w:val="clear" w:color="auto" w:fill="auto"/>
            <w:noWrap/>
            <w:vAlign w:val="center"/>
          </w:tcPr>
          <w:p w14:paraId="222B25D9">
            <w:pPr>
              <w:widowControl/>
              <w:jc w:val="center"/>
              <w:rPr>
                <w:rFonts w:ascii="Times New Roman" w:hAnsi="Times New Roman"/>
                <w:kern w:val="0"/>
                <w:sz w:val="18"/>
                <w:szCs w:val="18"/>
              </w:rPr>
            </w:pPr>
            <w:r>
              <w:rPr>
                <w:rFonts w:ascii="Times New Roman" w:hAnsi="Times New Roman"/>
                <w:kern w:val="0"/>
                <w:sz w:val="18"/>
                <w:szCs w:val="18"/>
              </w:rPr>
              <w:t>3</w:t>
            </w:r>
          </w:p>
        </w:tc>
        <w:tc>
          <w:tcPr>
            <w:tcW w:w="939" w:type="dxa"/>
            <w:shd w:val="clear" w:color="auto" w:fill="auto"/>
            <w:noWrap/>
            <w:vAlign w:val="center"/>
          </w:tcPr>
          <w:p w14:paraId="6C57C33B">
            <w:pPr>
              <w:widowControl/>
              <w:jc w:val="center"/>
              <w:rPr>
                <w:rFonts w:ascii="Times New Roman" w:hAnsi="Times New Roman"/>
                <w:kern w:val="0"/>
                <w:sz w:val="18"/>
                <w:szCs w:val="18"/>
              </w:rPr>
            </w:pPr>
            <w:r>
              <w:rPr>
                <w:rFonts w:ascii="Times New Roman" w:hAnsi="Times New Roman"/>
                <w:kern w:val="0"/>
                <w:sz w:val="18"/>
                <w:szCs w:val="18"/>
              </w:rPr>
              <w:t>粉尘</w:t>
            </w:r>
          </w:p>
        </w:tc>
        <w:tc>
          <w:tcPr>
            <w:tcW w:w="1431" w:type="dxa"/>
            <w:shd w:val="clear" w:color="auto" w:fill="auto"/>
            <w:noWrap/>
            <w:vAlign w:val="center"/>
          </w:tcPr>
          <w:p w14:paraId="7DE9A09F">
            <w:pPr>
              <w:widowControl/>
              <w:jc w:val="center"/>
              <w:rPr>
                <w:rFonts w:ascii="Times New Roman" w:hAnsi="Times New Roman" w:eastAsia="等线"/>
                <w:sz w:val="18"/>
                <w:szCs w:val="18"/>
                <w:u w:val="single"/>
              </w:rPr>
            </w:pPr>
            <w:r>
              <w:rPr>
                <w:rFonts w:hint="eastAsia" w:ascii="Times New Roman" w:hAnsi="Times New Roman" w:eastAsia="等线"/>
                <w:sz w:val="18"/>
                <w:szCs w:val="18"/>
                <w:u w:val="single"/>
              </w:rPr>
              <w:t>5.49</w:t>
            </w:r>
          </w:p>
          <w:p w14:paraId="06C3ED13">
            <w:pPr>
              <w:widowControl/>
              <w:jc w:val="center"/>
              <w:rPr>
                <w:rFonts w:ascii="Times New Roman" w:hAnsi="Times New Roman" w:eastAsia="等线"/>
                <w:sz w:val="18"/>
                <w:szCs w:val="18"/>
                <w:u w:val="single"/>
              </w:rPr>
            </w:pPr>
            <w:r>
              <w:rPr>
                <w:rFonts w:hint="eastAsia" w:ascii="Times New Roman" w:hAnsi="Times New Roman" w:eastAsia="等线"/>
                <w:sz w:val="18"/>
                <w:szCs w:val="18"/>
                <w:u w:val="single"/>
              </w:rPr>
              <w:t>干绝：5.35</w:t>
            </w:r>
          </w:p>
        </w:tc>
        <w:tc>
          <w:tcPr>
            <w:tcW w:w="621" w:type="dxa"/>
            <w:shd w:val="clear" w:color="auto" w:fill="auto"/>
            <w:noWrap/>
            <w:vAlign w:val="center"/>
          </w:tcPr>
          <w:p w14:paraId="256AA861">
            <w:pPr>
              <w:widowControl/>
              <w:jc w:val="center"/>
              <w:rPr>
                <w:rFonts w:ascii="Times New Roman" w:hAnsi="Times New Roman" w:eastAsia="等线"/>
                <w:sz w:val="18"/>
                <w:szCs w:val="18"/>
              </w:rPr>
            </w:pPr>
            <w:r>
              <w:rPr>
                <w:rFonts w:ascii="Times New Roman" w:hAnsi="Times New Roman" w:eastAsia="等线"/>
                <w:sz w:val="18"/>
                <w:szCs w:val="18"/>
                <w:u w:val="single"/>
              </w:rPr>
              <w:t>20.98</w:t>
            </w:r>
          </w:p>
        </w:tc>
        <w:tc>
          <w:tcPr>
            <w:tcW w:w="891" w:type="dxa"/>
            <w:shd w:val="clear" w:color="auto" w:fill="auto"/>
            <w:noWrap/>
            <w:vAlign w:val="center"/>
          </w:tcPr>
          <w:p w14:paraId="07CA46BE">
            <w:pPr>
              <w:widowControl/>
              <w:jc w:val="center"/>
              <w:rPr>
                <w:rFonts w:ascii="Times New Roman" w:hAnsi="Times New Roman" w:eastAsia="等线"/>
                <w:sz w:val="18"/>
                <w:szCs w:val="18"/>
              </w:rPr>
            </w:pPr>
            <w:r>
              <w:rPr>
                <w:rFonts w:ascii="Times New Roman" w:hAnsi="Times New Roman" w:eastAsia="等线"/>
                <w:sz w:val="18"/>
                <w:szCs w:val="18"/>
                <w:u w:val="single"/>
              </w:rPr>
              <w:t>1.12</w:t>
            </w:r>
          </w:p>
        </w:tc>
        <w:tc>
          <w:tcPr>
            <w:tcW w:w="621" w:type="dxa"/>
            <w:shd w:val="clear" w:color="auto" w:fill="auto"/>
            <w:noWrap/>
            <w:vAlign w:val="center"/>
          </w:tcPr>
          <w:p w14:paraId="76088EA8">
            <w:pPr>
              <w:widowControl/>
              <w:jc w:val="center"/>
              <w:rPr>
                <w:rFonts w:ascii="Times New Roman" w:hAnsi="Times New Roman" w:eastAsia="等线"/>
                <w:sz w:val="18"/>
                <w:szCs w:val="18"/>
              </w:rPr>
            </w:pPr>
            <w:r>
              <w:rPr>
                <w:rFonts w:ascii="Times New Roman" w:hAnsi="Times New Roman" w:eastAsia="等线"/>
                <w:sz w:val="18"/>
                <w:szCs w:val="18"/>
                <w:u w:val="single"/>
              </w:rPr>
              <w:t>26.14</w:t>
            </w:r>
          </w:p>
        </w:tc>
        <w:tc>
          <w:tcPr>
            <w:tcW w:w="891" w:type="dxa"/>
            <w:shd w:val="clear" w:color="auto" w:fill="auto"/>
            <w:noWrap/>
            <w:vAlign w:val="center"/>
          </w:tcPr>
          <w:p w14:paraId="4155C69B">
            <w:pPr>
              <w:widowControl/>
              <w:jc w:val="center"/>
              <w:rPr>
                <w:rFonts w:ascii="Times New Roman" w:hAnsi="Times New Roman" w:eastAsia="等线"/>
                <w:sz w:val="18"/>
                <w:szCs w:val="18"/>
              </w:rPr>
            </w:pPr>
            <w:r>
              <w:rPr>
                <w:rFonts w:ascii="Times New Roman" w:hAnsi="Times New Roman" w:eastAsia="等线"/>
                <w:sz w:val="18"/>
                <w:szCs w:val="18"/>
                <w:u w:val="single"/>
              </w:rPr>
              <w:t>1.4</w:t>
            </w:r>
          </w:p>
        </w:tc>
        <w:tc>
          <w:tcPr>
            <w:tcW w:w="578" w:type="dxa"/>
            <w:shd w:val="clear" w:color="auto" w:fill="auto"/>
            <w:noWrap/>
            <w:vAlign w:val="center"/>
          </w:tcPr>
          <w:p w14:paraId="12B100A7">
            <w:pPr>
              <w:widowControl/>
              <w:jc w:val="center"/>
              <w:rPr>
                <w:rFonts w:ascii="Times New Roman" w:hAnsi="Times New Roman" w:eastAsia="等线"/>
                <w:sz w:val="18"/>
                <w:szCs w:val="18"/>
              </w:rPr>
            </w:pPr>
            <w:r>
              <w:rPr>
                <w:rFonts w:ascii="Times New Roman" w:hAnsi="Times New Roman" w:eastAsia="等线"/>
                <w:sz w:val="18"/>
                <w:szCs w:val="18"/>
                <w:u w:val="single"/>
              </w:rPr>
              <w:t>1.12</w:t>
            </w:r>
          </w:p>
        </w:tc>
        <w:tc>
          <w:tcPr>
            <w:tcW w:w="801" w:type="dxa"/>
            <w:shd w:val="clear" w:color="auto" w:fill="auto"/>
            <w:noWrap/>
            <w:vAlign w:val="center"/>
          </w:tcPr>
          <w:p w14:paraId="2B72C011">
            <w:pPr>
              <w:widowControl/>
              <w:jc w:val="center"/>
              <w:rPr>
                <w:rFonts w:ascii="Times New Roman" w:hAnsi="Times New Roman" w:eastAsia="等线"/>
                <w:sz w:val="18"/>
                <w:szCs w:val="18"/>
              </w:rPr>
            </w:pPr>
            <w:r>
              <w:rPr>
                <w:rFonts w:ascii="Times New Roman" w:hAnsi="Times New Roman" w:eastAsia="等线"/>
                <w:sz w:val="18"/>
                <w:szCs w:val="18"/>
                <w:u w:val="single"/>
              </w:rPr>
              <w:t>0.06</w:t>
            </w:r>
          </w:p>
        </w:tc>
        <w:tc>
          <w:tcPr>
            <w:tcW w:w="621" w:type="dxa"/>
            <w:shd w:val="clear" w:color="auto" w:fill="auto"/>
            <w:noWrap/>
            <w:vAlign w:val="center"/>
          </w:tcPr>
          <w:p w14:paraId="6C3F04E5">
            <w:pPr>
              <w:widowControl/>
              <w:jc w:val="center"/>
              <w:rPr>
                <w:rFonts w:ascii="Times New Roman" w:hAnsi="Times New Roman" w:eastAsia="等线"/>
                <w:sz w:val="18"/>
                <w:szCs w:val="18"/>
              </w:rPr>
            </w:pPr>
            <w:r>
              <w:rPr>
                <w:rFonts w:ascii="Times New Roman" w:hAnsi="Times New Roman" w:eastAsia="等线"/>
                <w:sz w:val="18"/>
                <w:szCs w:val="18"/>
                <w:u w:val="single"/>
              </w:rPr>
              <w:t>9.78</w:t>
            </w:r>
          </w:p>
        </w:tc>
        <w:tc>
          <w:tcPr>
            <w:tcW w:w="891" w:type="dxa"/>
            <w:shd w:val="clear" w:color="auto" w:fill="auto"/>
            <w:noWrap/>
            <w:vAlign w:val="center"/>
          </w:tcPr>
          <w:p w14:paraId="48ABB249">
            <w:pPr>
              <w:widowControl/>
              <w:jc w:val="center"/>
              <w:rPr>
                <w:rFonts w:ascii="Times New Roman" w:hAnsi="Times New Roman" w:eastAsia="等线"/>
                <w:sz w:val="18"/>
                <w:szCs w:val="18"/>
              </w:rPr>
            </w:pPr>
            <w:r>
              <w:rPr>
                <w:rFonts w:ascii="Times New Roman" w:hAnsi="Times New Roman" w:eastAsia="等线"/>
                <w:sz w:val="18"/>
                <w:szCs w:val="18"/>
                <w:u w:val="single"/>
              </w:rPr>
              <w:t>0.52</w:t>
            </w:r>
          </w:p>
        </w:tc>
        <w:tc>
          <w:tcPr>
            <w:tcW w:w="711" w:type="dxa"/>
            <w:shd w:val="clear" w:color="auto" w:fill="auto"/>
            <w:noWrap/>
            <w:vAlign w:val="center"/>
          </w:tcPr>
          <w:p w14:paraId="7DE38656">
            <w:pPr>
              <w:widowControl/>
              <w:jc w:val="center"/>
              <w:rPr>
                <w:rFonts w:ascii="Times New Roman" w:hAnsi="Times New Roman" w:eastAsia="等线"/>
                <w:sz w:val="18"/>
                <w:szCs w:val="18"/>
              </w:rPr>
            </w:pPr>
            <w:r>
              <w:rPr>
                <w:rFonts w:ascii="Times New Roman" w:hAnsi="Times New Roman" w:eastAsia="等线"/>
                <w:sz w:val="18"/>
                <w:szCs w:val="18"/>
                <w:u w:val="single"/>
              </w:rPr>
              <w:t>0.0050</w:t>
            </w:r>
          </w:p>
        </w:tc>
        <w:tc>
          <w:tcPr>
            <w:tcW w:w="621" w:type="dxa"/>
            <w:shd w:val="clear" w:color="auto" w:fill="auto"/>
            <w:noWrap/>
            <w:vAlign w:val="center"/>
          </w:tcPr>
          <w:p w14:paraId="1CA5A00F">
            <w:pPr>
              <w:widowControl/>
              <w:jc w:val="center"/>
              <w:rPr>
                <w:rFonts w:ascii="Times New Roman" w:hAnsi="Times New Roman" w:eastAsia="等线"/>
                <w:sz w:val="18"/>
                <w:szCs w:val="18"/>
              </w:rPr>
            </w:pPr>
            <w:r>
              <w:rPr>
                <w:rFonts w:ascii="Times New Roman" w:hAnsi="Times New Roman" w:eastAsia="等线"/>
                <w:sz w:val="18"/>
                <w:szCs w:val="18"/>
                <w:u w:val="single"/>
              </w:rPr>
              <w:t>0</w:t>
            </w:r>
          </w:p>
        </w:tc>
        <w:tc>
          <w:tcPr>
            <w:tcW w:w="578" w:type="dxa"/>
            <w:shd w:val="clear" w:color="auto" w:fill="auto"/>
            <w:noWrap/>
            <w:vAlign w:val="center"/>
          </w:tcPr>
          <w:p w14:paraId="18FA1B05">
            <w:pPr>
              <w:widowControl/>
              <w:jc w:val="center"/>
              <w:rPr>
                <w:rFonts w:ascii="Times New Roman" w:hAnsi="Times New Roman" w:eastAsia="等线"/>
                <w:sz w:val="18"/>
                <w:szCs w:val="18"/>
              </w:rPr>
            </w:pPr>
            <w:r>
              <w:rPr>
                <w:rFonts w:ascii="Times New Roman" w:hAnsi="Times New Roman" w:eastAsia="等线"/>
                <w:sz w:val="18"/>
                <w:szCs w:val="18"/>
                <w:u w:val="single"/>
              </w:rPr>
              <w:t>0.42</w:t>
            </w:r>
          </w:p>
        </w:tc>
        <w:tc>
          <w:tcPr>
            <w:tcW w:w="694" w:type="dxa"/>
            <w:shd w:val="clear" w:color="auto" w:fill="auto"/>
            <w:noWrap/>
            <w:vAlign w:val="center"/>
          </w:tcPr>
          <w:p w14:paraId="4DEB51CD">
            <w:pPr>
              <w:widowControl/>
              <w:jc w:val="center"/>
              <w:rPr>
                <w:rFonts w:ascii="Times New Roman" w:hAnsi="Times New Roman" w:eastAsia="等线"/>
                <w:sz w:val="18"/>
                <w:szCs w:val="18"/>
              </w:rPr>
            </w:pPr>
            <w:r>
              <w:rPr>
                <w:rFonts w:ascii="Times New Roman" w:hAnsi="Times New Roman" w:eastAsia="等线"/>
                <w:sz w:val="18"/>
                <w:szCs w:val="18"/>
                <w:u w:val="single"/>
              </w:rPr>
              <w:t>0.02</w:t>
            </w:r>
          </w:p>
        </w:tc>
        <w:tc>
          <w:tcPr>
            <w:tcW w:w="567" w:type="dxa"/>
            <w:shd w:val="clear" w:color="auto" w:fill="auto"/>
            <w:noWrap/>
            <w:vAlign w:val="center"/>
          </w:tcPr>
          <w:p w14:paraId="57AE0E25">
            <w:pPr>
              <w:widowControl/>
              <w:jc w:val="center"/>
              <w:rPr>
                <w:rFonts w:ascii="Times New Roman" w:hAnsi="Times New Roman" w:eastAsia="等线"/>
                <w:sz w:val="18"/>
                <w:szCs w:val="18"/>
              </w:rPr>
            </w:pPr>
            <w:r>
              <w:rPr>
                <w:rFonts w:ascii="Times New Roman" w:hAnsi="Times New Roman" w:eastAsia="等线"/>
                <w:sz w:val="18"/>
                <w:szCs w:val="18"/>
                <w:u w:val="single"/>
              </w:rPr>
              <w:t>0.07</w:t>
            </w:r>
          </w:p>
        </w:tc>
        <w:tc>
          <w:tcPr>
            <w:tcW w:w="739" w:type="dxa"/>
            <w:shd w:val="clear" w:color="auto" w:fill="auto"/>
            <w:noWrap/>
            <w:vAlign w:val="center"/>
          </w:tcPr>
          <w:p w14:paraId="4B619821">
            <w:pPr>
              <w:widowControl/>
              <w:jc w:val="center"/>
              <w:rPr>
                <w:rFonts w:ascii="Times New Roman" w:hAnsi="Times New Roman" w:eastAsia="等线"/>
                <w:sz w:val="18"/>
                <w:szCs w:val="18"/>
              </w:rPr>
            </w:pPr>
            <w:r>
              <w:rPr>
                <w:rFonts w:ascii="Times New Roman" w:hAnsi="Times New Roman" w:eastAsia="等线"/>
                <w:sz w:val="18"/>
                <w:szCs w:val="18"/>
                <w:u w:val="single"/>
              </w:rPr>
              <w:t>0</w:t>
            </w:r>
          </w:p>
        </w:tc>
        <w:tc>
          <w:tcPr>
            <w:tcW w:w="801" w:type="dxa"/>
            <w:shd w:val="clear" w:color="auto" w:fill="auto"/>
            <w:noWrap/>
            <w:vAlign w:val="center"/>
          </w:tcPr>
          <w:p w14:paraId="7A15F909">
            <w:pPr>
              <w:widowControl/>
              <w:jc w:val="center"/>
              <w:rPr>
                <w:rFonts w:ascii="Times New Roman" w:hAnsi="Times New Roman" w:eastAsia="等线"/>
                <w:sz w:val="18"/>
                <w:szCs w:val="18"/>
              </w:rPr>
            </w:pPr>
            <w:r>
              <w:rPr>
                <w:rFonts w:ascii="Times New Roman" w:hAnsi="Times New Roman" w:eastAsia="等线"/>
                <w:sz w:val="18"/>
                <w:szCs w:val="18"/>
                <w:u w:val="single"/>
              </w:rPr>
              <w:t>41.4850</w:t>
            </w:r>
          </w:p>
        </w:tc>
        <w:tc>
          <w:tcPr>
            <w:tcW w:w="981" w:type="dxa"/>
            <w:shd w:val="clear" w:color="auto" w:fill="auto"/>
            <w:noWrap/>
            <w:vAlign w:val="center"/>
          </w:tcPr>
          <w:p w14:paraId="37FFC050">
            <w:pPr>
              <w:widowControl/>
              <w:jc w:val="center"/>
              <w:rPr>
                <w:rFonts w:ascii="Times New Roman" w:hAnsi="Times New Roman" w:eastAsia="等线"/>
                <w:sz w:val="18"/>
                <w:szCs w:val="18"/>
              </w:rPr>
            </w:pPr>
            <w:r>
              <w:rPr>
                <w:rFonts w:ascii="Times New Roman" w:hAnsi="Times New Roman" w:eastAsia="等线"/>
                <w:sz w:val="18"/>
                <w:szCs w:val="18"/>
                <w:u w:val="single"/>
              </w:rPr>
              <w:t>2.23</w:t>
            </w:r>
          </w:p>
        </w:tc>
        <w:tc>
          <w:tcPr>
            <w:tcW w:w="621" w:type="dxa"/>
            <w:shd w:val="clear" w:color="auto" w:fill="auto"/>
            <w:noWrap/>
            <w:vAlign w:val="center"/>
          </w:tcPr>
          <w:p w14:paraId="69818238">
            <w:pPr>
              <w:widowControl/>
              <w:jc w:val="center"/>
              <w:rPr>
                <w:rFonts w:ascii="Times New Roman" w:hAnsi="Times New Roman" w:eastAsia="等线"/>
                <w:sz w:val="18"/>
                <w:szCs w:val="18"/>
              </w:rPr>
            </w:pPr>
            <w:r>
              <w:rPr>
                <w:rFonts w:ascii="Times New Roman" w:hAnsi="Times New Roman" w:eastAsia="等线"/>
                <w:sz w:val="18"/>
                <w:szCs w:val="18"/>
                <w:u w:val="single"/>
              </w:rPr>
              <w:t>2.5</w:t>
            </w:r>
          </w:p>
        </w:tc>
        <w:tc>
          <w:tcPr>
            <w:tcW w:w="891" w:type="dxa"/>
            <w:shd w:val="clear" w:color="auto" w:fill="auto"/>
            <w:noWrap/>
            <w:vAlign w:val="center"/>
          </w:tcPr>
          <w:p w14:paraId="286D9149">
            <w:pPr>
              <w:widowControl/>
              <w:jc w:val="center"/>
              <w:rPr>
                <w:rFonts w:ascii="Times New Roman" w:hAnsi="Times New Roman" w:eastAsia="等线"/>
                <w:sz w:val="18"/>
                <w:szCs w:val="18"/>
              </w:rPr>
            </w:pPr>
            <w:r>
              <w:rPr>
                <w:rFonts w:ascii="Times New Roman" w:hAnsi="Times New Roman" w:eastAsia="等线"/>
                <w:sz w:val="18"/>
                <w:szCs w:val="18"/>
                <w:u w:val="single"/>
              </w:rPr>
              <w:t>0.14</w:t>
            </w:r>
          </w:p>
        </w:tc>
      </w:tr>
      <w:tr w14:paraId="7E4B76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578" w:type="dxa"/>
            <w:shd w:val="clear" w:color="auto" w:fill="auto"/>
            <w:noWrap/>
            <w:vAlign w:val="center"/>
          </w:tcPr>
          <w:p w14:paraId="49B82E26">
            <w:pPr>
              <w:widowControl/>
              <w:jc w:val="center"/>
              <w:rPr>
                <w:rFonts w:ascii="Times New Roman" w:hAnsi="Times New Roman"/>
                <w:kern w:val="0"/>
                <w:sz w:val="18"/>
                <w:szCs w:val="18"/>
              </w:rPr>
            </w:pPr>
            <w:r>
              <w:rPr>
                <w:rFonts w:hint="eastAsia" w:ascii="Times New Roman" w:hAnsi="Times New Roman"/>
                <w:kern w:val="0"/>
                <w:sz w:val="18"/>
                <w:szCs w:val="18"/>
              </w:rPr>
              <w:t>4</w:t>
            </w:r>
          </w:p>
        </w:tc>
        <w:tc>
          <w:tcPr>
            <w:tcW w:w="939" w:type="dxa"/>
            <w:shd w:val="clear" w:color="auto" w:fill="auto"/>
            <w:noWrap/>
            <w:vAlign w:val="center"/>
          </w:tcPr>
          <w:p w14:paraId="39CF4072">
            <w:pPr>
              <w:widowControl/>
              <w:jc w:val="center"/>
              <w:rPr>
                <w:rFonts w:ascii="Times New Roman" w:hAnsi="Times New Roman"/>
                <w:kern w:val="0"/>
                <w:sz w:val="18"/>
                <w:szCs w:val="18"/>
              </w:rPr>
            </w:pPr>
            <w:r>
              <w:rPr>
                <w:rFonts w:hint="eastAsia" w:ascii="Times New Roman" w:hAnsi="Times New Roman"/>
                <w:kern w:val="0"/>
                <w:sz w:val="18"/>
                <w:szCs w:val="18"/>
              </w:rPr>
              <w:t>蒸发水分</w:t>
            </w:r>
          </w:p>
        </w:tc>
        <w:tc>
          <w:tcPr>
            <w:tcW w:w="1431" w:type="dxa"/>
            <w:shd w:val="clear" w:color="auto" w:fill="auto"/>
            <w:noWrap/>
            <w:vAlign w:val="center"/>
          </w:tcPr>
          <w:p w14:paraId="5EE82AAE">
            <w:pPr>
              <w:widowControl/>
              <w:jc w:val="center"/>
              <w:rPr>
                <w:rFonts w:ascii="Times New Roman" w:hAnsi="Times New Roman"/>
                <w:kern w:val="0"/>
                <w:sz w:val="18"/>
                <w:szCs w:val="18"/>
                <w:u w:val="single"/>
              </w:rPr>
            </w:pPr>
            <w:r>
              <w:rPr>
                <w:rFonts w:hint="eastAsia" w:ascii="Times New Roman" w:hAnsi="Times New Roman" w:eastAsia="等线"/>
                <w:sz w:val="18"/>
                <w:szCs w:val="18"/>
                <w:u w:val="single"/>
              </w:rPr>
              <w:t>3224.61</w:t>
            </w:r>
          </w:p>
        </w:tc>
        <w:tc>
          <w:tcPr>
            <w:tcW w:w="621" w:type="dxa"/>
            <w:shd w:val="clear" w:color="auto" w:fill="auto"/>
            <w:noWrap/>
            <w:vAlign w:val="center"/>
          </w:tcPr>
          <w:p w14:paraId="0BBA4A2D">
            <w:pPr>
              <w:widowControl/>
              <w:jc w:val="center"/>
              <w:rPr>
                <w:rFonts w:ascii="Times New Roman" w:hAnsi="Times New Roman"/>
                <w:kern w:val="0"/>
                <w:sz w:val="18"/>
                <w:szCs w:val="18"/>
              </w:rPr>
            </w:pPr>
          </w:p>
        </w:tc>
        <w:tc>
          <w:tcPr>
            <w:tcW w:w="891" w:type="dxa"/>
            <w:shd w:val="clear" w:color="auto" w:fill="auto"/>
            <w:noWrap/>
            <w:vAlign w:val="center"/>
          </w:tcPr>
          <w:p w14:paraId="04BC6895">
            <w:pPr>
              <w:widowControl/>
              <w:jc w:val="center"/>
              <w:rPr>
                <w:rFonts w:ascii="Times New Roman" w:hAnsi="Times New Roman"/>
                <w:kern w:val="0"/>
                <w:sz w:val="18"/>
                <w:szCs w:val="18"/>
              </w:rPr>
            </w:pPr>
          </w:p>
        </w:tc>
        <w:tc>
          <w:tcPr>
            <w:tcW w:w="621" w:type="dxa"/>
            <w:shd w:val="clear" w:color="auto" w:fill="auto"/>
            <w:noWrap/>
            <w:vAlign w:val="center"/>
          </w:tcPr>
          <w:p w14:paraId="4B04D380">
            <w:pPr>
              <w:widowControl/>
              <w:jc w:val="center"/>
              <w:rPr>
                <w:rFonts w:ascii="Times New Roman" w:hAnsi="Times New Roman"/>
                <w:kern w:val="0"/>
                <w:sz w:val="18"/>
                <w:szCs w:val="18"/>
              </w:rPr>
            </w:pPr>
          </w:p>
        </w:tc>
        <w:tc>
          <w:tcPr>
            <w:tcW w:w="891" w:type="dxa"/>
            <w:shd w:val="clear" w:color="auto" w:fill="auto"/>
            <w:noWrap/>
            <w:vAlign w:val="center"/>
          </w:tcPr>
          <w:p w14:paraId="1332B842">
            <w:pPr>
              <w:widowControl/>
              <w:jc w:val="center"/>
              <w:rPr>
                <w:rFonts w:ascii="Times New Roman" w:hAnsi="Times New Roman"/>
                <w:kern w:val="0"/>
                <w:sz w:val="18"/>
                <w:szCs w:val="18"/>
              </w:rPr>
            </w:pPr>
          </w:p>
        </w:tc>
        <w:tc>
          <w:tcPr>
            <w:tcW w:w="578" w:type="dxa"/>
            <w:shd w:val="clear" w:color="auto" w:fill="auto"/>
            <w:noWrap/>
            <w:vAlign w:val="center"/>
          </w:tcPr>
          <w:p w14:paraId="1BD37EE4">
            <w:pPr>
              <w:widowControl/>
              <w:jc w:val="center"/>
              <w:rPr>
                <w:rFonts w:ascii="Times New Roman" w:hAnsi="Times New Roman"/>
                <w:kern w:val="0"/>
                <w:sz w:val="18"/>
                <w:szCs w:val="18"/>
              </w:rPr>
            </w:pPr>
          </w:p>
        </w:tc>
        <w:tc>
          <w:tcPr>
            <w:tcW w:w="801" w:type="dxa"/>
            <w:shd w:val="clear" w:color="auto" w:fill="auto"/>
            <w:noWrap/>
            <w:vAlign w:val="center"/>
          </w:tcPr>
          <w:p w14:paraId="1BB7AC2D">
            <w:pPr>
              <w:widowControl/>
              <w:jc w:val="center"/>
              <w:rPr>
                <w:rFonts w:ascii="Times New Roman" w:hAnsi="Times New Roman"/>
                <w:kern w:val="0"/>
                <w:sz w:val="18"/>
                <w:szCs w:val="18"/>
              </w:rPr>
            </w:pPr>
          </w:p>
        </w:tc>
        <w:tc>
          <w:tcPr>
            <w:tcW w:w="621" w:type="dxa"/>
            <w:shd w:val="clear" w:color="auto" w:fill="auto"/>
            <w:noWrap/>
            <w:vAlign w:val="center"/>
          </w:tcPr>
          <w:p w14:paraId="7054E86D">
            <w:pPr>
              <w:widowControl/>
              <w:jc w:val="center"/>
              <w:rPr>
                <w:rFonts w:ascii="Times New Roman" w:hAnsi="Times New Roman"/>
                <w:kern w:val="0"/>
                <w:sz w:val="18"/>
                <w:szCs w:val="18"/>
              </w:rPr>
            </w:pPr>
          </w:p>
        </w:tc>
        <w:tc>
          <w:tcPr>
            <w:tcW w:w="891" w:type="dxa"/>
            <w:shd w:val="clear" w:color="auto" w:fill="auto"/>
            <w:noWrap/>
            <w:vAlign w:val="center"/>
          </w:tcPr>
          <w:p w14:paraId="046592A4">
            <w:pPr>
              <w:widowControl/>
              <w:jc w:val="center"/>
              <w:rPr>
                <w:rFonts w:ascii="Times New Roman" w:hAnsi="Times New Roman"/>
                <w:kern w:val="0"/>
                <w:sz w:val="18"/>
                <w:szCs w:val="18"/>
              </w:rPr>
            </w:pPr>
          </w:p>
        </w:tc>
        <w:tc>
          <w:tcPr>
            <w:tcW w:w="711" w:type="dxa"/>
            <w:shd w:val="clear" w:color="auto" w:fill="auto"/>
            <w:noWrap/>
            <w:vAlign w:val="center"/>
          </w:tcPr>
          <w:p w14:paraId="47B74690">
            <w:pPr>
              <w:widowControl/>
              <w:jc w:val="center"/>
              <w:rPr>
                <w:rFonts w:ascii="Times New Roman" w:hAnsi="Times New Roman"/>
                <w:kern w:val="0"/>
                <w:sz w:val="18"/>
                <w:szCs w:val="18"/>
              </w:rPr>
            </w:pPr>
          </w:p>
        </w:tc>
        <w:tc>
          <w:tcPr>
            <w:tcW w:w="621" w:type="dxa"/>
            <w:shd w:val="clear" w:color="auto" w:fill="auto"/>
            <w:noWrap/>
            <w:vAlign w:val="center"/>
          </w:tcPr>
          <w:p w14:paraId="5D1AE9DD">
            <w:pPr>
              <w:widowControl/>
              <w:jc w:val="center"/>
              <w:rPr>
                <w:rFonts w:ascii="Times New Roman" w:hAnsi="Times New Roman"/>
                <w:kern w:val="0"/>
                <w:sz w:val="18"/>
                <w:szCs w:val="18"/>
              </w:rPr>
            </w:pPr>
          </w:p>
        </w:tc>
        <w:tc>
          <w:tcPr>
            <w:tcW w:w="578" w:type="dxa"/>
            <w:shd w:val="clear" w:color="auto" w:fill="auto"/>
            <w:noWrap/>
            <w:vAlign w:val="center"/>
          </w:tcPr>
          <w:p w14:paraId="6C8A9E2C">
            <w:pPr>
              <w:widowControl/>
              <w:jc w:val="center"/>
              <w:rPr>
                <w:rFonts w:ascii="Times New Roman" w:hAnsi="Times New Roman"/>
                <w:kern w:val="0"/>
                <w:sz w:val="18"/>
                <w:szCs w:val="18"/>
              </w:rPr>
            </w:pPr>
          </w:p>
        </w:tc>
        <w:tc>
          <w:tcPr>
            <w:tcW w:w="694" w:type="dxa"/>
            <w:shd w:val="clear" w:color="auto" w:fill="auto"/>
            <w:noWrap/>
            <w:vAlign w:val="center"/>
          </w:tcPr>
          <w:p w14:paraId="1CE2E47D">
            <w:pPr>
              <w:widowControl/>
              <w:jc w:val="center"/>
              <w:rPr>
                <w:rFonts w:ascii="Times New Roman" w:hAnsi="Times New Roman"/>
                <w:kern w:val="0"/>
                <w:sz w:val="18"/>
                <w:szCs w:val="18"/>
              </w:rPr>
            </w:pPr>
          </w:p>
        </w:tc>
        <w:tc>
          <w:tcPr>
            <w:tcW w:w="567" w:type="dxa"/>
            <w:shd w:val="clear" w:color="auto" w:fill="auto"/>
            <w:noWrap/>
            <w:vAlign w:val="center"/>
          </w:tcPr>
          <w:p w14:paraId="47645578">
            <w:pPr>
              <w:widowControl/>
              <w:jc w:val="center"/>
              <w:rPr>
                <w:rFonts w:ascii="Times New Roman" w:hAnsi="Times New Roman"/>
                <w:kern w:val="0"/>
                <w:sz w:val="18"/>
                <w:szCs w:val="18"/>
              </w:rPr>
            </w:pPr>
          </w:p>
        </w:tc>
        <w:tc>
          <w:tcPr>
            <w:tcW w:w="739" w:type="dxa"/>
            <w:shd w:val="clear" w:color="auto" w:fill="auto"/>
            <w:noWrap/>
            <w:vAlign w:val="center"/>
          </w:tcPr>
          <w:p w14:paraId="6F2FB010">
            <w:pPr>
              <w:widowControl/>
              <w:jc w:val="center"/>
              <w:rPr>
                <w:rFonts w:ascii="Times New Roman" w:hAnsi="Times New Roman"/>
                <w:kern w:val="0"/>
                <w:sz w:val="18"/>
                <w:szCs w:val="18"/>
              </w:rPr>
            </w:pPr>
          </w:p>
        </w:tc>
        <w:tc>
          <w:tcPr>
            <w:tcW w:w="801" w:type="dxa"/>
            <w:shd w:val="clear" w:color="auto" w:fill="auto"/>
            <w:noWrap/>
            <w:vAlign w:val="center"/>
          </w:tcPr>
          <w:p w14:paraId="13823CFE">
            <w:pPr>
              <w:widowControl/>
              <w:jc w:val="center"/>
              <w:rPr>
                <w:rFonts w:ascii="Times New Roman" w:hAnsi="Times New Roman"/>
                <w:kern w:val="0"/>
                <w:sz w:val="18"/>
                <w:szCs w:val="18"/>
              </w:rPr>
            </w:pPr>
          </w:p>
        </w:tc>
        <w:tc>
          <w:tcPr>
            <w:tcW w:w="981" w:type="dxa"/>
            <w:shd w:val="clear" w:color="auto" w:fill="auto"/>
            <w:noWrap/>
            <w:vAlign w:val="center"/>
          </w:tcPr>
          <w:p w14:paraId="066A9466">
            <w:pPr>
              <w:widowControl/>
              <w:jc w:val="center"/>
              <w:rPr>
                <w:rFonts w:ascii="Times New Roman" w:hAnsi="Times New Roman"/>
                <w:kern w:val="0"/>
                <w:sz w:val="18"/>
                <w:szCs w:val="18"/>
              </w:rPr>
            </w:pPr>
          </w:p>
        </w:tc>
        <w:tc>
          <w:tcPr>
            <w:tcW w:w="621" w:type="dxa"/>
            <w:shd w:val="clear" w:color="auto" w:fill="auto"/>
            <w:noWrap/>
            <w:vAlign w:val="center"/>
          </w:tcPr>
          <w:p w14:paraId="41CBC267">
            <w:pPr>
              <w:widowControl/>
              <w:jc w:val="center"/>
              <w:rPr>
                <w:rFonts w:ascii="Times New Roman" w:hAnsi="Times New Roman"/>
                <w:kern w:val="0"/>
                <w:sz w:val="18"/>
                <w:szCs w:val="18"/>
              </w:rPr>
            </w:pPr>
            <w:r>
              <w:rPr>
                <w:rFonts w:ascii="Times New Roman" w:hAnsi="Times New Roman" w:eastAsia="等线"/>
                <w:sz w:val="18"/>
                <w:szCs w:val="18"/>
                <w:u w:val="single"/>
              </w:rPr>
              <w:t>100.0</w:t>
            </w:r>
          </w:p>
        </w:tc>
        <w:tc>
          <w:tcPr>
            <w:tcW w:w="891" w:type="dxa"/>
            <w:shd w:val="clear" w:color="auto" w:fill="auto"/>
            <w:noWrap/>
            <w:vAlign w:val="center"/>
          </w:tcPr>
          <w:p w14:paraId="40EDCFD8">
            <w:pPr>
              <w:widowControl/>
              <w:jc w:val="center"/>
              <w:rPr>
                <w:rFonts w:ascii="Times New Roman" w:hAnsi="Times New Roman"/>
                <w:kern w:val="0"/>
                <w:sz w:val="18"/>
                <w:szCs w:val="18"/>
              </w:rPr>
            </w:pPr>
            <w:r>
              <w:rPr>
                <w:rFonts w:ascii="Times New Roman" w:hAnsi="Times New Roman" w:eastAsia="等线"/>
                <w:sz w:val="18"/>
                <w:szCs w:val="18"/>
                <w:u w:val="single"/>
              </w:rPr>
              <w:t>3224.61</w:t>
            </w:r>
          </w:p>
        </w:tc>
      </w:tr>
      <w:tr w14:paraId="33A82C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578" w:type="dxa"/>
            <w:shd w:val="clear" w:color="auto" w:fill="auto"/>
            <w:noWrap/>
            <w:vAlign w:val="center"/>
          </w:tcPr>
          <w:p w14:paraId="301E1354">
            <w:pPr>
              <w:widowControl/>
              <w:jc w:val="center"/>
              <w:rPr>
                <w:rFonts w:ascii="Times New Roman" w:hAnsi="Times New Roman"/>
                <w:kern w:val="0"/>
                <w:sz w:val="18"/>
                <w:szCs w:val="18"/>
              </w:rPr>
            </w:pPr>
          </w:p>
        </w:tc>
        <w:tc>
          <w:tcPr>
            <w:tcW w:w="939" w:type="dxa"/>
            <w:shd w:val="clear" w:color="auto" w:fill="auto"/>
            <w:noWrap/>
            <w:vAlign w:val="center"/>
          </w:tcPr>
          <w:p w14:paraId="0CD83E08">
            <w:pPr>
              <w:widowControl/>
              <w:jc w:val="center"/>
              <w:rPr>
                <w:rFonts w:ascii="Times New Roman" w:hAnsi="Times New Roman"/>
                <w:kern w:val="0"/>
                <w:sz w:val="18"/>
                <w:szCs w:val="18"/>
              </w:rPr>
            </w:pPr>
            <w:r>
              <w:rPr>
                <w:rFonts w:ascii="Times New Roman" w:hAnsi="Times New Roman"/>
                <w:kern w:val="0"/>
                <w:sz w:val="18"/>
                <w:szCs w:val="18"/>
              </w:rPr>
              <w:t>合计</w:t>
            </w:r>
          </w:p>
        </w:tc>
        <w:tc>
          <w:tcPr>
            <w:tcW w:w="1431" w:type="dxa"/>
            <w:shd w:val="clear" w:color="auto" w:fill="auto"/>
            <w:noWrap/>
            <w:vAlign w:val="center"/>
          </w:tcPr>
          <w:p w14:paraId="5ED07B71">
            <w:pPr>
              <w:widowControl/>
              <w:jc w:val="center"/>
              <w:rPr>
                <w:rFonts w:ascii="Times New Roman" w:hAnsi="Times New Roman"/>
                <w:kern w:val="0"/>
                <w:sz w:val="18"/>
                <w:szCs w:val="18"/>
                <w:u w:val="single"/>
              </w:rPr>
            </w:pPr>
            <w:r>
              <w:rPr>
                <w:rFonts w:hint="eastAsia" w:ascii="Times New Roman" w:hAnsi="Times New Roman" w:eastAsia="等线"/>
                <w:sz w:val="18"/>
                <w:szCs w:val="18"/>
                <w:u w:val="single"/>
              </w:rPr>
              <w:t>24</w:t>
            </w:r>
            <w:r>
              <w:rPr>
                <w:rFonts w:ascii="Times New Roman" w:hAnsi="Times New Roman" w:eastAsia="等线"/>
                <w:sz w:val="18"/>
                <w:szCs w:val="18"/>
                <w:u w:val="single"/>
              </w:rPr>
              <w:t>0000</w:t>
            </w:r>
          </w:p>
        </w:tc>
        <w:tc>
          <w:tcPr>
            <w:tcW w:w="621" w:type="dxa"/>
            <w:shd w:val="clear" w:color="auto" w:fill="auto"/>
            <w:noWrap/>
            <w:vAlign w:val="center"/>
          </w:tcPr>
          <w:p w14:paraId="7F1C8346">
            <w:pPr>
              <w:widowControl/>
              <w:jc w:val="center"/>
              <w:rPr>
                <w:rFonts w:ascii="Times New Roman" w:hAnsi="Times New Roman"/>
                <w:kern w:val="0"/>
                <w:sz w:val="18"/>
                <w:szCs w:val="18"/>
              </w:rPr>
            </w:pPr>
          </w:p>
        </w:tc>
        <w:tc>
          <w:tcPr>
            <w:tcW w:w="891" w:type="dxa"/>
            <w:shd w:val="clear" w:color="auto" w:fill="auto"/>
            <w:noWrap/>
            <w:vAlign w:val="center"/>
          </w:tcPr>
          <w:p w14:paraId="03E523D9">
            <w:pPr>
              <w:widowControl/>
              <w:jc w:val="center"/>
              <w:rPr>
                <w:rFonts w:ascii="Times New Roman" w:hAnsi="Times New Roman"/>
                <w:kern w:val="0"/>
                <w:sz w:val="18"/>
                <w:szCs w:val="18"/>
              </w:rPr>
            </w:pPr>
            <w:r>
              <w:rPr>
                <w:rFonts w:ascii="Times New Roman" w:hAnsi="Times New Roman" w:eastAsia="等线"/>
                <w:sz w:val="18"/>
                <w:szCs w:val="18"/>
                <w:u w:val="single"/>
              </w:rPr>
              <w:t>48433.59</w:t>
            </w:r>
          </w:p>
        </w:tc>
        <w:tc>
          <w:tcPr>
            <w:tcW w:w="621" w:type="dxa"/>
            <w:shd w:val="clear" w:color="auto" w:fill="auto"/>
            <w:noWrap/>
            <w:vAlign w:val="center"/>
          </w:tcPr>
          <w:p w14:paraId="089CE26C">
            <w:pPr>
              <w:widowControl/>
              <w:jc w:val="center"/>
              <w:rPr>
                <w:rFonts w:ascii="Times New Roman" w:hAnsi="Times New Roman"/>
                <w:kern w:val="0"/>
                <w:sz w:val="18"/>
                <w:szCs w:val="18"/>
              </w:rPr>
            </w:pPr>
          </w:p>
        </w:tc>
        <w:tc>
          <w:tcPr>
            <w:tcW w:w="891" w:type="dxa"/>
            <w:shd w:val="clear" w:color="auto" w:fill="auto"/>
            <w:noWrap/>
            <w:vAlign w:val="center"/>
          </w:tcPr>
          <w:p w14:paraId="05A7119E">
            <w:pPr>
              <w:widowControl/>
              <w:jc w:val="center"/>
              <w:rPr>
                <w:rFonts w:ascii="Times New Roman" w:hAnsi="Times New Roman"/>
                <w:kern w:val="0"/>
                <w:sz w:val="18"/>
                <w:szCs w:val="18"/>
              </w:rPr>
            </w:pPr>
            <w:r>
              <w:rPr>
                <w:rFonts w:ascii="Times New Roman" w:hAnsi="Times New Roman" w:eastAsia="等线"/>
                <w:sz w:val="18"/>
                <w:szCs w:val="18"/>
                <w:u w:val="single"/>
              </w:rPr>
              <w:t>60345.76</w:t>
            </w:r>
          </w:p>
        </w:tc>
        <w:tc>
          <w:tcPr>
            <w:tcW w:w="578" w:type="dxa"/>
            <w:shd w:val="clear" w:color="auto" w:fill="auto"/>
            <w:noWrap/>
            <w:vAlign w:val="center"/>
          </w:tcPr>
          <w:p w14:paraId="755B9FB4">
            <w:pPr>
              <w:widowControl/>
              <w:jc w:val="center"/>
              <w:rPr>
                <w:rFonts w:ascii="Times New Roman" w:hAnsi="Times New Roman"/>
                <w:kern w:val="0"/>
                <w:sz w:val="18"/>
                <w:szCs w:val="18"/>
              </w:rPr>
            </w:pPr>
          </w:p>
        </w:tc>
        <w:tc>
          <w:tcPr>
            <w:tcW w:w="801" w:type="dxa"/>
            <w:shd w:val="clear" w:color="auto" w:fill="auto"/>
            <w:noWrap/>
            <w:vAlign w:val="center"/>
          </w:tcPr>
          <w:p w14:paraId="570ABD44">
            <w:pPr>
              <w:widowControl/>
              <w:jc w:val="center"/>
              <w:rPr>
                <w:rFonts w:ascii="Times New Roman" w:hAnsi="Times New Roman"/>
                <w:kern w:val="0"/>
                <w:sz w:val="18"/>
                <w:szCs w:val="18"/>
              </w:rPr>
            </w:pPr>
            <w:r>
              <w:rPr>
                <w:rFonts w:ascii="Times New Roman" w:hAnsi="Times New Roman" w:eastAsia="等线"/>
                <w:sz w:val="18"/>
                <w:szCs w:val="18"/>
                <w:u w:val="single"/>
              </w:rPr>
              <w:t>2585.59</w:t>
            </w:r>
          </w:p>
        </w:tc>
        <w:tc>
          <w:tcPr>
            <w:tcW w:w="621" w:type="dxa"/>
            <w:shd w:val="clear" w:color="auto" w:fill="auto"/>
            <w:noWrap/>
            <w:vAlign w:val="center"/>
          </w:tcPr>
          <w:p w14:paraId="520BC3BA">
            <w:pPr>
              <w:widowControl/>
              <w:jc w:val="center"/>
              <w:rPr>
                <w:rFonts w:ascii="Times New Roman" w:hAnsi="Times New Roman"/>
                <w:kern w:val="0"/>
                <w:sz w:val="18"/>
                <w:szCs w:val="18"/>
              </w:rPr>
            </w:pPr>
          </w:p>
        </w:tc>
        <w:tc>
          <w:tcPr>
            <w:tcW w:w="891" w:type="dxa"/>
            <w:shd w:val="clear" w:color="auto" w:fill="auto"/>
            <w:noWrap/>
            <w:vAlign w:val="center"/>
          </w:tcPr>
          <w:p w14:paraId="2860913C">
            <w:pPr>
              <w:widowControl/>
              <w:jc w:val="center"/>
              <w:rPr>
                <w:rFonts w:ascii="Times New Roman" w:hAnsi="Times New Roman"/>
                <w:kern w:val="0"/>
                <w:sz w:val="18"/>
                <w:szCs w:val="18"/>
              </w:rPr>
            </w:pPr>
            <w:r>
              <w:rPr>
                <w:rFonts w:ascii="Times New Roman" w:hAnsi="Times New Roman" w:eastAsia="等线"/>
                <w:sz w:val="18"/>
                <w:szCs w:val="18"/>
                <w:u w:val="single"/>
              </w:rPr>
              <w:t>22577.72</w:t>
            </w:r>
          </w:p>
        </w:tc>
        <w:tc>
          <w:tcPr>
            <w:tcW w:w="711" w:type="dxa"/>
            <w:shd w:val="clear" w:color="auto" w:fill="auto"/>
            <w:noWrap/>
            <w:vAlign w:val="center"/>
          </w:tcPr>
          <w:p w14:paraId="1BB07C65">
            <w:pPr>
              <w:widowControl/>
              <w:jc w:val="center"/>
              <w:rPr>
                <w:rFonts w:ascii="Times New Roman" w:hAnsi="Times New Roman"/>
                <w:kern w:val="0"/>
                <w:sz w:val="18"/>
                <w:szCs w:val="18"/>
              </w:rPr>
            </w:pPr>
          </w:p>
        </w:tc>
        <w:tc>
          <w:tcPr>
            <w:tcW w:w="621" w:type="dxa"/>
            <w:shd w:val="clear" w:color="auto" w:fill="auto"/>
            <w:noWrap/>
            <w:vAlign w:val="center"/>
          </w:tcPr>
          <w:p w14:paraId="5CA1011C">
            <w:pPr>
              <w:widowControl/>
              <w:jc w:val="center"/>
              <w:rPr>
                <w:rFonts w:ascii="Times New Roman" w:hAnsi="Times New Roman"/>
                <w:kern w:val="0"/>
                <w:sz w:val="18"/>
                <w:szCs w:val="18"/>
              </w:rPr>
            </w:pPr>
            <w:r>
              <w:rPr>
                <w:rFonts w:ascii="Times New Roman" w:hAnsi="Times New Roman" w:eastAsia="等线"/>
                <w:sz w:val="18"/>
                <w:szCs w:val="18"/>
                <w:u w:val="single"/>
              </w:rPr>
              <w:t>11.54</w:t>
            </w:r>
          </w:p>
        </w:tc>
        <w:tc>
          <w:tcPr>
            <w:tcW w:w="578" w:type="dxa"/>
            <w:shd w:val="clear" w:color="auto" w:fill="auto"/>
            <w:noWrap/>
            <w:vAlign w:val="center"/>
          </w:tcPr>
          <w:p w14:paraId="27B487E2">
            <w:pPr>
              <w:widowControl/>
              <w:jc w:val="center"/>
              <w:rPr>
                <w:rFonts w:ascii="Times New Roman" w:hAnsi="Times New Roman"/>
                <w:kern w:val="0"/>
                <w:sz w:val="18"/>
                <w:szCs w:val="18"/>
              </w:rPr>
            </w:pPr>
          </w:p>
        </w:tc>
        <w:tc>
          <w:tcPr>
            <w:tcW w:w="694" w:type="dxa"/>
            <w:shd w:val="clear" w:color="auto" w:fill="auto"/>
            <w:noWrap/>
            <w:vAlign w:val="center"/>
          </w:tcPr>
          <w:p w14:paraId="53CDB47B">
            <w:pPr>
              <w:widowControl/>
              <w:jc w:val="center"/>
              <w:rPr>
                <w:rFonts w:ascii="Times New Roman" w:hAnsi="Times New Roman"/>
                <w:kern w:val="0"/>
                <w:sz w:val="18"/>
                <w:szCs w:val="18"/>
              </w:rPr>
            </w:pPr>
            <w:r>
              <w:rPr>
                <w:rFonts w:ascii="Times New Roman" w:hAnsi="Times New Roman" w:eastAsia="等线"/>
                <w:sz w:val="18"/>
                <w:szCs w:val="18"/>
                <w:u w:val="single"/>
              </w:rPr>
              <w:t>969.6</w:t>
            </w:r>
          </w:p>
        </w:tc>
        <w:tc>
          <w:tcPr>
            <w:tcW w:w="567" w:type="dxa"/>
            <w:shd w:val="clear" w:color="auto" w:fill="auto"/>
            <w:noWrap/>
            <w:vAlign w:val="center"/>
          </w:tcPr>
          <w:p w14:paraId="1591A22F">
            <w:pPr>
              <w:widowControl/>
              <w:jc w:val="center"/>
              <w:rPr>
                <w:rFonts w:ascii="Times New Roman" w:hAnsi="Times New Roman"/>
                <w:kern w:val="0"/>
                <w:sz w:val="18"/>
                <w:szCs w:val="18"/>
              </w:rPr>
            </w:pPr>
          </w:p>
        </w:tc>
        <w:tc>
          <w:tcPr>
            <w:tcW w:w="739" w:type="dxa"/>
            <w:shd w:val="clear" w:color="auto" w:fill="auto"/>
            <w:noWrap/>
            <w:vAlign w:val="center"/>
          </w:tcPr>
          <w:p w14:paraId="0F07B434">
            <w:pPr>
              <w:widowControl/>
              <w:jc w:val="center"/>
              <w:rPr>
                <w:rFonts w:ascii="Times New Roman" w:hAnsi="Times New Roman"/>
                <w:kern w:val="0"/>
                <w:sz w:val="18"/>
                <w:szCs w:val="18"/>
              </w:rPr>
            </w:pPr>
            <w:r>
              <w:rPr>
                <w:rFonts w:ascii="Times New Roman" w:hAnsi="Times New Roman" w:eastAsia="等线"/>
                <w:sz w:val="18"/>
                <w:szCs w:val="18"/>
                <w:u w:val="single"/>
              </w:rPr>
              <w:t>161.6</w:t>
            </w:r>
          </w:p>
        </w:tc>
        <w:tc>
          <w:tcPr>
            <w:tcW w:w="801" w:type="dxa"/>
            <w:shd w:val="clear" w:color="auto" w:fill="auto"/>
            <w:noWrap/>
            <w:vAlign w:val="center"/>
          </w:tcPr>
          <w:p w14:paraId="3598DB2D">
            <w:pPr>
              <w:widowControl/>
              <w:jc w:val="center"/>
              <w:rPr>
                <w:rFonts w:ascii="Times New Roman" w:hAnsi="Times New Roman"/>
                <w:kern w:val="0"/>
                <w:sz w:val="18"/>
                <w:szCs w:val="18"/>
              </w:rPr>
            </w:pPr>
          </w:p>
        </w:tc>
        <w:tc>
          <w:tcPr>
            <w:tcW w:w="981" w:type="dxa"/>
            <w:shd w:val="clear" w:color="auto" w:fill="auto"/>
            <w:noWrap/>
            <w:vAlign w:val="center"/>
          </w:tcPr>
          <w:p w14:paraId="441D0E3C">
            <w:pPr>
              <w:widowControl/>
              <w:jc w:val="center"/>
              <w:rPr>
                <w:rFonts w:ascii="Times New Roman" w:hAnsi="Times New Roman"/>
                <w:kern w:val="0"/>
                <w:sz w:val="18"/>
                <w:szCs w:val="18"/>
              </w:rPr>
            </w:pPr>
            <w:r>
              <w:rPr>
                <w:rFonts w:ascii="Times New Roman" w:hAnsi="Times New Roman" w:eastAsia="等线"/>
                <w:sz w:val="18"/>
                <w:szCs w:val="18"/>
                <w:u w:val="single"/>
              </w:rPr>
              <w:t>95770.6</w:t>
            </w:r>
          </w:p>
        </w:tc>
        <w:tc>
          <w:tcPr>
            <w:tcW w:w="621" w:type="dxa"/>
            <w:shd w:val="clear" w:color="auto" w:fill="auto"/>
            <w:noWrap/>
            <w:vAlign w:val="center"/>
          </w:tcPr>
          <w:p w14:paraId="29B7F92D">
            <w:pPr>
              <w:widowControl/>
              <w:jc w:val="center"/>
              <w:rPr>
                <w:rFonts w:ascii="Times New Roman" w:hAnsi="Times New Roman"/>
                <w:kern w:val="0"/>
                <w:sz w:val="18"/>
                <w:szCs w:val="18"/>
              </w:rPr>
            </w:pPr>
          </w:p>
        </w:tc>
        <w:tc>
          <w:tcPr>
            <w:tcW w:w="891" w:type="dxa"/>
            <w:shd w:val="clear" w:color="auto" w:fill="auto"/>
            <w:noWrap/>
            <w:vAlign w:val="center"/>
          </w:tcPr>
          <w:p w14:paraId="11DF03F9">
            <w:pPr>
              <w:widowControl/>
              <w:jc w:val="center"/>
              <w:rPr>
                <w:rFonts w:ascii="Times New Roman" w:hAnsi="Times New Roman"/>
                <w:kern w:val="0"/>
                <w:sz w:val="18"/>
                <w:szCs w:val="18"/>
              </w:rPr>
            </w:pPr>
            <w:r>
              <w:rPr>
                <w:rFonts w:ascii="Times New Roman" w:hAnsi="Times New Roman" w:eastAsia="等线"/>
                <w:sz w:val="18"/>
                <w:szCs w:val="18"/>
                <w:u w:val="single"/>
              </w:rPr>
              <w:t>9144</w:t>
            </w:r>
          </w:p>
        </w:tc>
      </w:tr>
      <w:bookmarkEnd w:id="105"/>
    </w:tbl>
    <w:p w14:paraId="55AD7702">
      <w:pPr>
        <w:spacing w:line="360" w:lineRule="auto"/>
        <w:ind w:firstLine="472" w:firstLineChars="200"/>
        <w:rPr>
          <w:rFonts w:ascii="Times New Roman" w:hAnsi="Times New Roman"/>
          <w:spacing w:val="-2"/>
          <w:kern w:val="0"/>
          <w:sz w:val="24"/>
          <w:szCs w:val="24"/>
        </w:rPr>
      </w:pPr>
    </w:p>
    <w:p w14:paraId="7ABB7498">
      <w:pPr>
        <w:spacing w:line="360" w:lineRule="auto"/>
        <w:ind w:firstLine="472" w:firstLineChars="200"/>
        <w:rPr>
          <w:rFonts w:ascii="Times New Roman" w:hAnsi="Times New Roman"/>
          <w:spacing w:val="-2"/>
          <w:kern w:val="0"/>
          <w:sz w:val="24"/>
          <w:szCs w:val="24"/>
        </w:rPr>
      </w:pPr>
    </w:p>
    <w:p w14:paraId="0474E881">
      <w:pPr>
        <w:spacing w:line="360" w:lineRule="auto"/>
        <w:ind w:firstLine="472" w:firstLineChars="200"/>
        <w:rPr>
          <w:rFonts w:ascii="Times New Roman" w:hAnsi="Times New Roman"/>
          <w:spacing w:val="-2"/>
          <w:kern w:val="0"/>
          <w:sz w:val="24"/>
          <w:szCs w:val="24"/>
        </w:rPr>
      </w:pPr>
    </w:p>
    <w:p w14:paraId="140844F4">
      <w:pPr>
        <w:spacing w:line="360" w:lineRule="auto"/>
        <w:ind w:firstLine="472" w:firstLineChars="200"/>
        <w:rPr>
          <w:rFonts w:ascii="Times New Roman" w:hAnsi="Times New Roman"/>
          <w:spacing w:val="-2"/>
          <w:kern w:val="0"/>
          <w:sz w:val="24"/>
          <w:szCs w:val="24"/>
        </w:rPr>
      </w:pPr>
    </w:p>
    <w:p w14:paraId="1C49FEF0">
      <w:pPr>
        <w:spacing w:line="360" w:lineRule="auto"/>
        <w:ind w:firstLine="472" w:firstLineChars="200"/>
        <w:rPr>
          <w:rFonts w:ascii="Times New Roman" w:hAnsi="Times New Roman"/>
          <w:spacing w:val="-2"/>
          <w:kern w:val="0"/>
          <w:sz w:val="24"/>
          <w:szCs w:val="24"/>
        </w:rPr>
      </w:pPr>
    </w:p>
    <w:p w14:paraId="5DC5FCCD">
      <w:pPr>
        <w:spacing w:line="360" w:lineRule="auto"/>
        <w:ind w:firstLine="472" w:firstLineChars="200"/>
        <w:rPr>
          <w:rFonts w:ascii="Times New Roman" w:hAnsi="Times New Roman"/>
          <w:spacing w:val="-2"/>
          <w:kern w:val="0"/>
          <w:sz w:val="24"/>
          <w:szCs w:val="24"/>
        </w:rPr>
      </w:pPr>
    </w:p>
    <w:p w14:paraId="0F80267B">
      <w:pPr>
        <w:spacing w:line="360" w:lineRule="auto"/>
        <w:ind w:firstLine="472" w:firstLineChars="200"/>
        <w:rPr>
          <w:rFonts w:ascii="Times New Roman" w:hAnsi="Times New Roman"/>
          <w:spacing w:val="-2"/>
          <w:kern w:val="0"/>
          <w:sz w:val="24"/>
          <w:szCs w:val="24"/>
        </w:rPr>
        <w:sectPr>
          <w:pgSz w:w="16838" w:h="11906" w:orient="landscape"/>
          <w:pgMar w:top="1418" w:right="1418" w:bottom="1418" w:left="1418" w:header="851" w:footer="737" w:gutter="0"/>
          <w:cols w:space="720" w:num="1"/>
          <w:docGrid w:linePitch="381" w:charSpace="0"/>
        </w:sectPr>
      </w:pPr>
    </w:p>
    <w:p w14:paraId="425106A3">
      <w:pPr>
        <w:spacing w:line="360" w:lineRule="auto"/>
        <w:jc w:val="center"/>
        <w:rPr>
          <w:rFonts w:ascii="Times New Roman" w:hAnsi="Times New Roman"/>
          <w:spacing w:val="-2"/>
          <w:kern w:val="0"/>
          <w:sz w:val="24"/>
          <w:szCs w:val="24"/>
        </w:rPr>
      </w:pPr>
    </w:p>
    <w:tbl>
      <w:tblPr>
        <w:tblStyle w:val="89"/>
        <w:tblW w:w="852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61"/>
        <w:gridCol w:w="4261"/>
      </w:tblGrid>
      <w:tr w14:paraId="2F5CCE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61" w:type="dxa"/>
            <w:vAlign w:val="center"/>
          </w:tcPr>
          <w:p w14:paraId="39787FC5">
            <w:pPr>
              <w:spacing w:line="360" w:lineRule="auto"/>
              <w:jc w:val="center"/>
              <w:rPr>
                <w:rFonts w:ascii="Times New Roman" w:hAnsi="Times New Roman"/>
                <w:spacing w:val="-2"/>
                <w:kern w:val="0"/>
                <w:sz w:val="24"/>
                <w:szCs w:val="24"/>
              </w:rPr>
            </w:pPr>
          </w:p>
          <w:p w14:paraId="5ECA7943">
            <w:pPr>
              <w:spacing w:line="360" w:lineRule="auto"/>
              <w:jc w:val="center"/>
              <w:rPr>
                <w:rFonts w:ascii="Times New Roman" w:hAnsi="Times New Roman"/>
                <w:spacing w:val="-2"/>
                <w:kern w:val="0"/>
                <w:sz w:val="24"/>
                <w:szCs w:val="24"/>
              </w:rPr>
            </w:pPr>
            <w:r>
              <w:rPr>
                <w:rFonts w:ascii="Times New Roman" w:hAnsi="Times New Roman"/>
                <w:spacing w:val="-2"/>
                <w:kern w:val="0"/>
                <w:sz w:val="24"/>
                <w:szCs w:val="24"/>
              </w:rPr>
              <mc:AlternateContent>
                <mc:Choice Requires="wpc">
                  <w:drawing>
                    <wp:inline distT="0" distB="0" distL="0" distR="0">
                      <wp:extent cx="2398395" cy="1796415"/>
                      <wp:effectExtent l="0" t="0" r="0" b="0"/>
                      <wp:docPr id="211" name="画布 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12" name="矩形 21"/>
                              <wps:cNvSpPr>
                                <a:spLocks noChangeArrowheads="1"/>
                              </wps:cNvSpPr>
                              <wps:spPr bwMode="auto">
                                <a:xfrm>
                                  <a:off x="235200" y="27199"/>
                                  <a:ext cx="799998" cy="489586"/>
                                </a:xfrm>
                                <a:prstGeom prst="rect">
                                  <a:avLst/>
                                </a:prstGeom>
                                <a:solidFill>
                                  <a:srgbClr val="FFFFFF"/>
                                </a:solidFill>
                                <a:ln>
                                  <a:noFill/>
                                </a:ln>
                                <a:effectLst/>
                              </wps:spPr>
                              <wps:txbx>
                                <w:txbxContent>
                                  <w:p w14:paraId="439C34C6">
                                    <w:pPr>
                                      <w:jc w:val="center"/>
                                    </w:pPr>
                                    <w:r>
                                      <w:rPr>
                                        <w:rFonts w:hint="eastAsia"/>
                                      </w:rPr>
                                      <w:t>原料毛矿</w:t>
                                    </w:r>
                                  </w:p>
                                  <w:p w14:paraId="5AA15816">
                                    <w:pPr>
                                      <w:jc w:val="center"/>
                                    </w:pPr>
                                    <w:r>
                                      <w:rPr>
                                        <w:rFonts w:hint="eastAsia"/>
                                      </w:rPr>
                                      <w:t>240000</w:t>
                                    </w:r>
                                  </w:p>
                                </w:txbxContent>
                              </wps:txbx>
                              <wps:bodyPr rot="0" vert="horz" wrap="square" lIns="91440" tIns="45720" rIns="91440" bIns="45720" anchor="t" anchorCtr="0" upright="1">
                                <a:noAutofit/>
                              </wps:bodyPr>
                            </wps:wsp>
                            <wps:wsp>
                              <wps:cNvPr id="213" name="自选图形 58"/>
                              <wps:cNvCnPr>
                                <a:cxnSpLocks noChangeShapeType="1"/>
                              </wps:cNvCnPr>
                              <wps:spPr bwMode="auto">
                                <a:xfrm>
                                  <a:off x="635199" y="516785"/>
                                  <a:ext cx="0" cy="117597"/>
                                </a:xfrm>
                                <a:prstGeom prst="straightConnector1">
                                  <a:avLst/>
                                </a:prstGeom>
                                <a:noFill/>
                                <a:ln w="9525" cmpd="sng">
                                  <a:solidFill>
                                    <a:srgbClr val="000000"/>
                                  </a:solidFill>
                                  <a:miter lim="800000"/>
                                  <a:tailEnd type="arrow" w="med" len="med"/>
                                </a:ln>
                                <a:effectLst/>
                              </wps:spPr>
                              <wps:bodyPr/>
                            </wps:wsp>
                            <wps:wsp>
                              <wps:cNvPr id="214" name="自选图形 61"/>
                              <wps:cNvCnPr>
                                <a:cxnSpLocks noChangeShapeType="1"/>
                              </wps:cNvCnPr>
                              <wps:spPr bwMode="auto">
                                <a:xfrm rot="5400000">
                                  <a:off x="377825" y="1048385"/>
                                  <a:ext cx="370840" cy="146685"/>
                                </a:xfrm>
                                <a:prstGeom prst="bentConnector3">
                                  <a:avLst>
                                    <a:gd name="adj1" fmla="val 49914"/>
                                  </a:avLst>
                                </a:prstGeom>
                                <a:noFill/>
                                <a:ln w="9525" cmpd="sng">
                                  <a:solidFill>
                                    <a:srgbClr val="000000"/>
                                  </a:solidFill>
                                  <a:miter lim="800000"/>
                                  <a:tailEnd type="arrow" w="med" len="med"/>
                                </a:ln>
                                <a:effectLst/>
                              </wps:spPr>
                              <wps:bodyPr/>
                            </wps:wsp>
                            <wps:wsp>
                              <wps:cNvPr id="215" name="自选图形 62"/>
                              <wps:cNvCnPr>
                                <a:cxnSpLocks noChangeShapeType="1"/>
                              </wps:cNvCnPr>
                              <wps:spPr bwMode="auto">
                                <a:xfrm rot="5400000" flipV="1">
                                  <a:off x="732155" y="840740"/>
                                  <a:ext cx="374015" cy="565150"/>
                                </a:xfrm>
                                <a:prstGeom prst="bentConnector3">
                                  <a:avLst>
                                    <a:gd name="adj1" fmla="val 50000"/>
                                  </a:avLst>
                                </a:prstGeom>
                                <a:noFill/>
                                <a:ln w="9525" cmpd="sng">
                                  <a:solidFill>
                                    <a:srgbClr val="000000"/>
                                  </a:solidFill>
                                  <a:miter lim="800000"/>
                                  <a:tailEnd type="arrow" w="med" len="med"/>
                                </a:ln>
                                <a:effectLst/>
                              </wps:spPr>
                              <wps:bodyPr/>
                            </wps:wsp>
                            <wps:wsp>
                              <wps:cNvPr id="216" name="矩形 68"/>
                              <wps:cNvSpPr>
                                <a:spLocks noChangeArrowheads="1"/>
                              </wps:cNvSpPr>
                              <wps:spPr bwMode="auto">
                                <a:xfrm>
                                  <a:off x="19050" y="1306830"/>
                                  <a:ext cx="940435" cy="502920"/>
                                </a:xfrm>
                                <a:prstGeom prst="rect">
                                  <a:avLst/>
                                </a:prstGeom>
                                <a:noFill/>
                                <a:ln>
                                  <a:noFill/>
                                </a:ln>
                                <a:effectLst/>
                              </wps:spPr>
                              <wps:txbx>
                                <w:txbxContent>
                                  <w:p w14:paraId="43B86B5A">
                                    <w:pPr>
                                      <w:jc w:val="center"/>
                                    </w:pPr>
                                    <w:r>
                                      <w:rPr>
                                        <w:rFonts w:hint="eastAsia"/>
                                      </w:rPr>
                                      <w:t>钛铁精矿</w:t>
                                    </w:r>
                                  </w:p>
                                  <w:p w14:paraId="14FB44AC">
                                    <w:pPr>
                                      <w:jc w:val="center"/>
                                    </w:pPr>
                                    <w:r>
                                      <w:rPr>
                                        <w:rFonts w:hint="eastAsia"/>
                                      </w:rPr>
                                      <w:t>165000</w:t>
                                    </w:r>
                                  </w:p>
                                </w:txbxContent>
                              </wps:txbx>
                              <wps:bodyPr rot="0" vert="horz" wrap="square" lIns="91440" tIns="45720" rIns="91440" bIns="45720" anchor="t" anchorCtr="0" upright="1">
                                <a:noAutofit/>
                              </wps:bodyPr>
                            </wps:wsp>
                            <wps:wsp>
                              <wps:cNvPr id="217" name="矩形 69"/>
                              <wps:cNvSpPr>
                                <a:spLocks noChangeArrowheads="1"/>
                              </wps:cNvSpPr>
                              <wps:spPr bwMode="auto">
                                <a:xfrm>
                                  <a:off x="814705" y="1310005"/>
                                  <a:ext cx="772795" cy="471170"/>
                                </a:xfrm>
                                <a:prstGeom prst="rect">
                                  <a:avLst/>
                                </a:prstGeom>
                                <a:noFill/>
                                <a:ln>
                                  <a:noFill/>
                                </a:ln>
                                <a:effectLst/>
                              </wps:spPr>
                              <wps:txbx>
                                <w:txbxContent>
                                  <w:p w14:paraId="675E485A">
                                    <w:pPr>
                                      <w:jc w:val="center"/>
                                    </w:pPr>
                                    <w:r>
                                      <w:rPr>
                                        <w:rFonts w:hint="eastAsia"/>
                                      </w:rPr>
                                      <w:t>锆中矿</w:t>
                                    </w:r>
                                  </w:p>
                                  <w:p w14:paraId="270A983D">
                                    <w:pPr>
                                      <w:jc w:val="center"/>
                                    </w:pPr>
                                    <w:r>
                                      <w:rPr>
                                        <w:rFonts w:hint="eastAsia"/>
                                      </w:rPr>
                                      <w:t>71769.9</w:t>
                                    </w:r>
                                  </w:p>
                                </w:txbxContent>
                              </wps:txbx>
                              <wps:bodyPr rot="0" vert="horz" wrap="square" lIns="91440" tIns="45720" rIns="91440" bIns="45720" anchor="t" anchorCtr="0" upright="1">
                                <a:noAutofit/>
                              </wps:bodyPr>
                            </wps:wsp>
                            <wps:wsp>
                              <wps:cNvPr id="218" name="自选图形 74"/>
                              <wps:cNvCnPr>
                                <a:cxnSpLocks noChangeShapeType="1"/>
                              </wps:cNvCnPr>
                              <wps:spPr bwMode="auto">
                                <a:xfrm flipV="1">
                                  <a:off x="951998" y="347190"/>
                                  <a:ext cx="303999" cy="292791"/>
                                </a:xfrm>
                                <a:prstGeom prst="curvedConnector3">
                                  <a:avLst>
                                    <a:gd name="adj1" fmla="val 50102"/>
                                  </a:avLst>
                                </a:prstGeom>
                                <a:noFill/>
                                <a:ln w="9525" cmpd="sng">
                                  <a:solidFill>
                                    <a:srgbClr val="000000"/>
                                  </a:solidFill>
                                  <a:prstDash val="dash"/>
                                  <a:miter lim="800000"/>
                                  <a:tailEnd type="arrow" w="med" len="med"/>
                                </a:ln>
                                <a:effectLst/>
                              </wps:spPr>
                              <wps:bodyPr/>
                            </wps:wsp>
                            <wps:wsp>
                              <wps:cNvPr id="219" name="自选图形 76"/>
                              <wps:cNvCnPr>
                                <a:cxnSpLocks noChangeShapeType="1"/>
                              </wps:cNvCnPr>
                              <wps:spPr bwMode="auto">
                                <a:xfrm>
                                  <a:off x="1104265" y="781685"/>
                                  <a:ext cx="396875" cy="26035"/>
                                </a:xfrm>
                                <a:prstGeom prst="curvedConnector3">
                                  <a:avLst>
                                    <a:gd name="adj1" fmla="val 50080"/>
                                  </a:avLst>
                                </a:prstGeom>
                                <a:noFill/>
                                <a:ln w="9525" cmpd="sng">
                                  <a:solidFill>
                                    <a:srgbClr val="000000"/>
                                  </a:solidFill>
                                  <a:prstDash val="dash"/>
                                  <a:miter lim="800000"/>
                                  <a:tailEnd type="arrow" w="med" len="med"/>
                                </a:ln>
                                <a:effectLst/>
                              </wps:spPr>
                              <wps:bodyPr/>
                            </wps:wsp>
                            <wps:wsp>
                              <wps:cNvPr id="220" name="矩形 86"/>
                              <wps:cNvSpPr>
                                <a:spLocks noChangeArrowheads="1"/>
                              </wps:cNvSpPr>
                              <wps:spPr bwMode="auto">
                                <a:xfrm>
                                  <a:off x="165100" y="634365"/>
                                  <a:ext cx="939165" cy="294640"/>
                                </a:xfrm>
                                <a:prstGeom prst="rect">
                                  <a:avLst/>
                                </a:prstGeom>
                                <a:solidFill>
                                  <a:srgbClr val="FFFFFF"/>
                                </a:solidFill>
                                <a:ln w="9525" cmpd="sng">
                                  <a:solidFill>
                                    <a:srgbClr val="000000"/>
                                  </a:solidFill>
                                  <a:miter lim="800000"/>
                                </a:ln>
                                <a:effectLst/>
                              </wps:spPr>
                              <wps:txbx>
                                <w:txbxContent>
                                  <w:p w14:paraId="120BEBF1">
                                    <w:pPr>
                                      <w:jc w:val="center"/>
                                    </w:pPr>
                                    <w:r>
                                      <w:rPr>
                                        <w:rFonts w:hint="eastAsia"/>
                                      </w:rPr>
                                      <w:t>烘干、磁选</w:t>
                                    </w:r>
                                  </w:p>
                                  <w:p w14:paraId="6E6731D3"/>
                                </w:txbxContent>
                              </wps:txbx>
                              <wps:bodyPr rot="0" vert="horz" wrap="square" lIns="91440" tIns="45720" rIns="91440" bIns="45720" anchor="t" anchorCtr="0" upright="1">
                                <a:noAutofit/>
                              </wps:bodyPr>
                            </wps:wsp>
                            <wps:wsp>
                              <wps:cNvPr id="221" name="矩形 92"/>
                              <wps:cNvSpPr>
                                <a:spLocks noChangeArrowheads="1"/>
                              </wps:cNvSpPr>
                              <wps:spPr bwMode="auto">
                                <a:xfrm>
                                  <a:off x="1128798" y="77598"/>
                                  <a:ext cx="775998" cy="456787"/>
                                </a:xfrm>
                                <a:prstGeom prst="rect">
                                  <a:avLst/>
                                </a:prstGeom>
                                <a:noFill/>
                                <a:ln>
                                  <a:noFill/>
                                </a:ln>
                                <a:effectLst/>
                              </wps:spPr>
                              <wps:txbx>
                                <w:txbxContent>
                                  <w:p w14:paraId="02215AE6">
                                    <w:pPr>
                                      <w:jc w:val="center"/>
                                    </w:pPr>
                                    <w:r>
                                      <w:rPr>
                                        <w:rFonts w:hint="eastAsia"/>
                                      </w:rPr>
                                      <w:t>水分</w:t>
                                    </w:r>
                                  </w:p>
                                  <w:p w14:paraId="54A8E858">
                                    <w:pPr>
                                      <w:jc w:val="center"/>
                                    </w:pPr>
                                    <w:r>
                                      <w:rPr>
                                        <w:rFonts w:hint="eastAsia"/>
                                      </w:rPr>
                                      <w:t>3224.61</w:t>
                                    </w:r>
                                  </w:p>
                                </w:txbxContent>
                              </wps:txbx>
                              <wps:bodyPr rot="0" vert="horz" wrap="square" lIns="91440" tIns="45720" rIns="91440" bIns="45720" anchor="t" anchorCtr="0" upright="1">
                                <a:noAutofit/>
                              </wps:bodyPr>
                            </wps:wsp>
                            <wps:wsp>
                              <wps:cNvPr id="222" name="矩形 95"/>
                              <wps:cNvSpPr>
                                <a:spLocks noChangeArrowheads="1"/>
                              </wps:cNvSpPr>
                              <wps:spPr bwMode="auto">
                                <a:xfrm>
                                  <a:off x="1501140" y="578485"/>
                                  <a:ext cx="774065" cy="457835"/>
                                </a:xfrm>
                                <a:prstGeom prst="rect">
                                  <a:avLst/>
                                </a:prstGeom>
                                <a:noFill/>
                                <a:ln>
                                  <a:noFill/>
                                </a:ln>
                                <a:effectLst/>
                              </wps:spPr>
                              <wps:txbx>
                                <w:txbxContent>
                                  <w:p w14:paraId="16198CA7">
                                    <w:pPr>
                                      <w:jc w:val="center"/>
                                    </w:pPr>
                                    <w:r>
                                      <w:rPr>
                                        <w:rFonts w:hint="eastAsia"/>
                                      </w:rPr>
                                      <w:t>车间粉尘</w:t>
                                    </w:r>
                                  </w:p>
                                  <w:p w14:paraId="6D3593BE">
                                    <w:pPr>
                                      <w:jc w:val="center"/>
                                    </w:pPr>
                                    <w:r>
                                      <w:rPr>
                                        <w:rFonts w:hint="eastAsia"/>
                                      </w:rPr>
                                      <w:t>5.49</w:t>
                                    </w:r>
                                  </w:p>
                                </w:txbxContent>
                              </wps:txbx>
                              <wps:bodyPr rot="0" vert="horz" wrap="square" lIns="91440" tIns="45720" rIns="91440" bIns="45720" anchor="t" anchorCtr="0" upright="1">
                                <a:noAutofit/>
                              </wps:bodyPr>
                            </wps:wsp>
                          </wpc:wpc>
                        </a:graphicData>
                      </a:graphic>
                    </wp:inline>
                  </w:drawing>
                </mc:Choice>
                <mc:Fallback>
                  <w:pict>
                    <v:group id="画布 15" o:spid="_x0000_s1026" o:spt="203" style="height:141.45pt;width:188.85pt;" coordsize="2398395,1796415" editas="canvas" o:gfxdata="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">
                      <o:lock v:ext="edit" aspectratio="f"/>
                      <v:shape id="画布 15" o:spid="_x0000_s1026" style="position:absolute;left:0;top:0;height:1796415;width:2398395;" filled="f" stroked="f" coordsize="21600,21600" o:gfxdata="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">
                        <v:fill on="f" focussize="0,0"/>
                        <v:stroke on="f"/>
                        <v:imagedata o:title=""/>
                        <o:lock v:ext="edit" aspectratio="t"/>
                      </v:shape>
                      <v:rect id="矩形 21" o:spid="_x0000_s1026" o:spt="1" style="position:absolute;left:235200;top:27199;height:489586;width:799998;" fillcolor="#FFFFFF" filled="t" stroked="f" coordsize="21600,21600" o:gfxdata="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ACTN3VAAAABQEAAA8AAAAAAAAAAQAgAAAAIgAAAGRycy9kb3ducmV2LnhtbFBLAQIU&#10;ABQAAAAIAIdO4kAsOxGzLwIAAEoEAAAOAAAAAAAAAAEAIAAAACQBAABkcnMvZTJvRG9jLnhtbFBL&#10;BQYAAAAABgAGAFkBAADFBQAAAAA=&#10;">
                        <v:fill on="t" focussize="0,0"/>
                        <v:stroke on="f"/>
                        <v:imagedata o:title=""/>
                        <o:lock v:ext="edit" aspectratio="f"/>
                        <v:textbox>
                          <w:txbxContent>
                            <w:p w14:paraId="439C34C6">
                              <w:pPr>
                                <w:jc w:val="center"/>
                              </w:pPr>
                              <w:r>
                                <w:rPr>
                                  <w:rFonts w:hint="eastAsia"/>
                                </w:rPr>
                                <w:t>原料毛矿</w:t>
                              </w:r>
                            </w:p>
                            <w:p w14:paraId="5AA15816">
                              <w:pPr>
                                <w:jc w:val="center"/>
                              </w:pPr>
                              <w:r>
                                <w:rPr>
                                  <w:rFonts w:hint="eastAsia"/>
                                </w:rPr>
                                <w:t>240000</w:t>
                              </w:r>
                            </w:p>
                          </w:txbxContent>
                        </v:textbox>
                      </v:rect>
                      <v:shape id="自选图形 58" o:spid="_x0000_s1026" o:spt="32" type="#_x0000_t32" style="position:absolute;left:635199;top:516785;height:117597;width:0;" filled="f" stroked="t" coordsize="21600,21600" o:gfxdata="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D8b2UDZAAAABQEAAA8AAAAAAAAAAQAgAAAAIgAAAGRycy9kb3ducmV2LnhtbFBLAQIUABQAAAAI&#10;AIdO4kBsXc5GJQIAABIEAAAOAAAAAAAAAAEAIAAAACgBAABkcnMvZTJvRG9jLnhtbFBLBQYAAAAA&#10;BgAGAFkBAAC/BQAAAAA=&#10;">
                        <v:fill on="f" focussize="0,0"/>
                        <v:stroke color="#000000" miterlimit="8" joinstyle="miter" endarrow="open"/>
                        <v:imagedata o:title=""/>
                        <o:lock v:ext="edit" aspectratio="f"/>
                      </v:shape>
                      <v:shape id="自选图形 61" o:spid="_x0000_s1026" o:spt="34" type="#_x0000_t34" style="position:absolute;left:377825;top:1048385;height:146685;width:370840;rotation:5898240f;" filled="f" stroked="t" coordsize="21600,21600" o:gfxdata="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SKBRo1wAAAAUBAAAPAAAAAAAAAAEAIAAA&#10;ACIAAABkcnMvZG93bnJldi54bWxQSwECFAAUAAAACACHTuJAb5AUD0YCAABPBAAADgAAAAAAAAAB&#10;ACAAAAAmAQAAZHJzL2Uyb0RvYy54bWxQSwUGAAAAAAYABgBZAQAA3gUAAAAA&#10;" adj="10781">
                        <v:fill on="f" focussize="0,0"/>
                        <v:stroke color="#000000" miterlimit="8" joinstyle="miter" endarrow="open"/>
                        <v:imagedata o:title=""/>
                        <o:lock v:ext="edit" aspectratio="f"/>
                      </v:shape>
                      <v:shape id="自选图形 62" o:spid="_x0000_s1026" o:spt="34" type="#_x0000_t34" style="position:absolute;left:732155;top:840740;flip:y;height:565150;width:374015;rotation:-5898240f;" filled="f" stroked="t" coordsize="21600,21600" o:gfxdata="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e/r7l1gAAAAUBAAAPAAAAAAAAAAEA&#10;IAAAACIAAABkcnMvZG93bnJldi54bWxQSwECFAAUAAAACACHTuJAi6R1CUoCAABYBAAADgAAAAAA&#10;AAABACAAAAAlAQAAZHJzL2Uyb0RvYy54bWxQSwUGAAAAAAYABgBZAQAA4QUAAAAA&#10;" adj="10800">
                        <v:fill on="f" focussize="0,0"/>
                        <v:stroke color="#000000" miterlimit="8" joinstyle="miter" endarrow="open"/>
                        <v:imagedata o:title=""/>
                        <o:lock v:ext="edit" aspectratio="f"/>
                      </v:shape>
                      <v:rect id="矩形 68" o:spid="_x0000_s1026" o:spt="1" style="position:absolute;left:19050;top:1306830;height:502920;width:940435;" filled="f" stroked="f" coordsize="21600,21600" o:gfxdata="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5uZVtcAAAAF&#10;AQAADwAAAAAAAAABACAAAAAiAAAAZHJzL2Rvd25yZXYueG1sUEsBAhQAFAAAAAgAh07iQBjXMN8d&#10;AgAAIgQAAA4AAAAAAAAAAQAgAAAAJgEAAGRycy9lMm9Eb2MueG1sUEsFBgAAAAAGAAYAWQEAALUF&#10;AAAAAA==&#10;">
                        <v:fill on="f" focussize="0,0"/>
                        <v:stroke on="f"/>
                        <v:imagedata o:title=""/>
                        <o:lock v:ext="edit" aspectratio="f"/>
                        <v:textbox>
                          <w:txbxContent>
                            <w:p w14:paraId="43B86B5A">
                              <w:pPr>
                                <w:jc w:val="center"/>
                              </w:pPr>
                              <w:r>
                                <w:rPr>
                                  <w:rFonts w:hint="eastAsia"/>
                                </w:rPr>
                                <w:t>钛铁精矿</w:t>
                              </w:r>
                            </w:p>
                            <w:p w14:paraId="14FB44AC">
                              <w:pPr>
                                <w:jc w:val="center"/>
                              </w:pPr>
                              <w:r>
                                <w:rPr>
                                  <w:rFonts w:hint="eastAsia"/>
                                </w:rPr>
                                <w:t>165000</w:t>
                              </w:r>
                            </w:p>
                          </w:txbxContent>
                        </v:textbox>
                      </v:rect>
                      <v:rect id="矩形 69" o:spid="_x0000_s1026" o:spt="1" style="position:absolute;left:814705;top:1310005;height:471170;width:772795;" filled="f" stroked="f" coordsize="21600,21600" o:gfxdata="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5uZVtcAAAAF&#10;AQAADwAAAAAAAAABACAAAAAiAAAAZHJzL2Rvd25yZXYueG1sUEsBAhQAFAAAAAgAh07iQOZ06kAd&#10;AgAAIwQAAA4AAAAAAAAAAQAgAAAAJgEAAGRycy9lMm9Eb2MueG1sUEsFBgAAAAAGAAYAWQEAALUF&#10;AAAAAA==&#10;">
                        <v:fill on="f" focussize="0,0"/>
                        <v:stroke on="f"/>
                        <v:imagedata o:title=""/>
                        <o:lock v:ext="edit" aspectratio="f"/>
                        <v:textbox>
                          <w:txbxContent>
                            <w:p w14:paraId="675E485A">
                              <w:pPr>
                                <w:jc w:val="center"/>
                              </w:pPr>
                              <w:r>
                                <w:rPr>
                                  <w:rFonts w:hint="eastAsia"/>
                                </w:rPr>
                                <w:t>锆中矿</w:t>
                              </w:r>
                            </w:p>
                            <w:p w14:paraId="270A983D">
                              <w:pPr>
                                <w:jc w:val="center"/>
                              </w:pPr>
                              <w:r>
                                <w:rPr>
                                  <w:rFonts w:hint="eastAsia"/>
                                </w:rPr>
                                <w:t>71769.9</w:t>
                              </w:r>
                            </w:p>
                          </w:txbxContent>
                        </v:textbox>
                      </v:rect>
                      <v:shape id="自选图形 74" o:spid="_x0000_s1026" o:spt="38" type="#_x0000_t38" style="position:absolute;left:951998;top:347190;flip:y;height:292791;width:303999;" filled="f" stroked="t" coordsize="21600,21600" o:gfxdata="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GWgQ7TWAAAABQEAAA8A&#10;AAAAAAAAAQAgAAAAIgAAAGRycy9kb3ducmV2LnhtbFBLAQIUABQAAAAIAIdO4kCzEh0zUgIAAGQE&#10;AAAOAAAAAAAAAAEAIAAAACUBAABkcnMvZTJvRG9jLnhtbFBLBQYAAAAABgAGAFkBAADpBQAAAAA=&#10;" adj="10822">
                        <v:fill on="f" focussize="0,0"/>
                        <v:stroke color="#000000" miterlimit="8" joinstyle="miter" dashstyle="dash" endarrow="open"/>
                        <v:imagedata o:title=""/>
                        <o:lock v:ext="edit" aspectratio="f"/>
                      </v:shape>
                      <v:shape id="自选图形 76" o:spid="_x0000_s1026" o:spt="38" type="#_x0000_t38" style="position:absolute;left:1104265;top:781685;height:26035;width:396875;" filled="f" stroked="t" coordsize="21600,21600" o:gfxdata="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1MadE1gAAAAUBAAAPAAAAAAAA&#10;AAEAIAAAACIAAABkcnMvZG93bnJldi54bWxQSwECFAAUAAAACACHTuJAOzVmr00CAABaBAAADgAA&#10;AAAAAAABACAAAAAlAQAAZHJzL2Uyb0RvYy54bWxQSwUGAAAAAAYABgBZAQAA5AUAAAAA&#10;" adj="10817">
                        <v:fill on="f" focussize="0,0"/>
                        <v:stroke color="#000000" miterlimit="8" joinstyle="miter" dashstyle="dash" endarrow="open"/>
                        <v:imagedata o:title=""/>
                        <o:lock v:ext="edit" aspectratio="f"/>
                      </v:shape>
                      <v:rect id="矩形 86" o:spid="_x0000_s1026" o:spt="1" style="position:absolute;left:165100;top:634365;height:294640;width:939165;" fillcolor="#FFFFFF" filled="t" stroked="t" coordsize="21600,21600" o:gfxdata="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Fr7g4PVAAAABQEAAA8AAAAA&#10;AAAAAQAgAAAAIgAAAGRycy9kb3ducmV2LnhtbFBLAQIUABQAAAAIAIdO4kBbVcMTUAIAAJ8EAAAO&#10;AAAAAAAAAAEAIAAAACQBAABkcnMvZTJvRG9jLnhtbFBLBQYAAAAABgAGAFkBAADmBQAAAAA=&#10;">
                        <v:fill on="t" focussize="0,0"/>
                        <v:stroke color="#000000" miterlimit="8" joinstyle="miter"/>
                        <v:imagedata o:title=""/>
                        <o:lock v:ext="edit" aspectratio="f"/>
                        <v:textbox>
                          <w:txbxContent>
                            <w:p w14:paraId="120BEBF1">
                              <w:pPr>
                                <w:jc w:val="center"/>
                              </w:pPr>
                              <w:r>
                                <w:rPr>
                                  <w:rFonts w:hint="eastAsia"/>
                                </w:rPr>
                                <w:t>烘干、磁选</w:t>
                              </w:r>
                            </w:p>
                            <w:p w14:paraId="6E6731D3"/>
                          </w:txbxContent>
                        </v:textbox>
                      </v:rect>
                      <v:rect id="矩形 92" o:spid="_x0000_s1026" o:spt="1" style="position:absolute;left:1128798;top:77598;height:456787;width:775998;" filled="f" stroked="f" coordsize="21600,21600" o:gfxdata="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fm5lW1wAAAAUBAAAP&#10;AAAAAAAAAAEAIAAAACIAAABkcnMvZG93bnJldi54bWxQSwECFAAUAAAACACHTuJAYFGX9BkCAAAi&#10;BAAADgAAAAAAAAABACAAAAAmAQAAZHJzL2Uyb0RvYy54bWxQSwUGAAAAAAYABgBZAQAAsQUAAAAA&#10;">
                        <v:fill on="f" focussize="0,0"/>
                        <v:stroke on="f"/>
                        <v:imagedata o:title=""/>
                        <o:lock v:ext="edit" aspectratio="f"/>
                        <v:textbox>
                          <w:txbxContent>
                            <w:p w14:paraId="02215AE6">
                              <w:pPr>
                                <w:jc w:val="center"/>
                              </w:pPr>
                              <w:r>
                                <w:rPr>
                                  <w:rFonts w:hint="eastAsia"/>
                                </w:rPr>
                                <w:t>水分</w:t>
                              </w:r>
                            </w:p>
                            <w:p w14:paraId="54A8E858">
                              <w:pPr>
                                <w:jc w:val="center"/>
                              </w:pPr>
                              <w:r>
                                <w:rPr>
                                  <w:rFonts w:hint="eastAsia"/>
                                </w:rPr>
                                <w:t>3224.61</w:t>
                              </w:r>
                            </w:p>
                          </w:txbxContent>
                        </v:textbox>
                      </v:rect>
                      <v:rect id="矩形 95" o:spid="_x0000_s1026" o:spt="1" style="position:absolute;left:1501140;top:578485;height:457835;width:774065;" filled="f" stroked="f" coordsize="21600,21600" o:gfxdata="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5uZVtcAAAAF&#10;AQAADwAAAAAAAAABACAAAAAiAAAAZHJzL2Rvd25yZXYueG1sUEsBAhQAFAAAAAgAh07iQHoqTLsd&#10;AgAAIwQAAA4AAAAAAAAAAQAgAAAAJgEAAGRycy9lMm9Eb2MueG1sUEsFBgAAAAAGAAYAWQEAALUF&#10;AAAAAA==&#10;">
                        <v:fill on="f" focussize="0,0"/>
                        <v:stroke on="f"/>
                        <v:imagedata o:title=""/>
                        <o:lock v:ext="edit" aspectratio="f"/>
                        <v:textbox>
                          <w:txbxContent>
                            <w:p w14:paraId="16198CA7">
                              <w:pPr>
                                <w:jc w:val="center"/>
                              </w:pPr>
                              <w:r>
                                <w:rPr>
                                  <w:rFonts w:hint="eastAsia"/>
                                </w:rPr>
                                <w:t>车间粉尘</w:t>
                              </w:r>
                            </w:p>
                            <w:p w14:paraId="6D3593BE">
                              <w:pPr>
                                <w:jc w:val="center"/>
                              </w:pPr>
                              <w:r>
                                <w:rPr>
                                  <w:rFonts w:hint="eastAsia"/>
                                </w:rPr>
                                <w:t>5.49</w:t>
                              </w:r>
                            </w:p>
                          </w:txbxContent>
                        </v:textbox>
                      </v:rect>
                      <w10:wrap type="none"/>
                      <w10:anchorlock/>
                    </v:group>
                  </w:pict>
                </mc:Fallback>
              </mc:AlternateContent>
            </w:r>
          </w:p>
        </w:tc>
        <w:tc>
          <w:tcPr>
            <w:tcW w:w="4261" w:type="dxa"/>
            <w:vAlign w:val="center"/>
          </w:tcPr>
          <w:p w14:paraId="189AF13C">
            <w:pPr>
              <w:spacing w:line="360" w:lineRule="auto"/>
              <w:jc w:val="center"/>
              <w:rPr>
                <w:rFonts w:ascii="Times New Roman" w:hAnsi="Times New Roman"/>
                <w:spacing w:val="-2"/>
                <w:kern w:val="0"/>
                <w:sz w:val="24"/>
                <w:szCs w:val="24"/>
              </w:rPr>
            </w:pPr>
          </w:p>
          <w:p w14:paraId="0B2541DF">
            <w:pPr>
              <w:spacing w:line="360" w:lineRule="auto"/>
              <w:jc w:val="center"/>
              <w:rPr>
                <w:rFonts w:ascii="Times New Roman" w:hAnsi="Times New Roman"/>
                <w:spacing w:val="-2"/>
                <w:kern w:val="0"/>
                <w:sz w:val="24"/>
                <w:szCs w:val="24"/>
              </w:rPr>
            </w:pPr>
            <w:r>
              <w:rPr>
                <w:rFonts w:ascii="Times New Roman" w:hAnsi="Times New Roman"/>
                <w:spacing w:val="-2"/>
                <w:kern w:val="0"/>
                <w:sz w:val="24"/>
                <w:szCs w:val="24"/>
              </w:rPr>
              <mc:AlternateContent>
                <mc:Choice Requires="wpc">
                  <w:drawing>
                    <wp:inline distT="0" distB="0" distL="0" distR="0">
                      <wp:extent cx="2398395" cy="1796415"/>
                      <wp:effectExtent l="0" t="0" r="0" b="0"/>
                      <wp:docPr id="223" name="画布 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24" name="矩形 21"/>
                              <wps:cNvSpPr>
                                <a:spLocks noChangeArrowheads="1"/>
                              </wps:cNvSpPr>
                              <wps:spPr bwMode="auto">
                                <a:xfrm>
                                  <a:off x="235200" y="27199"/>
                                  <a:ext cx="799998" cy="489586"/>
                                </a:xfrm>
                                <a:prstGeom prst="rect">
                                  <a:avLst/>
                                </a:prstGeom>
                                <a:solidFill>
                                  <a:srgbClr val="FFFFFF"/>
                                </a:solidFill>
                                <a:ln>
                                  <a:noFill/>
                                </a:ln>
                                <a:effectLst/>
                              </wps:spPr>
                              <wps:txbx>
                                <w:txbxContent>
                                  <w:p w14:paraId="1A8E8493">
                                    <w:pPr>
                                      <w:jc w:val="center"/>
                                    </w:pPr>
                                    <w:r>
                                      <w:rPr>
                                        <w:rFonts w:hint="eastAsia"/>
                                      </w:rPr>
                                      <w:t>原料毛矿</w:t>
                                    </w:r>
                                  </w:p>
                                  <w:p w14:paraId="6880CB93">
                                    <w:pPr>
                                      <w:jc w:val="center"/>
                                    </w:pPr>
                                    <w:r>
                                      <w:rPr>
                                        <w:rFonts w:hint="eastAsia"/>
                                      </w:rPr>
                                      <w:t>48433.59</w:t>
                                    </w:r>
                                  </w:p>
                                </w:txbxContent>
                              </wps:txbx>
                              <wps:bodyPr rot="0" vert="horz" wrap="square" lIns="91440" tIns="45720" rIns="91440" bIns="45720" anchor="t" anchorCtr="0" upright="1">
                                <a:noAutofit/>
                              </wps:bodyPr>
                            </wps:wsp>
                            <wps:wsp>
                              <wps:cNvPr id="225" name="自选图形 58"/>
                              <wps:cNvCnPr>
                                <a:cxnSpLocks noChangeShapeType="1"/>
                              </wps:cNvCnPr>
                              <wps:spPr bwMode="auto">
                                <a:xfrm>
                                  <a:off x="635199" y="516785"/>
                                  <a:ext cx="0" cy="117597"/>
                                </a:xfrm>
                                <a:prstGeom prst="straightConnector1">
                                  <a:avLst/>
                                </a:prstGeom>
                                <a:noFill/>
                                <a:ln w="9525" cmpd="sng">
                                  <a:solidFill>
                                    <a:srgbClr val="000000"/>
                                  </a:solidFill>
                                  <a:miter lim="800000"/>
                                  <a:tailEnd type="arrow" w="med" len="med"/>
                                </a:ln>
                                <a:effectLst/>
                              </wps:spPr>
                              <wps:bodyPr/>
                            </wps:wsp>
                            <wps:wsp>
                              <wps:cNvPr id="226" name="自选图形 61"/>
                              <wps:cNvCnPr>
                                <a:cxnSpLocks noChangeShapeType="1"/>
                              </wps:cNvCnPr>
                              <wps:spPr bwMode="auto">
                                <a:xfrm rot="5400000">
                                  <a:off x="377825" y="1048385"/>
                                  <a:ext cx="370840" cy="146685"/>
                                </a:xfrm>
                                <a:prstGeom prst="bentConnector3">
                                  <a:avLst>
                                    <a:gd name="adj1" fmla="val 49914"/>
                                  </a:avLst>
                                </a:prstGeom>
                                <a:noFill/>
                                <a:ln w="9525" cmpd="sng">
                                  <a:solidFill>
                                    <a:srgbClr val="000000"/>
                                  </a:solidFill>
                                  <a:miter lim="800000"/>
                                  <a:tailEnd type="arrow" w="med" len="med"/>
                                </a:ln>
                                <a:effectLst/>
                              </wps:spPr>
                              <wps:bodyPr/>
                            </wps:wsp>
                            <wps:wsp>
                              <wps:cNvPr id="227" name="自选图形 62"/>
                              <wps:cNvCnPr>
                                <a:cxnSpLocks noChangeShapeType="1"/>
                              </wps:cNvCnPr>
                              <wps:spPr bwMode="auto">
                                <a:xfrm rot="5400000" flipV="1">
                                  <a:off x="732155" y="840740"/>
                                  <a:ext cx="374015" cy="565150"/>
                                </a:xfrm>
                                <a:prstGeom prst="bentConnector3">
                                  <a:avLst>
                                    <a:gd name="adj1" fmla="val 50000"/>
                                  </a:avLst>
                                </a:prstGeom>
                                <a:noFill/>
                                <a:ln w="9525" cmpd="sng">
                                  <a:solidFill>
                                    <a:srgbClr val="000000"/>
                                  </a:solidFill>
                                  <a:miter lim="800000"/>
                                  <a:tailEnd type="arrow" w="med" len="med"/>
                                </a:ln>
                                <a:effectLst/>
                              </wps:spPr>
                              <wps:bodyPr/>
                            </wps:wsp>
                            <wps:wsp>
                              <wps:cNvPr id="228" name="矩形 68"/>
                              <wps:cNvSpPr>
                                <a:spLocks noChangeArrowheads="1"/>
                              </wps:cNvSpPr>
                              <wps:spPr bwMode="auto">
                                <a:xfrm>
                                  <a:off x="19050" y="1306830"/>
                                  <a:ext cx="940435" cy="502920"/>
                                </a:xfrm>
                                <a:prstGeom prst="rect">
                                  <a:avLst/>
                                </a:prstGeom>
                                <a:noFill/>
                                <a:ln>
                                  <a:noFill/>
                                </a:ln>
                                <a:effectLst/>
                              </wps:spPr>
                              <wps:txbx>
                                <w:txbxContent>
                                  <w:p w14:paraId="3E3164A9">
                                    <w:pPr>
                                      <w:jc w:val="center"/>
                                    </w:pPr>
                                    <w:r>
                                      <w:rPr>
                                        <w:rFonts w:hint="eastAsia"/>
                                      </w:rPr>
                                      <w:t>钛铁精矿</w:t>
                                    </w:r>
                                  </w:p>
                                  <w:p w14:paraId="07EF6BA8">
                                    <w:pPr>
                                      <w:jc w:val="center"/>
                                    </w:pPr>
                                    <w:r>
                                      <w:rPr>
                                        <w:rFonts w:hint="eastAsia"/>
                                      </w:rPr>
                                      <w:t>46959.41</w:t>
                                    </w:r>
                                  </w:p>
                                </w:txbxContent>
                              </wps:txbx>
                              <wps:bodyPr rot="0" vert="horz" wrap="square" lIns="91440" tIns="45720" rIns="91440" bIns="45720" anchor="t" anchorCtr="0" upright="1">
                                <a:noAutofit/>
                              </wps:bodyPr>
                            </wps:wsp>
                            <wps:wsp>
                              <wps:cNvPr id="229" name="矩形 69"/>
                              <wps:cNvSpPr>
                                <a:spLocks noChangeArrowheads="1"/>
                              </wps:cNvSpPr>
                              <wps:spPr bwMode="auto">
                                <a:xfrm>
                                  <a:off x="814705" y="1310005"/>
                                  <a:ext cx="772795" cy="471170"/>
                                </a:xfrm>
                                <a:prstGeom prst="rect">
                                  <a:avLst/>
                                </a:prstGeom>
                                <a:noFill/>
                                <a:ln>
                                  <a:noFill/>
                                </a:ln>
                                <a:effectLst/>
                              </wps:spPr>
                              <wps:txbx>
                                <w:txbxContent>
                                  <w:p w14:paraId="6BD73078">
                                    <w:pPr>
                                      <w:jc w:val="center"/>
                                    </w:pPr>
                                    <w:r>
                                      <w:rPr>
                                        <w:rFonts w:hint="eastAsia"/>
                                      </w:rPr>
                                      <w:t>锆中矿</w:t>
                                    </w:r>
                                  </w:p>
                                  <w:p w14:paraId="396B6760">
                                    <w:pPr>
                                      <w:jc w:val="center"/>
                                    </w:pPr>
                                    <w:r>
                                      <w:rPr>
                                        <w:rFonts w:hint="eastAsia"/>
                                      </w:rPr>
                                      <w:t>1473.06</w:t>
                                    </w:r>
                                  </w:p>
                                </w:txbxContent>
                              </wps:txbx>
                              <wps:bodyPr rot="0" vert="horz" wrap="square" lIns="91440" tIns="45720" rIns="91440" bIns="45720" anchor="t" anchorCtr="0" upright="1">
                                <a:noAutofit/>
                              </wps:bodyPr>
                            </wps:wsp>
                            <wps:wsp>
                              <wps:cNvPr id="230" name="自选图形 74"/>
                              <wps:cNvCnPr>
                                <a:cxnSpLocks noChangeShapeType="1"/>
                              </wps:cNvCnPr>
                              <wps:spPr bwMode="auto">
                                <a:xfrm flipV="1">
                                  <a:off x="951998" y="347190"/>
                                  <a:ext cx="303999" cy="292791"/>
                                </a:xfrm>
                                <a:prstGeom prst="curvedConnector3">
                                  <a:avLst>
                                    <a:gd name="adj1" fmla="val 50102"/>
                                  </a:avLst>
                                </a:prstGeom>
                                <a:noFill/>
                                <a:ln w="9525" cmpd="sng">
                                  <a:solidFill>
                                    <a:srgbClr val="000000"/>
                                  </a:solidFill>
                                  <a:prstDash val="dash"/>
                                  <a:miter lim="800000"/>
                                  <a:tailEnd type="arrow" w="med" len="med"/>
                                </a:ln>
                                <a:effectLst/>
                              </wps:spPr>
                              <wps:bodyPr/>
                            </wps:wsp>
                            <wps:wsp>
                              <wps:cNvPr id="232" name="矩形 86"/>
                              <wps:cNvSpPr>
                                <a:spLocks noChangeArrowheads="1"/>
                              </wps:cNvSpPr>
                              <wps:spPr bwMode="auto">
                                <a:xfrm>
                                  <a:off x="165100" y="634365"/>
                                  <a:ext cx="939165" cy="294640"/>
                                </a:xfrm>
                                <a:prstGeom prst="rect">
                                  <a:avLst/>
                                </a:prstGeom>
                                <a:solidFill>
                                  <a:srgbClr val="FFFFFF"/>
                                </a:solidFill>
                                <a:ln w="9525" cmpd="sng">
                                  <a:solidFill>
                                    <a:srgbClr val="000000"/>
                                  </a:solidFill>
                                  <a:miter lim="800000"/>
                                </a:ln>
                                <a:effectLst/>
                              </wps:spPr>
                              <wps:txbx>
                                <w:txbxContent>
                                  <w:p w14:paraId="38BB647F">
                                    <w:pPr>
                                      <w:jc w:val="center"/>
                                    </w:pPr>
                                    <w:r>
                                      <w:rPr>
                                        <w:rFonts w:hint="eastAsia"/>
                                      </w:rPr>
                                      <w:t>烘干、磁选</w:t>
                                    </w:r>
                                  </w:p>
                                  <w:p w14:paraId="080B3AA0"/>
                                </w:txbxContent>
                              </wps:txbx>
                              <wps:bodyPr rot="0" vert="horz" wrap="square" lIns="91440" tIns="45720" rIns="91440" bIns="45720" anchor="t" anchorCtr="0" upright="1">
                                <a:noAutofit/>
                              </wps:bodyPr>
                            </wps:wsp>
                            <wps:wsp>
                              <wps:cNvPr id="233" name="矩形 92"/>
                              <wps:cNvSpPr>
                                <a:spLocks noChangeArrowheads="1"/>
                              </wps:cNvSpPr>
                              <wps:spPr bwMode="auto">
                                <a:xfrm>
                                  <a:off x="1128798" y="77598"/>
                                  <a:ext cx="775998" cy="456787"/>
                                </a:xfrm>
                                <a:prstGeom prst="rect">
                                  <a:avLst/>
                                </a:prstGeom>
                                <a:noFill/>
                                <a:ln>
                                  <a:noFill/>
                                </a:ln>
                                <a:effectLst/>
                              </wps:spPr>
                              <wps:txbx>
                                <w:txbxContent>
                                  <w:p w14:paraId="4A0F2562">
                                    <w:pPr>
                                      <w:jc w:val="center"/>
                                    </w:pPr>
                                    <w:r>
                                      <w:rPr>
                                        <w:rFonts w:hint="eastAsia"/>
                                      </w:rPr>
                                      <w:t>车间粉尘</w:t>
                                    </w:r>
                                  </w:p>
                                  <w:p w14:paraId="421A060E">
                                    <w:pPr>
                                      <w:jc w:val="center"/>
                                    </w:pPr>
                                    <w:r>
                                      <w:rPr>
                                        <w:rFonts w:hint="eastAsia"/>
                                      </w:rPr>
                                      <w:t>1.12</w:t>
                                    </w:r>
                                  </w:p>
                                </w:txbxContent>
                              </wps:txbx>
                              <wps:bodyPr rot="0" vert="horz" wrap="square" lIns="91440" tIns="45720" rIns="91440" bIns="45720" anchor="t" anchorCtr="0" upright="1">
                                <a:noAutofit/>
                              </wps:bodyPr>
                            </wps:wsp>
                          </wpc:wpc>
                        </a:graphicData>
                      </a:graphic>
                    </wp:inline>
                  </w:drawing>
                </mc:Choice>
                <mc:Fallback>
                  <w:pict>
                    <v:group id="画布 15" o:spid="_x0000_s1026" o:spt="203" style="height:141.45pt;width:188.85pt;" coordsize="2398395,1796415" editas="canvas" o:gfxdata="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">
                      <o:lock v:ext="edit" aspectratio="f"/>
                      <v:shape id="画布 15" o:spid="_x0000_s1026" style="position:absolute;left:0;top:0;height:1796415;width:2398395;" filled="f" stroked="f" coordsize="21600,21600" o:gfxdata="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">
                        <v:fill on="f" focussize="0,0"/>
                        <v:stroke on="f"/>
                        <v:imagedata o:title=""/>
                        <o:lock v:ext="edit" aspectratio="t"/>
                      </v:shape>
                      <v:rect id="矩形 21" o:spid="_x0000_s1026" o:spt="1" style="position:absolute;left:235200;top:27199;height:489586;width:799998;" fillcolor="#FFFFFF" filled="t" stroked="f" coordsize="21600,21600" o:gfxdata="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ACTN3VAAAABQEAAA8AAAAAAAAAAQAgAAAAIgAAAGRycy9kb3ducmV2LnhtbFBLAQIU&#10;ABQAAAAIAIdO4kBbNWbCLwIAAEoEAAAOAAAAAAAAAAEAIAAAACQBAABkcnMvZTJvRG9jLnhtbFBL&#10;BQYAAAAABgAGAFkBAADFBQAAAAA=&#10;">
                        <v:fill on="t" focussize="0,0"/>
                        <v:stroke on="f"/>
                        <v:imagedata o:title=""/>
                        <o:lock v:ext="edit" aspectratio="f"/>
                        <v:textbox>
                          <w:txbxContent>
                            <w:p w14:paraId="1A8E8493">
                              <w:pPr>
                                <w:jc w:val="center"/>
                              </w:pPr>
                              <w:r>
                                <w:rPr>
                                  <w:rFonts w:hint="eastAsia"/>
                                </w:rPr>
                                <w:t>原料毛矿</w:t>
                              </w:r>
                            </w:p>
                            <w:p w14:paraId="6880CB93">
                              <w:pPr>
                                <w:jc w:val="center"/>
                              </w:pPr>
                              <w:r>
                                <w:rPr>
                                  <w:rFonts w:hint="eastAsia"/>
                                </w:rPr>
                                <w:t>48433.59</w:t>
                              </w:r>
                            </w:p>
                          </w:txbxContent>
                        </v:textbox>
                      </v:rect>
                      <v:shape id="自选图形 58" o:spid="_x0000_s1026" o:spt="32" type="#_x0000_t32" style="position:absolute;left:635199;top:516785;height:117597;width:0;" filled="f" stroked="t" coordsize="21600,21600" o:gfxdata="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PxvZQNkAAAAFAQAADwAAAAAAAAABACAAAAAiAAAAZHJzL2Rvd25yZXYueG1sUEsBAhQAFAAAAAgA&#10;h07iQHOSGfIkAgAAEgQAAA4AAAAAAAAAAQAgAAAAKAEAAGRycy9lMm9Eb2MueG1sUEsFBgAAAAAG&#10;AAYAWQEAAL4FAAAAAA==&#10;">
                        <v:fill on="f" focussize="0,0"/>
                        <v:stroke color="#000000" miterlimit="8" joinstyle="miter" endarrow="open"/>
                        <v:imagedata o:title=""/>
                        <o:lock v:ext="edit" aspectratio="f"/>
                      </v:shape>
                      <v:shape id="自选图形 61" o:spid="_x0000_s1026" o:spt="34" type="#_x0000_t34" style="position:absolute;left:377825;top:1048385;height:146685;width:370840;rotation:5898240f;" filled="f" stroked="t" coordsize="21600,21600" o:gfxdata="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SKBRo1wAAAAUBAAAPAAAAAAAAAAEAIAAA&#10;ACIAAABkcnMvZG93bnJldi54bWxQSwECFAAUAAAACACHTuJAjhKMJUYCAABPBAAADgAAAAAAAAAB&#10;ACAAAAAmAQAAZHJzL2Uyb0RvYy54bWxQSwUGAAAAAAYABgBZAQAA3gUAAAAA&#10;" adj="10781">
                        <v:fill on="f" focussize="0,0"/>
                        <v:stroke color="#000000" miterlimit="8" joinstyle="miter" endarrow="open"/>
                        <v:imagedata o:title=""/>
                        <o:lock v:ext="edit" aspectratio="f"/>
                      </v:shape>
                      <v:shape id="自选图形 62" o:spid="_x0000_s1026" o:spt="34" type="#_x0000_t34" style="position:absolute;left:732155;top:840740;flip:y;height:565150;width:374015;rotation:-5898240f;" filled="f" stroked="t" coordsize="21600,21600" o:gfxdata="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B7+vuXWAAAABQEAAA8AAAAAAAAA&#10;AQAgAAAAIgAAAGRycy9kb3ducmV2LnhtbFBLAQIUABQAAAAIAIdO4kCPrTZPTAIAAFgEAAAOAAAA&#10;AAAAAAEAIAAAACUBAABkcnMvZTJvRG9jLnhtbFBLBQYAAAAABgAGAFkBAADjBQAAAAA=&#10;" adj="10800">
                        <v:fill on="f" focussize="0,0"/>
                        <v:stroke color="#000000" miterlimit="8" joinstyle="miter" endarrow="open"/>
                        <v:imagedata o:title=""/>
                        <o:lock v:ext="edit" aspectratio="f"/>
                      </v:shape>
                      <v:rect id="矩形 68" o:spid="_x0000_s1026" o:spt="1" style="position:absolute;left:19050;top:1306830;height:502920;width:940435;" filled="f" stroked="f" coordsize="21600,21600" o:gfxdata="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5uZVtcAAAAF&#10;AQAADwAAAAAAAAABACAAAAAiAAAAZHJzL2Rvd25yZXYueG1sUEsBAhQAFAAAAAgAh07iQA0ZhhEd&#10;AgAAIgQAAA4AAAAAAAAAAQAgAAAAJgEAAGRycy9lMm9Eb2MueG1sUEsFBgAAAAAGAAYAWQEAALUF&#10;AAAAAA==&#10;">
                        <v:fill on="f" focussize="0,0"/>
                        <v:stroke on="f"/>
                        <v:imagedata o:title=""/>
                        <o:lock v:ext="edit" aspectratio="f"/>
                        <v:textbox>
                          <w:txbxContent>
                            <w:p w14:paraId="3E3164A9">
                              <w:pPr>
                                <w:jc w:val="center"/>
                              </w:pPr>
                              <w:r>
                                <w:rPr>
                                  <w:rFonts w:hint="eastAsia"/>
                                </w:rPr>
                                <w:t>钛铁精矿</w:t>
                              </w:r>
                            </w:p>
                            <w:p w14:paraId="07EF6BA8">
                              <w:pPr>
                                <w:jc w:val="center"/>
                              </w:pPr>
                              <w:r>
                                <w:rPr>
                                  <w:rFonts w:hint="eastAsia"/>
                                </w:rPr>
                                <w:t>46959.41</w:t>
                              </w:r>
                            </w:p>
                          </w:txbxContent>
                        </v:textbox>
                      </v:rect>
                      <v:rect id="矩形 69" o:spid="_x0000_s1026" o:spt="1" style="position:absolute;left:814705;top:1310005;height:471170;width:772795;" filled="f" stroked="f" coordsize="21600,21600" o:gfxdata="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5uZVtcAAAAF&#10;AQAADwAAAAAAAAABACAAAAAiAAAAZHJzL2Rvd25yZXYueG1sUEsBAhQAFAAAAAgAh07iQMMm+S0d&#10;AgAAIwQAAA4AAAAAAAAAAQAgAAAAJgEAAGRycy9lMm9Eb2MueG1sUEsFBgAAAAAGAAYAWQEAALUF&#10;AAAAAA==&#10;">
                        <v:fill on="f" focussize="0,0"/>
                        <v:stroke on="f"/>
                        <v:imagedata o:title=""/>
                        <o:lock v:ext="edit" aspectratio="f"/>
                        <v:textbox>
                          <w:txbxContent>
                            <w:p w14:paraId="6BD73078">
                              <w:pPr>
                                <w:jc w:val="center"/>
                              </w:pPr>
                              <w:r>
                                <w:rPr>
                                  <w:rFonts w:hint="eastAsia"/>
                                </w:rPr>
                                <w:t>锆中矿</w:t>
                              </w:r>
                            </w:p>
                            <w:p w14:paraId="396B6760">
                              <w:pPr>
                                <w:jc w:val="center"/>
                              </w:pPr>
                              <w:r>
                                <w:rPr>
                                  <w:rFonts w:hint="eastAsia"/>
                                </w:rPr>
                                <w:t>1473.06</w:t>
                              </w:r>
                            </w:p>
                          </w:txbxContent>
                        </v:textbox>
                      </v:rect>
                      <v:shape id="自选图形 74" o:spid="_x0000_s1026" o:spt="38" type="#_x0000_t38" style="position:absolute;left:951998;top:347190;flip:y;height:292791;width:303999;" filled="f" stroked="t" coordsize="21600,21600" o:gfxdata="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GWgQ7TWAAAABQEAAA8A&#10;AAAAAAAAAQAgAAAAIgAAAGRycy9kb3ducmV2LnhtbFBLAQIUABQAAAAIAIdO4kCGPnrOUgIAAGQE&#10;AAAOAAAAAAAAAAEAIAAAACUBAABkcnMvZTJvRG9jLnhtbFBLBQYAAAAABgAGAFkBAADpBQAAAAA=&#10;" adj="10822">
                        <v:fill on="f" focussize="0,0"/>
                        <v:stroke color="#000000" miterlimit="8" joinstyle="miter" dashstyle="dash" endarrow="open"/>
                        <v:imagedata o:title=""/>
                        <o:lock v:ext="edit" aspectratio="f"/>
                      </v:shape>
                      <v:rect id="矩形 86" o:spid="_x0000_s1026" o:spt="1" style="position:absolute;left:165100;top:634365;height:294640;width:939165;" fillcolor="#FFFFFF" filled="t" stroked="t" coordsize="21600,21600" o:gfxdata="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a+4OD1QAAAAUBAAAPAAAA&#10;AAAAAAEAIAAAACIAAABkcnMvZG93bnJldi54bWxQSwECFAAUAAAACACHTuJANZP+U1ECAACfBAAA&#10;DgAAAAAAAAABACAAAAAkAQAAZHJzL2Uyb0RvYy54bWxQSwUGAAAAAAYABgBZAQAA5wUAAAAA&#10;">
                        <v:fill on="t" focussize="0,0"/>
                        <v:stroke color="#000000" miterlimit="8" joinstyle="miter"/>
                        <v:imagedata o:title=""/>
                        <o:lock v:ext="edit" aspectratio="f"/>
                        <v:textbox>
                          <w:txbxContent>
                            <w:p w14:paraId="38BB647F">
                              <w:pPr>
                                <w:jc w:val="center"/>
                              </w:pPr>
                              <w:r>
                                <w:rPr>
                                  <w:rFonts w:hint="eastAsia"/>
                                </w:rPr>
                                <w:t>烘干、磁选</w:t>
                              </w:r>
                            </w:p>
                            <w:p w14:paraId="080B3AA0"/>
                          </w:txbxContent>
                        </v:textbox>
                      </v:rect>
                      <v:rect id="矩形 92" o:spid="_x0000_s1026" o:spt="1" style="position:absolute;left:1128798;top:77598;height:456787;width:775998;" filled="f" stroked="f" coordsize="21600,21600" o:gfxdata="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fm5lW1wAAAAUBAAAP&#10;AAAAAAAAAAEAIAAAACIAAABkcnMvZG93bnJldi54bWxQSwECFAAUAAAACACHTuJAOrqK/hkCAAAi&#10;BAAADgAAAAAAAAABACAAAAAmAQAAZHJzL2Uyb0RvYy54bWxQSwUGAAAAAAYABgBZAQAAsQUAAAAA&#10;">
                        <v:fill on="f" focussize="0,0"/>
                        <v:stroke on="f"/>
                        <v:imagedata o:title=""/>
                        <o:lock v:ext="edit" aspectratio="f"/>
                        <v:textbox>
                          <w:txbxContent>
                            <w:p w14:paraId="4A0F2562">
                              <w:pPr>
                                <w:jc w:val="center"/>
                              </w:pPr>
                              <w:r>
                                <w:rPr>
                                  <w:rFonts w:hint="eastAsia"/>
                                </w:rPr>
                                <w:t>车间粉尘</w:t>
                              </w:r>
                            </w:p>
                            <w:p w14:paraId="421A060E">
                              <w:pPr>
                                <w:jc w:val="center"/>
                              </w:pPr>
                              <w:r>
                                <w:rPr>
                                  <w:rFonts w:hint="eastAsia"/>
                                </w:rPr>
                                <w:t>1.12</w:t>
                              </w:r>
                            </w:p>
                          </w:txbxContent>
                        </v:textbox>
                      </v:rect>
                      <w10:wrap type="none"/>
                      <w10:anchorlock/>
                    </v:group>
                  </w:pict>
                </mc:Fallback>
              </mc:AlternateContent>
            </w:r>
          </w:p>
        </w:tc>
      </w:tr>
      <w:tr w14:paraId="6FB2B1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61" w:type="dxa"/>
            <w:vAlign w:val="center"/>
          </w:tcPr>
          <w:p w14:paraId="1679FA97">
            <w:pPr>
              <w:pStyle w:val="9"/>
              <w:numPr>
                <w:ilvl w:val="5"/>
                <w:numId w:val="3"/>
              </w:numPr>
              <w:rPr>
                <w:spacing w:val="-2"/>
                <w:kern w:val="0"/>
                <w:sz w:val="24"/>
              </w:rPr>
            </w:pPr>
            <w:r>
              <w:rPr>
                <w:sz w:val="24"/>
              </w:rPr>
              <w:t>总物料平衡图（t/a）</w:t>
            </w:r>
          </w:p>
        </w:tc>
        <w:tc>
          <w:tcPr>
            <w:tcW w:w="4261" w:type="dxa"/>
            <w:vAlign w:val="center"/>
          </w:tcPr>
          <w:p w14:paraId="608F2CB3">
            <w:pPr>
              <w:pStyle w:val="9"/>
              <w:numPr>
                <w:ilvl w:val="5"/>
                <w:numId w:val="3"/>
              </w:numPr>
              <w:rPr>
                <w:spacing w:val="-2"/>
                <w:kern w:val="0"/>
                <w:sz w:val="24"/>
              </w:rPr>
            </w:pPr>
            <w:r>
              <w:rPr>
                <w:sz w:val="24"/>
              </w:rPr>
              <w:t>钛金属平衡（t/a）</w:t>
            </w:r>
          </w:p>
        </w:tc>
      </w:tr>
      <w:tr w14:paraId="739844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61" w:type="dxa"/>
            <w:vAlign w:val="center"/>
          </w:tcPr>
          <w:p w14:paraId="35528F52">
            <w:pPr>
              <w:spacing w:line="360" w:lineRule="auto"/>
              <w:jc w:val="center"/>
              <w:rPr>
                <w:rFonts w:ascii="Times New Roman" w:hAnsi="Times New Roman"/>
                <w:spacing w:val="-2"/>
                <w:kern w:val="0"/>
                <w:sz w:val="24"/>
                <w:szCs w:val="24"/>
              </w:rPr>
            </w:pPr>
          </w:p>
          <w:p w14:paraId="3B5104A5">
            <w:pPr>
              <w:spacing w:line="360" w:lineRule="auto"/>
              <w:jc w:val="center"/>
              <w:rPr>
                <w:rFonts w:ascii="Times New Roman" w:hAnsi="Times New Roman"/>
                <w:spacing w:val="-2"/>
                <w:kern w:val="0"/>
                <w:sz w:val="24"/>
                <w:szCs w:val="24"/>
              </w:rPr>
            </w:pPr>
            <w:r>
              <w:rPr>
                <w:rFonts w:ascii="Times New Roman" w:hAnsi="Times New Roman"/>
                <w:spacing w:val="-2"/>
                <w:kern w:val="0"/>
                <w:sz w:val="24"/>
                <w:szCs w:val="24"/>
              </w:rPr>
              <mc:AlternateContent>
                <mc:Choice Requires="wpc">
                  <w:drawing>
                    <wp:inline distT="0" distB="0" distL="0" distR="0">
                      <wp:extent cx="2398395" cy="1796415"/>
                      <wp:effectExtent l="0" t="0" r="0" b="0"/>
                      <wp:docPr id="1328329597" name="画布 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56842920" name="矩形 21"/>
                              <wps:cNvSpPr>
                                <a:spLocks noChangeArrowheads="1"/>
                              </wps:cNvSpPr>
                              <wps:spPr bwMode="auto">
                                <a:xfrm>
                                  <a:off x="235200" y="27199"/>
                                  <a:ext cx="799998" cy="489586"/>
                                </a:xfrm>
                                <a:prstGeom prst="rect">
                                  <a:avLst/>
                                </a:prstGeom>
                                <a:solidFill>
                                  <a:srgbClr val="FFFFFF"/>
                                </a:solidFill>
                                <a:ln>
                                  <a:noFill/>
                                </a:ln>
                                <a:effectLst/>
                              </wps:spPr>
                              <wps:txbx>
                                <w:txbxContent>
                                  <w:p w14:paraId="3E10B9A6">
                                    <w:pPr>
                                      <w:jc w:val="center"/>
                                    </w:pPr>
                                    <w:r>
                                      <w:rPr>
                                        <w:rFonts w:hint="eastAsia"/>
                                      </w:rPr>
                                      <w:t>原料毛矿</w:t>
                                    </w:r>
                                  </w:p>
                                  <w:p w14:paraId="22AEF73D">
                                    <w:pPr>
                                      <w:jc w:val="center"/>
                                    </w:pPr>
                                    <w:r>
                                      <w:rPr>
                                        <w:rFonts w:hint="eastAsia"/>
                                      </w:rPr>
                                      <w:t>60345.76</w:t>
                                    </w:r>
                                  </w:p>
                                </w:txbxContent>
                              </wps:txbx>
                              <wps:bodyPr rot="0" vert="horz" wrap="square" lIns="91440" tIns="45720" rIns="91440" bIns="45720" anchor="t" anchorCtr="0" upright="1">
                                <a:noAutofit/>
                              </wps:bodyPr>
                            </wps:wsp>
                            <wps:wsp>
                              <wps:cNvPr id="2119076074" name="自选图形 58"/>
                              <wps:cNvCnPr>
                                <a:cxnSpLocks noChangeShapeType="1"/>
                              </wps:cNvCnPr>
                              <wps:spPr bwMode="auto">
                                <a:xfrm>
                                  <a:off x="635199" y="516785"/>
                                  <a:ext cx="0" cy="117597"/>
                                </a:xfrm>
                                <a:prstGeom prst="straightConnector1">
                                  <a:avLst/>
                                </a:prstGeom>
                                <a:noFill/>
                                <a:ln w="9525" cmpd="sng">
                                  <a:solidFill>
                                    <a:srgbClr val="000000"/>
                                  </a:solidFill>
                                  <a:miter lim="800000"/>
                                  <a:tailEnd type="arrow" w="med" len="med"/>
                                </a:ln>
                                <a:effectLst/>
                              </wps:spPr>
                              <wps:bodyPr/>
                            </wps:wsp>
                            <wps:wsp>
                              <wps:cNvPr id="165079364" name="自选图形 61"/>
                              <wps:cNvCnPr>
                                <a:cxnSpLocks noChangeShapeType="1"/>
                              </wps:cNvCnPr>
                              <wps:spPr bwMode="auto">
                                <a:xfrm rot="5400000">
                                  <a:off x="377825" y="1048385"/>
                                  <a:ext cx="370840" cy="146685"/>
                                </a:xfrm>
                                <a:prstGeom prst="bentConnector3">
                                  <a:avLst>
                                    <a:gd name="adj1" fmla="val 49914"/>
                                  </a:avLst>
                                </a:prstGeom>
                                <a:noFill/>
                                <a:ln w="9525" cmpd="sng">
                                  <a:solidFill>
                                    <a:srgbClr val="000000"/>
                                  </a:solidFill>
                                  <a:miter lim="800000"/>
                                  <a:tailEnd type="arrow" w="med" len="med"/>
                                </a:ln>
                                <a:effectLst/>
                              </wps:spPr>
                              <wps:bodyPr/>
                            </wps:wsp>
                            <wps:wsp>
                              <wps:cNvPr id="380862990" name="自选图形 62"/>
                              <wps:cNvCnPr>
                                <a:cxnSpLocks noChangeShapeType="1"/>
                              </wps:cNvCnPr>
                              <wps:spPr bwMode="auto">
                                <a:xfrm rot="5400000" flipV="1">
                                  <a:off x="732155" y="840740"/>
                                  <a:ext cx="374015" cy="565150"/>
                                </a:xfrm>
                                <a:prstGeom prst="bentConnector3">
                                  <a:avLst>
                                    <a:gd name="adj1" fmla="val 50000"/>
                                  </a:avLst>
                                </a:prstGeom>
                                <a:noFill/>
                                <a:ln w="9525" cmpd="sng">
                                  <a:solidFill>
                                    <a:srgbClr val="000000"/>
                                  </a:solidFill>
                                  <a:miter lim="800000"/>
                                  <a:tailEnd type="arrow" w="med" len="med"/>
                                </a:ln>
                                <a:effectLst/>
                              </wps:spPr>
                              <wps:bodyPr/>
                            </wps:wsp>
                            <wps:wsp>
                              <wps:cNvPr id="312213670" name="矩形 68"/>
                              <wps:cNvSpPr>
                                <a:spLocks noChangeArrowheads="1"/>
                              </wps:cNvSpPr>
                              <wps:spPr bwMode="auto">
                                <a:xfrm>
                                  <a:off x="19050" y="1306830"/>
                                  <a:ext cx="940435" cy="502920"/>
                                </a:xfrm>
                                <a:prstGeom prst="rect">
                                  <a:avLst/>
                                </a:prstGeom>
                                <a:noFill/>
                                <a:ln>
                                  <a:noFill/>
                                </a:ln>
                                <a:effectLst/>
                              </wps:spPr>
                              <wps:txbx>
                                <w:txbxContent>
                                  <w:p w14:paraId="630C4E1D">
                                    <w:pPr>
                                      <w:jc w:val="center"/>
                                    </w:pPr>
                                    <w:r>
                                      <w:rPr>
                                        <w:rFonts w:hint="eastAsia"/>
                                      </w:rPr>
                                      <w:t>钛铁精矿</w:t>
                                    </w:r>
                                  </w:p>
                                  <w:p w14:paraId="6A1DA538">
                                    <w:pPr>
                                      <w:jc w:val="center"/>
                                    </w:pPr>
                                    <w:r>
                                      <w:rPr>
                                        <w:rFonts w:hint="eastAsia"/>
                                      </w:rPr>
                                      <w:t>55759.28</w:t>
                                    </w:r>
                                  </w:p>
                                </w:txbxContent>
                              </wps:txbx>
                              <wps:bodyPr rot="0" vert="horz" wrap="square" lIns="91440" tIns="45720" rIns="91440" bIns="45720" anchor="t" anchorCtr="0" upright="1">
                                <a:noAutofit/>
                              </wps:bodyPr>
                            </wps:wsp>
                            <wps:wsp>
                              <wps:cNvPr id="1349170390" name="矩形 69"/>
                              <wps:cNvSpPr>
                                <a:spLocks noChangeArrowheads="1"/>
                              </wps:cNvSpPr>
                              <wps:spPr bwMode="auto">
                                <a:xfrm>
                                  <a:off x="814705" y="1310005"/>
                                  <a:ext cx="772795" cy="471170"/>
                                </a:xfrm>
                                <a:prstGeom prst="rect">
                                  <a:avLst/>
                                </a:prstGeom>
                                <a:noFill/>
                                <a:ln>
                                  <a:noFill/>
                                </a:ln>
                                <a:effectLst/>
                              </wps:spPr>
                              <wps:txbx>
                                <w:txbxContent>
                                  <w:p w14:paraId="6C38C027">
                                    <w:pPr>
                                      <w:jc w:val="center"/>
                                    </w:pPr>
                                    <w:r>
                                      <w:rPr>
                                        <w:rFonts w:hint="eastAsia"/>
                                      </w:rPr>
                                      <w:t>锆中矿</w:t>
                                    </w:r>
                                  </w:p>
                                  <w:p w14:paraId="5830838A">
                                    <w:pPr>
                                      <w:jc w:val="center"/>
                                    </w:pPr>
                                    <w:r>
                                      <w:rPr>
                                        <w:rFonts w:hint="eastAsia"/>
                                      </w:rPr>
                                      <w:t>4585.08</w:t>
                                    </w:r>
                                  </w:p>
                                </w:txbxContent>
                              </wps:txbx>
                              <wps:bodyPr rot="0" vert="horz" wrap="square" lIns="91440" tIns="45720" rIns="91440" bIns="45720" anchor="t" anchorCtr="0" upright="1">
                                <a:noAutofit/>
                              </wps:bodyPr>
                            </wps:wsp>
                            <wps:wsp>
                              <wps:cNvPr id="635630937" name="自选图形 74"/>
                              <wps:cNvCnPr>
                                <a:cxnSpLocks noChangeShapeType="1"/>
                              </wps:cNvCnPr>
                              <wps:spPr bwMode="auto">
                                <a:xfrm flipV="1">
                                  <a:off x="951998" y="347190"/>
                                  <a:ext cx="303999" cy="292791"/>
                                </a:xfrm>
                                <a:prstGeom prst="curvedConnector3">
                                  <a:avLst>
                                    <a:gd name="adj1" fmla="val 50102"/>
                                  </a:avLst>
                                </a:prstGeom>
                                <a:noFill/>
                                <a:ln w="9525" cmpd="sng">
                                  <a:solidFill>
                                    <a:srgbClr val="000000"/>
                                  </a:solidFill>
                                  <a:prstDash val="dash"/>
                                  <a:miter lim="800000"/>
                                  <a:tailEnd type="arrow" w="med" len="med"/>
                                </a:ln>
                                <a:effectLst/>
                              </wps:spPr>
                              <wps:bodyPr/>
                            </wps:wsp>
                            <wps:wsp>
                              <wps:cNvPr id="1409880984" name="矩形 86"/>
                              <wps:cNvSpPr>
                                <a:spLocks noChangeArrowheads="1"/>
                              </wps:cNvSpPr>
                              <wps:spPr bwMode="auto">
                                <a:xfrm>
                                  <a:off x="165100" y="634365"/>
                                  <a:ext cx="939165" cy="294640"/>
                                </a:xfrm>
                                <a:prstGeom prst="rect">
                                  <a:avLst/>
                                </a:prstGeom>
                                <a:solidFill>
                                  <a:srgbClr val="FFFFFF"/>
                                </a:solidFill>
                                <a:ln w="9525" cmpd="sng">
                                  <a:solidFill>
                                    <a:srgbClr val="000000"/>
                                  </a:solidFill>
                                  <a:miter lim="800000"/>
                                </a:ln>
                                <a:effectLst/>
                              </wps:spPr>
                              <wps:txbx>
                                <w:txbxContent>
                                  <w:p w14:paraId="3DE734BB">
                                    <w:pPr>
                                      <w:jc w:val="center"/>
                                    </w:pPr>
                                    <w:r>
                                      <w:rPr>
                                        <w:rFonts w:hint="eastAsia"/>
                                      </w:rPr>
                                      <w:t>烘干、磁选</w:t>
                                    </w:r>
                                  </w:p>
                                  <w:p w14:paraId="69DEBEFA"/>
                                </w:txbxContent>
                              </wps:txbx>
                              <wps:bodyPr rot="0" vert="horz" wrap="square" lIns="91440" tIns="45720" rIns="91440" bIns="45720" anchor="t" anchorCtr="0" upright="1">
                                <a:noAutofit/>
                              </wps:bodyPr>
                            </wps:wsp>
                            <wps:wsp>
                              <wps:cNvPr id="2113864231" name="矩形 92"/>
                              <wps:cNvSpPr>
                                <a:spLocks noChangeArrowheads="1"/>
                              </wps:cNvSpPr>
                              <wps:spPr bwMode="auto">
                                <a:xfrm>
                                  <a:off x="1128798" y="77598"/>
                                  <a:ext cx="775998" cy="456787"/>
                                </a:xfrm>
                                <a:prstGeom prst="rect">
                                  <a:avLst/>
                                </a:prstGeom>
                                <a:noFill/>
                                <a:ln>
                                  <a:noFill/>
                                </a:ln>
                                <a:effectLst/>
                              </wps:spPr>
                              <wps:txbx>
                                <w:txbxContent>
                                  <w:p w14:paraId="4964F855">
                                    <w:pPr>
                                      <w:jc w:val="center"/>
                                    </w:pPr>
                                    <w:r>
                                      <w:rPr>
                                        <w:rFonts w:hint="eastAsia"/>
                                      </w:rPr>
                                      <w:t>车间粉尘</w:t>
                                    </w:r>
                                  </w:p>
                                  <w:p w14:paraId="4197B17E">
                                    <w:pPr>
                                      <w:jc w:val="center"/>
                                    </w:pPr>
                                    <w:r>
                                      <w:rPr>
                                        <w:rFonts w:hint="eastAsia"/>
                                      </w:rPr>
                                      <w:t>1.4</w:t>
                                    </w:r>
                                  </w:p>
                                </w:txbxContent>
                              </wps:txbx>
                              <wps:bodyPr rot="0" vert="horz" wrap="square" lIns="91440" tIns="45720" rIns="91440" bIns="45720" anchor="t" anchorCtr="0" upright="1">
                                <a:noAutofit/>
                              </wps:bodyPr>
                            </wps:wsp>
                          </wpc:wpc>
                        </a:graphicData>
                      </a:graphic>
                    </wp:inline>
                  </w:drawing>
                </mc:Choice>
                <mc:Fallback>
                  <w:pict>
                    <v:group id="画布 15" o:spid="_x0000_s1026" o:spt="203" style="height:141.45pt;width:188.85pt;" coordsize="2398395,1796415" editas="canvas" o:gfxdata="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">
                      <o:lock v:ext="edit" aspectratio="f"/>
                      <v:shape id="画布 15" o:spid="_x0000_s1026" style="position:absolute;left:0;top:0;height:1796415;width:2398395;" filled="f" stroked="f" coordsize="21600,21600" o:gfxdata="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">
                        <v:fill on="f" focussize="0,0"/>
                        <v:stroke on="f"/>
                        <v:imagedata o:title=""/>
                        <o:lock v:ext="edit" aspectratio="t"/>
                      </v:shape>
                      <v:rect id="矩形 21" o:spid="_x0000_s1026" o:spt="1" style="position:absolute;left:235200;top:27199;height:489586;width:799998;" fillcolor="#FFFFFF" filled="t" stroked="f" coordsize="21600,21600" o:gfxdata="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UAJM3dUAAAAFAQAADwAAAAAAAAABACAAAAAiAAAAZHJzL2Rvd25yZXYueG1s&#10;UEsBAhQAFAAAAAgAh07iQBQMr0o0AgAAUAQAAA4AAAAAAAAAAQAgAAAAJAEAAGRycy9lMm9Eb2Mu&#10;eG1sUEsFBgAAAAAGAAYAWQEAAMoFAAAAAA==&#10;">
                        <v:fill on="t" focussize="0,0"/>
                        <v:stroke on="f"/>
                        <v:imagedata o:title=""/>
                        <o:lock v:ext="edit" aspectratio="f"/>
                        <v:textbox>
                          <w:txbxContent>
                            <w:p w14:paraId="3E10B9A6">
                              <w:pPr>
                                <w:jc w:val="center"/>
                              </w:pPr>
                              <w:r>
                                <w:rPr>
                                  <w:rFonts w:hint="eastAsia"/>
                                </w:rPr>
                                <w:t>原料毛矿</w:t>
                              </w:r>
                            </w:p>
                            <w:p w14:paraId="22AEF73D">
                              <w:pPr>
                                <w:jc w:val="center"/>
                              </w:pPr>
                              <w:r>
                                <w:rPr>
                                  <w:rFonts w:hint="eastAsia"/>
                                </w:rPr>
                                <w:t>60345.76</w:t>
                              </w:r>
                            </w:p>
                          </w:txbxContent>
                        </v:textbox>
                      </v:rect>
                      <v:shape id="自选图形 58" o:spid="_x0000_s1026" o:spt="32" type="#_x0000_t32" style="position:absolute;left:635199;top:516785;height:117597;width:0;" filled="f" stroked="t" coordsize="21600,21600" o:gfxdata="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8b2UDZAAAABQEAAA8AAAAAAAAAAQAgAAAAIgAAAGRycy9kb3ducmV2LnhtbFBLAQIU&#10;ABQAAAAIAIdO4kDAc0WbKwIAABkEAAAOAAAAAAAAAAEAIAAAACgBAABkcnMvZTJvRG9jLnhtbFBL&#10;BQYAAAAABgAGAFkBAADFBQAAAAA=&#10;">
                        <v:fill on="f" focussize="0,0"/>
                        <v:stroke color="#000000" miterlimit="8" joinstyle="miter" endarrow="open"/>
                        <v:imagedata o:title=""/>
                        <o:lock v:ext="edit" aspectratio="f"/>
                      </v:shape>
                      <v:shape id="自选图形 61" o:spid="_x0000_s1026" o:spt="34" type="#_x0000_t34" style="position:absolute;left:377825;top:1048385;height:146685;width:370840;rotation:5898240f;" filled="f" stroked="t" coordsize="21600,21600" o:gfxdata="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FIoFGjXAAAABQEAAA8AAAAAAAAA&#10;AQAgAAAAIgAAAGRycy9kb3ducmV2LnhtbFBLAQIUABQAAAAIAIdO4kDpK7odSwIAAFUEAAAOAAAA&#10;AAAAAAEAIAAAACYBAABkcnMvZTJvRG9jLnhtbFBLBQYAAAAABgAGAFkBAADjBQAAAAA=&#10;" adj="10781">
                        <v:fill on="f" focussize="0,0"/>
                        <v:stroke color="#000000" miterlimit="8" joinstyle="miter" endarrow="open"/>
                        <v:imagedata o:title=""/>
                        <o:lock v:ext="edit" aspectratio="f"/>
                      </v:shape>
                      <v:shape id="自选图形 62" o:spid="_x0000_s1026" o:spt="34" type="#_x0000_t34" style="position:absolute;left:732155;top:840740;flip:y;height:565150;width:374015;rotation:-5898240f;" filled="f" stroked="t" coordsize="21600,21600" o:gfxdata="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B7+vuXWAAAABQEAAA8A&#10;AAAAAAAAAQAgAAAAIgAAAGRycy9kb3ducmV2LnhtbFBLAQIUABQAAAAIAIdO4kCEAy5RUgIAAF4E&#10;AAAOAAAAAAAAAAEAIAAAACUBAABkcnMvZTJvRG9jLnhtbFBLBQYAAAAABgAGAFkBAADpBQAAAAA=&#10;" adj="10800">
                        <v:fill on="f" focussize="0,0"/>
                        <v:stroke color="#000000" miterlimit="8" joinstyle="miter" endarrow="open"/>
                        <v:imagedata o:title=""/>
                        <o:lock v:ext="edit" aspectratio="f"/>
                      </v:shape>
                      <v:rect id="矩形 68" o:spid="_x0000_s1026" o:spt="1" style="position:absolute;left:19050;top:1306830;height:502920;width:940435;" filled="f" stroked="f" coordsize="21600,21600" o:gfxdata="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fm5lW&#10;1wAAAAUBAAAPAAAAAAAAAAEAIAAAACIAAABkcnMvZG93bnJldi54bWxQSwECFAAUAAAACACHTuJA&#10;mQcHbSICAAAoBAAADgAAAAAAAAABACAAAAAmAQAAZHJzL2Uyb0RvYy54bWxQSwUGAAAAAAYABgBZ&#10;AQAAugUAAAAA&#10;">
                        <v:fill on="f" focussize="0,0"/>
                        <v:stroke on="f"/>
                        <v:imagedata o:title=""/>
                        <o:lock v:ext="edit" aspectratio="f"/>
                        <v:textbox>
                          <w:txbxContent>
                            <w:p w14:paraId="630C4E1D">
                              <w:pPr>
                                <w:jc w:val="center"/>
                              </w:pPr>
                              <w:r>
                                <w:rPr>
                                  <w:rFonts w:hint="eastAsia"/>
                                </w:rPr>
                                <w:t>钛铁精矿</w:t>
                              </w:r>
                            </w:p>
                            <w:p w14:paraId="6A1DA538">
                              <w:pPr>
                                <w:jc w:val="center"/>
                              </w:pPr>
                              <w:r>
                                <w:rPr>
                                  <w:rFonts w:hint="eastAsia"/>
                                </w:rPr>
                                <w:t>55759.28</w:t>
                              </w:r>
                            </w:p>
                          </w:txbxContent>
                        </v:textbox>
                      </v:rect>
                      <v:rect id="矩形 69" o:spid="_x0000_s1026" o:spt="1" style="position:absolute;left:814705;top:1310005;height:471170;width:772795;" filled="f" stroked="f" coordsize="21600,21600" o:gfxdata="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bmVbX&#10;AAAABQEAAA8AAAAAAAAAAQAgAAAAIgAAAGRycy9kb3ducmV2LnhtbFBLAQIUABQAAAAIAIdO4kCA&#10;xJr/IQIAACoEAAAOAAAAAAAAAAEAIAAAACYBAABkcnMvZTJvRG9jLnhtbFBLBQYAAAAABgAGAFkB&#10;AAC5BQAAAAA=&#10;">
                        <v:fill on="f" focussize="0,0"/>
                        <v:stroke on="f"/>
                        <v:imagedata o:title=""/>
                        <o:lock v:ext="edit" aspectratio="f"/>
                        <v:textbox>
                          <w:txbxContent>
                            <w:p w14:paraId="6C38C027">
                              <w:pPr>
                                <w:jc w:val="center"/>
                              </w:pPr>
                              <w:r>
                                <w:rPr>
                                  <w:rFonts w:hint="eastAsia"/>
                                </w:rPr>
                                <w:t>锆中矿</w:t>
                              </w:r>
                            </w:p>
                            <w:p w14:paraId="5830838A">
                              <w:pPr>
                                <w:jc w:val="center"/>
                              </w:pPr>
                              <w:r>
                                <w:rPr>
                                  <w:rFonts w:hint="eastAsia"/>
                                </w:rPr>
                                <w:t>4585.08</w:t>
                              </w:r>
                            </w:p>
                          </w:txbxContent>
                        </v:textbox>
                      </v:rect>
                      <v:shape id="自选图形 74" o:spid="_x0000_s1026" o:spt="38" type="#_x0000_t38" style="position:absolute;left:951998;top:347190;flip:y;height:292791;width:303999;" filled="f" stroked="t" coordsize="21600,21600" o:gfxdata="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GWgQ7TWAAAA&#10;BQEAAA8AAAAAAAAAAQAgAAAAIgAAAGRycy9kb3ducmV2LnhtbFBLAQIUABQAAAAIAIdO4kDCqgpO&#10;WAIAAGoEAAAOAAAAAAAAAAEAIAAAACUBAABkcnMvZTJvRG9jLnhtbFBLBQYAAAAABgAGAFkBAADv&#10;BQAAAAA=&#10;" adj="10822">
                        <v:fill on="f" focussize="0,0"/>
                        <v:stroke color="#000000" miterlimit="8" joinstyle="miter" dashstyle="dash" endarrow="open"/>
                        <v:imagedata o:title=""/>
                        <o:lock v:ext="edit" aspectratio="f"/>
                      </v:shape>
                      <v:rect id="矩形 86" o:spid="_x0000_s1026" o:spt="1" style="position:absolute;left:165100;top:634365;height:294640;width:939165;" fillcolor="#FFFFFF" filled="t" stroked="t" coordsize="21600,21600" o:gfxdata="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Fr7g4PVAAAABQEA&#10;AA8AAAAAAAAAAQAgAAAAIgAAAGRycy9kb3ducmV2LnhtbFBLAQIUABQAAAAIAIdO4kBzh04pVgIA&#10;AKYEAAAOAAAAAAAAAAEAIAAAACQBAABkcnMvZTJvRG9jLnhtbFBLBQYAAAAABgAGAFkBAADsBQAA&#10;AAA=&#10;">
                        <v:fill on="t" focussize="0,0"/>
                        <v:stroke color="#000000" miterlimit="8" joinstyle="miter"/>
                        <v:imagedata o:title=""/>
                        <o:lock v:ext="edit" aspectratio="f"/>
                        <v:textbox>
                          <w:txbxContent>
                            <w:p w14:paraId="3DE734BB">
                              <w:pPr>
                                <w:jc w:val="center"/>
                              </w:pPr>
                              <w:r>
                                <w:rPr>
                                  <w:rFonts w:hint="eastAsia"/>
                                </w:rPr>
                                <w:t>烘干、磁选</w:t>
                              </w:r>
                            </w:p>
                            <w:p w14:paraId="69DEBEFA"/>
                          </w:txbxContent>
                        </v:textbox>
                      </v:rect>
                      <v:rect id="矩形 92" o:spid="_x0000_s1026" o:spt="1" style="position:absolute;left:1128798;top:77598;height:456787;width:775998;" filled="f" stroked="f" coordsize="21600,21600" o:gfxdata="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fm5lW1wAA&#10;AAUBAAAPAAAAAAAAAAEAIAAAACIAAABkcnMvZG93bnJldi54bWxQSwECFAAUAAAACACHTuJArAIN&#10;eR8CAAApBAAADgAAAAAAAAABACAAAAAmAQAAZHJzL2Uyb0RvYy54bWxQSwUGAAAAAAYABgBZAQAA&#10;twUAAAAA&#10;">
                        <v:fill on="f" focussize="0,0"/>
                        <v:stroke on="f"/>
                        <v:imagedata o:title=""/>
                        <o:lock v:ext="edit" aspectratio="f"/>
                        <v:textbox>
                          <w:txbxContent>
                            <w:p w14:paraId="4964F855">
                              <w:pPr>
                                <w:jc w:val="center"/>
                              </w:pPr>
                              <w:r>
                                <w:rPr>
                                  <w:rFonts w:hint="eastAsia"/>
                                </w:rPr>
                                <w:t>车间粉尘</w:t>
                              </w:r>
                            </w:p>
                            <w:p w14:paraId="4197B17E">
                              <w:pPr>
                                <w:jc w:val="center"/>
                              </w:pPr>
                              <w:r>
                                <w:rPr>
                                  <w:rFonts w:hint="eastAsia"/>
                                </w:rPr>
                                <w:t>1.4</w:t>
                              </w:r>
                            </w:p>
                          </w:txbxContent>
                        </v:textbox>
                      </v:rect>
                      <w10:wrap type="none"/>
                      <w10:anchorlock/>
                    </v:group>
                  </w:pict>
                </mc:Fallback>
              </mc:AlternateContent>
            </w:r>
          </w:p>
        </w:tc>
        <w:tc>
          <w:tcPr>
            <w:tcW w:w="4261" w:type="dxa"/>
            <w:vAlign w:val="center"/>
          </w:tcPr>
          <w:p w14:paraId="2E2C0F33">
            <w:pPr>
              <w:spacing w:line="360" w:lineRule="auto"/>
              <w:jc w:val="center"/>
              <w:rPr>
                <w:rFonts w:ascii="Times New Roman" w:hAnsi="Times New Roman"/>
                <w:spacing w:val="-2"/>
                <w:kern w:val="0"/>
                <w:sz w:val="24"/>
                <w:szCs w:val="24"/>
              </w:rPr>
            </w:pPr>
          </w:p>
          <w:p w14:paraId="6B4FE886">
            <w:pPr>
              <w:spacing w:line="360" w:lineRule="auto"/>
              <w:jc w:val="center"/>
              <w:rPr>
                <w:rFonts w:ascii="Times New Roman" w:hAnsi="Times New Roman"/>
                <w:spacing w:val="-2"/>
                <w:kern w:val="0"/>
                <w:sz w:val="24"/>
                <w:szCs w:val="24"/>
              </w:rPr>
            </w:pPr>
            <w:r>
              <w:rPr>
                <w:rFonts w:ascii="Times New Roman" w:hAnsi="Times New Roman"/>
                <w:spacing w:val="-2"/>
                <w:kern w:val="0"/>
                <w:sz w:val="24"/>
                <w:szCs w:val="24"/>
              </w:rPr>
              <mc:AlternateContent>
                <mc:Choice Requires="wpc">
                  <w:drawing>
                    <wp:inline distT="0" distB="0" distL="0" distR="0">
                      <wp:extent cx="2398395" cy="1796415"/>
                      <wp:effectExtent l="0" t="0" r="0" b="0"/>
                      <wp:docPr id="1318772633" name="画布 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85220438" name="矩形 21"/>
                              <wps:cNvSpPr>
                                <a:spLocks noChangeArrowheads="1"/>
                              </wps:cNvSpPr>
                              <wps:spPr bwMode="auto">
                                <a:xfrm>
                                  <a:off x="235200" y="27199"/>
                                  <a:ext cx="799998" cy="489586"/>
                                </a:xfrm>
                                <a:prstGeom prst="rect">
                                  <a:avLst/>
                                </a:prstGeom>
                                <a:solidFill>
                                  <a:srgbClr val="FFFFFF"/>
                                </a:solidFill>
                                <a:ln>
                                  <a:noFill/>
                                </a:ln>
                                <a:effectLst/>
                              </wps:spPr>
                              <wps:txbx>
                                <w:txbxContent>
                                  <w:p w14:paraId="355FE14C">
                                    <w:pPr>
                                      <w:jc w:val="center"/>
                                    </w:pPr>
                                    <w:r>
                                      <w:rPr>
                                        <w:rFonts w:hint="eastAsia"/>
                                      </w:rPr>
                                      <w:t>原料毛矿</w:t>
                                    </w:r>
                                  </w:p>
                                  <w:p w14:paraId="3A52FCD9">
                                    <w:pPr>
                                      <w:jc w:val="center"/>
                                    </w:pPr>
                                    <w:r>
                                      <w:rPr>
                                        <w:rFonts w:hint="eastAsia"/>
                                      </w:rPr>
                                      <w:t>2585.59</w:t>
                                    </w:r>
                                  </w:p>
                                </w:txbxContent>
                              </wps:txbx>
                              <wps:bodyPr rot="0" vert="horz" wrap="square" lIns="91440" tIns="45720" rIns="91440" bIns="45720" anchor="t" anchorCtr="0" upright="1">
                                <a:noAutofit/>
                              </wps:bodyPr>
                            </wps:wsp>
                            <wps:wsp>
                              <wps:cNvPr id="1405272844" name="自选图形 58"/>
                              <wps:cNvCnPr>
                                <a:cxnSpLocks noChangeShapeType="1"/>
                              </wps:cNvCnPr>
                              <wps:spPr bwMode="auto">
                                <a:xfrm>
                                  <a:off x="635199" y="516785"/>
                                  <a:ext cx="0" cy="117597"/>
                                </a:xfrm>
                                <a:prstGeom prst="straightConnector1">
                                  <a:avLst/>
                                </a:prstGeom>
                                <a:noFill/>
                                <a:ln w="9525" cmpd="sng">
                                  <a:solidFill>
                                    <a:srgbClr val="000000"/>
                                  </a:solidFill>
                                  <a:miter lim="800000"/>
                                  <a:tailEnd type="arrow" w="med" len="med"/>
                                </a:ln>
                                <a:effectLst/>
                              </wps:spPr>
                              <wps:bodyPr/>
                            </wps:wsp>
                            <wps:wsp>
                              <wps:cNvPr id="733851592" name="自选图形 61"/>
                              <wps:cNvCnPr>
                                <a:cxnSpLocks noChangeShapeType="1"/>
                              </wps:cNvCnPr>
                              <wps:spPr bwMode="auto">
                                <a:xfrm rot="5400000">
                                  <a:off x="377825" y="1048385"/>
                                  <a:ext cx="370840" cy="146685"/>
                                </a:xfrm>
                                <a:prstGeom prst="bentConnector3">
                                  <a:avLst>
                                    <a:gd name="adj1" fmla="val 49914"/>
                                  </a:avLst>
                                </a:prstGeom>
                                <a:noFill/>
                                <a:ln w="9525" cmpd="sng">
                                  <a:solidFill>
                                    <a:srgbClr val="000000"/>
                                  </a:solidFill>
                                  <a:miter lim="800000"/>
                                  <a:tailEnd type="arrow" w="med" len="med"/>
                                </a:ln>
                                <a:effectLst/>
                              </wps:spPr>
                              <wps:bodyPr/>
                            </wps:wsp>
                            <wps:wsp>
                              <wps:cNvPr id="1414263925" name="自选图形 62"/>
                              <wps:cNvCnPr>
                                <a:cxnSpLocks noChangeShapeType="1"/>
                              </wps:cNvCnPr>
                              <wps:spPr bwMode="auto">
                                <a:xfrm rot="5400000" flipV="1">
                                  <a:off x="732155" y="840740"/>
                                  <a:ext cx="374015" cy="565150"/>
                                </a:xfrm>
                                <a:prstGeom prst="bentConnector3">
                                  <a:avLst>
                                    <a:gd name="adj1" fmla="val 50000"/>
                                  </a:avLst>
                                </a:prstGeom>
                                <a:noFill/>
                                <a:ln w="9525" cmpd="sng">
                                  <a:solidFill>
                                    <a:srgbClr val="000000"/>
                                  </a:solidFill>
                                  <a:miter lim="800000"/>
                                  <a:tailEnd type="arrow" w="med" len="med"/>
                                </a:ln>
                                <a:effectLst/>
                              </wps:spPr>
                              <wps:bodyPr/>
                            </wps:wsp>
                            <wps:wsp>
                              <wps:cNvPr id="638591030" name="矩形 68"/>
                              <wps:cNvSpPr>
                                <a:spLocks noChangeArrowheads="1"/>
                              </wps:cNvSpPr>
                              <wps:spPr bwMode="auto">
                                <a:xfrm>
                                  <a:off x="19050" y="1306830"/>
                                  <a:ext cx="940435" cy="502920"/>
                                </a:xfrm>
                                <a:prstGeom prst="rect">
                                  <a:avLst/>
                                </a:prstGeom>
                                <a:noFill/>
                                <a:ln>
                                  <a:noFill/>
                                </a:ln>
                                <a:effectLst/>
                              </wps:spPr>
                              <wps:txbx>
                                <w:txbxContent>
                                  <w:p w14:paraId="477C54AB">
                                    <w:pPr>
                                      <w:jc w:val="center"/>
                                    </w:pPr>
                                    <w:r>
                                      <w:rPr>
                                        <w:rFonts w:hint="eastAsia"/>
                                      </w:rPr>
                                      <w:t>钛铁精矿</w:t>
                                    </w:r>
                                  </w:p>
                                  <w:p w14:paraId="07C8FE57">
                                    <w:pPr>
                                      <w:jc w:val="center"/>
                                    </w:pPr>
                                    <w:r>
                                      <w:rPr>
                                        <w:rFonts w:hint="eastAsia"/>
                                      </w:rPr>
                                      <w:t>176.96</w:t>
                                    </w:r>
                                  </w:p>
                                </w:txbxContent>
                              </wps:txbx>
                              <wps:bodyPr rot="0" vert="horz" wrap="square" lIns="91440" tIns="45720" rIns="91440" bIns="45720" anchor="t" anchorCtr="0" upright="1">
                                <a:noAutofit/>
                              </wps:bodyPr>
                            </wps:wsp>
                            <wps:wsp>
                              <wps:cNvPr id="924705148" name="矩形 69"/>
                              <wps:cNvSpPr>
                                <a:spLocks noChangeArrowheads="1"/>
                              </wps:cNvSpPr>
                              <wps:spPr bwMode="auto">
                                <a:xfrm>
                                  <a:off x="814705" y="1310005"/>
                                  <a:ext cx="772795" cy="471170"/>
                                </a:xfrm>
                                <a:prstGeom prst="rect">
                                  <a:avLst/>
                                </a:prstGeom>
                                <a:noFill/>
                                <a:ln>
                                  <a:noFill/>
                                </a:ln>
                                <a:effectLst/>
                              </wps:spPr>
                              <wps:txbx>
                                <w:txbxContent>
                                  <w:p w14:paraId="460CA27A">
                                    <w:pPr>
                                      <w:jc w:val="center"/>
                                    </w:pPr>
                                    <w:r>
                                      <w:rPr>
                                        <w:rFonts w:hint="eastAsia"/>
                                      </w:rPr>
                                      <w:t>锆中矿</w:t>
                                    </w:r>
                                  </w:p>
                                  <w:p w14:paraId="6DC1F26B">
                                    <w:pPr>
                                      <w:jc w:val="center"/>
                                    </w:pPr>
                                    <w:r>
                                      <w:rPr>
                                        <w:rFonts w:hint="eastAsia"/>
                                      </w:rPr>
                                      <w:t>2408.57</w:t>
                                    </w:r>
                                  </w:p>
                                </w:txbxContent>
                              </wps:txbx>
                              <wps:bodyPr rot="0" vert="horz" wrap="square" lIns="91440" tIns="45720" rIns="91440" bIns="45720" anchor="t" anchorCtr="0" upright="1">
                                <a:noAutofit/>
                              </wps:bodyPr>
                            </wps:wsp>
                            <wps:wsp>
                              <wps:cNvPr id="2093124656" name="自选图形 74"/>
                              <wps:cNvCnPr>
                                <a:cxnSpLocks noChangeShapeType="1"/>
                              </wps:cNvCnPr>
                              <wps:spPr bwMode="auto">
                                <a:xfrm flipV="1">
                                  <a:off x="951998" y="347190"/>
                                  <a:ext cx="303999" cy="292791"/>
                                </a:xfrm>
                                <a:prstGeom prst="curvedConnector3">
                                  <a:avLst>
                                    <a:gd name="adj1" fmla="val 50102"/>
                                  </a:avLst>
                                </a:prstGeom>
                                <a:noFill/>
                                <a:ln w="9525" cmpd="sng">
                                  <a:solidFill>
                                    <a:srgbClr val="000000"/>
                                  </a:solidFill>
                                  <a:prstDash val="dash"/>
                                  <a:miter lim="800000"/>
                                  <a:tailEnd type="arrow" w="med" len="med"/>
                                </a:ln>
                                <a:effectLst/>
                              </wps:spPr>
                              <wps:bodyPr/>
                            </wps:wsp>
                            <wps:wsp>
                              <wps:cNvPr id="2121922840" name="矩形 86"/>
                              <wps:cNvSpPr>
                                <a:spLocks noChangeArrowheads="1"/>
                              </wps:cNvSpPr>
                              <wps:spPr bwMode="auto">
                                <a:xfrm>
                                  <a:off x="165100" y="634365"/>
                                  <a:ext cx="939165" cy="294640"/>
                                </a:xfrm>
                                <a:prstGeom prst="rect">
                                  <a:avLst/>
                                </a:prstGeom>
                                <a:solidFill>
                                  <a:srgbClr val="FFFFFF"/>
                                </a:solidFill>
                                <a:ln w="9525" cmpd="sng">
                                  <a:solidFill>
                                    <a:srgbClr val="000000"/>
                                  </a:solidFill>
                                  <a:miter lim="800000"/>
                                </a:ln>
                                <a:effectLst/>
                              </wps:spPr>
                              <wps:txbx>
                                <w:txbxContent>
                                  <w:p w14:paraId="2A230848">
                                    <w:pPr>
                                      <w:jc w:val="center"/>
                                    </w:pPr>
                                    <w:r>
                                      <w:rPr>
                                        <w:rFonts w:hint="eastAsia"/>
                                      </w:rPr>
                                      <w:t>烘干、磁选</w:t>
                                    </w:r>
                                  </w:p>
                                  <w:p w14:paraId="1D01760B"/>
                                </w:txbxContent>
                              </wps:txbx>
                              <wps:bodyPr rot="0" vert="horz" wrap="square" lIns="91440" tIns="45720" rIns="91440" bIns="45720" anchor="t" anchorCtr="0" upright="1">
                                <a:noAutofit/>
                              </wps:bodyPr>
                            </wps:wsp>
                            <wps:wsp>
                              <wps:cNvPr id="1983539888" name="矩形 92"/>
                              <wps:cNvSpPr>
                                <a:spLocks noChangeArrowheads="1"/>
                              </wps:cNvSpPr>
                              <wps:spPr bwMode="auto">
                                <a:xfrm>
                                  <a:off x="1128798" y="77598"/>
                                  <a:ext cx="775998" cy="456787"/>
                                </a:xfrm>
                                <a:prstGeom prst="rect">
                                  <a:avLst/>
                                </a:prstGeom>
                                <a:noFill/>
                                <a:ln>
                                  <a:noFill/>
                                </a:ln>
                                <a:effectLst/>
                              </wps:spPr>
                              <wps:txbx>
                                <w:txbxContent>
                                  <w:p w14:paraId="7810891F">
                                    <w:pPr>
                                      <w:jc w:val="center"/>
                                    </w:pPr>
                                    <w:r>
                                      <w:rPr>
                                        <w:rFonts w:hint="eastAsia"/>
                                      </w:rPr>
                                      <w:t>车间粉尘</w:t>
                                    </w:r>
                                  </w:p>
                                  <w:p w14:paraId="2D69642C">
                                    <w:pPr>
                                      <w:jc w:val="center"/>
                                    </w:pPr>
                                    <w:r>
                                      <w:rPr>
                                        <w:rFonts w:hint="eastAsia"/>
                                      </w:rPr>
                                      <w:t>0.06</w:t>
                                    </w:r>
                                  </w:p>
                                </w:txbxContent>
                              </wps:txbx>
                              <wps:bodyPr rot="0" vert="horz" wrap="square" lIns="91440" tIns="45720" rIns="91440" bIns="45720" anchor="t" anchorCtr="0" upright="1">
                                <a:noAutofit/>
                              </wps:bodyPr>
                            </wps:wsp>
                          </wpc:wpc>
                        </a:graphicData>
                      </a:graphic>
                    </wp:inline>
                  </w:drawing>
                </mc:Choice>
                <mc:Fallback>
                  <w:pict>
                    <v:group id="画布 15" o:spid="_x0000_s1026" o:spt="203" style="height:141.45pt;width:188.85pt;" coordsize="2398395,1796415" editas="canvas" o:gfxdata="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">
                      <o:lock v:ext="edit" aspectratio="f"/>
                      <v:shape id="画布 15" o:spid="_x0000_s1026" style="position:absolute;left:0;top:0;height:1796415;width:2398395;" filled="f" stroked="f" coordsize="21600,21600" o:gfxdata="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">
                        <v:fill on="f" focussize="0,0"/>
                        <v:stroke on="f"/>
                        <v:imagedata o:title=""/>
                        <o:lock v:ext="edit" aspectratio="t"/>
                      </v:shape>
                      <v:rect id="矩形 21" o:spid="_x0000_s1026" o:spt="1" style="position:absolute;left:235200;top:27199;height:489586;width:799998;" fillcolor="#FFFFFF" filled="t" stroked="f" coordsize="21600,21600" o:gfxdata="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UAJM3dUAAAAFAQAADwAAAAAAAAABACAAAAAiAAAAZHJzL2Rvd25yZXYueG1s&#10;UEsBAhQAFAAAAAgAh07iQIkMvgE0AgAAUAQAAA4AAAAAAAAAAQAgAAAAJAEAAGRycy9lMm9Eb2Mu&#10;eG1sUEsFBgAAAAAGAAYAWQEAAMoFAAAAAA==&#10;">
                        <v:fill on="t" focussize="0,0"/>
                        <v:stroke on="f"/>
                        <v:imagedata o:title=""/>
                        <o:lock v:ext="edit" aspectratio="f"/>
                        <v:textbox>
                          <w:txbxContent>
                            <w:p w14:paraId="355FE14C">
                              <w:pPr>
                                <w:jc w:val="center"/>
                              </w:pPr>
                              <w:r>
                                <w:rPr>
                                  <w:rFonts w:hint="eastAsia"/>
                                </w:rPr>
                                <w:t>原料毛矿</w:t>
                              </w:r>
                            </w:p>
                            <w:p w14:paraId="3A52FCD9">
                              <w:pPr>
                                <w:jc w:val="center"/>
                              </w:pPr>
                              <w:r>
                                <w:rPr>
                                  <w:rFonts w:hint="eastAsia"/>
                                </w:rPr>
                                <w:t>2585.59</w:t>
                              </w:r>
                            </w:p>
                          </w:txbxContent>
                        </v:textbox>
                      </v:rect>
                      <v:shape id="自选图形 58" o:spid="_x0000_s1026" o:spt="32" type="#_x0000_t32" style="position:absolute;left:635199;top:516785;height:117597;width:0;" filled="f" stroked="t" coordsize="21600,21600" o:gfxdata="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G9lA2QAAAAUBAAAPAAAAAAAAAAEAIAAAACIAAABkcnMvZG93bnJldi54bWxQSwEC&#10;FAAUAAAACACHTuJAIhiBzywCAAAZBAAADgAAAAAAAAABACAAAAAoAQAAZHJzL2Uyb0RvYy54bWxQ&#10;SwUGAAAAAAYABgBZAQAAxgUAAAAA&#10;">
                        <v:fill on="f" focussize="0,0"/>
                        <v:stroke color="#000000" miterlimit="8" joinstyle="miter" endarrow="open"/>
                        <v:imagedata o:title=""/>
                        <o:lock v:ext="edit" aspectratio="f"/>
                      </v:shape>
                      <v:shape id="自选图形 61" o:spid="_x0000_s1026" o:spt="34" type="#_x0000_t34" style="position:absolute;left:377825;top:1048385;height:146685;width:370840;rotation:5898240f;" filled="f" stroked="t" coordsize="21600,21600" o:gfxdata="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SKBRo1wAAAAUBAAAPAAAAAAAAAAEA&#10;IAAAACIAAABkcnMvZG93bnJldi54bWxQSwECFAAUAAAACACHTuJAdOi7+UkCAABVBAAADgAAAAAA&#10;AAABACAAAAAmAQAAZHJzL2Uyb0RvYy54bWxQSwUGAAAAAAYABgBZAQAA4QUAAAAA&#10;" adj="10781">
                        <v:fill on="f" focussize="0,0"/>
                        <v:stroke color="#000000" miterlimit="8" joinstyle="miter" endarrow="open"/>
                        <v:imagedata o:title=""/>
                        <o:lock v:ext="edit" aspectratio="f"/>
                      </v:shape>
                      <v:shape id="自选图形 62" o:spid="_x0000_s1026" o:spt="34" type="#_x0000_t34" style="position:absolute;left:732155;top:840740;flip:y;height:565150;width:374015;rotation:-5898240f;" filled="f" stroked="t" coordsize="21600,21600" o:gfxdata="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B7+vuXWAAAABQEAAA8A&#10;AAAAAAAAAQAgAAAAIgAAAGRycy9kb3ducmV2LnhtbFBLAQIUABQAAAAIAIdO4kCGmQgZUgIAAF8E&#10;AAAOAAAAAAAAAAEAIAAAACUBAABkcnMvZTJvRG9jLnhtbFBLBQYAAAAABgAGAFkBAADpBQAAAAA=&#10;" adj="10800">
                        <v:fill on="f" focussize="0,0"/>
                        <v:stroke color="#000000" miterlimit="8" joinstyle="miter" endarrow="open"/>
                        <v:imagedata o:title=""/>
                        <o:lock v:ext="edit" aspectratio="f"/>
                      </v:shape>
                      <v:rect id="矩形 68" o:spid="_x0000_s1026" o:spt="1" style="position:absolute;left:19050;top:1306830;height:502920;width:940435;" filled="f" stroked="f" coordsize="21600,21600" o:gfxdata="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bmVbX&#10;AAAABQEAAA8AAAAAAAAAAQAgAAAAIgAAAGRycy9kb3ducmV2LnhtbFBLAQIUABQAAAAIAIdO4kAS&#10;dLh2IQIAACgEAAAOAAAAAAAAAAEAIAAAACYBAABkcnMvZTJvRG9jLnhtbFBLBQYAAAAABgAGAFkB&#10;AAC5BQAAAAA=&#10;">
                        <v:fill on="f" focussize="0,0"/>
                        <v:stroke on="f"/>
                        <v:imagedata o:title=""/>
                        <o:lock v:ext="edit" aspectratio="f"/>
                        <v:textbox>
                          <w:txbxContent>
                            <w:p w14:paraId="477C54AB">
                              <w:pPr>
                                <w:jc w:val="center"/>
                              </w:pPr>
                              <w:r>
                                <w:rPr>
                                  <w:rFonts w:hint="eastAsia"/>
                                </w:rPr>
                                <w:t>钛铁精矿</w:t>
                              </w:r>
                            </w:p>
                            <w:p w14:paraId="07C8FE57">
                              <w:pPr>
                                <w:jc w:val="center"/>
                              </w:pPr>
                              <w:r>
                                <w:rPr>
                                  <w:rFonts w:hint="eastAsia"/>
                                </w:rPr>
                                <w:t>176.96</w:t>
                              </w:r>
                            </w:p>
                          </w:txbxContent>
                        </v:textbox>
                      </v:rect>
                      <v:rect id="矩形 69" o:spid="_x0000_s1026" o:spt="1" style="position:absolute;left:814705;top:1310005;height:471170;width:772795;" filled="f" stroked="f" coordsize="21600,21600" o:gfxdata="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bmVbX&#10;AAAABQEAAA8AAAAAAAAAAQAgAAAAIgAAAGRycy9kb3ducmV2LnhtbFBLAQIUABQAAAAIAIdO4kB0&#10;g2HGIQIAACkEAAAOAAAAAAAAAAEAIAAAACYBAABkcnMvZTJvRG9jLnhtbFBLBQYAAAAABgAGAFkB&#10;AAC5BQAAAAA=&#10;">
                        <v:fill on="f" focussize="0,0"/>
                        <v:stroke on="f"/>
                        <v:imagedata o:title=""/>
                        <o:lock v:ext="edit" aspectratio="f"/>
                        <v:textbox>
                          <w:txbxContent>
                            <w:p w14:paraId="460CA27A">
                              <w:pPr>
                                <w:jc w:val="center"/>
                              </w:pPr>
                              <w:r>
                                <w:rPr>
                                  <w:rFonts w:hint="eastAsia"/>
                                </w:rPr>
                                <w:t>锆中矿</w:t>
                              </w:r>
                            </w:p>
                            <w:p w14:paraId="6DC1F26B">
                              <w:pPr>
                                <w:jc w:val="center"/>
                              </w:pPr>
                              <w:r>
                                <w:rPr>
                                  <w:rFonts w:hint="eastAsia"/>
                                </w:rPr>
                                <w:t>2408.57</w:t>
                              </w:r>
                            </w:p>
                          </w:txbxContent>
                        </v:textbox>
                      </v:rect>
                      <v:shape id="自选图形 74" o:spid="_x0000_s1026" o:spt="38" type="#_x0000_t38" style="position:absolute;left:951998;top:347190;flip:y;height:292791;width:303999;" filled="f" stroked="t" coordsize="21600,21600" o:gfxdata="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loEO01gAA&#10;AAUBAAAPAAAAAAAAAAEAIAAAACIAAABkcnMvZG93bnJldi54bWxQSwECFAAUAAAACACHTuJAXz9Z&#10;z1kCAABrBAAADgAAAAAAAAABACAAAAAlAQAAZHJzL2Uyb0RvYy54bWxQSwUGAAAAAAYABgBZAQAA&#10;8AUAAAAA&#10;" adj="10822">
                        <v:fill on="f" focussize="0,0"/>
                        <v:stroke color="#000000" miterlimit="8" joinstyle="miter" dashstyle="dash" endarrow="open"/>
                        <v:imagedata o:title=""/>
                        <o:lock v:ext="edit" aspectratio="f"/>
                      </v:shape>
                      <v:rect id="矩形 86" o:spid="_x0000_s1026" o:spt="1" style="position:absolute;left:165100;top:634365;height:294640;width:939165;" fillcolor="#FFFFFF" filled="t" stroked="t" coordsize="21600,21600" o:gfxdata="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Fr7g4PVAAAABQEAAA8A&#10;AAAAAAAAAQAgAAAAIgAAAGRycy9kb3ducmV2LnhtbFBLAQIUABQAAAAIAIdO4kBzdeoPUwIAAKYE&#10;AAAOAAAAAAAAAAEAIAAAACQBAABkcnMvZTJvRG9jLnhtbFBLBQYAAAAABgAGAFkBAADpBQAAAAA=&#10;">
                        <v:fill on="t" focussize="0,0"/>
                        <v:stroke color="#000000" miterlimit="8" joinstyle="miter"/>
                        <v:imagedata o:title=""/>
                        <o:lock v:ext="edit" aspectratio="f"/>
                        <v:textbox>
                          <w:txbxContent>
                            <w:p w14:paraId="2A230848">
                              <w:pPr>
                                <w:jc w:val="center"/>
                              </w:pPr>
                              <w:r>
                                <w:rPr>
                                  <w:rFonts w:hint="eastAsia"/>
                                </w:rPr>
                                <w:t>烘干、磁选</w:t>
                              </w:r>
                            </w:p>
                            <w:p w14:paraId="1D01760B"/>
                          </w:txbxContent>
                        </v:textbox>
                      </v:rect>
                      <v:rect id="矩形 92" o:spid="_x0000_s1026" o:spt="1" style="position:absolute;left:1128798;top:77598;height:456787;width:775998;" filled="f" stroked="f" coordsize="21600,21600" o:gfxdata="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fm5lW1wAA&#10;AAUBAAAPAAAAAAAAAAEAIAAAACIAAABkcnMvZG93bnJldi54bWxQSwECFAAUAAAACACHTuJANYWw&#10;yh8CAAApBAAADgAAAAAAAAABACAAAAAmAQAAZHJzL2Uyb0RvYy54bWxQSwUGAAAAAAYABgBZAQAA&#10;twUAAAAA&#10;">
                        <v:fill on="f" focussize="0,0"/>
                        <v:stroke on="f"/>
                        <v:imagedata o:title=""/>
                        <o:lock v:ext="edit" aspectratio="f"/>
                        <v:textbox>
                          <w:txbxContent>
                            <w:p w14:paraId="7810891F">
                              <w:pPr>
                                <w:jc w:val="center"/>
                              </w:pPr>
                              <w:r>
                                <w:rPr>
                                  <w:rFonts w:hint="eastAsia"/>
                                </w:rPr>
                                <w:t>车间粉尘</w:t>
                              </w:r>
                            </w:p>
                            <w:p w14:paraId="2D69642C">
                              <w:pPr>
                                <w:jc w:val="center"/>
                              </w:pPr>
                              <w:r>
                                <w:rPr>
                                  <w:rFonts w:hint="eastAsia"/>
                                </w:rPr>
                                <w:t>0.06</w:t>
                              </w:r>
                            </w:p>
                          </w:txbxContent>
                        </v:textbox>
                      </v:rect>
                      <w10:wrap type="none"/>
                      <w10:anchorlock/>
                    </v:group>
                  </w:pict>
                </mc:Fallback>
              </mc:AlternateContent>
            </w:r>
          </w:p>
        </w:tc>
      </w:tr>
      <w:tr w14:paraId="0354C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61" w:type="dxa"/>
            <w:vAlign w:val="center"/>
          </w:tcPr>
          <w:p w14:paraId="3378A695">
            <w:pPr>
              <w:pStyle w:val="9"/>
              <w:numPr>
                <w:ilvl w:val="5"/>
                <w:numId w:val="3"/>
              </w:numPr>
              <w:rPr>
                <w:spacing w:val="-2"/>
                <w:kern w:val="0"/>
                <w:sz w:val="24"/>
              </w:rPr>
            </w:pPr>
            <w:r>
              <w:rPr>
                <w:sz w:val="24"/>
              </w:rPr>
              <w:t>铁金属平衡图（t/a）</w:t>
            </w:r>
          </w:p>
        </w:tc>
        <w:tc>
          <w:tcPr>
            <w:tcW w:w="4261" w:type="dxa"/>
            <w:vAlign w:val="center"/>
          </w:tcPr>
          <w:p w14:paraId="369B6A96">
            <w:pPr>
              <w:pStyle w:val="9"/>
              <w:numPr>
                <w:ilvl w:val="5"/>
                <w:numId w:val="3"/>
              </w:numPr>
              <w:rPr>
                <w:spacing w:val="-2"/>
                <w:kern w:val="0"/>
                <w:sz w:val="24"/>
              </w:rPr>
            </w:pPr>
            <w:r>
              <w:rPr>
                <w:sz w:val="24"/>
              </w:rPr>
              <w:t>锆金属平衡（t/a）</w:t>
            </w:r>
          </w:p>
        </w:tc>
      </w:tr>
      <w:tr w14:paraId="11367C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61" w:type="dxa"/>
            <w:vAlign w:val="center"/>
          </w:tcPr>
          <w:p w14:paraId="66A703F5">
            <w:pPr>
              <w:spacing w:line="360" w:lineRule="auto"/>
              <w:jc w:val="center"/>
              <w:rPr>
                <w:rFonts w:ascii="Times New Roman" w:hAnsi="Times New Roman"/>
                <w:spacing w:val="-2"/>
                <w:kern w:val="0"/>
                <w:sz w:val="24"/>
                <w:szCs w:val="24"/>
              </w:rPr>
            </w:pPr>
          </w:p>
          <w:p w14:paraId="304FB868">
            <w:pPr>
              <w:spacing w:line="360" w:lineRule="auto"/>
              <w:jc w:val="center"/>
              <w:rPr>
                <w:rFonts w:ascii="Times New Roman" w:hAnsi="Times New Roman"/>
                <w:spacing w:val="-2"/>
                <w:kern w:val="0"/>
                <w:sz w:val="24"/>
                <w:szCs w:val="24"/>
              </w:rPr>
            </w:pPr>
            <w:r>
              <w:rPr>
                <w:rFonts w:ascii="Times New Roman" w:hAnsi="Times New Roman"/>
                <w:spacing w:val="-2"/>
                <w:kern w:val="0"/>
                <w:sz w:val="24"/>
                <w:szCs w:val="24"/>
              </w:rPr>
              <mc:AlternateContent>
                <mc:Choice Requires="wpc">
                  <w:drawing>
                    <wp:inline distT="0" distB="0" distL="0" distR="0">
                      <wp:extent cx="2398395" cy="1796415"/>
                      <wp:effectExtent l="0" t="0" r="0" b="0"/>
                      <wp:docPr id="1948270191" name="画布 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14792051" name="矩形 21"/>
                              <wps:cNvSpPr>
                                <a:spLocks noChangeArrowheads="1"/>
                              </wps:cNvSpPr>
                              <wps:spPr bwMode="auto">
                                <a:xfrm>
                                  <a:off x="235200" y="27199"/>
                                  <a:ext cx="799998" cy="489586"/>
                                </a:xfrm>
                                <a:prstGeom prst="rect">
                                  <a:avLst/>
                                </a:prstGeom>
                                <a:solidFill>
                                  <a:srgbClr val="FFFFFF"/>
                                </a:solidFill>
                                <a:ln>
                                  <a:noFill/>
                                </a:ln>
                                <a:effectLst/>
                              </wps:spPr>
                              <wps:txbx>
                                <w:txbxContent>
                                  <w:p w14:paraId="63E4205C">
                                    <w:pPr>
                                      <w:jc w:val="center"/>
                                    </w:pPr>
                                    <w:r>
                                      <w:rPr>
                                        <w:rFonts w:hint="eastAsia"/>
                                      </w:rPr>
                                      <w:t>原料毛矿</w:t>
                                    </w:r>
                                  </w:p>
                                  <w:p w14:paraId="41BA60C8">
                                    <w:pPr>
                                      <w:jc w:val="center"/>
                                    </w:pPr>
                                    <w:r>
                                      <w:rPr>
                                        <w:rFonts w:hint="eastAsia"/>
                                      </w:rPr>
                                      <w:t>22577.72</w:t>
                                    </w:r>
                                  </w:p>
                                </w:txbxContent>
                              </wps:txbx>
                              <wps:bodyPr rot="0" vert="horz" wrap="square" lIns="91440" tIns="45720" rIns="91440" bIns="45720" anchor="t" anchorCtr="0" upright="1">
                                <a:noAutofit/>
                              </wps:bodyPr>
                            </wps:wsp>
                            <wps:wsp>
                              <wps:cNvPr id="1260537891" name="自选图形 58"/>
                              <wps:cNvCnPr>
                                <a:cxnSpLocks noChangeShapeType="1"/>
                              </wps:cNvCnPr>
                              <wps:spPr bwMode="auto">
                                <a:xfrm>
                                  <a:off x="635199" y="516785"/>
                                  <a:ext cx="0" cy="117597"/>
                                </a:xfrm>
                                <a:prstGeom prst="straightConnector1">
                                  <a:avLst/>
                                </a:prstGeom>
                                <a:noFill/>
                                <a:ln w="9525" cmpd="sng">
                                  <a:solidFill>
                                    <a:srgbClr val="000000"/>
                                  </a:solidFill>
                                  <a:miter lim="800000"/>
                                  <a:tailEnd type="arrow" w="med" len="med"/>
                                </a:ln>
                                <a:effectLst/>
                              </wps:spPr>
                              <wps:bodyPr/>
                            </wps:wsp>
                            <wps:wsp>
                              <wps:cNvPr id="502635433" name="自选图形 61"/>
                              <wps:cNvCnPr>
                                <a:cxnSpLocks noChangeShapeType="1"/>
                              </wps:cNvCnPr>
                              <wps:spPr bwMode="auto">
                                <a:xfrm rot="5400000">
                                  <a:off x="377825" y="1048385"/>
                                  <a:ext cx="370840" cy="146685"/>
                                </a:xfrm>
                                <a:prstGeom prst="bentConnector3">
                                  <a:avLst>
                                    <a:gd name="adj1" fmla="val 49914"/>
                                  </a:avLst>
                                </a:prstGeom>
                                <a:noFill/>
                                <a:ln w="9525" cmpd="sng">
                                  <a:solidFill>
                                    <a:srgbClr val="000000"/>
                                  </a:solidFill>
                                  <a:miter lim="800000"/>
                                  <a:tailEnd type="arrow" w="med" len="med"/>
                                </a:ln>
                                <a:effectLst/>
                              </wps:spPr>
                              <wps:bodyPr/>
                            </wps:wsp>
                            <wps:wsp>
                              <wps:cNvPr id="1602803293" name="自选图形 62"/>
                              <wps:cNvCnPr>
                                <a:cxnSpLocks noChangeShapeType="1"/>
                              </wps:cNvCnPr>
                              <wps:spPr bwMode="auto">
                                <a:xfrm rot="5400000" flipV="1">
                                  <a:off x="732155" y="840740"/>
                                  <a:ext cx="374015" cy="565150"/>
                                </a:xfrm>
                                <a:prstGeom prst="bentConnector3">
                                  <a:avLst>
                                    <a:gd name="adj1" fmla="val 50000"/>
                                  </a:avLst>
                                </a:prstGeom>
                                <a:noFill/>
                                <a:ln w="9525" cmpd="sng">
                                  <a:solidFill>
                                    <a:srgbClr val="000000"/>
                                  </a:solidFill>
                                  <a:miter lim="800000"/>
                                  <a:tailEnd type="arrow" w="med" len="med"/>
                                </a:ln>
                                <a:effectLst/>
                              </wps:spPr>
                              <wps:bodyPr/>
                            </wps:wsp>
                            <wps:wsp>
                              <wps:cNvPr id="1033226491" name="矩形 68"/>
                              <wps:cNvSpPr>
                                <a:spLocks noChangeArrowheads="1"/>
                              </wps:cNvSpPr>
                              <wps:spPr bwMode="auto">
                                <a:xfrm>
                                  <a:off x="19050" y="1306830"/>
                                  <a:ext cx="940435" cy="502920"/>
                                </a:xfrm>
                                <a:prstGeom prst="rect">
                                  <a:avLst/>
                                </a:prstGeom>
                                <a:noFill/>
                                <a:ln>
                                  <a:noFill/>
                                </a:ln>
                                <a:effectLst/>
                              </wps:spPr>
                              <wps:txbx>
                                <w:txbxContent>
                                  <w:p w14:paraId="2B17CC67">
                                    <w:pPr>
                                      <w:jc w:val="center"/>
                                    </w:pPr>
                                    <w:r>
                                      <w:rPr>
                                        <w:rFonts w:hint="eastAsia"/>
                                      </w:rPr>
                                      <w:t>钛铁精矿</w:t>
                                    </w:r>
                                  </w:p>
                                  <w:p w14:paraId="4B0953CC">
                                    <w:pPr>
                                      <w:jc w:val="center"/>
                                    </w:pPr>
                                    <w:r>
                                      <w:rPr>
                                        <w:rFonts w:hint="eastAsia"/>
                                      </w:rPr>
                                      <w:t>1126.13</w:t>
                                    </w:r>
                                  </w:p>
                                </w:txbxContent>
                              </wps:txbx>
                              <wps:bodyPr rot="0" vert="horz" wrap="square" lIns="91440" tIns="45720" rIns="91440" bIns="45720" anchor="t" anchorCtr="0" upright="1">
                                <a:noAutofit/>
                              </wps:bodyPr>
                            </wps:wsp>
                            <wps:wsp>
                              <wps:cNvPr id="1400582839" name="矩形 69"/>
                              <wps:cNvSpPr>
                                <a:spLocks noChangeArrowheads="1"/>
                              </wps:cNvSpPr>
                              <wps:spPr bwMode="auto">
                                <a:xfrm>
                                  <a:off x="814705" y="1310005"/>
                                  <a:ext cx="772795" cy="471170"/>
                                </a:xfrm>
                                <a:prstGeom prst="rect">
                                  <a:avLst/>
                                </a:prstGeom>
                                <a:noFill/>
                                <a:ln>
                                  <a:noFill/>
                                </a:ln>
                                <a:effectLst/>
                              </wps:spPr>
                              <wps:txbx>
                                <w:txbxContent>
                                  <w:p w14:paraId="281E672C">
                                    <w:pPr>
                                      <w:jc w:val="center"/>
                                    </w:pPr>
                                    <w:r>
                                      <w:rPr>
                                        <w:rFonts w:hint="eastAsia"/>
                                      </w:rPr>
                                      <w:t>锆中矿</w:t>
                                    </w:r>
                                  </w:p>
                                  <w:p w14:paraId="3168C6A5">
                                    <w:pPr>
                                      <w:jc w:val="center"/>
                                    </w:pPr>
                                    <w:r>
                                      <w:rPr>
                                        <w:rFonts w:hint="eastAsia"/>
                                      </w:rPr>
                                      <w:t>21451.07</w:t>
                                    </w:r>
                                  </w:p>
                                </w:txbxContent>
                              </wps:txbx>
                              <wps:bodyPr rot="0" vert="horz" wrap="square" lIns="91440" tIns="45720" rIns="91440" bIns="45720" anchor="t" anchorCtr="0" upright="1">
                                <a:noAutofit/>
                              </wps:bodyPr>
                            </wps:wsp>
                            <wps:wsp>
                              <wps:cNvPr id="617688072" name="自选图形 74"/>
                              <wps:cNvCnPr>
                                <a:cxnSpLocks noChangeShapeType="1"/>
                              </wps:cNvCnPr>
                              <wps:spPr bwMode="auto">
                                <a:xfrm flipV="1">
                                  <a:off x="951998" y="347190"/>
                                  <a:ext cx="303999" cy="292791"/>
                                </a:xfrm>
                                <a:prstGeom prst="curvedConnector3">
                                  <a:avLst>
                                    <a:gd name="adj1" fmla="val 50102"/>
                                  </a:avLst>
                                </a:prstGeom>
                                <a:noFill/>
                                <a:ln w="9525" cmpd="sng">
                                  <a:solidFill>
                                    <a:srgbClr val="000000"/>
                                  </a:solidFill>
                                  <a:prstDash val="dash"/>
                                  <a:miter lim="800000"/>
                                  <a:tailEnd type="arrow" w="med" len="med"/>
                                </a:ln>
                                <a:effectLst/>
                              </wps:spPr>
                              <wps:bodyPr/>
                            </wps:wsp>
                            <wps:wsp>
                              <wps:cNvPr id="1180009624" name="矩形 86"/>
                              <wps:cNvSpPr>
                                <a:spLocks noChangeArrowheads="1"/>
                              </wps:cNvSpPr>
                              <wps:spPr bwMode="auto">
                                <a:xfrm>
                                  <a:off x="165100" y="634365"/>
                                  <a:ext cx="939165" cy="294640"/>
                                </a:xfrm>
                                <a:prstGeom prst="rect">
                                  <a:avLst/>
                                </a:prstGeom>
                                <a:solidFill>
                                  <a:srgbClr val="FFFFFF"/>
                                </a:solidFill>
                                <a:ln w="9525" cmpd="sng">
                                  <a:solidFill>
                                    <a:srgbClr val="000000"/>
                                  </a:solidFill>
                                  <a:miter lim="800000"/>
                                </a:ln>
                                <a:effectLst/>
                              </wps:spPr>
                              <wps:txbx>
                                <w:txbxContent>
                                  <w:p w14:paraId="6B3445E7">
                                    <w:pPr>
                                      <w:jc w:val="center"/>
                                    </w:pPr>
                                    <w:r>
                                      <w:rPr>
                                        <w:rFonts w:hint="eastAsia"/>
                                      </w:rPr>
                                      <w:t>烘干、磁选</w:t>
                                    </w:r>
                                  </w:p>
                                  <w:p w14:paraId="4F6AA7B4"/>
                                </w:txbxContent>
                              </wps:txbx>
                              <wps:bodyPr rot="0" vert="horz" wrap="square" lIns="91440" tIns="45720" rIns="91440" bIns="45720" anchor="t" anchorCtr="0" upright="1">
                                <a:noAutofit/>
                              </wps:bodyPr>
                            </wps:wsp>
                            <wps:wsp>
                              <wps:cNvPr id="2143534685" name="矩形 92"/>
                              <wps:cNvSpPr>
                                <a:spLocks noChangeArrowheads="1"/>
                              </wps:cNvSpPr>
                              <wps:spPr bwMode="auto">
                                <a:xfrm>
                                  <a:off x="1128798" y="77598"/>
                                  <a:ext cx="775998" cy="456787"/>
                                </a:xfrm>
                                <a:prstGeom prst="rect">
                                  <a:avLst/>
                                </a:prstGeom>
                                <a:noFill/>
                                <a:ln>
                                  <a:noFill/>
                                </a:ln>
                                <a:effectLst/>
                              </wps:spPr>
                              <wps:txbx>
                                <w:txbxContent>
                                  <w:p w14:paraId="11C7FC0B">
                                    <w:pPr>
                                      <w:jc w:val="center"/>
                                    </w:pPr>
                                    <w:r>
                                      <w:rPr>
                                        <w:rFonts w:hint="eastAsia"/>
                                      </w:rPr>
                                      <w:t>车间粉尘</w:t>
                                    </w:r>
                                  </w:p>
                                  <w:p w14:paraId="401CDB22">
                                    <w:pPr>
                                      <w:jc w:val="center"/>
                                    </w:pPr>
                                    <w:r>
                                      <w:rPr>
                                        <w:rFonts w:hint="eastAsia"/>
                                      </w:rPr>
                                      <w:t>0.52</w:t>
                                    </w:r>
                                  </w:p>
                                </w:txbxContent>
                              </wps:txbx>
                              <wps:bodyPr rot="0" vert="horz" wrap="square" lIns="91440" tIns="45720" rIns="91440" bIns="45720" anchor="t" anchorCtr="0" upright="1">
                                <a:noAutofit/>
                              </wps:bodyPr>
                            </wps:wsp>
                          </wpc:wpc>
                        </a:graphicData>
                      </a:graphic>
                    </wp:inline>
                  </w:drawing>
                </mc:Choice>
                <mc:Fallback>
                  <w:pict>
                    <v:group id="画布 15" o:spid="_x0000_s1026" o:spt="203" style="height:141.45pt;width:188.85pt;" coordsize="2398395,1796415" editas="canvas" o:gfxdata="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">
                      <o:lock v:ext="edit" aspectratio="f"/>
                      <v:shape id="画布 15" o:spid="_x0000_s1026" style="position:absolute;left:0;top:0;height:1796415;width:2398395;" filled="f" stroked="f" coordsize="21600,21600" o:gfxdata="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">
                        <v:fill on="f" focussize="0,0"/>
                        <v:stroke on="f"/>
                        <v:imagedata o:title=""/>
                        <o:lock v:ext="edit" aspectratio="t"/>
                      </v:shape>
                      <v:rect id="矩形 21" o:spid="_x0000_s1026" o:spt="1" style="position:absolute;left:235200;top:27199;height:489586;width:799998;" fillcolor="#FFFFFF" filled="t" stroked="f" coordsize="21600,21600" o:gfxdata="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FACTN3VAAAABQEAAA8AAAAAAAAAAQAgAAAAIgAAAGRycy9kb3ducmV2Lnht&#10;bFBLAQIUABQAAAAIAIdO4kBlYfrzNQIAAFEEAAAOAAAAAAAAAAEAIAAAACQBAABkcnMvZTJvRG9j&#10;LnhtbFBLBQYAAAAABgAGAFkBAADLBQAAAAA=&#10;">
                        <v:fill on="t" focussize="0,0"/>
                        <v:stroke on="f"/>
                        <v:imagedata o:title=""/>
                        <o:lock v:ext="edit" aspectratio="f"/>
                        <v:textbox>
                          <w:txbxContent>
                            <w:p w14:paraId="63E4205C">
                              <w:pPr>
                                <w:jc w:val="center"/>
                              </w:pPr>
                              <w:r>
                                <w:rPr>
                                  <w:rFonts w:hint="eastAsia"/>
                                </w:rPr>
                                <w:t>原料毛矿</w:t>
                              </w:r>
                            </w:p>
                            <w:p w14:paraId="41BA60C8">
                              <w:pPr>
                                <w:jc w:val="center"/>
                              </w:pPr>
                              <w:r>
                                <w:rPr>
                                  <w:rFonts w:hint="eastAsia"/>
                                </w:rPr>
                                <w:t>22577.72</w:t>
                              </w:r>
                            </w:p>
                          </w:txbxContent>
                        </v:textbox>
                      </v:rect>
                      <v:shape id="自选图形 58" o:spid="_x0000_s1026" o:spt="32" type="#_x0000_t32" style="position:absolute;left:635199;top:516785;height:117597;width:0;" filled="f" stroked="t" coordsize="21600,21600" o:gfxdata="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8b2UDZAAAABQEAAA8AAAAAAAAAAQAgAAAAIgAAAGRycy9kb3ducmV2LnhtbFBLAQIU&#10;ABQAAAAIAIdO4kAvshbiKwIAABkEAAAOAAAAAAAAAAEAIAAAACgBAABkcnMvZTJvRG9jLnhtbFBL&#10;BQYAAAAABgAGAFkBAADFBQAAAAA=&#10;">
                        <v:fill on="f" focussize="0,0"/>
                        <v:stroke color="#000000" miterlimit="8" joinstyle="miter" endarrow="open"/>
                        <v:imagedata o:title=""/>
                        <o:lock v:ext="edit" aspectratio="f"/>
                      </v:shape>
                      <v:shape id="自选图形 61" o:spid="_x0000_s1026" o:spt="34" type="#_x0000_t34" style="position:absolute;left:377825;top:1048385;height:146685;width:370840;rotation:5898240f;" filled="f" stroked="t" coordsize="21600,21600" o:gfxdata="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FIoFGjXAAAABQEAAA8AAAAAAAAA&#10;AQAgAAAAIgAAAGRycy9kb3ducmV2LnhtbFBLAQIUABQAAAAIAIdO4kD6TQ3xSwIAAFUEAAAOAAAA&#10;AAAAAAEAIAAAACYBAABkcnMvZTJvRG9jLnhtbFBLBQYAAAAABgAGAFkBAADjBQAAAAA=&#10;" adj="10781">
                        <v:fill on="f" focussize="0,0"/>
                        <v:stroke color="#000000" miterlimit="8" joinstyle="miter" endarrow="open"/>
                        <v:imagedata o:title=""/>
                        <o:lock v:ext="edit" aspectratio="f"/>
                      </v:shape>
                      <v:shape id="自选图形 62" o:spid="_x0000_s1026" o:spt="34" type="#_x0000_t34" style="position:absolute;left:732155;top:840740;flip:y;height:565150;width:374015;rotation:-5898240f;" filled="f" stroked="t" coordsize="21600,21600" o:gfxdata="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B7+vuXWAAAABQEAAA8A&#10;AAAAAAAAAQAgAAAAIgAAAGRycy9kb3ducmV2LnhtbFBLAQIUABQAAAAIAIdO4kCEghhwUgIAAF8E&#10;AAAOAAAAAAAAAAEAIAAAACUBAABkcnMvZTJvRG9jLnhtbFBLBQYAAAAABgAGAFkBAADpBQAAAAA=&#10;" adj="10800">
                        <v:fill on="f" focussize="0,0"/>
                        <v:stroke color="#000000" miterlimit="8" joinstyle="miter" endarrow="open"/>
                        <v:imagedata o:title=""/>
                        <o:lock v:ext="edit" aspectratio="f"/>
                      </v:shape>
                      <v:rect id="矩形 68" o:spid="_x0000_s1026" o:spt="1" style="position:absolute;left:19050;top:1306830;height:502920;width:940435;" filled="f" stroked="f" coordsize="21600,21600" o:gfxdata="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n5uZ&#10;VtcAAAAFAQAADwAAAAAAAAABACAAAAAiAAAAZHJzL2Rvd25yZXYueG1sUEsBAhQAFAAAAAgAh07i&#10;QHIkBQgjAgAAKQQAAA4AAAAAAAAAAQAgAAAAJgEAAGRycy9lMm9Eb2MueG1sUEsFBgAAAAAGAAYA&#10;WQEAALsFAAAAAA==&#10;">
                        <v:fill on="f" focussize="0,0"/>
                        <v:stroke on="f"/>
                        <v:imagedata o:title=""/>
                        <o:lock v:ext="edit" aspectratio="f"/>
                        <v:textbox>
                          <w:txbxContent>
                            <w:p w14:paraId="2B17CC67">
                              <w:pPr>
                                <w:jc w:val="center"/>
                              </w:pPr>
                              <w:r>
                                <w:rPr>
                                  <w:rFonts w:hint="eastAsia"/>
                                </w:rPr>
                                <w:t>钛铁精矿</w:t>
                              </w:r>
                            </w:p>
                            <w:p w14:paraId="4B0953CC">
                              <w:pPr>
                                <w:jc w:val="center"/>
                              </w:pPr>
                              <w:r>
                                <w:rPr>
                                  <w:rFonts w:hint="eastAsia"/>
                                </w:rPr>
                                <w:t>1126.13</w:t>
                              </w:r>
                            </w:p>
                          </w:txbxContent>
                        </v:textbox>
                      </v:rect>
                      <v:rect id="矩形 69" o:spid="_x0000_s1026" o:spt="1" style="position:absolute;left:814705;top:1310005;height:471170;width:772795;" filled="f" stroked="f" coordsize="21600,21600" o:gfxdata="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b&#10;mVbXAAAABQEAAA8AAAAAAAAAAQAgAAAAIgAAAGRycy9kb3ducmV2LnhtbFBLAQIUABQAAAAIAIdO&#10;4kAtgONCJAIAACoEAAAOAAAAAAAAAAEAIAAAACYBAABkcnMvZTJvRG9jLnhtbFBLBQYAAAAABgAG&#10;AFkBAAC8BQAAAAA=&#10;">
                        <v:fill on="f" focussize="0,0"/>
                        <v:stroke on="f"/>
                        <v:imagedata o:title=""/>
                        <o:lock v:ext="edit" aspectratio="f"/>
                        <v:textbox>
                          <w:txbxContent>
                            <w:p w14:paraId="281E672C">
                              <w:pPr>
                                <w:jc w:val="center"/>
                              </w:pPr>
                              <w:r>
                                <w:rPr>
                                  <w:rFonts w:hint="eastAsia"/>
                                </w:rPr>
                                <w:t>锆中矿</w:t>
                              </w:r>
                            </w:p>
                            <w:p w14:paraId="3168C6A5">
                              <w:pPr>
                                <w:jc w:val="center"/>
                              </w:pPr>
                              <w:r>
                                <w:rPr>
                                  <w:rFonts w:hint="eastAsia"/>
                                </w:rPr>
                                <w:t>21451.07</w:t>
                              </w:r>
                            </w:p>
                          </w:txbxContent>
                        </v:textbox>
                      </v:rect>
                      <v:shape id="自选图形 74" o:spid="_x0000_s1026" o:spt="38" type="#_x0000_t38" style="position:absolute;left:951998;top:347190;flip:y;height:292791;width:303999;" filled="f" stroked="t" coordsize="21600,21600" o:gfxdata="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GWgQ7TWAAAA&#10;BQEAAA8AAAAAAAAAAQAgAAAAIgAAAGRycy9kb3ducmV2LnhtbFBLAQIUABQAAAAIAIdO4kDHOldV&#10;WAIAAGoEAAAOAAAAAAAAAAEAIAAAACUBAABkcnMvZTJvRG9jLnhtbFBLBQYAAAAABgAGAFkBAADv&#10;BQAAAAA=&#10;" adj="10822">
                        <v:fill on="f" focussize="0,0"/>
                        <v:stroke color="#000000" miterlimit="8" joinstyle="miter" dashstyle="dash" endarrow="open"/>
                        <v:imagedata o:title=""/>
                        <o:lock v:ext="edit" aspectratio="f"/>
                      </v:shape>
                      <v:rect id="矩形 86" o:spid="_x0000_s1026" o:spt="1" style="position:absolute;left:165100;top:634365;height:294640;width:939165;" fillcolor="#FFFFFF" filled="t" stroked="t" coordsize="21600,21600" o:gfxdata="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WvuDg9UAAAAF&#10;AQAADwAAAAAAAAABACAAAAAiAAAAZHJzL2Rvd25yZXYueG1sUEsBAhQAFAAAAAgAh07iQLd4pw9Y&#10;AgAApgQAAA4AAAAAAAAAAQAgAAAAJAEAAGRycy9lMm9Eb2MueG1sUEsFBgAAAAAGAAYAWQEAAO4F&#10;AAAAAA==&#10;">
                        <v:fill on="t" focussize="0,0"/>
                        <v:stroke color="#000000" miterlimit="8" joinstyle="miter"/>
                        <v:imagedata o:title=""/>
                        <o:lock v:ext="edit" aspectratio="f"/>
                        <v:textbox>
                          <w:txbxContent>
                            <w:p w14:paraId="6B3445E7">
                              <w:pPr>
                                <w:jc w:val="center"/>
                              </w:pPr>
                              <w:r>
                                <w:rPr>
                                  <w:rFonts w:hint="eastAsia"/>
                                </w:rPr>
                                <w:t>烘干、磁选</w:t>
                              </w:r>
                            </w:p>
                            <w:p w14:paraId="4F6AA7B4"/>
                          </w:txbxContent>
                        </v:textbox>
                      </v:rect>
                      <v:rect id="矩形 92" o:spid="_x0000_s1026" o:spt="1" style="position:absolute;left:1128798;top:77598;height:456787;width:775998;" filled="f" stroked="f" coordsize="21600,21600" o:gfxdata="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fm5lW1wAA&#10;AAUBAAAPAAAAAAAAAAEAIAAAACIAAABkcnMvZG93bnJldi54bWxQSwECFAAUAAAACACHTuJA2OL5&#10;vR8CAAApBAAADgAAAAAAAAABACAAAAAmAQAAZHJzL2Uyb0RvYy54bWxQSwUGAAAAAAYABgBZAQAA&#10;twUAAAAA&#10;">
                        <v:fill on="f" focussize="0,0"/>
                        <v:stroke on="f"/>
                        <v:imagedata o:title=""/>
                        <o:lock v:ext="edit" aspectratio="f"/>
                        <v:textbox>
                          <w:txbxContent>
                            <w:p w14:paraId="11C7FC0B">
                              <w:pPr>
                                <w:jc w:val="center"/>
                              </w:pPr>
                              <w:r>
                                <w:rPr>
                                  <w:rFonts w:hint="eastAsia"/>
                                </w:rPr>
                                <w:t>车间粉尘</w:t>
                              </w:r>
                            </w:p>
                            <w:p w14:paraId="401CDB22">
                              <w:pPr>
                                <w:jc w:val="center"/>
                              </w:pPr>
                              <w:r>
                                <w:rPr>
                                  <w:rFonts w:hint="eastAsia"/>
                                </w:rPr>
                                <w:t>0.52</w:t>
                              </w:r>
                            </w:p>
                          </w:txbxContent>
                        </v:textbox>
                      </v:rect>
                      <w10:wrap type="none"/>
                      <w10:anchorlock/>
                    </v:group>
                  </w:pict>
                </mc:Fallback>
              </mc:AlternateContent>
            </w:r>
          </w:p>
        </w:tc>
        <w:tc>
          <w:tcPr>
            <w:tcW w:w="4261" w:type="dxa"/>
            <w:vAlign w:val="center"/>
          </w:tcPr>
          <w:p w14:paraId="7D62358F">
            <w:pPr>
              <w:spacing w:line="360" w:lineRule="auto"/>
              <w:jc w:val="center"/>
              <w:rPr>
                <w:rFonts w:ascii="Times New Roman" w:hAnsi="Times New Roman"/>
                <w:spacing w:val="-2"/>
                <w:kern w:val="0"/>
                <w:sz w:val="24"/>
                <w:szCs w:val="24"/>
              </w:rPr>
            </w:pPr>
          </w:p>
          <w:p w14:paraId="3BADAF9A">
            <w:pPr>
              <w:spacing w:line="360" w:lineRule="auto"/>
              <w:jc w:val="center"/>
              <w:rPr>
                <w:rFonts w:ascii="Times New Roman" w:hAnsi="Times New Roman"/>
                <w:spacing w:val="-2"/>
                <w:kern w:val="0"/>
                <w:sz w:val="24"/>
                <w:szCs w:val="24"/>
              </w:rPr>
            </w:pPr>
            <w:r>
              <w:rPr>
                <w:rFonts w:ascii="Times New Roman" w:hAnsi="Times New Roman"/>
                <w:spacing w:val="-2"/>
                <w:kern w:val="0"/>
                <w:sz w:val="24"/>
                <w:szCs w:val="24"/>
              </w:rPr>
              <mc:AlternateContent>
                <mc:Choice Requires="wpc">
                  <w:drawing>
                    <wp:inline distT="0" distB="0" distL="0" distR="0">
                      <wp:extent cx="2398395" cy="1796415"/>
                      <wp:effectExtent l="0" t="0" r="0" b="0"/>
                      <wp:docPr id="1295185053" name="画布 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95056782" name="矩形 21"/>
                              <wps:cNvSpPr>
                                <a:spLocks noChangeArrowheads="1"/>
                              </wps:cNvSpPr>
                              <wps:spPr bwMode="auto">
                                <a:xfrm>
                                  <a:off x="235200" y="27199"/>
                                  <a:ext cx="799998" cy="489586"/>
                                </a:xfrm>
                                <a:prstGeom prst="rect">
                                  <a:avLst/>
                                </a:prstGeom>
                                <a:solidFill>
                                  <a:srgbClr val="FFFFFF"/>
                                </a:solidFill>
                                <a:ln>
                                  <a:noFill/>
                                </a:ln>
                                <a:effectLst/>
                              </wps:spPr>
                              <wps:txbx>
                                <w:txbxContent>
                                  <w:p w14:paraId="2240F8F8">
                                    <w:pPr>
                                      <w:jc w:val="center"/>
                                    </w:pPr>
                                    <w:r>
                                      <w:rPr>
                                        <w:rFonts w:hint="eastAsia"/>
                                      </w:rPr>
                                      <w:t>原料毛矿</w:t>
                                    </w:r>
                                  </w:p>
                                  <w:p w14:paraId="319C02FC">
                                    <w:pPr>
                                      <w:jc w:val="center"/>
                                    </w:pPr>
                                    <w:r>
                                      <w:rPr>
                                        <w:rFonts w:hint="eastAsia"/>
                                      </w:rPr>
                                      <w:t>11.45</w:t>
                                    </w:r>
                                  </w:p>
                                </w:txbxContent>
                              </wps:txbx>
                              <wps:bodyPr rot="0" vert="horz" wrap="square" lIns="91440" tIns="45720" rIns="91440" bIns="45720" anchor="t" anchorCtr="0" upright="1">
                                <a:noAutofit/>
                              </wps:bodyPr>
                            </wps:wsp>
                            <wps:wsp>
                              <wps:cNvPr id="1036075681" name="自选图形 58"/>
                              <wps:cNvCnPr>
                                <a:cxnSpLocks noChangeShapeType="1"/>
                              </wps:cNvCnPr>
                              <wps:spPr bwMode="auto">
                                <a:xfrm>
                                  <a:off x="635199" y="516785"/>
                                  <a:ext cx="0" cy="117597"/>
                                </a:xfrm>
                                <a:prstGeom prst="straightConnector1">
                                  <a:avLst/>
                                </a:prstGeom>
                                <a:noFill/>
                                <a:ln w="9525" cmpd="sng">
                                  <a:solidFill>
                                    <a:srgbClr val="000000"/>
                                  </a:solidFill>
                                  <a:miter lim="800000"/>
                                  <a:tailEnd type="arrow" w="med" len="med"/>
                                </a:ln>
                                <a:effectLst/>
                              </wps:spPr>
                              <wps:bodyPr/>
                            </wps:wsp>
                            <wps:wsp>
                              <wps:cNvPr id="1439133058" name="自选图形 61"/>
                              <wps:cNvCnPr>
                                <a:cxnSpLocks noChangeShapeType="1"/>
                              </wps:cNvCnPr>
                              <wps:spPr bwMode="auto">
                                <a:xfrm rot="5400000">
                                  <a:off x="377825" y="1048385"/>
                                  <a:ext cx="370840" cy="146685"/>
                                </a:xfrm>
                                <a:prstGeom prst="bentConnector3">
                                  <a:avLst>
                                    <a:gd name="adj1" fmla="val 49914"/>
                                  </a:avLst>
                                </a:prstGeom>
                                <a:noFill/>
                                <a:ln w="9525" cmpd="sng">
                                  <a:solidFill>
                                    <a:srgbClr val="000000"/>
                                  </a:solidFill>
                                  <a:miter lim="800000"/>
                                  <a:tailEnd type="arrow" w="med" len="med"/>
                                </a:ln>
                                <a:effectLst/>
                              </wps:spPr>
                              <wps:bodyPr/>
                            </wps:wsp>
                            <wps:wsp>
                              <wps:cNvPr id="1794290909" name="自选图形 62"/>
                              <wps:cNvCnPr>
                                <a:cxnSpLocks noChangeShapeType="1"/>
                              </wps:cNvCnPr>
                              <wps:spPr bwMode="auto">
                                <a:xfrm rot="5400000" flipV="1">
                                  <a:off x="732155" y="840740"/>
                                  <a:ext cx="374015" cy="565150"/>
                                </a:xfrm>
                                <a:prstGeom prst="bentConnector3">
                                  <a:avLst>
                                    <a:gd name="adj1" fmla="val 50000"/>
                                  </a:avLst>
                                </a:prstGeom>
                                <a:noFill/>
                                <a:ln w="9525" cmpd="sng">
                                  <a:solidFill>
                                    <a:srgbClr val="000000"/>
                                  </a:solidFill>
                                  <a:miter lim="800000"/>
                                  <a:tailEnd type="arrow" w="med" len="med"/>
                                </a:ln>
                                <a:effectLst/>
                              </wps:spPr>
                              <wps:bodyPr/>
                            </wps:wsp>
                            <wps:wsp>
                              <wps:cNvPr id="278463208" name="矩形 68"/>
                              <wps:cNvSpPr>
                                <a:spLocks noChangeArrowheads="1"/>
                              </wps:cNvSpPr>
                              <wps:spPr bwMode="auto">
                                <a:xfrm>
                                  <a:off x="19050" y="1306830"/>
                                  <a:ext cx="940435" cy="502920"/>
                                </a:xfrm>
                                <a:prstGeom prst="rect">
                                  <a:avLst/>
                                </a:prstGeom>
                                <a:noFill/>
                                <a:ln>
                                  <a:noFill/>
                                </a:ln>
                                <a:effectLst/>
                              </wps:spPr>
                              <wps:txbx>
                                <w:txbxContent>
                                  <w:p w14:paraId="1ABF30F0">
                                    <w:pPr>
                                      <w:jc w:val="center"/>
                                    </w:pPr>
                                    <w:r>
                                      <w:rPr>
                                        <w:rFonts w:hint="eastAsia"/>
                                      </w:rPr>
                                      <w:t>钛铁精矿</w:t>
                                    </w:r>
                                  </w:p>
                                  <w:p w14:paraId="33C52BBF">
                                    <w:pPr>
                                      <w:jc w:val="center"/>
                                    </w:pPr>
                                    <w:r>
                                      <w:rPr>
                                        <w:rFonts w:hint="eastAsia"/>
                                      </w:rPr>
                                      <w:t>8.04</w:t>
                                    </w:r>
                                  </w:p>
                                </w:txbxContent>
                              </wps:txbx>
                              <wps:bodyPr rot="0" vert="horz" wrap="square" lIns="91440" tIns="45720" rIns="91440" bIns="45720" anchor="t" anchorCtr="0" upright="1">
                                <a:noAutofit/>
                              </wps:bodyPr>
                            </wps:wsp>
                            <wps:wsp>
                              <wps:cNvPr id="2067530375" name="矩形 69"/>
                              <wps:cNvSpPr>
                                <a:spLocks noChangeArrowheads="1"/>
                              </wps:cNvSpPr>
                              <wps:spPr bwMode="auto">
                                <a:xfrm>
                                  <a:off x="814705" y="1310005"/>
                                  <a:ext cx="772795" cy="471170"/>
                                </a:xfrm>
                                <a:prstGeom prst="rect">
                                  <a:avLst/>
                                </a:prstGeom>
                                <a:noFill/>
                                <a:ln>
                                  <a:noFill/>
                                </a:ln>
                                <a:effectLst/>
                              </wps:spPr>
                              <wps:txbx>
                                <w:txbxContent>
                                  <w:p w14:paraId="6DD24D6B">
                                    <w:pPr>
                                      <w:jc w:val="center"/>
                                    </w:pPr>
                                    <w:r>
                                      <w:rPr>
                                        <w:rFonts w:hint="eastAsia"/>
                                      </w:rPr>
                                      <w:t>锆中矿</w:t>
                                    </w:r>
                                  </w:p>
                                  <w:p w14:paraId="37F0FF27">
                                    <w:pPr>
                                      <w:jc w:val="center"/>
                                    </w:pPr>
                                    <w:r>
                                      <w:rPr>
                                        <w:rFonts w:hint="eastAsia"/>
                                      </w:rPr>
                                      <w:t>3.50</w:t>
                                    </w:r>
                                  </w:p>
                                </w:txbxContent>
                              </wps:txbx>
                              <wps:bodyPr rot="0" vert="horz" wrap="square" lIns="91440" tIns="45720" rIns="91440" bIns="45720" anchor="t" anchorCtr="0" upright="1">
                                <a:noAutofit/>
                              </wps:bodyPr>
                            </wps:wsp>
                            <wps:wsp>
                              <wps:cNvPr id="2137276593" name="自选图形 74"/>
                              <wps:cNvCnPr>
                                <a:cxnSpLocks noChangeShapeType="1"/>
                              </wps:cNvCnPr>
                              <wps:spPr bwMode="auto">
                                <a:xfrm flipV="1">
                                  <a:off x="951998" y="347190"/>
                                  <a:ext cx="303999" cy="292791"/>
                                </a:xfrm>
                                <a:prstGeom prst="curvedConnector3">
                                  <a:avLst>
                                    <a:gd name="adj1" fmla="val 50102"/>
                                  </a:avLst>
                                </a:prstGeom>
                                <a:noFill/>
                                <a:ln w="9525" cmpd="sng">
                                  <a:solidFill>
                                    <a:srgbClr val="000000"/>
                                  </a:solidFill>
                                  <a:prstDash val="dash"/>
                                  <a:miter lim="800000"/>
                                  <a:tailEnd type="arrow" w="med" len="med"/>
                                </a:ln>
                                <a:effectLst/>
                              </wps:spPr>
                              <wps:bodyPr/>
                            </wps:wsp>
                            <wps:wsp>
                              <wps:cNvPr id="2052421661" name="矩形 86"/>
                              <wps:cNvSpPr>
                                <a:spLocks noChangeArrowheads="1"/>
                              </wps:cNvSpPr>
                              <wps:spPr bwMode="auto">
                                <a:xfrm>
                                  <a:off x="165100" y="634365"/>
                                  <a:ext cx="939165" cy="294640"/>
                                </a:xfrm>
                                <a:prstGeom prst="rect">
                                  <a:avLst/>
                                </a:prstGeom>
                                <a:solidFill>
                                  <a:srgbClr val="FFFFFF"/>
                                </a:solidFill>
                                <a:ln w="9525" cmpd="sng">
                                  <a:solidFill>
                                    <a:srgbClr val="000000"/>
                                  </a:solidFill>
                                  <a:miter lim="800000"/>
                                </a:ln>
                                <a:effectLst/>
                              </wps:spPr>
                              <wps:txbx>
                                <w:txbxContent>
                                  <w:p w14:paraId="4F0A130E">
                                    <w:pPr>
                                      <w:jc w:val="center"/>
                                    </w:pPr>
                                    <w:r>
                                      <w:rPr>
                                        <w:rFonts w:hint="eastAsia"/>
                                      </w:rPr>
                                      <w:t>烘干、磁选</w:t>
                                    </w:r>
                                  </w:p>
                                  <w:p w14:paraId="5089E610"/>
                                </w:txbxContent>
                              </wps:txbx>
                              <wps:bodyPr rot="0" vert="horz" wrap="square" lIns="91440" tIns="45720" rIns="91440" bIns="45720" anchor="t" anchorCtr="0" upright="1">
                                <a:noAutofit/>
                              </wps:bodyPr>
                            </wps:wsp>
                            <wps:wsp>
                              <wps:cNvPr id="1423193112" name="矩形 92"/>
                              <wps:cNvSpPr>
                                <a:spLocks noChangeArrowheads="1"/>
                              </wps:cNvSpPr>
                              <wps:spPr bwMode="auto">
                                <a:xfrm>
                                  <a:off x="1128798" y="77598"/>
                                  <a:ext cx="775998" cy="456787"/>
                                </a:xfrm>
                                <a:prstGeom prst="rect">
                                  <a:avLst/>
                                </a:prstGeom>
                                <a:noFill/>
                                <a:ln>
                                  <a:noFill/>
                                </a:ln>
                                <a:effectLst/>
                              </wps:spPr>
                              <wps:txbx>
                                <w:txbxContent>
                                  <w:p w14:paraId="5956A33E">
                                    <w:pPr>
                                      <w:jc w:val="center"/>
                                    </w:pPr>
                                    <w:r>
                                      <w:rPr>
                                        <w:rFonts w:hint="eastAsia"/>
                                      </w:rPr>
                                      <w:t>车间粉尘</w:t>
                                    </w:r>
                                  </w:p>
                                  <w:p w14:paraId="6BC16613">
                                    <w:pPr>
                                      <w:jc w:val="center"/>
                                    </w:pPr>
                                    <w:r>
                                      <w:rPr>
                                        <w:rFonts w:hint="eastAsia"/>
                                      </w:rPr>
                                      <w:t>0.00</w:t>
                                    </w:r>
                                  </w:p>
                                </w:txbxContent>
                              </wps:txbx>
                              <wps:bodyPr rot="0" vert="horz" wrap="square" lIns="91440" tIns="45720" rIns="91440" bIns="45720" anchor="t" anchorCtr="0" upright="1">
                                <a:noAutofit/>
                              </wps:bodyPr>
                            </wps:wsp>
                          </wpc:wpc>
                        </a:graphicData>
                      </a:graphic>
                    </wp:inline>
                  </w:drawing>
                </mc:Choice>
                <mc:Fallback>
                  <w:pict>
                    <v:group id="画布 15" o:spid="_x0000_s1026" o:spt="203" style="height:141.45pt;width:188.85pt;" coordsize="2398395,1796415" editas="canvas" o:gfxdata="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">
                      <o:lock v:ext="edit" aspectratio="f"/>
                      <v:shape id="画布 15" o:spid="_x0000_s1026" style="position:absolute;left:0;top:0;height:1796415;width:2398395;" filled="f" stroked="f" coordsize="21600,21600" o:gfxdata="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">
                        <v:fill on="f" focussize="0,0"/>
                        <v:stroke on="f"/>
                        <v:imagedata o:title=""/>
                        <o:lock v:ext="edit" aspectratio="t"/>
                      </v:shape>
                      <v:rect id="矩形 21" o:spid="_x0000_s1026" o:spt="1" style="position:absolute;left:235200;top:27199;height:489586;width:799998;" fillcolor="#FFFFFF" filled="t" stroked="f" coordsize="21600,21600" o:gfxdata="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UAJM3dUAAAAFAQAADwAAAAAAAAABACAAAAAiAAAAZHJzL2Rvd25yZXYueG1s&#10;UEsBAhQAFAAAAAgAh07iQHWLdKk0AgAAUAQAAA4AAAAAAAAAAQAgAAAAJAEAAGRycy9lMm9Eb2Mu&#10;eG1sUEsFBgAAAAAGAAYAWQEAAMoFAAAAAA==&#10;">
                        <v:fill on="t" focussize="0,0"/>
                        <v:stroke on="f"/>
                        <v:imagedata o:title=""/>
                        <o:lock v:ext="edit" aspectratio="f"/>
                        <v:textbox>
                          <w:txbxContent>
                            <w:p w14:paraId="2240F8F8">
                              <w:pPr>
                                <w:jc w:val="center"/>
                              </w:pPr>
                              <w:r>
                                <w:rPr>
                                  <w:rFonts w:hint="eastAsia"/>
                                </w:rPr>
                                <w:t>原料毛矿</w:t>
                              </w:r>
                            </w:p>
                            <w:p w14:paraId="319C02FC">
                              <w:pPr>
                                <w:jc w:val="center"/>
                              </w:pPr>
                              <w:r>
                                <w:rPr>
                                  <w:rFonts w:hint="eastAsia"/>
                                </w:rPr>
                                <w:t>11.45</w:t>
                              </w:r>
                            </w:p>
                          </w:txbxContent>
                        </v:textbox>
                      </v:rect>
                      <v:shape id="自选图形 58" o:spid="_x0000_s1026" o:spt="32" type="#_x0000_t32" style="position:absolute;left:635199;top:516785;height:117597;width:0;" filled="f" stroked="t" coordsize="21600,21600" o:gfxdata="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8b2UDZAAAABQEAAA8AAAAAAAAAAQAgAAAAIgAAAGRycy9kb3ducmV2LnhtbFBLAQIU&#10;ABQAAAAIAIdO4kD98G//KwIAABkEAAAOAAAAAAAAAAEAIAAAACgBAABkcnMvZTJvRG9jLnhtbFBL&#10;BQYAAAAABgAGAFkBAADFBQAAAAA=&#10;">
                        <v:fill on="f" focussize="0,0"/>
                        <v:stroke color="#000000" miterlimit="8" joinstyle="miter" endarrow="open"/>
                        <v:imagedata o:title=""/>
                        <o:lock v:ext="edit" aspectratio="f"/>
                      </v:shape>
                      <v:shape id="自选图形 61" o:spid="_x0000_s1026" o:spt="34" type="#_x0000_t34" style="position:absolute;left:377825;top:1048385;height:146685;width:370840;rotation:5898240f;" filled="f" stroked="t" coordsize="21600,21600" o:gfxdata="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FIoFGjXAAAABQEAAA8AAAAAAAAA&#10;AQAgAAAAIgAAAGRycy9kb3ducmV2LnhtbFBLAQIUABQAAAAIAIdO4kBZ2CRwSwIAAFYEAAAOAAAA&#10;AAAAAAEAIAAAACYBAABkcnMvZTJvRG9jLnhtbFBLBQYAAAAABgAGAFkBAADjBQAAAAA=&#10;" adj="10781">
                        <v:fill on="f" focussize="0,0"/>
                        <v:stroke color="#000000" miterlimit="8" joinstyle="miter" endarrow="open"/>
                        <v:imagedata o:title=""/>
                        <o:lock v:ext="edit" aspectratio="f"/>
                      </v:shape>
                      <v:shape id="自选图形 62" o:spid="_x0000_s1026" o:spt="34" type="#_x0000_t34" style="position:absolute;left:732155;top:840740;flip:y;height:565150;width:374015;rotation:-5898240f;" filled="f" stroked="t" coordsize="21600,21600" o:gfxdata="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B7+vuXWAAAABQEAAA8A&#10;AAAAAAAAAQAgAAAAIgAAAGRycy9kb3ducmV2LnhtbFBLAQIUABQAAAAIAIdO4kBLC2InUgIAAF8E&#10;AAAOAAAAAAAAAAEAIAAAACUBAABkcnMvZTJvRG9jLnhtbFBLBQYAAAAABgAGAFkBAADpBQAAAAA=&#10;" adj="10800">
                        <v:fill on="f" focussize="0,0"/>
                        <v:stroke color="#000000" miterlimit="8" joinstyle="miter" endarrow="open"/>
                        <v:imagedata o:title=""/>
                        <o:lock v:ext="edit" aspectratio="f"/>
                      </v:shape>
                      <v:rect id="矩形 68" o:spid="_x0000_s1026" o:spt="1" style="position:absolute;left:19050;top:1306830;height:502920;width:940435;" filled="f" stroked="f" coordsize="21600,21600" o:gfxdata="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fm5lW&#10;1wAAAAUBAAAPAAAAAAAAAAEAIAAAACIAAABkcnMvZG93bnJldi54bWxQSwECFAAUAAAACACHTuJA&#10;7X8ALiICAAAoBAAADgAAAAAAAAABACAAAAAmAQAAZHJzL2Uyb0RvYy54bWxQSwUGAAAAAAYABgBZ&#10;AQAAugUAAAAA&#10;">
                        <v:fill on="f" focussize="0,0"/>
                        <v:stroke on="f"/>
                        <v:imagedata o:title=""/>
                        <o:lock v:ext="edit" aspectratio="f"/>
                        <v:textbox>
                          <w:txbxContent>
                            <w:p w14:paraId="1ABF30F0">
                              <w:pPr>
                                <w:jc w:val="center"/>
                              </w:pPr>
                              <w:r>
                                <w:rPr>
                                  <w:rFonts w:hint="eastAsia"/>
                                </w:rPr>
                                <w:t>钛铁精矿</w:t>
                              </w:r>
                            </w:p>
                            <w:p w14:paraId="33C52BBF">
                              <w:pPr>
                                <w:jc w:val="center"/>
                              </w:pPr>
                              <w:r>
                                <w:rPr>
                                  <w:rFonts w:hint="eastAsia"/>
                                </w:rPr>
                                <w:t>8.04</w:t>
                              </w:r>
                            </w:p>
                          </w:txbxContent>
                        </v:textbox>
                      </v:rect>
                      <v:rect id="矩形 69" o:spid="_x0000_s1026" o:spt="1" style="position:absolute;left:814705;top:1310005;height:471170;width:772795;" filled="f" stroked="f" coordsize="21600,21600" o:gfxdata="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n5uZ&#10;VtcAAAAFAQAADwAAAAAAAAABACAAAAAiAAAAZHJzL2Rvd25yZXYueG1sUEsBAhQAFAAAAAgAh07i&#10;QCat7/ojAgAAKgQAAA4AAAAAAAAAAQAgAAAAJgEAAGRycy9lMm9Eb2MueG1sUEsFBgAAAAAGAAYA&#10;WQEAALsFAAAAAA==&#10;">
                        <v:fill on="f" focussize="0,0"/>
                        <v:stroke on="f"/>
                        <v:imagedata o:title=""/>
                        <o:lock v:ext="edit" aspectratio="f"/>
                        <v:textbox>
                          <w:txbxContent>
                            <w:p w14:paraId="6DD24D6B">
                              <w:pPr>
                                <w:jc w:val="center"/>
                              </w:pPr>
                              <w:r>
                                <w:rPr>
                                  <w:rFonts w:hint="eastAsia"/>
                                </w:rPr>
                                <w:t>锆中矿</w:t>
                              </w:r>
                            </w:p>
                            <w:p w14:paraId="37F0FF27">
                              <w:pPr>
                                <w:jc w:val="center"/>
                              </w:pPr>
                              <w:r>
                                <w:rPr>
                                  <w:rFonts w:hint="eastAsia"/>
                                </w:rPr>
                                <w:t>3.50</w:t>
                              </w:r>
                            </w:p>
                          </w:txbxContent>
                        </v:textbox>
                      </v:rect>
                      <v:shape id="自选图形 74" o:spid="_x0000_s1026" o:spt="38" type="#_x0000_t38" style="position:absolute;left:951998;top:347190;flip:y;height:292791;width:303999;" filled="f" stroked="t" coordsize="21600,21600" o:gfxdata="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loEO01gAA&#10;AAUBAAAPAAAAAAAAAAEAIAAAACIAAABkcnMvZG93bnJldi54bWxQSwECFAAUAAAACACHTuJAOtwQ&#10;3VkCAABrBAAADgAAAAAAAAABACAAAAAlAQAAZHJzL2Uyb0RvYy54bWxQSwUGAAAAAAYABgBZAQAA&#10;8AUAAAAA&#10;" adj="10822">
                        <v:fill on="f" focussize="0,0"/>
                        <v:stroke color="#000000" miterlimit="8" joinstyle="miter" dashstyle="dash" endarrow="open"/>
                        <v:imagedata o:title=""/>
                        <o:lock v:ext="edit" aspectratio="f"/>
                      </v:shape>
                      <v:rect id="矩形 86" o:spid="_x0000_s1026" o:spt="1" style="position:absolute;left:165100;top:634365;height:294640;width:939165;" fillcolor="#FFFFFF" filled="t" stroked="t" coordsize="21600,21600" o:gfxdata="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Fr7g4PVAAAABQEA&#10;AA8AAAAAAAAAAQAgAAAAIgAAAGRycy9kb3ducmV2LnhtbFBLAQIUABQAAAAIAIdO4kAffik3VgIA&#10;AKYEAAAOAAAAAAAAAAEAIAAAACQBAABkcnMvZTJvRG9jLnhtbFBLBQYAAAAABgAGAFkBAADsBQAA&#10;AAA=&#10;">
                        <v:fill on="t" focussize="0,0"/>
                        <v:stroke color="#000000" miterlimit="8" joinstyle="miter"/>
                        <v:imagedata o:title=""/>
                        <o:lock v:ext="edit" aspectratio="f"/>
                        <v:textbox>
                          <w:txbxContent>
                            <w:p w14:paraId="4F0A130E">
                              <w:pPr>
                                <w:jc w:val="center"/>
                              </w:pPr>
                              <w:r>
                                <w:rPr>
                                  <w:rFonts w:hint="eastAsia"/>
                                </w:rPr>
                                <w:t>烘干、磁选</w:t>
                              </w:r>
                            </w:p>
                            <w:p w14:paraId="5089E610"/>
                          </w:txbxContent>
                        </v:textbox>
                      </v:rect>
                      <v:rect id="矩形 92" o:spid="_x0000_s1026" o:spt="1" style="position:absolute;left:1128798;top:77598;height:456787;width:775998;" filled="f" stroked="f" coordsize="21600,21600" o:gfxdata="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fm5lW1wAA&#10;AAUBAAAPAAAAAAAAAAEAIAAAACIAAABkcnMvZG93bnJldi54bWxQSwECFAAUAAAACACHTuJAa7bR&#10;Vx8CAAApBAAADgAAAAAAAAABACAAAAAmAQAAZHJzL2Uyb0RvYy54bWxQSwUGAAAAAAYABgBZAQAA&#10;twUAAAAA&#10;">
                        <v:fill on="f" focussize="0,0"/>
                        <v:stroke on="f"/>
                        <v:imagedata o:title=""/>
                        <o:lock v:ext="edit" aspectratio="f"/>
                        <v:textbox>
                          <w:txbxContent>
                            <w:p w14:paraId="5956A33E">
                              <w:pPr>
                                <w:jc w:val="center"/>
                              </w:pPr>
                              <w:r>
                                <w:rPr>
                                  <w:rFonts w:hint="eastAsia"/>
                                </w:rPr>
                                <w:t>车间粉尘</w:t>
                              </w:r>
                            </w:p>
                            <w:p w14:paraId="6BC16613">
                              <w:pPr>
                                <w:jc w:val="center"/>
                              </w:pPr>
                              <w:r>
                                <w:rPr>
                                  <w:rFonts w:hint="eastAsia"/>
                                </w:rPr>
                                <w:t>0.00</w:t>
                              </w:r>
                            </w:p>
                          </w:txbxContent>
                        </v:textbox>
                      </v:rect>
                      <w10:wrap type="none"/>
                      <w10:anchorlock/>
                    </v:group>
                  </w:pict>
                </mc:Fallback>
              </mc:AlternateContent>
            </w:r>
          </w:p>
        </w:tc>
      </w:tr>
      <w:tr w14:paraId="060A5B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61" w:type="dxa"/>
            <w:vAlign w:val="center"/>
          </w:tcPr>
          <w:p w14:paraId="724538B5">
            <w:pPr>
              <w:pStyle w:val="9"/>
              <w:numPr>
                <w:ilvl w:val="5"/>
                <w:numId w:val="3"/>
              </w:numPr>
              <w:rPr>
                <w:spacing w:val="-2"/>
                <w:kern w:val="0"/>
                <w:sz w:val="24"/>
              </w:rPr>
            </w:pPr>
            <w:r>
              <w:rPr>
                <w:sz w:val="24"/>
              </w:rPr>
              <w:t>硅平衡图（t/a）</w:t>
            </w:r>
          </w:p>
        </w:tc>
        <w:tc>
          <w:tcPr>
            <w:tcW w:w="4261" w:type="dxa"/>
            <w:vAlign w:val="center"/>
          </w:tcPr>
          <w:p w14:paraId="649D6A78">
            <w:pPr>
              <w:pStyle w:val="9"/>
              <w:numPr>
                <w:ilvl w:val="5"/>
                <w:numId w:val="3"/>
              </w:numPr>
              <w:rPr>
                <w:spacing w:val="-2"/>
                <w:kern w:val="0"/>
                <w:sz w:val="24"/>
              </w:rPr>
            </w:pPr>
            <w:r>
              <w:rPr>
                <w:sz w:val="24"/>
              </w:rPr>
              <w:t>锡金属平衡（t/a）</w:t>
            </w:r>
          </w:p>
        </w:tc>
      </w:tr>
      <w:tr w14:paraId="6B7BB2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61" w:type="dxa"/>
            <w:vAlign w:val="center"/>
          </w:tcPr>
          <w:p w14:paraId="565308CA">
            <w:pPr>
              <w:spacing w:line="360" w:lineRule="auto"/>
              <w:jc w:val="center"/>
              <w:rPr>
                <w:rFonts w:ascii="Times New Roman" w:hAnsi="Times New Roman"/>
                <w:spacing w:val="-2"/>
                <w:kern w:val="0"/>
                <w:sz w:val="24"/>
                <w:szCs w:val="24"/>
              </w:rPr>
            </w:pPr>
            <w:r>
              <w:rPr>
                <w:rFonts w:ascii="Times New Roman" w:hAnsi="Times New Roman"/>
                <w:spacing w:val="-2"/>
                <w:kern w:val="0"/>
                <w:sz w:val="24"/>
                <w:szCs w:val="24"/>
              </w:rPr>
              <mc:AlternateContent>
                <mc:Choice Requires="wpc">
                  <w:drawing>
                    <wp:inline distT="0" distB="0" distL="0" distR="0">
                      <wp:extent cx="2398395" cy="1796415"/>
                      <wp:effectExtent l="0" t="0" r="0" b="0"/>
                      <wp:docPr id="1862301768" name="画布 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50122399" name="矩形 21"/>
                              <wps:cNvSpPr>
                                <a:spLocks noChangeArrowheads="1"/>
                              </wps:cNvSpPr>
                              <wps:spPr bwMode="auto">
                                <a:xfrm>
                                  <a:off x="235200" y="27199"/>
                                  <a:ext cx="799998" cy="489586"/>
                                </a:xfrm>
                                <a:prstGeom prst="rect">
                                  <a:avLst/>
                                </a:prstGeom>
                                <a:solidFill>
                                  <a:srgbClr val="FFFFFF"/>
                                </a:solidFill>
                                <a:ln>
                                  <a:noFill/>
                                </a:ln>
                                <a:effectLst/>
                              </wps:spPr>
                              <wps:txbx>
                                <w:txbxContent>
                                  <w:p w14:paraId="45D11855">
                                    <w:pPr>
                                      <w:jc w:val="center"/>
                                    </w:pPr>
                                    <w:r>
                                      <w:rPr>
                                        <w:rFonts w:hint="eastAsia"/>
                                      </w:rPr>
                                      <w:t>原料毛矿</w:t>
                                    </w:r>
                                  </w:p>
                                  <w:p w14:paraId="019F595D">
                                    <w:pPr>
                                      <w:jc w:val="center"/>
                                    </w:pPr>
                                    <w:r>
                                      <w:rPr>
                                        <w:rFonts w:hint="eastAsia"/>
                                      </w:rPr>
                                      <w:t>969.60</w:t>
                                    </w:r>
                                  </w:p>
                                </w:txbxContent>
                              </wps:txbx>
                              <wps:bodyPr rot="0" vert="horz" wrap="square" lIns="91440" tIns="45720" rIns="91440" bIns="45720" anchor="t" anchorCtr="0" upright="1">
                                <a:noAutofit/>
                              </wps:bodyPr>
                            </wps:wsp>
                            <wps:wsp>
                              <wps:cNvPr id="1302760569" name="自选图形 58"/>
                              <wps:cNvCnPr>
                                <a:cxnSpLocks noChangeShapeType="1"/>
                              </wps:cNvCnPr>
                              <wps:spPr bwMode="auto">
                                <a:xfrm>
                                  <a:off x="635199" y="516785"/>
                                  <a:ext cx="0" cy="117597"/>
                                </a:xfrm>
                                <a:prstGeom prst="straightConnector1">
                                  <a:avLst/>
                                </a:prstGeom>
                                <a:noFill/>
                                <a:ln w="9525" cmpd="sng">
                                  <a:solidFill>
                                    <a:srgbClr val="000000"/>
                                  </a:solidFill>
                                  <a:miter lim="800000"/>
                                  <a:tailEnd type="arrow" w="med" len="med"/>
                                </a:ln>
                                <a:effectLst/>
                              </wps:spPr>
                              <wps:bodyPr/>
                            </wps:wsp>
                            <wps:wsp>
                              <wps:cNvPr id="2031880529" name="自选图形 61"/>
                              <wps:cNvCnPr>
                                <a:cxnSpLocks noChangeShapeType="1"/>
                              </wps:cNvCnPr>
                              <wps:spPr bwMode="auto">
                                <a:xfrm rot="5400000">
                                  <a:off x="377825" y="1048385"/>
                                  <a:ext cx="370840" cy="146685"/>
                                </a:xfrm>
                                <a:prstGeom prst="bentConnector3">
                                  <a:avLst>
                                    <a:gd name="adj1" fmla="val 49914"/>
                                  </a:avLst>
                                </a:prstGeom>
                                <a:noFill/>
                                <a:ln w="9525" cmpd="sng">
                                  <a:solidFill>
                                    <a:srgbClr val="000000"/>
                                  </a:solidFill>
                                  <a:miter lim="800000"/>
                                  <a:tailEnd type="arrow" w="med" len="med"/>
                                </a:ln>
                                <a:effectLst/>
                              </wps:spPr>
                              <wps:bodyPr/>
                            </wps:wsp>
                            <wps:wsp>
                              <wps:cNvPr id="1472311984" name="自选图形 62"/>
                              <wps:cNvCnPr>
                                <a:cxnSpLocks noChangeShapeType="1"/>
                              </wps:cNvCnPr>
                              <wps:spPr bwMode="auto">
                                <a:xfrm rot="5400000" flipV="1">
                                  <a:off x="732155" y="840740"/>
                                  <a:ext cx="374015" cy="565150"/>
                                </a:xfrm>
                                <a:prstGeom prst="bentConnector3">
                                  <a:avLst>
                                    <a:gd name="adj1" fmla="val 50000"/>
                                  </a:avLst>
                                </a:prstGeom>
                                <a:noFill/>
                                <a:ln w="9525" cmpd="sng">
                                  <a:solidFill>
                                    <a:srgbClr val="000000"/>
                                  </a:solidFill>
                                  <a:miter lim="800000"/>
                                  <a:tailEnd type="arrow" w="med" len="med"/>
                                </a:ln>
                                <a:effectLst/>
                              </wps:spPr>
                              <wps:bodyPr/>
                            </wps:wsp>
                            <wps:wsp>
                              <wps:cNvPr id="1885572909" name="矩形 68"/>
                              <wps:cNvSpPr>
                                <a:spLocks noChangeArrowheads="1"/>
                              </wps:cNvSpPr>
                              <wps:spPr bwMode="auto">
                                <a:xfrm>
                                  <a:off x="19050" y="1306830"/>
                                  <a:ext cx="940435" cy="502920"/>
                                </a:xfrm>
                                <a:prstGeom prst="rect">
                                  <a:avLst/>
                                </a:prstGeom>
                                <a:noFill/>
                                <a:ln>
                                  <a:noFill/>
                                </a:ln>
                                <a:effectLst/>
                              </wps:spPr>
                              <wps:txbx>
                                <w:txbxContent>
                                  <w:p w14:paraId="375DEFD2">
                                    <w:pPr>
                                      <w:jc w:val="center"/>
                                    </w:pPr>
                                    <w:r>
                                      <w:rPr>
                                        <w:rFonts w:hint="eastAsia"/>
                                      </w:rPr>
                                      <w:t>钛铁精矿</w:t>
                                    </w:r>
                                  </w:p>
                                  <w:p w14:paraId="29C60D74">
                                    <w:pPr>
                                      <w:jc w:val="center"/>
                                    </w:pPr>
                                    <w:r>
                                      <w:rPr>
                                        <w:rFonts w:hint="eastAsia"/>
                                      </w:rPr>
                                      <w:t>920.6</w:t>
                                    </w:r>
                                  </w:p>
                                </w:txbxContent>
                              </wps:txbx>
                              <wps:bodyPr rot="0" vert="horz" wrap="square" lIns="91440" tIns="45720" rIns="91440" bIns="45720" anchor="t" anchorCtr="0" upright="1">
                                <a:noAutofit/>
                              </wps:bodyPr>
                            </wps:wsp>
                            <wps:wsp>
                              <wps:cNvPr id="2143751992" name="矩形 69"/>
                              <wps:cNvSpPr>
                                <a:spLocks noChangeArrowheads="1"/>
                              </wps:cNvSpPr>
                              <wps:spPr bwMode="auto">
                                <a:xfrm>
                                  <a:off x="814705" y="1310005"/>
                                  <a:ext cx="772795" cy="471170"/>
                                </a:xfrm>
                                <a:prstGeom prst="rect">
                                  <a:avLst/>
                                </a:prstGeom>
                                <a:noFill/>
                                <a:ln>
                                  <a:noFill/>
                                </a:ln>
                                <a:effectLst/>
                              </wps:spPr>
                              <wps:txbx>
                                <w:txbxContent>
                                  <w:p w14:paraId="25855B56">
                                    <w:pPr>
                                      <w:jc w:val="center"/>
                                    </w:pPr>
                                    <w:r>
                                      <w:rPr>
                                        <w:rFonts w:hint="eastAsia"/>
                                      </w:rPr>
                                      <w:t>锆中矿</w:t>
                                    </w:r>
                                  </w:p>
                                  <w:p w14:paraId="080DBD2D">
                                    <w:pPr>
                                      <w:jc w:val="center"/>
                                    </w:pPr>
                                    <w:r>
                                      <w:rPr>
                                        <w:rFonts w:hint="eastAsia"/>
                                      </w:rPr>
                                      <w:t>48.98</w:t>
                                    </w:r>
                                  </w:p>
                                </w:txbxContent>
                              </wps:txbx>
                              <wps:bodyPr rot="0" vert="horz" wrap="square" lIns="91440" tIns="45720" rIns="91440" bIns="45720" anchor="t" anchorCtr="0" upright="1">
                                <a:noAutofit/>
                              </wps:bodyPr>
                            </wps:wsp>
                            <wps:wsp>
                              <wps:cNvPr id="149009814" name="自选图形 74"/>
                              <wps:cNvCnPr>
                                <a:cxnSpLocks noChangeShapeType="1"/>
                              </wps:cNvCnPr>
                              <wps:spPr bwMode="auto">
                                <a:xfrm flipV="1">
                                  <a:off x="951998" y="347190"/>
                                  <a:ext cx="303999" cy="292791"/>
                                </a:xfrm>
                                <a:prstGeom prst="curvedConnector3">
                                  <a:avLst>
                                    <a:gd name="adj1" fmla="val 50102"/>
                                  </a:avLst>
                                </a:prstGeom>
                                <a:noFill/>
                                <a:ln w="9525" cmpd="sng">
                                  <a:solidFill>
                                    <a:srgbClr val="000000"/>
                                  </a:solidFill>
                                  <a:prstDash val="dash"/>
                                  <a:miter lim="800000"/>
                                  <a:tailEnd type="arrow" w="med" len="med"/>
                                </a:ln>
                                <a:effectLst/>
                              </wps:spPr>
                              <wps:bodyPr/>
                            </wps:wsp>
                            <wps:wsp>
                              <wps:cNvPr id="1797703005" name="矩形 86"/>
                              <wps:cNvSpPr>
                                <a:spLocks noChangeArrowheads="1"/>
                              </wps:cNvSpPr>
                              <wps:spPr bwMode="auto">
                                <a:xfrm>
                                  <a:off x="165100" y="634365"/>
                                  <a:ext cx="939165" cy="294640"/>
                                </a:xfrm>
                                <a:prstGeom prst="rect">
                                  <a:avLst/>
                                </a:prstGeom>
                                <a:solidFill>
                                  <a:srgbClr val="FFFFFF"/>
                                </a:solidFill>
                                <a:ln w="9525" cmpd="sng">
                                  <a:solidFill>
                                    <a:srgbClr val="000000"/>
                                  </a:solidFill>
                                  <a:miter lim="800000"/>
                                </a:ln>
                                <a:effectLst/>
                              </wps:spPr>
                              <wps:txbx>
                                <w:txbxContent>
                                  <w:p w14:paraId="4C43FA1F">
                                    <w:pPr>
                                      <w:jc w:val="center"/>
                                    </w:pPr>
                                    <w:r>
                                      <w:rPr>
                                        <w:rFonts w:hint="eastAsia"/>
                                      </w:rPr>
                                      <w:t>烘干、磁选</w:t>
                                    </w:r>
                                  </w:p>
                                  <w:p w14:paraId="66DF47A8"/>
                                </w:txbxContent>
                              </wps:txbx>
                              <wps:bodyPr rot="0" vert="horz" wrap="square" lIns="91440" tIns="45720" rIns="91440" bIns="45720" anchor="t" anchorCtr="0" upright="1">
                                <a:noAutofit/>
                              </wps:bodyPr>
                            </wps:wsp>
                            <wps:wsp>
                              <wps:cNvPr id="669499676" name="矩形 92"/>
                              <wps:cNvSpPr>
                                <a:spLocks noChangeArrowheads="1"/>
                              </wps:cNvSpPr>
                              <wps:spPr bwMode="auto">
                                <a:xfrm>
                                  <a:off x="1128798" y="77598"/>
                                  <a:ext cx="775998" cy="456787"/>
                                </a:xfrm>
                                <a:prstGeom prst="rect">
                                  <a:avLst/>
                                </a:prstGeom>
                                <a:noFill/>
                                <a:ln>
                                  <a:noFill/>
                                </a:ln>
                                <a:effectLst/>
                              </wps:spPr>
                              <wps:txbx>
                                <w:txbxContent>
                                  <w:p w14:paraId="37C94E11">
                                    <w:pPr>
                                      <w:jc w:val="center"/>
                                    </w:pPr>
                                    <w:r>
                                      <w:rPr>
                                        <w:rFonts w:hint="eastAsia"/>
                                      </w:rPr>
                                      <w:t>车间粉尘</w:t>
                                    </w:r>
                                  </w:p>
                                  <w:p w14:paraId="40C4A78F">
                                    <w:pPr>
                                      <w:jc w:val="center"/>
                                    </w:pPr>
                                    <w:r>
                                      <w:rPr>
                                        <w:rFonts w:hint="eastAsia"/>
                                      </w:rPr>
                                      <w:t>0.02</w:t>
                                    </w:r>
                                  </w:p>
                                </w:txbxContent>
                              </wps:txbx>
                              <wps:bodyPr rot="0" vert="horz" wrap="square" lIns="91440" tIns="45720" rIns="91440" bIns="45720" anchor="t" anchorCtr="0" upright="1">
                                <a:noAutofit/>
                              </wps:bodyPr>
                            </wps:wsp>
                          </wpc:wpc>
                        </a:graphicData>
                      </a:graphic>
                    </wp:inline>
                  </w:drawing>
                </mc:Choice>
                <mc:Fallback>
                  <w:pict>
                    <v:group id="画布 15" o:spid="_x0000_s1026" o:spt="203" style="height:141.45pt;width:188.85pt;" coordsize="2398395,1796415" editas="canvas" o:gfxdata="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">
                      <o:lock v:ext="edit" aspectratio="f"/>
                      <v:shape id="画布 15" o:spid="_x0000_s1026" style="position:absolute;left:0;top:0;height:1796415;width:2398395;" filled="f" stroked="f" coordsize="21600,21600" o:gfxdata="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">
                        <v:fill on="f" focussize="0,0"/>
                        <v:stroke on="f"/>
                        <v:imagedata o:title=""/>
                        <o:lock v:ext="edit" aspectratio="t"/>
                      </v:shape>
                      <v:rect id="矩形 21" o:spid="_x0000_s1026" o:spt="1" style="position:absolute;left:235200;top:27199;height:489586;width:799998;" fillcolor="#FFFFFF" filled="t" stroked="f" coordsize="21600,21600" o:gfxdata="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UAJM3dUAAAAFAQAADwAAAAAAAAABACAAAAAiAAAAZHJzL2Rvd25yZXYueG1s&#10;UEsBAhQAFAAAAAgAh07iQEcKtIE0AgAAUAQAAA4AAAAAAAAAAQAgAAAAJAEAAGRycy9lMm9Eb2Mu&#10;eG1sUEsFBgAAAAAGAAYAWQEAAMoFAAAAAA==&#10;">
                        <v:fill on="t" focussize="0,0"/>
                        <v:stroke on="f"/>
                        <v:imagedata o:title=""/>
                        <o:lock v:ext="edit" aspectratio="f"/>
                        <v:textbox>
                          <w:txbxContent>
                            <w:p w14:paraId="45D11855">
                              <w:pPr>
                                <w:jc w:val="center"/>
                              </w:pPr>
                              <w:r>
                                <w:rPr>
                                  <w:rFonts w:hint="eastAsia"/>
                                </w:rPr>
                                <w:t>原料毛矿</w:t>
                              </w:r>
                            </w:p>
                            <w:p w14:paraId="019F595D">
                              <w:pPr>
                                <w:jc w:val="center"/>
                              </w:pPr>
                              <w:r>
                                <w:rPr>
                                  <w:rFonts w:hint="eastAsia"/>
                                </w:rPr>
                                <w:t>969.60</w:t>
                              </w:r>
                            </w:p>
                          </w:txbxContent>
                        </v:textbox>
                      </v:rect>
                      <v:shape id="自选图形 58" o:spid="_x0000_s1026" o:spt="32" type="#_x0000_t32" style="position:absolute;left:635199;top:516785;height:117597;width:0;" filled="f" stroked="t" coordsize="21600,21600" o:gfxdata="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8b2UDZAAAABQEAAA8AAAAAAAAAAQAgAAAAIgAAAGRycy9kb3ducmV2LnhtbFBLAQIU&#10;ABQAAAAIAIdO4kAfNFE8KwIAABkEAAAOAAAAAAAAAAEAIAAAACgBAABkcnMvZTJvRG9jLnhtbFBL&#10;BQYAAAAABgAGAFkBAADFBQAAAAA=&#10;">
                        <v:fill on="f" focussize="0,0"/>
                        <v:stroke color="#000000" miterlimit="8" joinstyle="miter" endarrow="open"/>
                        <v:imagedata o:title=""/>
                        <o:lock v:ext="edit" aspectratio="f"/>
                      </v:shape>
                      <v:shape id="自选图形 61" o:spid="_x0000_s1026" o:spt="34" type="#_x0000_t34" style="position:absolute;left:377825;top:1048385;height:146685;width:370840;rotation:5898240f;" filled="f" stroked="t" coordsize="21600,21600" o:gfxdata="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FIoFGjXAAAABQEAAA8AAAAAAAAA&#10;AQAgAAAAIgAAAGRycy9kb3ducmV2LnhtbFBLAQIUABQAAAAIAIdO4kBVXHJtSwIAAFYEAAAOAAAA&#10;AAAAAAEAIAAAACYBAABkcnMvZTJvRG9jLnhtbFBLBQYAAAAABgAGAFkBAADjBQAAAAA=&#10;" adj="10781">
                        <v:fill on="f" focussize="0,0"/>
                        <v:stroke color="#000000" miterlimit="8" joinstyle="miter" endarrow="open"/>
                        <v:imagedata o:title=""/>
                        <o:lock v:ext="edit" aspectratio="f"/>
                      </v:shape>
                      <v:shape id="自选图形 62" o:spid="_x0000_s1026" o:spt="34" type="#_x0000_t34" style="position:absolute;left:732155;top:840740;flip:y;height:565150;width:374015;rotation:-5898240f;" filled="f" stroked="t" coordsize="21600,21600" o:gfxdata="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e/r7l1gAAAAUBAAAP&#10;AAAAAAAAAAEAIAAAACIAAABkcnMvZG93bnJldi54bWxQSwECFAAUAAAACACHTuJAEKWd/VMCAABf&#10;BAAADgAAAAAAAAABACAAAAAlAQAAZHJzL2Uyb0RvYy54bWxQSwUGAAAAAAYABgBZAQAA6gUAAAAA&#10;" adj="10800">
                        <v:fill on="f" focussize="0,0"/>
                        <v:stroke color="#000000" miterlimit="8" joinstyle="miter" endarrow="open"/>
                        <v:imagedata o:title=""/>
                        <o:lock v:ext="edit" aspectratio="f"/>
                      </v:shape>
                      <v:rect id="矩形 68" o:spid="_x0000_s1026" o:spt="1" style="position:absolute;left:19050;top:1306830;height:502920;width:940435;" filled="f" stroked="f" coordsize="21600,21600" o:gfxdata="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bmVbX&#10;AAAABQEAAA8AAAAAAAAAAQAgAAAAIgAAAGRycy9kb3ducmV2LnhtbFBLAQIUABQAAAAIAIdO4kA7&#10;jQ+lIQIAACkEAAAOAAAAAAAAAAEAIAAAACYBAABkcnMvZTJvRG9jLnhtbFBLBQYAAAAABgAGAFkB&#10;AAC5BQAAAAA=&#10;">
                        <v:fill on="f" focussize="0,0"/>
                        <v:stroke on="f"/>
                        <v:imagedata o:title=""/>
                        <o:lock v:ext="edit" aspectratio="f"/>
                        <v:textbox>
                          <w:txbxContent>
                            <w:p w14:paraId="375DEFD2">
                              <w:pPr>
                                <w:jc w:val="center"/>
                              </w:pPr>
                              <w:r>
                                <w:rPr>
                                  <w:rFonts w:hint="eastAsia"/>
                                </w:rPr>
                                <w:t>钛铁精矿</w:t>
                              </w:r>
                            </w:p>
                            <w:p w14:paraId="29C60D74">
                              <w:pPr>
                                <w:jc w:val="center"/>
                              </w:pPr>
                              <w:r>
                                <w:rPr>
                                  <w:rFonts w:hint="eastAsia"/>
                                </w:rPr>
                                <w:t>920.6</w:t>
                              </w:r>
                            </w:p>
                          </w:txbxContent>
                        </v:textbox>
                      </v:rect>
                      <v:rect id="矩形 69" o:spid="_x0000_s1026" o:spt="1" style="position:absolute;left:814705;top:1310005;height:471170;width:772795;" filled="f" stroked="f" coordsize="21600,21600" o:gfxdata="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n5uZ&#10;VtcAAAAFAQAADwAAAAAAAAABACAAAAAiAAAAZHJzL2Rvd25yZXYueG1sUEsBAhQAFAAAAAgAh07i&#10;QPeDS5UjAgAAKgQAAA4AAAAAAAAAAQAgAAAAJgEAAGRycy9lMm9Eb2MueG1sUEsFBgAAAAAGAAYA&#10;WQEAALsFAAAAAA==&#10;">
                        <v:fill on="f" focussize="0,0"/>
                        <v:stroke on="f"/>
                        <v:imagedata o:title=""/>
                        <o:lock v:ext="edit" aspectratio="f"/>
                        <v:textbox>
                          <w:txbxContent>
                            <w:p w14:paraId="25855B56">
                              <w:pPr>
                                <w:jc w:val="center"/>
                              </w:pPr>
                              <w:r>
                                <w:rPr>
                                  <w:rFonts w:hint="eastAsia"/>
                                </w:rPr>
                                <w:t>锆中矿</w:t>
                              </w:r>
                            </w:p>
                            <w:p w14:paraId="080DBD2D">
                              <w:pPr>
                                <w:jc w:val="center"/>
                              </w:pPr>
                              <w:r>
                                <w:rPr>
                                  <w:rFonts w:hint="eastAsia"/>
                                </w:rPr>
                                <w:t>48.98</w:t>
                              </w:r>
                            </w:p>
                          </w:txbxContent>
                        </v:textbox>
                      </v:rect>
                      <v:shape id="自选图形 74" o:spid="_x0000_s1026" o:spt="38" type="#_x0000_t38" style="position:absolute;left:951998;top:347190;flip:y;height:292791;width:303999;" filled="f" stroked="t" coordsize="21600,21600" o:gfxdata="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ZaBDtNYAAAAF&#10;AQAADwAAAAAAAAABACAAAAAiAAAAZHJzL2Rvd25yZXYueG1sUEsBAhQAFAAAAAgAh07iQDXZ5HpX&#10;AgAAagQAAA4AAAAAAAAAAQAgAAAAJQEAAGRycy9lMm9Eb2MueG1sUEsFBgAAAAAGAAYAWQEAAO4F&#10;AAAAAA==&#10;" adj="10822">
                        <v:fill on="f" focussize="0,0"/>
                        <v:stroke color="#000000" miterlimit="8" joinstyle="miter" dashstyle="dash" endarrow="open"/>
                        <v:imagedata o:title=""/>
                        <o:lock v:ext="edit" aspectratio="f"/>
                      </v:shape>
                      <v:rect id="矩形 86" o:spid="_x0000_s1026" o:spt="1" style="position:absolute;left:165100;top:634365;height:294640;width:939165;" fillcolor="#FFFFFF" filled="t" stroked="t" coordsize="21600,21600" o:gfxdata="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Fr7g4PVAAAABQEA&#10;AA8AAAAAAAAAAQAgAAAAIgAAAGRycy9kb3ducmV2LnhtbFBLAQIUABQAAAAIAIdO4kC3vP8WVgIA&#10;AKYEAAAOAAAAAAAAAAEAIAAAACQBAABkcnMvZTJvRG9jLnhtbFBLBQYAAAAABgAGAFkBAADsBQAA&#10;AAA=&#10;">
                        <v:fill on="t" focussize="0,0"/>
                        <v:stroke color="#000000" miterlimit="8" joinstyle="miter"/>
                        <v:imagedata o:title=""/>
                        <o:lock v:ext="edit" aspectratio="f"/>
                        <v:textbox>
                          <w:txbxContent>
                            <w:p w14:paraId="4C43FA1F">
                              <w:pPr>
                                <w:jc w:val="center"/>
                              </w:pPr>
                              <w:r>
                                <w:rPr>
                                  <w:rFonts w:hint="eastAsia"/>
                                </w:rPr>
                                <w:t>烘干、磁选</w:t>
                              </w:r>
                            </w:p>
                            <w:p w14:paraId="66DF47A8"/>
                          </w:txbxContent>
                        </v:textbox>
                      </v:rect>
                      <v:rect id="矩形 92" o:spid="_x0000_s1026" o:spt="1" style="position:absolute;left:1128798;top:77598;height:456787;width:775998;" filled="f" stroked="f" coordsize="21600,21600" o:gfxdata="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bmVbXAAAA&#10;BQEAAA8AAAAAAAAAAQAgAAAAIgAAAGRycy9kb3ducmV2LnhtbFBLAQIUABQAAAAIAIdO4kCgiHH+&#10;HgIAACgEAAAOAAAAAAAAAAEAIAAAACYBAABkcnMvZTJvRG9jLnhtbFBLBQYAAAAABgAGAFkBAAC2&#10;BQAAAAA=&#10;">
                        <v:fill on="f" focussize="0,0"/>
                        <v:stroke on="f"/>
                        <v:imagedata o:title=""/>
                        <o:lock v:ext="edit" aspectratio="f"/>
                        <v:textbox>
                          <w:txbxContent>
                            <w:p w14:paraId="37C94E11">
                              <w:pPr>
                                <w:jc w:val="center"/>
                              </w:pPr>
                              <w:r>
                                <w:rPr>
                                  <w:rFonts w:hint="eastAsia"/>
                                </w:rPr>
                                <w:t>车间粉尘</w:t>
                              </w:r>
                            </w:p>
                            <w:p w14:paraId="40C4A78F">
                              <w:pPr>
                                <w:jc w:val="center"/>
                              </w:pPr>
                              <w:r>
                                <w:rPr>
                                  <w:rFonts w:hint="eastAsia"/>
                                </w:rPr>
                                <w:t>0.02</w:t>
                              </w:r>
                            </w:p>
                          </w:txbxContent>
                        </v:textbox>
                      </v:rect>
                      <w10:wrap type="none"/>
                      <w10:anchorlock/>
                    </v:group>
                  </w:pict>
                </mc:Fallback>
              </mc:AlternateContent>
            </w:r>
          </w:p>
        </w:tc>
        <w:tc>
          <w:tcPr>
            <w:tcW w:w="4261" w:type="dxa"/>
            <w:vAlign w:val="center"/>
          </w:tcPr>
          <w:p w14:paraId="4A8500C7">
            <w:pPr>
              <w:spacing w:line="360" w:lineRule="auto"/>
              <w:jc w:val="center"/>
              <w:rPr>
                <w:rFonts w:ascii="Times New Roman" w:hAnsi="Times New Roman"/>
                <w:spacing w:val="-2"/>
                <w:kern w:val="0"/>
                <w:sz w:val="24"/>
                <w:szCs w:val="24"/>
              </w:rPr>
            </w:pPr>
            <w:r>
              <w:rPr>
                <w:rFonts w:ascii="Times New Roman" w:hAnsi="Times New Roman"/>
                <w:spacing w:val="-2"/>
                <w:kern w:val="0"/>
                <w:sz w:val="24"/>
                <w:szCs w:val="24"/>
              </w:rPr>
              <mc:AlternateContent>
                <mc:Choice Requires="wpc">
                  <w:drawing>
                    <wp:inline distT="0" distB="0" distL="0" distR="0">
                      <wp:extent cx="2398395" cy="1796415"/>
                      <wp:effectExtent l="0" t="0" r="0" b="0"/>
                      <wp:docPr id="4626308" name="画布 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12300356" name="矩形 21"/>
                              <wps:cNvSpPr>
                                <a:spLocks noChangeArrowheads="1"/>
                              </wps:cNvSpPr>
                              <wps:spPr bwMode="auto">
                                <a:xfrm>
                                  <a:off x="235200" y="27199"/>
                                  <a:ext cx="799998" cy="489586"/>
                                </a:xfrm>
                                <a:prstGeom prst="rect">
                                  <a:avLst/>
                                </a:prstGeom>
                                <a:solidFill>
                                  <a:srgbClr val="FFFFFF"/>
                                </a:solidFill>
                                <a:ln>
                                  <a:noFill/>
                                </a:ln>
                                <a:effectLst/>
                              </wps:spPr>
                              <wps:txbx>
                                <w:txbxContent>
                                  <w:p w14:paraId="310033DD">
                                    <w:pPr>
                                      <w:jc w:val="center"/>
                                    </w:pPr>
                                    <w:r>
                                      <w:rPr>
                                        <w:rFonts w:hint="eastAsia"/>
                                      </w:rPr>
                                      <w:t>原料毛矿</w:t>
                                    </w:r>
                                  </w:p>
                                  <w:p w14:paraId="6FD28052">
                                    <w:pPr>
                                      <w:jc w:val="center"/>
                                    </w:pPr>
                                    <w:r>
                                      <w:rPr>
                                        <w:rFonts w:hint="eastAsia"/>
                                      </w:rPr>
                                      <w:t>161.60</w:t>
                                    </w:r>
                                  </w:p>
                                </w:txbxContent>
                              </wps:txbx>
                              <wps:bodyPr rot="0" vert="horz" wrap="square" lIns="91440" tIns="45720" rIns="91440" bIns="45720" anchor="t" anchorCtr="0" upright="1">
                                <a:noAutofit/>
                              </wps:bodyPr>
                            </wps:wsp>
                            <wps:wsp>
                              <wps:cNvPr id="35285216" name="自选图形 58"/>
                              <wps:cNvCnPr>
                                <a:cxnSpLocks noChangeShapeType="1"/>
                              </wps:cNvCnPr>
                              <wps:spPr bwMode="auto">
                                <a:xfrm>
                                  <a:off x="635199" y="516785"/>
                                  <a:ext cx="0" cy="117597"/>
                                </a:xfrm>
                                <a:prstGeom prst="straightConnector1">
                                  <a:avLst/>
                                </a:prstGeom>
                                <a:noFill/>
                                <a:ln w="9525" cmpd="sng">
                                  <a:solidFill>
                                    <a:srgbClr val="000000"/>
                                  </a:solidFill>
                                  <a:miter lim="800000"/>
                                  <a:tailEnd type="arrow" w="med" len="med"/>
                                </a:ln>
                                <a:effectLst/>
                              </wps:spPr>
                              <wps:bodyPr/>
                            </wps:wsp>
                            <wps:wsp>
                              <wps:cNvPr id="1884010179" name="自选图形 61"/>
                              <wps:cNvCnPr>
                                <a:cxnSpLocks noChangeShapeType="1"/>
                              </wps:cNvCnPr>
                              <wps:spPr bwMode="auto">
                                <a:xfrm rot="5400000">
                                  <a:off x="377825" y="1048385"/>
                                  <a:ext cx="370840" cy="146685"/>
                                </a:xfrm>
                                <a:prstGeom prst="bentConnector3">
                                  <a:avLst>
                                    <a:gd name="adj1" fmla="val 49914"/>
                                  </a:avLst>
                                </a:prstGeom>
                                <a:noFill/>
                                <a:ln w="9525" cmpd="sng">
                                  <a:solidFill>
                                    <a:srgbClr val="000000"/>
                                  </a:solidFill>
                                  <a:miter lim="800000"/>
                                  <a:tailEnd type="arrow" w="med" len="med"/>
                                </a:ln>
                                <a:effectLst/>
                              </wps:spPr>
                              <wps:bodyPr/>
                            </wps:wsp>
                            <wps:wsp>
                              <wps:cNvPr id="1614561834" name="自选图形 62"/>
                              <wps:cNvCnPr>
                                <a:cxnSpLocks noChangeShapeType="1"/>
                              </wps:cNvCnPr>
                              <wps:spPr bwMode="auto">
                                <a:xfrm rot="5400000" flipV="1">
                                  <a:off x="732155" y="840740"/>
                                  <a:ext cx="374015" cy="565150"/>
                                </a:xfrm>
                                <a:prstGeom prst="bentConnector3">
                                  <a:avLst>
                                    <a:gd name="adj1" fmla="val 50000"/>
                                  </a:avLst>
                                </a:prstGeom>
                                <a:noFill/>
                                <a:ln w="9525" cmpd="sng">
                                  <a:solidFill>
                                    <a:srgbClr val="000000"/>
                                  </a:solidFill>
                                  <a:miter lim="800000"/>
                                  <a:tailEnd type="arrow" w="med" len="med"/>
                                </a:ln>
                                <a:effectLst/>
                              </wps:spPr>
                              <wps:bodyPr/>
                            </wps:wsp>
                            <wps:wsp>
                              <wps:cNvPr id="647634905" name="矩形 68"/>
                              <wps:cNvSpPr>
                                <a:spLocks noChangeArrowheads="1"/>
                              </wps:cNvSpPr>
                              <wps:spPr bwMode="auto">
                                <a:xfrm>
                                  <a:off x="19050" y="1306830"/>
                                  <a:ext cx="940435" cy="502920"/>
                                </a:xfrm>
                                <a:prstGeom prst="rect">
                                  <a:avLst/>
                                </a:prstGeom>
                                <a:noFill/>
                                <a:ln>
                                  <a:noFill/>
                                </a:ln>
                                <a:effectLst/>
                              </wps:spPr>
                              <wps:txbx>
                                <w:txbxContent>
                                  <w:p w14:paraId="673B9B66">
                                    <w:pPr>
                                      <w:jc w:val="center"/>
                                    </w:pPr>
                                    <w:r>
                                      <w:rPr>
                                        <w:rFonts w:hint="eastAsia"/>
                                      </w:rPr>
                                      <w:t>钛铁精矿</w:t>
                                    </w:r>
                                  </w:p>
                                  <w:p w14:paraId="74C57A48">
                                    <w:pPr>
                                      <w:jc w:val="center"/>
                                    </w:pPr>
                                    <w:r>
                                      <w:rPr>
                                        <w:rFonts w:hint="eastAsia"/>
                                      </w:rPr>
                                      <w:t>140.61</w:t>
                                    </w:r>
                                  </w:p>
                                </w:txbxContent>
                              </wps:txbx>
                              <wps:bodyPr rot="0" vert="horz" wrap="square" lIns="91440" tIns="45720" rIns="91440" bIns="45720" anchor="t" anchorCtr="0" upright="1">
                                <a:noAutofit/>
                              </wps:bodyPr>
                            </wps:wsp>
                            <wps:wsp>
                              <wps:cNvPr id="1735770786" name="矩形 69"/>
                              <wps:cNvSpPr>
                                <a:spLocks noChangeArrowheads="1"/>
                              </wps:cNvSpPr>
                              <wps:spPr bwMode="auto">
                                <a:xfrm>
                                  <a:off x="814705" y="1310005"/>
                                  <a:ext cx="772795" cy="471170"/>
                                </a:xfrm>
                                <a:prstGeom prst="rect">
                                  <a:avLst/>
                                </a:prstGeom>
                                <a:noFill/>
                                <a:ln>
                                  <a:noFill/>
                                </a:ln>
                                <a:effectLst/>
                              </wps:spPr>
                              <wps:txbx>
                                <w:txbxContent>
                                  <w:p w14:paraId="7B9A5E93">
                                    <w:pPr>
                                      <w:jc w:val="center"/>
                                    </w:pPr>
                                    <w:r>
                                      <w:rPr>
                                        <w:rFonts w:hint="eastAsia"/>
                                      </w:rPr>
                                      <w:t>锆中矿</w:t>
                                    </w:r>
                                  </w:p>
                                  <w:p w14:paraId="6C2B3386">
                                    <w:pPr>
                                      <w:jc w:val="center"/>
                                    </w:pPr>
                                    <w:r>
                                      <w:rPr>
                                        <w:rFonts w:hint="eastAsia"/>
                                      </w:rPr>
                                      <w:t>20.99</w:t>
                                    </w:r>
                                  </w:p>
                                </w:txbxContent>
                              </wps:txbx>
                              <wps:bodyPr rot="0" vert="horz" wrap="square" lIns="91440" tIns="45720" rIns="91440" bIns="45720" anchor="t" anchorCtr="0" upright="1">
                                <a:noAutofit/>
                              </wps:bodyPr>
                            </wps:wsp>
                            <wps:wsp>
                              <wps:cNvPr id="2129749610" name="自选图形 74"/>
                              <wps:cNvCnPr>
                                <a:cxnSpLocks noChangeShapeType="1"/>
                              </wps:cNvCnPr>
                              <wps:spPr bwMode="auto">
                                <a:xfrm flipV="1">
                                  <a:off x="951998" y="347190"/>
                                  <a:ext cx="303999" cy="292791"/>
                                </a:xfrm>
                                <a:prstGeom prst="curvedConnector3">
                                  <a:avLst>
                                    <a:gd name="adj1" fmla="val 50102"/>
                                  </a:avLst>
                                </a:prstGeom>
                                <a:noFill/>
                                <a:ln w="9525" cmpd="sng">
                                  <a:solidFill>
                                    <a:srgbClr val="000000"/>
                                  </a:solidFill>
                                  <a:prstDash val="dash"/>
                                  <a:miter lim="800000"/>
                                  <a:tailEnd type="arrow" w="med" len="med"/>
                                </a:ln>
                                <a:effectLst/>
                              </wps:spPr>
                              <wps:bodyPr/>
                            </wps:wsp>
                            <wps:wsp>
                              <wps:cNvPr id="1404172324" name="矩形 86"/>
                              <wps:cNvSpPr>
                                <a:spLocks noChangeArrowheads="1"/>
                              </wps:cNvSpPr>
                              <wps:spPr bwMode="auto">
                                <a:xfrm>
                                  <a:off x="165100" y="634365"/>
                                  <a:ext cx="939165" cy="294640"/>
                                </a:xfrm>
                                <a:prstGeom prst="rect">
                                  <a:avLst/>
                                </a:prstGeom>
                                <a:solidFill>
                                  <a:srgbClr val="FFFFFF"/>
                                </a:solidFill>
                                <a:ln w="9525" cmpd="sng">
                                  <a:solidFill>
                                    <a:srgbClr val="000000"/>
                                  </a:solidFill>
                                  <a:miter lim="800000"/>
                                </a:ln>
                                <a:effectLst/>
                              </wps:spPr>
                              <wps:txbx>
                                <w:txbxContent>
                                  <w:p w14:paraId="39CC37C1">
                                    <w:pPr>
                                      <w:jc w:val="center"/>
                                    </w:pPr>
                                    <w:r>
                                      <w:rPr>
                                        <w:rFonts w:hint="eastAsia"/>
                                      </w:rPr>
                                      <w:t>烘干、磁选</w:t>
                                    </w:r>
                                  </w:p>
                                  <w:p w14:paraId="6A83AB4C"/>
                                </w:txbxContent>
                              </wps:txbx>
                              <wps:bodyPr rot="0" vert="horz" wrap="square" lIns="91440" tIns="45720" rIns="91440" bIns="45720" anchor="t" anchorCtr="0" upright="1">
                                <a:noAutofit/>
                              </wps:bodyPr>
                            </wps:wsp>
                            <wps:wsp>
                              <wps:cNvPr id="1075345852" name="矩形 92"/>
                              <wps:cNvSpPr>
                                <a:spLocks noChangeArrowheads="1"/>
                              </wps:cNvSpPr>
                              <wps:spPr bwMode="auto">
                                <a:xfrm>
                                  <a:off x="1128798" y="77598"/>
                                  <a:ext cx="775998" cy="456787"/>
                                </a:xfrm>
                                <a:prstGeom prst="rect">
                                  <a:avLst/>
                                </a:prstGeom>
                                <a:noFill/>
                                <a:ln>
                                  <a:noFill/>
                                </a:ln>
                                <a:effectLst/>
                              </wps:spPr>
                              <wps:txbx>
                                <w:txbxContent>
                                  <w:p w14:paraId="7949A60C">
                                    <w:pPr>
                                      <w:jc w:val="center"/>
                                    </w:pPr>
                                    <w:r>
                                      <w:rPr>
                                        <w:rFonts w:hint="eastAsia"/>
                                      </w:rPr>
                                      <w:t>车间粉尘</w:t>
                                    </w:r>
                                  </w:p>
                                  <w:p w14:paraId="197415C5">
                                    <w:pPr>
                                      <w:jc w:val="center"/>
                                    </w:pPr>
                                    <w:r>
                                      <w:rPr>
                                        <w:rFonts w:hint="eastAsia"/>
                                      </w:rPr>
                                      <w:t>0.00</w:t>
                                    </w:r>
                                  </w:p>
                                </w:txbxContent>
                              </wps:txbx>
                              <wps:bodyPr rot="0" vert="horz" wrap="square" lIns="91440" tIns="45720" rIns="91440" bIns="45720" anchor="t" anchorCtr="0" upright="1">
                                <a:noAutofit/>
                              </wps:bodyPr>
                            </wps:wsp>
                          </wpc:wpc>
                        </a:graphicData>
                      </a:graphic>
                    </wp:inline>
                  </w:drawing>
                </mc:Choice>
                <mc:Fallback>
                  <w:pict>
                    <v:group id="画布 15" o:spid="_x0000_s1026" o:spt="203" style="height:141.45pt;width:188.85pt;" coordsize="2398395,1796415" editas="canvas" o:gfxdata="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">
                      <o:lock v:ext="edit" aspectratio="f"/>
                      <v:shape id="画布 15" o:spid="_x0000_s1026" style="position:absolute;left:0;top:0;height:1796415;width:2398395;" filled="f" stroked="f" coordsize="21600,21600" o:gfxdata="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">
                        <v:fill on="f" focussize="0,0"/>
                        <v:stroke on="f"/>
                        <v:imagedata o:title=""/>
                        <o:lock v:ext="edit" aspectratio="t"/>
                      </v:shape>
                      <v:rect id="矩形 21" o:spid="_x0000_s1026" o:spt="1" style="position:absolute;left:235200;top:27199;height:489586;width:799998;" fillcolor="#FFFFFF" filled="t" stroked="f" coordsize="21600,21600" o:gfxdata="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UAJM3dUAAAAFAQAADwAAAAAAAAABACAAAAAiAAAAZHJzL2Rvd25yZXYueG1s&#10;UEsBAhQAFAAAAAgAh07iQCnhdlE0AgAAUQQAAA4AAAAAAAAAAQAgAAAAJAEAAGRycy9lMm9Eb2Mu&#10;eG1sUEsFBgAAAAAGAAYAWQEAAMoFAAAAAA==&#10;">
                        <v:fill on="t" focussize="0,0"/>
                        <v:stroke on="f"/>
                        <v:imagedata o:title=""/>
                        <o:lock v:ext="edit" aspectratio="f"/>
                        <v:textbox>
                          <w:txbxContent>
                            <w:p w14:paraId="310033DD">
                              <w:pPr>
                                <w:jc w:val="center"/>
                              </w:pPr>
                              <w:r>
                                <w:rPr>
                                  <w:rFonts w:hint="eastAsia"/>
                                </w:rPr>
                                <w:t>原料毛矿</w:t>
                              </w:r>
                            </w:p>
                            <w:p w14:paraId="6FD28052">
                              <w:pPr>
                                <w:jc w:val="center"/>
                              </w:pPr>
                              <w:r>
                                <w:rPr>
                                  <w:rFonts w:hint="eastAsia"/>
                                </w:rPr>
                                <w:t>161.60</w:t>
                              </w:r>
                            </w:p>
                          </w:txbxContent>
                        </v:textbox>
                      </v:rect>
                      <v:shape id="自选图形 58" o:spid="_x0000_s1026" o:spt="32" type="#_x0000_t32" style="position:absolute;left:635199;top:516785;height:117597;width:0;" filled="f" stroked="t" coordsize="21600,21600" o:gfxdata="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PxvZQNkAAAAFAQAADwAAAAAAAAABACAAAAAiAAAAZHJzL2Rvd25yZXYueG1sUEsBAhQA&#10;FAAAAAgAh07iQDteYaIqAgAAFwQAAA4AAAAAAAAAAQAgAAAAKAEAAGRycy9lMm9Eb2MueG1sUEsF&#10;BgAAAAAGAAYAWQEAAMQFAAAAAA==&#10;">
                        <v:fill on="f" focussize="0,0"/>
                        <v:stroke color="#000000" miterlimit="8" joinstyle="miter" endarrow="open"/>
                        <v:imagedata o:title=""/>
                        <o:lock v:ext="edit" aspectratio="f"/>
                      </v:shape>
                      <v:shape id="自选图形 61" o:spid="_x0000_s1026" o:spt="34" type="#_x0000_t34" style="position:absolute;left:377825;top:1048385;height:146685;width:370840;rotation:5898240f;" filled="f" stroked="t" coordsize="21600,21600" o:gfxdata="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UigUaNcAAAAFAQAADwAAAAAAAAAB&#10;ACAAAAAiAAAAZHJzL2Rvd25yZXYueG1sUEsBAhQAFAAAAAgAh07iQOJJQ0ZKAgAAVgQAAA4AAAAA&#10;AAAAAQAgAAAAJgEAAGRycy9lMm9Eb2MueG1sUEsFBgAAAAAGAAYAWQEAAOIFAAAAAA==&#10;" adj="10781">
                        <v:fill on="f" focussize="0,0"/>
                        <v:stroke color="#000000" miterlimit="8" joinstyle="miter" endarrow="open"/>
                        <v:imagedata o:title=""/>
                        <o:lock v:ext="edit" aspectratio="f"/>
                      </v:shape>
                      <v:shape id="自选图形 62" o:spid="_x0000_s1026" o:spt="34" type="#_x0000_t34" style="position:absolute;left:732155;top:840740;flip:y;height:565150;width:374015;rotation:-5898240f;" filled="f" stroked="t" coordsize="21600,21600" o:gfxdata="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B7+vuXWAAAABQEAAA8A&#10;AAAAAAAAAQAgAAAAIgAAAGRycy9kb3ducmV2LnhtbFBLAQIUABQAAAAIAIdO4kCK6utrUgIAAF8E&#10;AAAOAAAAAAAAAAEAIAAAACUBAABkcnMvZTJvRG9jLnhtbFBLBQYAAAAABgAGAFkBAADpBQAAAAA=&#10;" adj="10800">
                        <v:fill on="f" focussize="0,0"/>
                        <v:stroke color="#000000" miterlimit="8" joinstyle="miter" endarrow="open"/>
                        <v:imagedata o:title=""/>
                        <o:lock v:ext="edit" aspectratio="f"/>
                      </v:shape>
                      <v:rect id="矩形 68" o:spid="_x0000_s1026" o:spt="1" style="position:absolute;left:19050;top:1306830;height:502920;width:940435;" filled="f" stroked="f" coordsize="21600,21600" o:gfxdata="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bmVbX&#10;AAAABQEAAA8AAAAAAAAAAQAgAAAAIgAAAGRycy9kb3ducmV2LnhtbFBLAQIUABQAAAAIAIdO4kA9&#10;eIwUIQIAACgEAAAOAAAAAAAAAAEAIAAAACYBAABkcnMvZTJvRG9jLnhtbFBLBQYAAAAABgAGAFkB&#10;AAC5BQAAAAA=&#10;">
                        <v:fill on="f" focussize="0,0"/>
                        <v:stroke on="f"/>
                        <v:imagedata o:title=""/>
                        <o:lock v:ext="edit" aspectratio="f"/>
                        <v:textbox>
                          <w:txbxContent>
                            <w:p w14:paraId="673B9B66">
                              <w:pPr>
                                <w:jc w:val="center"/>
                              </w:pPr>
                              <w:r>
                                <w:rPr>
                                  <w:rFonts w:hint="eastAsia"/>
                                </w:rPr>
                                <w:t>钛铁精矿</w:t>
                              </w:r>
                            </w:p>
                            <w:p w14:paraId="74C57A48">
                              <w:pPr>
                                <w:jc w:val="center"/>
                              </w:pPr>
                              <w:r>
                                <w:rPr>
                                  <w:rFonts w:hint="eastAsia"/>
                                </w:rPr>
                                <w:t>140.61</w:t>
                              </w:r>
                            </w:p>
                          </w:txbxContent>
                        </v:textbox>
                      </v:rect>
                      <v:rect id="矩形 69" o:spid="_x0000_s1026" o:spt="1" style="position:absolute;left:814705;top:1310005;height:471170;width:772795;" filled="f" stroked="f" coordsize="21600,21600" o:gfxdata="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n5uZ&#10;VtcAAAAFAQAADwAAAAAAAAABACAAAAAiAAAAZHJzL2Rvd25yZXYueG1sUEsBAhQAFAAAAAgAh07i&#10;QNqTiO0jAgAAKgQAAA4AAAAAAAAAAQAgAAAAJgEAAGRycy9lMm9Eb2MueG1sUEsFBgAAAAAGAAYA&#10;WQEAALsFAAAAAA==&#10;">
                        <v:fill on="f" focussize="0,0"/>
                        <v:stroke on="f"/>
                        <v:imagedata o:title=""/>
                        <o:lock v:ext="edit" aspectratio="f"/>
                        <v:textbox>
                          <w:txbxContent>
                            <w:p w14:paraId="7B9A5E93">
                              <w:pPr>
                                <w:jc w:val="center"/>
                              </w:pPr>
                              <w:r>
                                <w:rPr>
                                  <w:rFonts w:hint="eastAsia"/>
                                </w:rPr>
                                <w:t>锆中矿</w:t>
                              </w:r>
                            </w:p>
                            <w:p w14:paraId="6C2B3386">
                              <w:pPr>
                                <w:jc w:val="center"/>
                              </w:pPr>
                              <w:r>
                                <w:rPr>
                                  <w:rFonts w:hint="eastAsia"/>
                                </w:rPr>
                                <w:t>20.99</w:t>
                              </w:r>
                            </w:p>
                          </w:txbxContent>
                        </v:textbox>
                      </v:rect>
                      <v:shape id="自选图形 74" o:spid="_x0000_s1026" o:spt="38" type="#_x0000_t38" style="position:absolute;left:951998;top:347190;flip:y;height:292791;width:303999;" filled="f" stroked="t" coordsize="21600,21600" o:gfxdata="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GWgQ7TWAAAA&#10;BQEAAA8AAAAAAAAAAQAgAAAAIgAAAGRycy9kb3ducmV2LnhtbFBLAQIUABQAAAAIAIdO4kA6sbI0&#10;WAIAAGsEAAAOAAAAAAAAAAEAIAAAACUBAABkcnMvZTJvRG9jLnhtbFBLBQYAAAAABgAGAFkBAADv&#10;BQAAAAA=&#10;" adj="10822">
                        <v:fill on="f" focussize="0,0"/>
                        <v:stroke color="#000000" miterlimit="8" joinstyle="miter" dashstyle="dash" endarrow="open"/>
                        <v:imagedata o:title=""/>
                        <o:lock v:ext="edit" aspectratio="f"/>
                      </v:shape>
                      <v:rect id="矩形 86" o:spid="_x0000_s1026" o:spt="1" style="position:absolute;left:165100;top:634365;height:294640;width:939165;" fillcolor="#FFFFFF" filled="t" stroked="t" coordsize="21600,21600" o:gfxdata="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Fr7g4PVAAAABQEA&#10;AA8AAAAAAAAAAQAgAAAAIgAAAGRycy9kb3ducmV2LnhtbFBLAQIUABQAAAAIAIdO4kDgSTXOVgIA&#10;AKYEAAAOAAAAAAAAAAEAIAAAACQBAABkcnMvZTJvRG9jLnhtbFBLBQYAAAAABgAGAFkBAADsBQAA&#10;AAA=&#10;">
                        <v:fill on="t" focussize="0,0"/>
                        <v:stroke color="#000000" miterlimit="8" joinstyle="miter"/>
                        <v:imagedata o:title=""/>
                        <o:lock v:ext="edit" aspectratio="f"/>
                        <v:textbox>
                          <w:txbxContent>
                            <w:p w14:paraId="39CC37C1">
                              <w:pPr>
                                <w:jc w:val="center"/>
                              </w:pPr>
                              <w:r>
                                <w:rPr>
                                  <w:rFonts w:hint="eastAsia"/>
                                </w:rPr>
                                <w:t>烘干、磁选</w:t>
                              </w:r>
                            </w:p>
                            <w:p w14:paraId="6A83AB4C"/>
                          </w:txbxContent>
                        </v:textbox>
                      </v:rect>
                      <v:rect id="矩形 92" o:spid="_x0000_s1026" o:spt="1" style="position:absolute;left:1128798;top:77598;height:456787;width:775998;" filled="f" stroked="f" coordsize="21600,21600" o:gfxdata="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fm5lW1wAA&#10;AAUBAAAPAAAAAAAAAAEAIAAAACIAAABkcnMvZG93bnJldi54bWxQSwECFAAUAAAACACHTuJAYQTD&#10;bh8CAAApBAAADgAAAAAAAAABACAAAAAmAQAAZHJzL2Uyb0RvYy54bWxQSwUGAAAAAAYABgBZAQAA&#10;twUAAAAA&#10;">
                        <v:fill on="f" focussize="0,0"/>
                        <v:stroke on="f"/>
                        <v:imagedata o:title=""/>
                        <o:lock v:ext="edit" aspectratio="f"/>
                        <v:textbox>
                          <w:txbxContent>
                            <w:p w14:paraId="7949A60C">
                              <w:pPr>
                                <w:jc w:val="center"/>
                              </w:pPr>
                              <w:r>
                                <w:rPr>
                                  <w:rFonts w:hint="eastAsia"/>
                                </w:rPr>
                                <w:t>车间粉尘</w:t>
                              </w:r>
                            </w:p>
                            <w:p w14:paraId="197415C5">
                              <w:pPr>
                                <w:jc w:val="center"/>
                              </w:pPr>
                              <w:r>
                                <w:rPr>
                                  <w:rFonts w:hint="eastAsia"/>
                                </w:rPr>
                                <w:t>0.00</w:t>
                              </w:r>
                            </w:p>
                          </w:txbxContent>
                        </v:textbox>
                      </v:rect>
                      <w10:wrap type="none"/>
                      <w10:anchorlock/>
                    </v:group>
                  </w:pict>
                </mc:Fallback>
              </mc:AlternateContent>
            </w:r>
          </w:p>
        </w:tc>
      </w:tr>
      <w:tr w14:paraId="1E71A9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61" w:type="dxa"/>
            <w:vAlign w:val="center"/>
          </w:tcPr>
          <w:p w14:paraId="037BBB09">
            <w:pPr>
              <w:pStyle w:val="9"/>
              <w:numPr>
                <w:ilvl w:val="5"/>
                <w:numId w:val="3"/>
              </w:numPr>
              <w:rPr>
                <w:spacing w:val="-2"/>
                <w:kern w:val="0"/>
                <w:sz w:val="24"/>
              </w:rPr>
            </w:pPr>
            <w:r>
              <w:rPr>
                <w:sz w:val="24"/>
              </w:rPr>
              <w:t>铈金属平衡图（t/a）</w:t>
            </w:r>
          </w:p>
        </w:tc>
        <w:tc>
          <w:tcPr>
            <w:tcW w:w="4261" w:type="dxa"/>
            <w:vAlign w:val="center"/>
          </w:tcPr>
          <w:p w14:paraId="3CC2F65A">
            <w:pPr>
              <w:pStyle w:val="9"/>
              <w:numPr>
                <w:ilvl w:val="5"/>
                <w:numId w:val="3"/>
              </w:numPr>
              <w:rPr>
                <w:sz w:val="24"/>
              </w:rPr>
            </w:pPr>
            <w:r>
              <w:rPr>
                <w:rFonts w:hint="eastAsia"/>
                <w:sz w:val="24"/>
              </w:rPr>
              <w:t>钍金属平衡（t/a）</w:t>
            </w:r>
          </w:p>
        </w:tc>
      </w:tr>
    </w:tbl>
    <w:p w14:paraId="097B70B7">
      <w:pPr>
        <w:spacing w:line="360" w:lineRule="auto"/>
        <w:jc w:val="center"/>
        <w:rPr>
          <w:rFonts w:ascii="Times New Roman" w:hAnsi="Times New Roman"/>
          <w:spacing w:val="-2"/>
          <w:kern w:val="0"/>
          <w:sz w:val="24"/>
          <w:szCs w:val="24"/>
        </w:rPr>
      </w:pPr>
    </w:p>
    <w:p w14:paraId="5F9FCFBB">
      <w:pPr>
        <w:pStyle w:val="7"/>
        <w:numPr>
          <w:ilvl w:val="3"/>
          <w:numId w:val="3"/>
        </w:numPr>
      </w:pPr>
      <w:r>
        <w:t>放射性核素平衡</w:t>
      </w:r>
    </w:p>
    <w:p w14:paraId="10F11C11">
      <w:pPr>
        <w:spacing w:line="360" w:lineRule="auto"/>
        <w:ind w:firstLine="480" w:firstLineChars="200"/>
        <w:rPr>
          <w:rFonts w:ascii="Times New Roman" w:hAnsi="Times New Roman"/>
          <w:sz w:val="24"/>
          <w:szCs w:val="24"/>
        </w:rPr>
      </w:pPr>
      <w:r>
        <w:rPr>
          <w:rFonts w:ascii="Times New Roman" w:hAnsi="Times New Roman"/>
          <w:sz w:val="24"/>
          <w:szCs w:val="24"/>
        </w:rPr>
        <w:t>详见《锆钛矿石分选加工项目辐射环境影响评价专篇》。</w:t>
      </w:r>
    </w:p>
    <w:p w14:paraId="0CCE7792">
      <w:pPr>
        <w:pStyle w:val="5"/>
        <w:numPr>
          <w:ilvl w:val="1"/>
          <w:numId w:val="3"/>
        </w:numPr>
      </w:pPr>
      <w:bookmarkStart w:id="106" w:name="_Toc20500"/>
      <w:r>
        <w:t>项目污染源源强核算</w:t>
      </w:r>
      <w:bookmarkEnd w:id="106"/>
    </w:p>
    <w:p w14:paraId="67CDC2C6">
      <w:pPr>
        <w:pStyle w:val="6"/>
        <w:numPr>
          <w:ilvl w:val="2"/>
          <w:numId w:val="3"/>
        </w:numPr>
      </w:pPr>
      <w:r>
        <w:t>施工期污染源分析</w:t>
      </w:r>
    </w:p>
    <w:p w14:paraId="5BB6229C">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本项目租用广西钦州保税区创大冷链物流公司进口汽车仓储物流园内3号仓库进行生产，项目生产线及原料、产品等物料的存放均设置在室内，无新增室外建筑物。</w:t>
      </w:r>
      <w:bookmarkStart w:id="107" w:name="OLE_LINK29"/>
      <w:r>
        <w:rPr>
          <w:rFonts w:ascii="Times New Roman" w:hAnsi="Times New Roman"/>
          <w:spacing w:val="-2"/>
          <w:kern w:val="0"/>
          <w:sz w:val="24"/>
          <w:szCs w:val="24"/>
        </w:rPr>
        <w:t>项目施工期主要在已建成的</w:t>
      </w:r>
      <w:r>
        <w:rPr>
          <w:rFonts w:hint="eastAsia" w:ascii="Times New Roman" w:hAnsi="Times New Roman"/>
          <w:spacing w:val="-2"/>
          <w:kern w:val="0"/>
          <w:sz w:val="24"/>
          <w:szCs w:val="24"/>
        </w:rPr>
        <w:t>创大公司仓库</w:t>
      </w:r>
      <w:r>
        <w:rPr>
          <w:rFonts w:ascii="Times New Roman" w:hAnsi="Times New Roman"/>
          <w:spacing w:val="-2"/>
          <w:kern w:val="0"/>
          <w:sz w:val="24"/>
          <w:szCs w:val="24"/>
        </w:rPr>
        <w:t>内进行设备安装及厂房简易装修等，施工期不涉及土方开挖、基础工程、主体工程等施工。</w:t>
      </w:r>
      <w:bookmarkEnd w:id="107"/>
    </w:p>
    <w:p w14:paraId="755A9E19">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项目施工期工艺流程及产污节点分析见图2.3-1。</w:t>
      </w:r>
    </w:p>
    <w:p w14:paraId="307026B6">
      <w:pPr>
        <w:spacing w:line="360" w:lineRule="auto"/>
        <w:jc w:val="center"/>
        <w:rPr>
          <w:rFonts w:ascii="Times New Roman" w:hAnsi="Times New Roman"/>
          <w:kern w:val="0"/>
          <w:sz w:val="22"/>
          <w:szCs w:val="24"/>
        </w:rPr>
      </w:pPr>
      <w:r>
        <w:rPr>
          <w:rFonts w:ascii="Times New Roman" w:hAnsi="Times New Roman"/>
          <w:kern w:val="0"/>
          <w:sz w:val="22"/>
          <w:szCs w:val="24"/>
        </w:rPr>
        <mc:AlternateContent>
          <mc:Choice Requires="wpc">
            <w:drawing>
              <wp:inline distT="0" distB="0" distL="0" distR="0">
                <wp:extent cx="5759450" cy="1013460"/>
                <wp:effectExtent l="0" t="1905" r="0" b="3810"/>
                <wp:docPr id="325" name="画布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72452236" name="矩形 326"/>
                        <wps:cNvSpPr>
                          <a:spLocks noChangeArrowheads="1"/>
                        </wps:cNvSpPr>
                        <wps:spPr bwMode="auto">
                          <a:xfrm>
                            <a:off x="4307589" y="568721"/>
                            <a:ext cx="1066298" cy="323955"/>
                          </a:xfrm>
                          <a:prstGeom prst="rect">
                            <a:avLst/>
                          </a:prstGeom>
                          <a:solidFill>
                            <a:srgbClr val="FFFFFF"/>
                          </a:solidFill>
                          <a:ln w="9525">
                            <a:solidFill>
                              <a:srgbClr val="000000"/>
                            </a:solidFill>
                            <a:miter lim="800000"/>
                          </a:ln>
                          <a:effectLst/>
                        </wps:spPr>
                        <wps:txbx>
                          <w:txbxContent>
                            <w:p w14:paraId="19721ECF">
                              <w:pPr>
                                <w:jc w:val="center"/>
                              </w:pPr>
                              <w:r>
                                <w:rPr>
                                  <w:rFonts w:hint="eastAsia"/>
                                </w:rPr>
                                <w:t>交付使用</w:t>
                              </w:r>
                            </w:p>
                          </w:txbxContent>
                        </wps:txbx>
                        <wps:bodyPr rot="0" vert="horz" wrap="square" lIns="91440" tIns="45720" rIns="91440" bIns="45720" anchor="t" anchorCtr="0" upright="1">
                          <a:noAutofit/>
                        </wps:bodyPr>
                      </wps:wsp>
                      <wps:wsp>
                        <wps:cNvPr id="533244952" name="矩形 328"/>
                        <wps:cNvSpPr>
                          <a:spLocks noChangeArrowheads="1"/>
                        </wps:cNvSpPr>
                        <wps:spPr bwMode="auto">
                          <a:xfrm>
                            <a:off x="2360575" y="569521"/>
                            <a:ext cx="1065498" cy="323955"/>
                          </a:xfrm>
                          <a:prstGeom prst="rect">
                            <a:avLst/>
                          </a:prstGeom>
                          <a:solidFill>
                            <a:srgbClr val="FFFFFF"/>
                          </a:solidFill>
                          <a:ln w="9525">
                            <a:solidFill>
                              <a:srgbClr val="000000"/>
                            </a:solidFill>
                            <a:miter lim="800000"/>
                          </a:ln>
                          <a:effectLst/>
                        </wps:spPr>
                        <wps:txbx>
                          <w:txbxContent>
                            <w:p w14:paraId="13E466DA">
                              <w:pPr>
                                <w:jc w:val="center"/>
                              </w:pPr>
                              <w:r>
                                <w:rPr>
                                  <w:rFonts w:hint="eastAsia"/>
                                </w:rPr>
                                <w:t>设备安装</w:t>
                              </w:r>
                            </w:p>
                          </w:txbxContent>
                        </wps:txbx>
                        <wps:bodyPr rot="0" vert="horz" wrap="square" lIns="91440" tIns="45720" rIns="91440" bIns="45720" anchor="t" anchorCtr="0" upright="1">
                          <a:noAutofit/>
                        </wps:bodyPr>
                      </wps:wsp>
                      <wps:wsp>
                        <wps:cNvPr id="1980408726" name="矩形 327"/>
                        <wps:cNvSpPr>
                          <a:spLocks noChangeArrowheads="1"/>
                        </wps:cNvSpPr>
                        <wps:spPr bwMode="auto">
                          <a:xfrm>
                            <a:off x="444758" y="575920"/>
                            <a:ext cx="1066298" cy="323955"/>
                          </a:xfrm>
                          <a:prstGeom prst="rect">
                            <a:avLst/>
                          </a:prstGeom>
                          <a:solidFill>
                            <a:srgbClr val="FFFFFF"/>
                          </a:solidFill>
                          <a:ln w="9525">
                            <a:solidFill>
                              <a:srgbClr val="000000"/>
                            </a:solidFill>
                            <a:miter lim="800000"/>
                          </a:ln>
                          <a:effectLst/>
                        </wps:spPr>
                        <wps:txbx>
                          <w:txbxContent>
                            <w:p w14:paraId="0DC4D955">
                              <w:pPr>
                                <w:jc w:val="center"/>
                              </w:pPr>
                              <w:r>
                                <w:rPr>
                                  <w:rFonts w:hint="eastAsia"/>
                                </w:rPr>
                                <w:t>车间简易装修</w:t>
                              </w:r>
                            </w:p>
                          </w:txbxContent>
                        </wps:txbx>
                        <wps:bodyPr rot="0" vert="horz" wrap="square" lIns="91440" tIns="45720" rIns="91440" bIns="45720" anchor="t" anchorCtr="0" upright="1">
                          <a:noAutofit/>
                        </wps:bodyPr>
                      </wps:wsp>
                      <wps:wsp>
                        <wps:cNvPr id="525129573" name="矩形 329"/>
                        <wps:cNvSpPr>
                          <a:spLocks noChangeArrowheads="1"/>
                        </wps:cNvSpPr>
                        <wps:spPr bwMode="auto">
                          <a:xfrm>
                            <a:off x="620741" y="50393"/>
                            <a:ext cx="1053499" cy="316756"/>
                          </a:xfrm>
                          <a:prstGeom prst="rect">
                            <a:avLst/>
                          </a:prstGeom>
                          <a:noFill/>
                          <a:ln>
                            <a:noFill/>
                          </a:ln>
                          <a:effectLst/>
                        </wps:spPr>
                        <wps:txbx>
                          <w:txbxContent>
                            <w:p w14:paraId="465F32D9">
                              <w:pPr>
                                <w:jc w:val="center"/>
                              </w:pPr>
                              <w:r>
                                <w:rPr>
                                  <w:rFonts w:hint="eastAsia"/>
                                </w:rPr>
                                <w:t>废气、废水</w:t>
                              </w:r>
                            </w:p>
                          </w:txbxContent>
                        </wps:txbx>
                        <wps:bodyPr rot="0" vert="horz" wrap="square" lIns="91440" tIns="45720" rIns="91440" bIns="45720" anchor="t" anchorCtr="0" upright="1">
                          <a:noAutofit/>
                        </wps:bodyPr>
                      </wps:wsp>
                      <wps:wsp>
                        <wps:cNvPr id="1378568667" name="矩形 331"/>
                        <wps:cNvSpPr>
                          <a:spLocks noChangeArrowheads="1"/>
                        </wps:cNvSpPr>
                        <wps:spPr bwMode="auto">
                          <a:xfrm>
                            <a:off x="2583753" y="45594"/>
                            <a:ext cx="1042300" cy="317556"/>
                          </a:xfrm>
                          <a:prstGeom prst="rect">
                            <a:avLst/>
                          </a:prstGeom>
                          <a:noFill/>
                          <a:ln>
                            <a:noFill/>
                          </a:ln>
                          <a:effectLst/>
                        </wps:spPr>
                        <wps:txbx>
                          <w:txbxContent>
                            <w:p w14:paraId="0EFE6BFC">
                              <w:pPr>
                                <w:jc w:val="center"/>
                              </w:pPr>
                              <w:r>
                                <w:rPr>
                                  <w:rFonts w:hint="eastAsia"/>
                                </w:rPr>
                                <w:t>噪声、固废</w:t>
                              </w:r>
                            </w:p>
                          </w:txbxContent>
                        </wps:txbx>
                        <wps:bodyPr rot="0" vert="horz" wrap="square" lIns="91440" tIns="45720" rIns="91440" bIns="45720" anchor="t" anchorCtr="0" upright="1">
                          <a:noAutofit/>
                        </wps:bodyPr>
                      </wps:wsp>
                      <wps:wsp>
                        <wps:cNvPr id="667860863" name="自选图形 332"/>
                        <wps:cNvCnPr>
                          <a:cxnSpLocks noChangeShapeType="1"/>
                        </wps:cNvCnPr>
                        <wps:spPr bwMode="auto">
                          <a:xfrm flipV="1">
                            <a:off x="1511056" y="731899"/>
                            <a:ext cx="849519" cy="6399"/>
                          </a:xfrm>
                          <a:prstGeom prst="straightConnector1">
                            <a:avLst/>
                          </a:prstGeom>
                          <a:noFill/>
                          <a:ln w="9525">
                            <a:solidFill>
                              <a:srgbClr val="000000"/>
                            </a:solidFill>
                            <a:miter lim="800000"/>
                            <a:tailEnd type="arrow" w="med" len="med"/>
                          </a:ln>
                        </wps:spPr>
                        <wps:bodyPr/>
                      </wps:wsp>
                      <wps:wsp>
                        <wps:cNvPr id="335953906" name="自选图形 333"/>
                        <wps:cNvCnPr>
                          <a:cxnSpLocks noChangeShapeType="1"/>
                        </wps:cNvCnPr>
                        <wps:spPr bwMode="auto">
                          <a:xfrm flipV="1">
                            <a:off x="3426073" y="730299"/>
                            <a:ext cx="882316" cy="0"/>
                          </a:xfrm>
                          <a:prstGeom prst="straightConnector1">
                            <a:avLst/>
                          </a:prstGeom>
                          <a:noFill/>
                          <a:ln w="9525">
                            <a:solidFill>
                              <a:srgbClr val="000000"/>
                            </a:solidFill>
                            <a:miter lim="800000"/>
                            <a:tailEnd type="arrow" w="med" len="med"/>
                          </a:ln>
                        </wps:spPr>
                        <wps:bodyPr/>
                      </wps:wsp>
                      <wps:wsp>
                        <wps:cNvPr id="895300430" name="自选图形 335"/>
                        <wps:cNvCnPr>
                          <a:cxnSpLocks noChangeShapeType="1"/>
                        </wps:cNvCnPr>
                        <wps:spPr bwMode="auto">
                          <a:xfrm flipV="1">
                            <a:off x="977507" y="367149"/>
                            <a:ext cx="170384" cy="208771"/>
                          </a:xfrm>
                          <a:prstGeom prst="straightConnector1">
                            <a:avLst/>
                          </a:prstGeom>
                          <a:noFill/>
                          <a:ln w="9525">
                            <a:solidFill>
                              <a:srgbClr val="000000"/>
                            </a:solidFill>
                            <a:prstDash val="dash"/>
                            <a:miter lim="800000"/>
                            <a:tailEnd type="arrow" w="med" len="med"/>
                          </a:ln>
                        </wps:spPr>
                        <wps:bodyPr/>
                      </wps:wsp>
                      <wps:wsp>
                        <wps:cNvPr id="354722997" name="自选图形 336"/>
                        <wps:cNvCnPr>
                          <a:cxnSpLocks noChangeShapeType="1"/>
                        </wps:cNvCnPr>
                        <wps:spPr bwMode="auto">
                          <a:xfrm flipV="1">
                            <a:off x="2893324" y="363150"/>
                            <a:ext cx="211980" cy="206371"/>
                          </a:xfrm>
                          <a:prstGeom prst="straightConnector1">
                            <a:avLst/>
                          </a:prstGeom>
                          <a:noFill/>
                          <a:ln w="9525">
                            <a:solidFill>
                              <a:srgbClr val="000000"/>
                            </a:solidFill>
                            <a:prstDash val="dash"/>
                            <a:miter lim="800000"/>
                            <a:tailEnd type="arrow" w="med" len="med"/>
                          </a:ln>
                        </wps:spPr>
                        <wps:bodyPr/>
                      </wps:wsp>
                    </wpc:wpc>
                  </a:graphicData>
                </a:graphic>
              </wp:inline>
            </w:drawing>
          </mc:Choice>
          <mc:Fallback>
            <w:pict>
              <v:group id="画布 8" o:spid="_x0000_s1026" o:spt="203" style="height:79.8pt;width:453.5pt;" coordsize="5759450,1013460" editas="canvas" o:gfxdata="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">
                <o:lock v:ext="edit" aspectratio="f"/>
                <v:shape id="画布 8" o:spid="_x0000_s1026" style="position:absolute;left:0;top:0;height:1013460;width:5759450;" filled="f" stroked="f" coordsize="21600,21600" o:gfxdata="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">
                  <v:fill on="f" focussize="0,0"/>
                  <v:stroke on="f"/>
                  <v:imagedata o:title=""/>
                  <o:lock v:ext="edit" aspectratio="t"/>
                </v:shape>
                <v:rect id="矩形 326" o:spid="_x0000_s1026" o:spt="1" style="position:absolute;left:4307589;top:568721;height:323955;width:1066298;" fillcolor="#FFFFFF" filled="t" stroked="t" coordsize="21600,21600" o:gfxdata="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vhgcuNMAAAAFAQAADwAA&#10;AAAAAAABACAAAAAiAAAAZHJzL2Rvd25yZXYueG1sUEsBAhQAFAAAAAgAh07iQEe4N8NUAgAAngQA&#10;AA4AAAAAAAAAAQAgAAAAIgEAAGRycy9lMm9Eb2MueG1sUEsFBgAAAAAGAAYAWQEAAOgFAAAAAA==&#10;">
                  <v:fill on="t" focussize="0,0"/>
                  <v:stroke color="#000000" miterlimit="8" joinstyle="miter"/>
                  <v:imagedata o:title=""/>
                  <o:lock v:ext="edit" aspectratio="f"/>
                  <v:textbox>
                    <w:txbxContent>
                      <w:p w14:paraId="19721ECF">
                        <w:pPr>
                          <w:jc w:val="center"/>
                        </w:pPr>
                        <w:r>
                          <w:rPr>
                            <w:rFonts w:hint="eastAsia"/>
                          </w:rPr>
                          <w:t>交付使用</w:t>
                        </w:r>
                      </w:p>
                    </w:txbxContent>
                  </v:textbox>
                </v:rect>
                <v:rect id="矩形 328" o:spid="_x0000_s1026" o:spt="1" style="position:absolute;left:2360575;top:569521;height:323955;width:1065498;" fillcolor="#FFFFFF" filled="t" stroked="t" coordsize="21600,21600" o:gfxdata="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vhgcuNMAAAAFAQAADwAAAAAA&#10;AAABACAAAAAiAAAAZHJzL2Rvd25yZXYueG1sUEsBAhQAFAAAAAgAh07iQIaoWmxRAgAAnQQAAA4A&#10;AAAAAAAAAQAgAAAAIgEAAGRycy9lMm9Eb2MueG1sUEsFBgAAAAAGAAYAWQEAAOUFAAAAAA==&#10;">
                  <v:fill on="t" focussize="0,0"/>
                  <v:stroke color="#000000" miterlimit="8" joinstyle="miter"/>
                  <v:imagedata o:title=""/>
                  <o:lock v:ext="edit" aspectratio="f"/>
                  <v:textbox>
                    <w:txbxContent>
                      <w:p w14:paraId="13E466DA">
                        <w:pPr>
                          <w:jc w:val="center"/>
                        </w:pPr>
                        <w:r>
                          <w:rPr>
                            <w:rFonts w:hint="eastAsia"/>
                          </w:rPr>
                          <w:t>设备安装</w:t>
                        </w:r>
                      </w:p>
                    </w:txbxContent>
                  </v:textbox>
                </v:rect>
                <v:rect id="矩形 327" o:spid="_x0000_s1026" o:spt="1" style="position:absolute;left:444758;top:575920;height:323955;width:1066298;" fillcolor="#FFFFFF" filled="t" stroked="t" coordsize="21600,21600" o:gfxdata="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L4YHLjTAAAABQEAAA8AAAAA&#10;AAAAAQAgAAAAIgAAAGRycy9kb3ducmV2LnhtbFBLAQIUABQAAAAIAIdO4kCX66O5UgIAAJ0EAAAO&#10;AAAAAAAAAAEAIAAAACIBAABkcnMvZTJvRG9jLnhtbFBLBQYAAAAABgAGAFkBAADmBQAAAAA=&#10;">
                  <v:fill on="t" focussize="0,0"/>
                  <v:stroke color="#000000" miterlimit="8" joinstyle="miter"/>
                  <v:imagedata o:title=""/>
                  <o:lock v:ext="edit" aspectratio="f"/>
                  <v:textbox>
                    <w:txbxContent>
                      <w:p w14:paraId="0DC4D955">
                        <w:pPr>
                          <w:jc w:val="center"/>
                        </w:pPr>
                        <w:r>
                          <w:rPr>
                            <w:rFonts w:hint="eastAsia"/>
                          </w:rPr>
                          <w:t>车间简易装修</w:t>
                        </w:r>
                      </w:p>
                    </w:txbxContent>
                  </v:textbox>
                </v:rect>
                <v:rect id="矩形 329" o:spid="_x0000_s1026" o:spt="1" style="position:absolute;left:620741;top:50393;height:316756;width:1053499;" filled="f" stroked="f" coordsize="21600,21600" o:gfxdata="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3gG&#10;bdYAAAAFAQAADwAAAAAAAAABACAAAAAiAAAAZHJzL2Rvd25yZXYueG1sUEsBAhQAFAAAAAgAh07i&#10;QOLvOEokAgAAKQQAAA4AAAAAAAAAAQAgAAAAJQEAAGRycy9lMm9Eb2MueG1sUEsFBgAAAAAGAAYA&#10;WQEAALsFAAAAAA==&#10;">
                  <v:fill on="f" focussize="0,0"/>
                  <v:stroke on="f"/>
                  <v:imagedata o:title=""/>
                  <o:lock v:ext="edit" aspectratio="f"/>
                  <v:textbox>
                    <w:txbxContent>
                      <w:p w14:paraId="465F32D9">
                        <w:pPr>
                          <w:jc w:val="center"/>
                        </w:pPr>
                        <w:r>
                          <w:rPr>
                            <w:rFonts w:hint="eastAsia"/>
                          </w:rPr>
                          <w:t>废气、废水</w:t>
                        </w:r>
                      </w:p>
                    </w:txbxContent>
                  </v:textbox>
                </v:rect>
                <v:rect id="矩形 331" o:spid="_x0000_s1026" o:spt="1" style="position:absolute;left:2583753;top:45594;height:317556;width:1042300;" filled="f" stroked="f" coordsize="21600,21600" o:gfxdata="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7&#10;eAZt1gAAAAUBAAAPAAAAAAAAAAEAIAAAACIAAABkcnMvZG93bnJldi54bWxQSwECFAAUAAAACACH&#10;TuJAi3dxYCYCAAArBAAADgAAAAAAAAABACAAAAAlAQAAZHJzL2Uyb0RvYy54bWxQSwUGAAAAAAYA&#10;BgBZAQAAvQUAAAAA&#10;">
                  <v:fill on="f" focussize="0,0"/>
                  <v:stroke on="f"/>
                  <v:imagedata o:title=""/>
                  <o:lock v:ext="edit" aspectratio="f"/>
                  <v:textbox>
                    <w:txbxContent>
                      <w:p w14:paraId="0EFE6BFC">
                        <w:pPr>
                          <w:jc w:val="center"/>
                        </w:pPr>
                        <w:r>
                          <w:rPr>
                            <w:rFonts w:hint="eastAsia"/>
                          </w:rPr>
                          <w:t>噪声、固废</w:t>
                        </w:r>
                      </w:p>
                    </w:txbxContent>
                  </v:textbox>
                </v:rect>
                <v:shape id="自选图形 332" o:spid="_x0000_s1026" o:spt="32" type="#_x0000_t32" style="position:absolute;left:1511056;top:731899;flip:y;height:6399;width:849519;" filled="f" stroked="t" coordsize="21600,21600" o:gfxdata="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hf&#10;ws3UAAAABQEAAA8AAAAAAAAAAQAgAAAAIgAAAGRycy9kb3ducmV2LnhtbFBLAQIUABQAAAAIAIdO&#10;4kD44OamJwIAAA4EAAAOAAAAAAAAAAEAIAAAACMBAABkcnMvZTJvRG9jLnhtbFBLBQYAAAAABgAG&#10;AFkBAAC8BQAAAAA=&#10;">
                  <v:fill on="f" focussize="0,0"/>
                  <v:stroke color="#000000" miterlimit="8" joinstyle="miter" endarrow="open"/>
                  <v:imagedata o:title=""/>
                  <o:lock v:ext="edit" aspectratio="f"/>
                </v:shape>
                <v:shape id="自选图形 333" o:spid="_x0000_s1026" o:spt="32" type="#_x0000_t32" style="position:absolute;left:3426073;top:730299;flip:y;height:0;width:882316;" filled="f" stroked="t" coordsize="21600,21600" o:gfxdata="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yF/C&#10;zdQAAAAFAQAADwAAAAAAAAABACAAAAAiAAAAZHJzL2Rvd25yZXYueG1sUEsBAhQAFAAAAAgAh07i&#10;QGS2vXwmAgAACwQAAA4AAAAAAAAAAQAgAAAAIwEAAGRycy9lMm9Eb2MueG1sUEsFBgAAAAAGAAYA&#10;WQEAALsFAAAAAA==&#10;">
                  <v:fill on="f" focussize="0,0"/>
                  <v:stroke color="#000000" miterlimit="8" joinstyle="miter" endarrow="open"/>
                  <v:imagedata o:title=""/>
                  <o:lock v:ext="edit" aspectratio="f"/>
                </v:shape>
                <v:shape id="自选图形 335" o:spid="_x0000_s1026" o:spt="32" type="#_x0000_t32" style="position:absolute;left:977507;top:367149;flip:y;height:208771;width:170384;" filled="f" stroked="t" coordsize="21600,21600" o:gfxdata="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A/0p/XAAAABQEAAA8AAAAAAAAAAQAgAAAAIgAAAGRycy9kb3ducmV2Lnht&#10;bFBLAQIUABQAAAAIAIdO4kAJilkYMwIAACcEAAAOAAAAAAAAAAEAIAAAACYBAABkcnMvZTJvRG9j&#10;LnhtbFBLBQYAAAAABgAGAFkBAADLBQAAAAA=&#10;">
                  <v:fill on="f" focussize="0,0"/>
                  <v:stroke color="#000000" miterlimit="8" joinstyle="miter" dashstyle="dash" endarrow="open"/>
                  <v:imagedata o:title=""/>
                  <o:lock v:ext="edit" aspectratio="f"/>
                </v:shape>
                <v:shape id="自选图形 336" o:spid="_x0000_s1026" o:spt="32" type="#_x0000_t32" style="position:absolute;left:2893324;top:363150;flip:y;height:206371;width:211980;" filled="f" stroked="t" coordsize="21600,21600" o:gfxdata="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AP9Kf1wAAAAUBAAAPAAAAAAAAAAEAIAAAACIAAABkcnMvZG93bnJldi54&#10;bWxQSwECFAAUAAAACACHTuJAWoougDQCAAAoBAAADgAAAAAAAAABACAAAAAmAQAAZHJzL2Uyb0Rv&#10;Yy54bWxQSwUGAAAAAAYABgBZAQAAzAUAAAAA&#10;">
                  <v:fill on="f" focussize="0,0"/>
                  <v:stroke color="#000000" miterlimit="8" joinstyle="miter" dashstyle="dash" endarrow="open"/>
                  <v:imagedata o:title=""/>
                  <o:lock v:ext="edit" aspectratio="f"/>
                </v:shape>
                <w10:wrap type="none"/>
                <w10:anchorlock/>
              </v:group>
            </w:pict>
          </mc:Fallback>
        </mc:AlternateContent>
      </w:r>
    </w:p>
    <w:p w14:paraId="5989D0E2">
      <w:pPr>
        <w:pStyle w:val="9"/>
        <w:numPr>
          <w:ilvl w:val="5"/>
          <w:numId w:val="3"/>
        </w:numPr>
        <w:rPr>
          <w:sz w:val="24"/>
        </w:rPr>
      </w:pPr>
      <w:r>
        <w:rPr>
          <w:sz w:val="24"/>
        </w:rPr>
        <w:t>项目施工期建设流程及污染物排放节点图</w:t>
      </w:r>
    </w:p>
    <w:p w14:paraId="171F53DB">
      <w:pPr>
        <w:spacing w:line="360" w:lineRule="auto"/>
        <w:ind w:firstLine="480"/>
        <w:rPr>
          <w:rFonts w:ascii="Times New Roman" w:hAnsi="Times New Roman"/>
          <w:kern w:val="0"/>
          <w:sz w:val="24"/>
          <w:szCs w:val="24"/>
        </w:rPr>
      </w:pPr>
      <w:r>
        <w:rPr>
          <w:rFonts w:ascii="Times New Roman" w:hAnsi="Times New Roman"/>
          <w:kern w:val="0"/>
          <w:sz w:val="24"/>
          <w:szCs w:val="24"/>
        </w:rPr>
        <w:t>（1）废气</w:t>
      </w:r>
    </w:p>
    <w:p w14:paraId="27E0C5A9">
      <w:pPr>
        <w:spacing w:line="360" w:lineRule="auto"/>
        <w:ind w:firstLine="480"/>
        <w:rPr>
          <w:rFonts w:ascii="Times New Roman" w:hAnsi="Times New Roman"/>
          <w:kern w:val="0"/>
          <w:sz w:val="24"/>
          <w:szCs w:val="24"/>
        </w:rPr>
      </w:pPr>
      <w:r>
        <w:rPr>
          <w:rFonts w:ascii="Times New Roman" w:hAnsi="Times New Roman"/>
          <w:kern w:val="0"/>
          <w:sz w:val="24"/>
          <w:szCs w:val="24"/>
        </w:rPr>
        <w:t>项目施工期产生的废气主要</w:t>
      </w:r>
      <w:r>
        <w:rPr>
          <w:rFonts w:hint="eastAsia" w:ascii="Times New Roman" w:hAnsi="Times New Roman"/>
          <w:kern w:val="0"/>
          <w:sz w:val="24"/>
          <w:szCs w:val="24"/>
        </w:rPr>
        <w:t>生产线安装</w:t>
      </w:r>
      <w:r>
        <w:rPr>
          <w:rFonts w:ascii="Times New Roman" w:hAnsi="Times New Roman"/>
          <w:kern w:val="0"/>
          <w:sz w:val="24"/>
          <w:szCs w:val="24"/>
        </w:rPr>
        <w:t>阶段</w:t>
      </w:r>
      <w:r>
        <w:rPr>
          <w:rFonts w:hint="eastAsia" w:ascii="Times New Roman" w:hAnsi="Times New Roman"/>
          <w:kern w:val="0"/>
          <w:sz w:val="24"/>
          <w:szCs w:val="24"/>
        </w:rPr>
        <w:t>设备基础钻孔、安装产生的少量扬尘，产生量较少，主要影响在车间厂房内。</w:t>
      </w:r>
    </w:p>
    <w:p w14:paraId="750BBAB6">
      <w:pPr>
        <w:spacing w:line="360" w:lineRule="auto"/>
        <w:ind w:firstLine="480"/>
        <w:rPr>
          <w:rFonts w:ascii="Times New Roman" w:hAnsi="Times New Roman"/>
          <w:kern w:val="0"/>
          <w:sz w:val="24"/>
          <w:szCs w:val="24"/>
        </w:rPr>
      </w:pPr>
      <w:r>
        <w:rPr>
          <w:rFonts w:ascii="Times New Roman" w:hAnsi="Times New Roman"/>
          <w:kern w:val="0"/>
          <w:sz w:val="24"/>
          <w:szCs w:val="24"/>
        </w:rPr>
        <w:t>（2）废水</w:t>
      </w:r>
    </w:p>
    <w:p w14:paraId="5E06BB8C">
      <w:pPr>
        <w:spacing w:line="360" w:lineRule="auto"/>
        <w:ind w:firstLine="480"/>
        <w:rPr>
          <w:rFonts w:ascii="Times New Roman" w:hAnsi="Times New Roman"/>
          <w:kern w:val="0"/>
          <w:sz w:val="24"/>
          <w:szCs w:val="24"/>
        </w:rPr>
      </w:pPr>
      <w:r>
        <w:rPr>
          <w:rFonts w:ascii="Times New Roman" w:hAnsi="Times New Roman"/>
          <w:kern w:val="0"/>
          <w:sz w:val="24"/>
          <w:szCs w:val="24"/>
        </w:rPr>
        <w:t>项目施工期施工人员较少，厂房装修及设备安装两个阶段施工人员均为2人，施工期时间3个月，产生的生活污水</w:t>
      </w:r>
      <w:r>
        <w:rPr>
          <w:rFonts w:hint="eastAsia" w:ascii="Times New Roman" w:hAnsi="Times New Roman"/>
          <w:kern w:val="0"/>
          <w:sz w:val="24"/>
          <w:szCs w:val="24"/>
          <w:lang w:eastAsia="zh-CN"/>
        </w:rPr>
        <w:t>非常少</w:t>
      </w:r>
      <w:r>
        <w:rPr>
          <w:rFonts w:ascii="Times New Roman" w:hAnsi="Times New Roman"/>
          <w:kern w:val="0"/>
          <w:sz w:val="24"/>
          <w:szCs w:val="24"/>
        </w:rPr>
        <w:t>，约4.3m</w:t>
      </w:r>
      <w:r>
        <w:rPr>
          <w:rFonts w:ascii="Times New Roman" w:hAnsi="Times New Roman"/>
          <w:kern w:val="0"/>
          <w:sz w:val="24"/>
          <w:szCs w:val="24"/>
          <w:vertAlign w:val="superscript"/>
        </w:rPr>
        <w:t>3</w:t>
      </w:r>
      <w:r>
        <w:rPr>
          <w:rFonts w:ascii="Times New Roman" w:hAnsi="Times New Roman"/>
          <w:kern w:val="0"/>
          <w:sz w:val="24"/>
          <w:szCs w:val="24"/>
        </w:rPr>
        <w:t>。施工人员的生活污水依托广西钦州保税区创大冷链物流公司的3号仓库南部现有的化粪池进行处理，处理后排入市政污水管网送钦州港大榄坪污水处理厂处理。</w:t>
      </w:r>
    </w:p>
    <w:p w14:paraId="4355C532">
      <w:pPr>
        <w:spacing w:line="360" w:lineRule="auto"/>
        <w:ind w:firstLine="480"/>
        <w:rPr>
          <w:rFonts w:ascii="Times New Roman" w:hAnsi="Times New Roman"/>
          <w:kern w:val="0"/>
          <w:sz w:val="24"/>
          <w:szCs w:val="24"/>
        </w:rPr>
      </w:pPr>
      <w:r>
        <w:rPr>
          <w:rFonts w:ascii="Times New Roman" w:hAnsi="Times New Roman"/>
          <w:kern w:val="0"/>
          <w:sz w:val="24"/>
          <w:szCs w:val="24"/>
        </w:rPr>
        <w:t>（3）噪声</w:t>
      </w:r>
    </w:p>
    <w:p w14:paraId="4C7AF91D">
      <w:pPr>
        <w:spacing w:line="360" w:lineRule="auto"/>
        <w:ind w:firstLine="480"/>
        <w:rPr>
          <w:rFonts w:ascii="Times New Roman" w:hAnsi="Times New Roman"/>
          <w:kern w:val="0"/>
          <w:sz w:val="24"/>
          <w:szCs w:val="24"/>
        </w:rPr>
      </w:pPr>
      <w:r>
        <w:rPr>
          <w:rFonts w:ascii="Times New Roman" w:hAnsi="Times New Roman"/>
          <w:kern w:val="0"/>
          <w:sz w:val="24"/>
          <w:szCs w:val="24"/>
        </w:rPr>
        <w:t>项目施工期噪声主要是设备安装时产生的噪声，设备安装时使用电钻钻孔、铁锤敲打等，还有设备装卸、安放等也产生一定的噪声，但是施工期产生的噪声影响是短时间的，间断偶发性的，随着设备安装到位后结束，该影响是可逆的，项目设备安装基本为摆放和固定，基本不产生连续或较大的噪声。</w:t>
      </w:r>
    </w:p>
    <w:p w14:paraId="24B3A13B">
      <w:pPr>
        <w:spacing w:line="360" w:lineRule="auto"/>
        <w:ind w:firstLine="480"/>
        <w:rPr>
          <w:rFonts w:ascii="Times New Roman" w:hAnsi="Times New Roman"/>
          <w:kern w:val="0"/>
          <w:sz w:val="24"/>
          <w:szCs w:val="24"/>
        </w:rPr>
      </w:pPr>
      <w:r>
        <w:rPr>
          <w:rFonts w:ascii="Times New Roman" w:hAnsi="Times New Roman"/>
          <w:kern w:val="0"/>
          <w:sz w:val="24"/>
          <w:szCs w:val="24"/>
        </w:rPr>
        <w:t>项目周边主要为工业及物流等生产区域，</w:t>
      </w:r>
      <w:r>
        <w:rPr>
          <w:rFonts w:hint="eastAsia" w:ascii="Times New Roman" w:hAnsi="Times New Roman"/>
          <w:kern w:val="0"/>
          <w:sz w:val="24"/>
          <w:szCs w:val="24"/>
        </w:rPr>
        <w:t>声环境评价范围内</w:t>
      </w:r>
      <w:r>
        <w:rPr>
          <w:rFonts w:ascii="Times New Roman" w:hAnsi="Times New Roman"/>
          <w:kern w:val="0"/>
          <w:sz w:val="24"/>
          <w:szCs w:val="24"/>
        </w:rPr>
        <w:t>无居住区，且</w:t>
      </w:r>
      <w:r>
        <w:rPr>
          <w:rFonts w:hint="eastAsia" w:ascii="Times New Roman" w:hAnsi="Times New Roman"/>
          <w:kern w:val="0"/>
          <w:sz w:val="24"/>
          <w:szCs w:val="24"/>
        </w:rPr>
        <w:t>项目</w:t>
      </w:r>
      <w:r>
        <w:rPr>
          <w:rFonts w:ascii="Times New Roman" w:hAnsi="Times New Roman"/>
          <w:kern w:val="0"/>
          <w:sz w:val="24"/>
          <w:szCs w:val="24"/>
        </w:rPr>
        <w:t>夜间不进行装修及设备安装，因此项目施工期噪声的影响很小。</w:t>
      </w:r>
    </w:p>
    <w:p w14:paraId="1A3D2A27">
      <w:pPr>
        <w:spacing w:line="360" w:lineRule="auto"/>
        <w:ind w:firstLine="480"/>
        <w:rPr>
          <w:rFonts w:ascii="Times New Roman" w:hAnsi="Times New Roman"/>
          <w:kern w:val="0"/>
          <w:sz w:val="24"/>
          <w:szCs w:val="24"/>
        </w:rPr>
      </w:pPr>
      <w:r>
        <w:rPr>
          <w:rFonts w:ascii="Times New Roman" w:hAnsi="Times New Roman"/>
          <w:kern w:val="0"/>
          <w:sz w:val="24"/>
          <w:szCs w:val="24"/>
        </w:rPr>
        <w:t>（4）固体废物</w:t>
      </w:r>
    </w:p>
    <w:p w14:paraId="3786EC37">
      <w:pPr>
        <w:spacing w:line="360" w:lineRule="auto"/>
        <w:ind w:firstLine="480"/>
        <w:rPr>
          <w:rFonts w:ascii="Times New Roman" w:hAnsi="Times New Roman"/>
          <w:kern w:val="0"/>
          <w:sz w:val="24"/>
          <w:szCs w:val="24"/>
        </w:rPr>
      </w:pPr>
      <w:r>
        <w:rPr>
          <w:rFonts w:ascii="Times New Roman" w:hAnsi="Times New Roman"/>
          <w:kern w:val="0"/>
          <w:sz w:val="24"/>
          <w:szCs w:val="24"/>
        </w:rPr>
        <w:t>项目施工期不涉及土方开挖、建筑工程等，不产生弃土及建筑垃圾，产生固体废物主要是装修垃圾以及生产线装配的包装废料等，主要是废纸、废木板等，约0.5t，施工人员产生少量的生活垃圾，</w:t>
      </w:r>
      <w:r>
        <w:rPr>
          <w:rFonts w:ascii="Times New Roman" w:hAnsi="Times New Roman"/>
          <w:spacing w:val="-2"/>
          <w:kern w:val="0"/>
          <w:sz w:val="24"/>
          <w:szCs w:val="20"/>
        </w:rPr>
        <w:t>收集到创大进口汽车仓储物流园垃圾收集点后由环卫部门统一收运。</w:t>
      </w:r>
    </w:p>
    <w:p w14:paraId="4E20CFD9">
      <w:pPr>
        <w:pStyle w:val="6"/>
        <w:numPr>
          <w:ilvl w:val="2"/>
          <w:numId w:val="3"/>
        </w:numPr>
      </w:pPr>
      <w:r>
        <w:t>大气污染源分析</w:t>
      </w:r>
    </w:p>
    <w:p w14:paraId="5BD297D0">
      <w:pPr>
        <w:tabs>
          <w:tab w:val="left" w:pos="900"/>
        </w:tabs>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本项目产生的废气污染物主要为烘干炉</w:t>
      </w:r>
      <w:r>
        <w:rPr>
          <w:rFonts w:hint="eastAsia" w:ascii="Times New Roman" w:hAnsi="Times New Roman"/>
          <w:spacing w:val="-2"/>
          <w:kern w:val="0"/>
          <w:sz w:val="24"/>
          <w:szCs w:val="24"/>
        </w:rPr>
        <w:t>烟气</w:t>
      </w:r>
      <w:r>
        <w:rPr>
          <w:rFonts w:ascii="Times New Roman" w:hAnsi="Times New Roman"/>
          <w:spacing w:val="-2"/>
          <w:kern w:val="0"/>
          <w:sz w:val="24"/>
          <w:szCs w:val="24"/>
        </w:rPr>
        <w:t>、生产车间粉尘、物料运输扬尘等。</w:t>
      </w:r>
    </w:p>
    <w:p w14:paraId="3916FA8D">
      <w:pPr>
        <w:pStyle w:val="7"/>
        <w:numPr>
          <w:ilvl w:val="3"/>
          <w:numId w:val="3"/>
        </w:numPr>
      </w:pPr>
      <w:r>
        <w:t>烘干炉废气</w:t>
      </w:r>
    </w:p>
    <w:p w14:paraId="4196D3F5">
      <w:pPr>
        <w:tabs>
          <w:tab w:val="left" w:pos="900"/>
        </w:tabs>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0"/>
        </w:rPr>
        <w:t>项目配套一台生物质燃料烘干炉，燃料为</w:t>
      </w:r>
      <w:r>
        <w:rPr>
          <w:rFonts w:hint="eastAsia" w:ascii="Times New Roman" w:hAnsi="Times New Roman"/>
          <w:spacing w:val="-2"/>
          <w:kern w:val="0"/>
          <w:sz w:val="24"/>
          <w:szCs w:val="24"/>
        </w:rPr>
        <w:t>成型</w:t>
      </w:r>
      <w:r>
        <w:rPr>
          <w:rFonts w:ascii="Times New Roman" w:hAnsi="Times New Roman"/>
          <w:spacing w:val="-2"/>
          <w:kern w:val="0"/>
          <w:sz w:val="24"/>
          <w:szCs w:val="20"/>
        </w:rPr>
        <w:t>生物质颗粒，</w:t>
      </w:r>
      <w:r>
        <w:rPr>
          <w:rFonts w:ascii="Times New Roman" w:hAnsi="Times New Roman"/>
          <w:spacing w:val="-2"/>
          <w:kern w:val="0"/>
          <w:sz w:val="24"/>
          <w:szCs w:val="20"/>
          <w:u w:val="single"/>
        </w:rPr>
        <w:t>年使用生物质燃料</w:t>
      </w:r>
      <w:r>
        <w:rPr>
          <w:rFonts w:hint="eastAsia" w:ascii="Times New Roman" w:hAnsi="Times New Roman"/>
          <w:spacing w:val="-2"/>
          <w:kern w:val="0"/>
          <w:sz w:val="24"/>
          <w:szCs w:val="20"/>
          <w:u w:val="single"/>
        </w:rPr>
        <w:t>613.42</w:t>
      </w:r>
      <w:r>
        <w:rPr>
          <w:rFonts w:ascii="Times New Roman" w:hAnsi="Times New Roman"/>
          <w:spacing w:val="-2"/>
          <w:kern w:val="0"/>
          <w:sz w:val="24"/>
          <w:szCs w:val="20"/>
          <w:u w:val="single"/>
        </w:rPr>
        <w:t>t/a，烘干工艺采用</w:t>
      </w:r>
      <w:r>
        <w:rPr>
          <w:rFonts w:hint="eastAsia" w:ascii="Times New Roman" w:hAnsi="Times New Roman"/>
          <w:spacing w:val="-2"/>
          <w:kern w:val="0"/>
          <w:sz w:val="24"/>
          <w:szCs w:val="20"/>
          <w:u w:val="single"/>
        </w:rPr>
        <w:t>直接</w:t>
      </w:r>
      <w:r>
        <w:rPr>
          <w:rFonts w:ascii="Times New Roman" w:hAnsi="Times New Roman"/>
          <w:spacing w:val="-2"/>
          <w:kern w:val="0"/>
          <w:sz w:val="24"/>
          <w:szCs w:val="20"/>
          <w:u w:val="single"/>
        </w:rPr>
        <w:t>烘干。</w:t>
      </w:r>
      <w:r>
        <w:rPr>
          <w:rFonts w:ascii="Times New Roman" w:hAnsi="Times New Roman"/>
          <w:spacing w:val="-2"/>
          <w:kern w:val="0"/>
          <w:sz w:val="24"/>
          <w:szCs w:val="20"/>
        </w:rPr>
        <w:t>烘干炉全年运行天数</w:t>
      </w:r>
      <w:r>
        <w:rPr>
          <w:rFonts w:ascii="Times New Roman" w:hAnsi="Times New Roman"/>
          <w:spacing w:val="-2"/>
          <w:kern w:val="0"/>
          <w:sz w:val="24"/>
          <w:szCs w:val="24"/>
        </w:rPr>
        <w:t>300d，每天运行16h，年运行时间4800h</w:t>
      </w:r>
      <w:r>
        <w:rPr>
          <w:rFonts w:ascii="Times New Roman" w:hAnsi="Times New Roman"/>
          <w:spacing w:val="-2"/>
          <w:kern w:val="0"/>
          <w:sz w:val="24"/>
          <w:szCs w:val="20"/>
        </w:rPr>
        <w:t>，风机规模为</w:t>
      </w:r>
      <w:r>
        <w:rPr>
          <w:rFonts w:hint="eastAsia" w:ascii="Times New Roman" w:hAnsi="Times New Roman"/>
          <w:spacing w:val="-2"/>
          <w:kern w:val="0"/>
          <w:sz w:val="24"/>
          <w:szCs w:val="20"/>
        </w:rPr>
        <w:t>5</w:t>
      </w:r>
      <w:r>
        <w:rPr>
          <w:rFonts w:ascii="Times New Roman" w:hAnsi="Times New Roman"/>
          <w:spacing w:val="-2"/>
          <w:kern w:val="0"/>
          <w:sz w:val="24"/>
          <w:szCs w:val="20"/>
        </w:rPr>
        <w:t>000m</w:t>
      </w:r>
      <w:r>
        <w:rPr>
          <w:rFonts w:ascii="Times New Roman" w:hAnsi="Times New Roman"/>
          <w:spacing w:val="-2"/>
          <w:kern w:val="0"/>
          <w:sz w:val="24"/>
          <w:szCs w:val="20"/>
          <w:vertAlign w:val="superscript"/>
        </w:rPr>
        <w:t>3</w:t>
      </w:r>
      <w:r>
        <w:rPr>
          <w:rFonts w:ascii="Times New Roman" w:hAnsi="Times New Roman"/>
          <w:spacing w:val="-2"/>
          <w:kern w:val="0"/>
          <w:sz w:val="24"/>
          <w:szCs w:val="20"/>
        </w:rPr>
        <w:t>/h。烘干炉的燃烧烟气采用脉冲袋式除尘器进行处理，处理后的烟气经1</w:t>
      </w:r>
      <w:r>
        <w:rPr>
          <w:rFonts w:hint="eastAsia" w:ascii="Times New Roman" w:hAnsi="Times New Roman"/>
          <w:spacing w:val="-2"/>
          <w:kern w:val="0"/>
          <w:sz w:val="24"/>
          <w:szCs w:val="20"/>
        </w:rPr>
        <w:t>9</w:t>
      </w:r>
      <w:r>
        <w:rPr>
          <w:rFonts w:ascii="Times New Roman" w:hAnsi="Times New Roman"/>
          <w:spacing w:val="-2"/>
          <w:kern w:val="0"/>
          <w:sz w:val="24"/>
          <w:szCs w:val="20"/>
        </w:rPr>
        <w:t>m高的排气筒排放（DA001）。</w:t>
      </w:r>
    </w:p>
    <w:p w14:paraId="524E2496">
      <w:pPr>
        <w:tabs>
          <w:tab w:val="left" w:pos="900"/>
        </w:tabs>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本项目烘干炉烟气中的大气污染物主要为颗粒物、二氧化硫、氮氧化物，污染物源强参照《污染源源强核算技术指南 锅炉》（HJ991-2018）的物料衡算法进行估算。</w:t>
      </w:r>
    </w:p>
    <w:p w14:paraId="1ADE6C61">
      <w:pPr>
        <w:tabs>
          <w:tab w:val="left" w:pos="900"/>
        </w:tabs>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（1）颗粒物</w:t>
      </w:r>
    </w:p>
    <w:p w14:paraId="61F08F91">
      <w:pPr>
        <w:tabs>
          <w:tab w:val="left" w:pos="900"/>
        </w:tabs>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根据《污染源源强核算技术指南 锅炉》（HJ991-2018）中的 5.1，本项目燃生物质锅炉颗粒物采取物料衡算法计算，计算公式如下：</w:t>
      </w:r>
    </w:p>
    <w:p w14:paraId="64C08EB5">
      <w:pPr>
        <w:spacing w:line="360" w:lineRule="auto"/>
        <w:ind w:firstLine="480" w:firstLineChars="200"/>
        <w:jc w:val="center"/>
        <w:rPr>
          <w:rFonts w:ascii="Times New Roman" w:hAnsi="Times New Roman"/>
          <w:bCs/>
          <w:sz w:val="24"/>
        </w:rPr>
      </w:pPr>
      <m:oMathPara>
        <m:oMath>
          <m:sSub>
            <m:sSubPr>
              <m:ctrlPr>
                <w:rPr>
                  <w:rFonts w:ascii="Cambria Math" w:hAnsi="Cambria Math"/>
                  <w:bCs/>
                  <w:sz w:val="24"/>
                </w:rPr>
              </m:ctrlPr>
            </m:sSubPr>
            <m:e>
              <m:r>
                <m:rPr/>
                <w:rPr>
                  <w:rFonts w:ascii="Cambria Math" w:hAnsi="Cambria Math"/>
                  <w:sz w:val="24"/>
                </w:rPr>
                <m:t>E</m:t>
              </m:r>
              <m:ctrlPr>
                <w:rPr>
                  <w:rFonts w:ascii="Cambria Math" w:hAnsi="Cambria Math"/>
                  <w:bCs/>
                  <w:sz w:val="24"/>
                </w:rPr>
              </m:ctrlPr>
            </m:e>
            <m:sub>
              <m:r>
                <m:rPr/>
                <w:rPr>
                  <w:rFonts w:ascii="Cambria Math" w:hAnsi="Cambria Math"/>
                  <w:sz w:val="24"/>
                </w:rPr>
                <m:t>A</m:t>
              </m:r>
              <m:ctrlPr>
                <w:rPr>
                  <w:rFonts w:ascii="Cambria Math" w:hAnsi="Cambria Math"/>
                  <w:bCs/>
                  <w:sz w:val="24"/>
                </w:rPr>
              </m:ctrlPr>
            </m:sub>
          </m:sSub>
          <m:r>
            <m:rPr/>
            <w:rPr>
              <w:rFonts w:ascii="Cambria Math" w:hAnsi="Cambria Math"/>
              <w:sz w:val="24"/>
            </w:rPr>
            <m:t>=</m:t>
          </m:r>
          <m:f>
            <m:fPr>
              <m:ctrlPr>
                <w:rPr>
                  <w:rFonts w:ascii="Cambria Math" w:hAnsi="Cambria Math"/>
                  <w:bCs/>
                  <w:i/>
                  <w:sz w:val="24"/>
                </w:rPr>
              </m:ctrlPr>
            </m:fPr>
            <m:num>
              <m:r>
                <m:rPr/>
                <w:rPr>
                  <w:rFonts w:ascii="Cambria Math" w:hAnsi="Cambria Math"/>
                  <w:sz w:val="24"/>
                </w:rPr>
                <m:t>R×</m:t>
              </m:r>
              <m:f>
                <m:fPr>
                  <m:ctrlPr>
                    <w:rPr>
                      <w:rFonts w:ascii="Cambria Math" w:hAnsi="Cambria Math"/>
                      <w:bCs/>
                      <w:i/>
                      <w:sz w:val="24"/>
                    </w:rPr>
                  </m:ctrlPr>
                </m:fPr>
                <m:num>
                  <m:sSub>
                    <m:sSubPr>
                      <m:ctrlPr>
                        <w:rPr>
                          <w:rFonts w:ascii="Cambria Math" w:hAnsi="Cambria Math"/>
                          <w:bCs/>
                          <w:i/>
                          <w:sz w:val="24"/>
                        </w:rPr>
                      </m:ctrlPr>
                    </m:sSubPr>
                    <m:e>
                      <m:r>
                        <m:rPr/>
                        <w:rPr>
                          <w:rFonts w:ascii="Cambria Math" w:hAnsi="Cambria Math"/>
                          <w:sz w:val="24"/>
                        </w:rPr>
                        <m:t>A</m:t>
                      </m:r>
                      <m:ctrlPr>
                        <w:rPr>
                          <w:rFonts w:ascii="Cambria Math" w:hAnsi="Cambria Math"/>
                          <w:bCs/>
                          <w:i/>
                          <w:sz w:val="24"/>
                        </w:rPr>
                      </m:ctrlPr>
                    </m:e>
                    <m:sub>
                      <m:r>
                        <m:rPr/>
                        <w:rPr>
                          <w:rFonts w:ascii="Cambria Math" w:hAnsi="Cambria Math"/>
                          <w:sz w:val="24"/>
                        </w:rPr>
                        <m:t>ar</m:t>
                      </m:r>
                      <m:ctrlPr>
                        <w:rPr>
                          <w:rFonts w:ascii="Cambria Math" w:hAnsi="Cambria Math"/>
                          <w:bCs/>
                          <w:i/>
                          <w:sz w:val="24"/>
                        </w:rPr>
                      </m:ctrlPr>
                    </m:sub>
                  </m:sSub>
                  <m:ctrlPr>
                    <w:rPr>
                      <w:rFonts w:ascii="Cambria Math" w:hAnsi="Cambria Math"/>
                      <w:bCs/>
                      <w:i/>
                      <w:sz w:val="24"/>
                    </w:rPr>
                  </m:ctrlPr>
                </m:num>
                <m:den>
                  <m:r>
                    <m:rPr/>
                    <w:rPr>
                      <w:rFonts w:ascii="Cambria Math" w:hAnsi="Cambria Math"/>
                      <w:sz w:val="24"/>
                    </w:rPr>
                    <m:t>100</m:t>
                  </m:r>
                  <m:ctrlPr>
                    <w:rPr>
                      <w:rFonts w:ascii="Cambria Math" w:hAnsi="Cambria Math"/>
                      <w:bCs/>
                      <w:i/>
                      <w:sz w:val="24"/>
                    </w:rPr>
                  </m:ctrlPr>
                </m:den>
              </m:f>
              <m:r>
                <m:rPr/>
                <w:rPr>
                  <w:rFonts w:ascii="Cambria Math" w:hAnsi="Cambria Math"/>
                  <w:sz w:val="24"/>
                </w:rPr>
                <m:t>×</m:t>
              </m:r>
              <m:f>
                <m:fPr>
                  <m:ctrlPr>
                    <w:rPr>
                      <w:rFonts w:ascii="Cambria Math" w:hAnsi="Cambria Math"/>
                      <w:bCs/>
                      <w:i/>
                      <w:sz w:val="24"/>
                    </w:rPr>
                  </m:ctrlPr>
                </m:fPr>
                <m:num>
                  <m:sSub>
                    <m:sSubPr>
                      <m:ctrlPr>
                        <w:rPr>
                          <w:rFonts w:ascii="Cambria Math" w:hAnsi="Cambria Math"/>
                          <w:bCs/>
                          <w:i/>
                          <w:sz w:val="24"/>
                        </w:rPr>
                      </m:ctrlPr>
                    </m:sSubPr>
                    <m:e>
                      <m:r>
                        <m:rPr/>
                        <w:rPr>
                          <w:rFonts w:ascii="Cambria Math" w:hAnsi="Cambria Math"/>
                          <w:sz w:val="24"/>
                        </w:rPr>
                        <m:t>d</m:t>
                      </m:r>
                      <m:ctrlPr>
                        <w:rPr>
                          <w:rFonts w:ascii="Cambria Math" w:hAnsi="Cambria Math"/>
                          <w:bCs/>
                          <w:i/>
                          <w:sz w:val="24"/>
                        </w:rPr>
                      </m:ctrlPr>
                    </m:e>
                    <m:sub>
                      <m:r>
                        <m:rPr/>
                        <w:rPr>
                          <w:rFonts w:ascii="Cambria Math" w:hAnsi="Cambria Math"/>
                          <w:sz w:val="24"/>
                        </w:rPr>
                        <m:t>fℎ</m:t>
                      </m:r>
                      <m:ctrlPr>
                        <w:rPr>
                          <w:rFonts w:ascii="Cambria Math" w:hAnsi="Cambria Math"/>
                          <w:bCs/>
                          <w:i/>
                          <w:sz w:val="24"/>
                        </w:rPr>
                      </m:ctrlPr>
                    </m:sub>
                  </m:sSub>
                  <m:ctrlPr>
                    <w:rPr>
                      <w:rFonts w:ascii="Cambria Math" w:hAnsi="Cambria Math"/>
                      <w:bCs/>
                      <w:i/>
                      <w:sz w:val="24"/>
                    </w:rPr>
                  </m:ctrlPr>
                </m:num>
                <m:den>
                  <m:r>
                    <m:rPr/>
                    <w:rPr>
                      <w:rFonts w:ascii="Cambria Math" w:hAnsi="Cambria Math"/>
                      <w:sz w:val="24"/>
                    </w:rPr>
                    <m:t>100</m:t>
                  </m:r>
                  <m:ctrlPr>
                    <w:rPr>
                      <w:rFonts w:ascii="Cambria Math" w:hAnsi="Cambria Math"/>
                      <w:bCs/>
                      <w:i/>
                      <w:sz w:val="24"/>
                    </w:rPr>
                  </m:ctrlPr>
                </m:den>
              </m:f>
              <m:r>
                <m:rPr/>
                <w:rPr>
                  <w:rFonts w:ascii="Cambria Math" w:hAnsi="Cambria Math"/>
                  <w:sz w:val="24"/>
                </w:rPr>
                <m:t>×</m:t>
              </m:r>
              <m:d>
                <m:dPr>
                  <m:ctrlPr>
                    <w:rPr>
                      <w:rFonts w:ascii="Cambria Math" w:hAnsi="Cambria Math"/>
                      <w:bCs/>
                      <w:i/>
                      <w:sz w:val="24"/>
                    </w:rPr>
                  </m:ctrlPr>
                </m:dPr>
                <m:e>
                  <m:r>
                    <m:rPr/>
                    <w:rPr>
                      <w:rFonts w:ascii="Cambria Math" w:hAnsi="Cambria Math"/>
                      <w:sz w:val="24"/>
                    </w:rPr>
                    <m:t>1−</m:t>
                  </m:r>
                  <m:f>
                    <m:fPr>
                      <m:ctrlPr>
                        <w:rPr>
                          <w:rFonts w:ascii="Cambria Math" w:hAnsi="Cambria Math"/>
                          <w:bCs/>
                          <w:i/>
                          <w:sz w:val="24"/>
                        </w:rPr>
                      </m:ctrlPr>
                    </m:fPr>
                    <m:num>
                      <m:sSub>
                        <m:sSubPr>
                          <m:ctrlPr>
                            <w:rPr>
                              <w:rFonts w:ascii="Cambria Math" w:hAnsi="Cambria Math"/>
                              <w:bCs/>
                              <w:i/>
                              <w:sz w:val="24"/>
                            </w:rPr>
                          </m:ctrlPr>
                        </m:sSubPr>
                        <m:e>
                          <m:r>
                            <m:rPr/>
                            <w:rPr>
                              <w:rFonts w:ascii="Cambria Math" w:hAnsi="Cambria Math"/>
                              <w:sz w:val="24"/>
                            </w:rPr>
                            <m:t>η</m:t>
                          </m:r>
                          <m:ctrlPr>
                            <w:rPr>
                              <w:rFonts w:ascii="Cambria Math" w:hAnsi="Cambria Math"/>
                              <w:bCs/>
                              <w:i/>
                              <w:sz w:val="24"/>
                            </w:rPr>
                          </m:ctrlPr>
                        </m:e>
                        <m:sub>
                          <m:r>
                            <m:rPr/>
                            <w:rPr>
                              <w:rFonts w:ascii="Cambria Math" w:hAnsi="Cambria Math"/>
                              <w:sz w:val="24"/>
                            </w:rPr>
                            <m:t>C</m:t>
                          </m:r>
                          <m:ctrlPr>
                            <w:rPr>
                              <w:rFonts w:ascii="Cambria Math" w:hAnsi="Cambria Math"/>
                              <w:bCs/>
                              <w:i/>
                              <w:sz w:val="24"/>
                            </w:rPr>
                          </m:ctrlPr>
                        </m:sub>
                      </m:sSub>
                      <m:ctrlPr>
                        <w:rPr>
                          <w:rFonts w:ascii="Cambria Math" w:hAnsi="Cambria Math"/>
                          <w:bCs/>
                          <w:i/>
                          <w:sz w:val="24"/>
                        </w:rPr>
                      </m:ctrlPr>
                    </m:num>
                    <m:den>
                      <m:r>
                        <m:rPr/>
                        <w:rPr>
                          <w:rFonts w:ascii="Cambria Math" w:hAnsi="Cambria Math"/>
                          <w:sz w:val="24"/>
                        </w:rPr>
                        <m:t>100</m:t>
                      </m:r>
                      <m:ctrlPr>
                        <w:rPr>
                          <w:rFonts w:ascii="Cambria Math" w:hAnsi="Cambria Math"/>
                          <w:bCs/>
                          <w:i/>
                          <w:sz w:val="24"/>
                        </w:rPr>
                      </m:ctrlPr>
                    </m:den>
                  </m:f>
                  <m:ctrlPr>
                    <w:rPr>
                      <w:rFonts w:ascii="Cambria Math" w:hAnsi="Cambria Math"/>
                      <w:bCs/>
                      <w:i/>
                      <w:sz w:val="24"/>
                    </w:rPr>
                  </m:ctrlPr>
                </m:e>
              </m:d>
              <m:ctrlPr>
                <w:rPr>
                  <w:rFonts w:ascii="Cambria Math" w:hAnsi="Cambria Math"/>
                  <w:bCs/>
                  <w:i/>
                  <w:sz w:val="24"/>
                </w:rPr>
              </m:ctrlPr>
            </m:num>
            <m:den>
              <m:r>
                <m:rPr/>
                <w:rPr>
                  <w:rFonts w:ascii="Cambria Math" w:hAnsi="Cambria Math"/>
                  <w:sz w:val="24"/>
                </w:rPr>
                <m:t>1−</m:t>
              </m:r>
              <m:f>
                <m:fPr>
                  <m:ctrlPr>
                    <w:rPr>
                      <w:rFonts w:ascii="Cambria Math" w:hAnsi="Cambria Math"/>
                      <w:bCs/>
                      <w:i/>
                      <w:sz w:val="24"/>
                    </w:rPr>
                  </m:ctrlPr>
                </m:fPr>
                <m:num>
                  <m:sSub>
                    <m:sSubPr>
                      <m:ctrlPr>
                        <w:rPr>
                          <w:rFonts w:ascii="Cambria Math" w:hAnsi="Cambria Math"/>
                          <w:bCs/>
                          <w:i/>
                          <w:sz w:val="24"/>
                        </w:rPr>
                      </m:ctrlPr>
                    </m:sSubPr>
                    <m:e>
                      <m:r>
                        <m:rPr/>
                        <w:rPr>
                          <w:rFonts w:ascii="Cambria Math" w:hAnsi="Cambria Math"/>
                          <w:sz w:val="24"/>
                        </w:rPr>
                        <m:t>C</m:t>
                      </m:r>
                      <m:ctrlPr>
                        <w:rPr>
                          <w:rFonts w:ascii="Cambria Math" w:hAnsi="Cambria Math"/>
                          <w:bCs/>
                          <w:i/>
                          <w:sz w:val="24"/>
                        </w:rPr>
                      </m:ctrlPr>
                    </m:e>
                    <m:sub>
                      <m:r>
                        <m:rPr/>
                        <w:rPr>
                          <w:rFonts w:ascii="Cambria Math" w:hAnsi="Cambria Math"/>
                          <w:sz w:val="24"/>
                        </w:rPr>
                        <m:t>fℎ</m:t>
                      </m:r>
                      <m:ctrlPr>
                        <w:rPr>
                          <w:rFonts w:ascii="Cambria Math" w:hAnsi="Cambria Math"/>
                          <w:bCs/>
                          <w:i/>
                          <w:sz w:val="24"/>
                        </w:rPr>
                      </m:ctrlPr>
                    </m:sub>
                  </m:sSub>
                  <m:ctrlPr>
                    <w:rPr>
                      <w:rFonts w:ascii="Cambria Math" w:hAnsi="Cambria Math"/>
                      <w:bCs/>
                      <w:i/>
                      <w:sz w:val="24"/>
                    </w:rPr>
                  </m:ctrlPr>
                </m:num>
                <m:den>
                  <m:r>
                    <m:rPr/>
                    <w:rPr>
                      <w:rFonts w:ascii="Cambria Math" w:hAnsi="Cambria Math"/>
                      <w:sz w:val="24"/>
                    </w:rPr>
                    <m:t>100</m:t>
                  </m:r>
                  <m:ctrlPr>
                    <w:rPr>
                      <w:rFonts w:ascii="Cambria Math" w:hAnsi="Cambria Math"/>
                      <w:bCs/>
                      <w:i/>
                      <w:sz w:val="24"/>
                    </w:rPr>
                  </m:ctrlPr>
                </m:den>
              </m:f>
              <m:ctrlPr>
                <w:rPr>
                  <w:rFonts w:ascii="Cambria Math" w:hAnsi="Cambria Math"/>
                  <w:bCs/>
                  <w:i/>
                  <w:sz w:val="24"/>
                </w:rPr>
              </m:ctrlPr>
            </m:den>
          </m:f>
        </m:oMath>
      </m:oMathPara>
    </w:p>
    <w:p w14:paraId="4A2F9836">
      <w:pPr>
        <w:tabs>
          <w:tab w:val="left" w:pos="900"/>
        </w:tabs>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式中：</w:t>
      </w:r>
    </w:p>
    <w:p w14:paraId="1EEF1D05">
      <w:pPr>
        <w:tabs>
          <w:tab w:val="left" w:pos="900"/>
        </w:tabs>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E</w:t>
      </w:r>
      <w:r>
        <w:rPr>
          <w:rFonts w:ascii="Times New Roman" w:hAnsi="Times New Roman"/>
          <w:spacing w:val="-2"/>
          <w:kern w:val="0"/>
          <w:sz w:val="24"/>
          <w:szCs w:val="24"/>
          <w:vertAlign w:val="subscript"/>
        </w:rPr>
        <w:t>A</w:t>
      </w:r>
      <w:r>
        <w:rPr>
          <w:rFonts w:ascii="Times New Roman" w:hAnsi="Times New Roman"/>
          <w:spacing w:val="-2"/>
          <w:kern w:val="0"/>
          <w:sz w:val="24"/>
          <w:szCs w:val="24"/>
        </w:rPr>
        <w:t>——核算时段内颗粒物（烟尘）排放量，t；</w:t>
      </w:r>
    </w:p>
    <w:p w14:paraId="563914A5">
      <w:pPr>
        <w:tabs>
          <w:tab w:val="left" w:pos="900"/>
        </w:tabs>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R——核算时段内锅炉燃料耗量，t；</w:t>
      </w:r>
    </w:p>
    <w:p w14:paraId="66D9D0E3">
      <w:pPr>
        <w:tabs>
          <w:tab w:val="left" w:pos="900"/>
        </w:tabs>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A</w:t>
      </w:r>
      <w:r>
        <w:rPr>
          <w:rFonts w:ascii="Times New Roman" w:hAnsi="Times New Roman"/>
          <w:spacing w:val="-2"/>
          <w:kern w:val="0"/>
          <w:sz w:val="24"/>
          <w:szCs w:val="24"/>
          <w:vertAlign w:val="subscript"/>
        </w:rPr>
        <w:t>ar</w:t>
      </w:r>
      <w:r>
        <w:rPr>
          <w:rFonts w:ascii="Times New Roman" w:hAnsi="Times New Roman"/>
          <w:spacing w:val="-2"/>
          <w:kern w:val="0"/>
          <w:sz w:val="24"/>
          <w:szCs w:val="24"/>
        </w:rPr>
        <w:t>——收到基灰分的质量分数，%；</w:t>
      </w:r>
    </w:p>
    <w:p w14:paraId="4D2F713A">
      <w:pPr>
        <w:tabs>
          <w:tab w:val="left" w:pos="900"/>
        </w:tabs>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d</w:t>
      </w:r>
      <w:r>
        <w:rPr>
          <w:rFonts w:ascii="Times New Roman" w:hAnsi="Times New Roman"/>
          <w:spacing w:val="-2"/>
          <w:kern w:val="0"/>
          <w:sz w:val="24"/>
          <w:szCs w:val="24"/>
          <w:vertAlign w:val="subscript"/>
        </w:rPr>
        <w:t>fh</w:t>
      </w:r>
      <w:r>
        <w:rPr>
          <w:rFonts w:ascii="Times New Roman" w:hAnsi="Times New Roman"/>
          <w:spacing w:val="-2"/>
          <w:kern w:val="0"/>
          <w:sz w:val="24"/>
          <w:szCs w:val="24"/>
        </w:rPr>
        <w:t>——锅炉烟气带出的飞灰份额，%；</w:t>
      </w:r>
    </w:p>
    <w:p w14:paraId="301792F7">
      <w:pPr>
        <w:tabs>
          <w:tab w:val="left" w:pos="900"/>
        </w:tabs>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η</w:t>
      </w:r>
      <w:r>
        <w:rPr>
          <w:rFonts w:ascii="Times New Roman" w:hAnsi="Times New Roman"/>
          <w:spacing w:val="-2"/>
          <w:kern w:val="0"/>
          <w:sz w:val="24"/>
          <w:szCs w:val="24"/>
          <w:vertAlign w:val="subscript"/>
        </w:rPr>
        <w:t>c</w:t>
      </w:r>
      <w:r>
        <w:rPr>
          <w:rFonts w:ascii="Times New Roman" w:hAnsi="Times New Roman"/>
          <w:spacing w:val="-2"/>
          <w:kern w:val="0"/>
          <w:sz w:val="24"/>
          <w:szCs w:val="24"/>
        </w:rPr>
        <w:t>——综合除尘效率，%；</w:t>
      </w:r>
    </w:p>
    <w:p w14:paraId="136DDFDB">
      <w:pPr>
        <w:tabs>
          <w:tab w:val="left" w:pos="900"/>
        </w:tabs>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C</w:t>
      </w:r>
      <w:r>
        <w:rPr>
          <w:rFonts w:ascii="Times New Roman" w:hAnsi="Times New Roman"/>
          <w:spacing w:val="-2"/>
          <w:kern w:val="0"/>
          <w:sz w:val="24"/>
          <w:szCs w:val="24"/>
          <w:vertAlign w:val="subscript"/>
        </w:rPr>
        <w:t>fh</w:t>
      </w:r>
      <w:r>
        <w:rPr>
          <w:rFonts w:ascii="Times New Roman" w:hAnsi="Times New Roman"/>
          <w:spacing w:val="-2"/>
          <w:kern w:val="0"/>
          <w:sz w:val="24"/>
          <w:szCs w:val="24"/>
        </w:rPr>
        <w:t>——飞灰中可燃物含量，%。</w:t>
      </w:r>
    </w:p>
    <w:p w14:paraId="79318B07">
      <w:pPr>
        <w:tabs>
          <w:tab w:val="left" w:pos="900"/>
        </w:tabs>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项目生物质燃料收到基灰分为</w:t>
      </w:r>
      <w:r>
        <w:rPr>
          <w:rFonts w:hint="eastAsia" w:ascii="Times New Roman" w:hAnsi="Times New Roman"/>
          <w:spacing w:val="-2"/>
          <w:kern w:val="0"/>
          <w:sz w:val="24"/>
          <w:szCs w:val="24"/>
        </w:rPr>
        <w:t>6</w:t>
      </w:r>
      <w:r>
        <w:rPr>
          <w:rFonts w:ascii="Times New Roman" w:hAnsi="Times New Roman"/>
          <w:spacing w:val="-2"/>
          <w:kern w:val="0"/>
          <w:sz w:val="24"/>
          <w:szCs w:val="24"/>
        </w:rPr>
        <w:t>%，烟气带出的飞灰份额</w:t>
      </w:r>
      <w:r>
        <w:rPr>
          <w:rFonts w:hint="eastAsia" w:ascii="Times New Roman" w:hAnsi="Times New Roman"/>
          <w:spacing w:val="-2"/>
          <w:kern w:val="0"/>
          <w:sz w:val="24"/>
          <w:szCs w:val="24"/>
          <w:lang w:eastAsia="zh-CN"/>
        </w:rPr>
        <w:t>取</w:t>
      </w:r>
      <w:r>
        <w:rPr>
          <w:rFonts w:ascii="Times New Roman" w:hAnsi="Times New Roman"/>
          <w:spacing w:val="-2"/>
          <w:kern w:val="0"/>
          <w:sz w:val="24"/>
          <w:szCs w:val="24"/>
        </w:rPr>
        <w:t>20%，布袋除尘器去除效率取99%，飞灰中可燃物含量取15%。</w:t>
      </w:r>
    </w:p>
    <w:p w14:paraId="7CAF8DC4">
      <w:pPr>
        <w:tabs>
          <w:tab w:val="left" w:pos="900"/>
        </w:tabs>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（2）二氧化硫</w:t>
      </w:r>
    </w:p>
    <w:p w14:paraId="75DE8CB7">
      <w:pPr>
        <w:spacing w:line="360" w:lineRule="auto"/>
        <w:ind w:firstLine="480" w:firstLineChars="200"/>
        <w:jc w:val="center"/>
        <w:rPr>
          <w:rFonts w:ascii="Times New Roman" w:hAnsi="Times New Roman"/>
          <w:bCs/>
          <w:sz w:val="24"/>
        </w:rPr>
      </w:pPr>
      <m:oMathPara>
        <m:oMath>
          <m:sSub>
            <m:sSubPr>
              <m:ctrlPr>
                <w:rPr>
                  <w:rFonts w:ascii="Cambria Math" w:hAnsi="Cambria Math"/>
                  <w:bCs/>
                  <w:sz w:val="24"/>
                </w:rPr>
              </m:ctrlPr>
            </m:sSubPr>
            <m:e>
              <m:r>
                <m:rPr/>
                <w:rPr>
                  <w:rFonts w:ascii="Cambria Math" w:hAnsi="Cambria Math"/>
                  <w:sz w:val="24"/>
                </w:rPr>
                <m:t>E</m:t>
              </m:r>
              <m:ctrlPr>
                <w:rPr>
                  <w:rFonts w:ascii="Cambria Math" w:hAnsi="Cambria Math"/>
                  <w:bCs/>
                  <w:sz w:val="24"/>
                </w:rPr>
              </m:ctrlPr>
            </m:e>
            <m:sub>
              <m:sSub>
                <m:sSubPr>
                  <m:ctrlPr>
                    <w:rPr>
                      <w:rFonts w:ascii="Cambria Math" w:hAnsi="Cambria Math"/>
                      <w:bCs/>
                      <w:i/>
                      <w:sz w:val="24"/>
                    </w:rPr>
                  </m:ctrlPr>
                </m:sSubPr>
                <m:e>
                  <m:r>
                    <m:rPr/>
                    <w:rPr>
                      <w:rFonts w:ascii="Cambria Math" w:hAnsi="Cambria Math"/>
                      <w:sz w:val="24"/>
                    </w:rPr>
                    <m:t>SO</m:t>
                  </m:r>
                  <m:ctrlPr>
                    <w:rPr>
                      <w:rFonts w:ascii="Cambria Math" w:hAnsi="Cambria Math"/>
                      <w:bCs/>
                      <w:i/>
                      <w:sz w:val="24"/>
                    </w:rPr>
                  </m:ctrlPr>
                </m:e>
                <m:sub>
                  <m:r>
                    <m:rPr/>
                    <w:rPr>
                      <w:rFonts w:ascii="Cambria Math" w:hAnsi="Cambria Math"/>
                      <w:sz w:val="24"/>
                    </w:rPr>
                    <m:t>2</m:t>
                  </m:r>
                  <m:ctrlPr>
                    <w:rPr>
                      <w:rFonts w:ascii="Cambria Math" w:hAnsi="Cambria Math"/>
                      <w:bCs/>
                      <w:i/>
                      <w:sz w:val="24"/>
                    </w:rPr>
                  </m:ctrlPr>
                </m:sub>
              </m:sSub>
              <m:ctrlPr>
                <w:rPr>
                  <w:rFonts w:ascii="Cambria Math" w:hAnsi="Cambria Math"/>
                  <w:bCs/>
                  <w:sz w:val="24"/>
                </w:rPr>
              </m:ctrlPr>
            </m:sub>
          </m:sSub>
          <m:r>
            <m:rPr/>
            <w:rPr>
              <w:rFonts w:ascii="Cambria Math" w:hAnsi="Cambria Math"/>
              <w:sz w:val="24"/>
            </w:rPr>
            <m:t>=2R×</m:t>
          </m:r>
          <m:f>
            <m:fPr>
              <m:ctrlPr>
                <w:rPr>
                  <w:rFonts w:ascii="Cambria Math" w:hAnsi="Cambria Math"/>
                  <w:bCs/>
                  <w:i/>
                  <w:sz w:val="24"/>
                </w:rPr>
              </m:ctrlPr>
            </m:fPr>
            <m:num>
              <m:sSub>
                <m:sSubPr>
                  <m:ctrlPr>
                    <w:rPr>
                      <w:rFonts w:ascii="Cambria Math" w:hAnsi="Cambria Math"/>
                      <w:bCs/>
                      <w:i/>
                      <w:sz w:val="24"/>
                    </w:rPr>
                  </m:ctrlPr>
                </m:sSubPr>
                <m:e>
                  <m:r>
                    <m:rPr/>
                    <w:rPr>
                      <w:rFonts w:ascii="Cambria Math" w:hAnsi="Cambria Math"/>
                      <w:sz w:val="24"/>
                    </w:rPr>
                    <m:t>S</m:t>
                  </m:r>
                  <m:ctrlPr>
                    <w:rPr>
                      <w:rFonts w:ascii="Cambria Math" w:hAnsi="Cambria Math"/>
                      <w:bCs/>
                      <w:i/>
                      <w:sz w:val="24"/>
                    </w:rPr>
                  </m:ctrlPr>
                </m:e>
                <m:sub>
                  <m:r>
                    <m:rPr/>
                    <w:rPr>
                      <w:rFonts w:ascii="Cambria Math" w:hAnsi="Cambria Math"/>
                      <w:sz w:val="24"/>
                    </w:rPr>
                    <m:t>ar</m:t>
                  </m:r>
                  <m:ctrlPr>
                    <w:rPr>
                      <w:rFonts w:ascii="Cambria Math" w:hAnsi="Cambria Math"/>
                      <w:bCs/>
                      <w:i/>
                      <w:sz w:val="24"/>
                    </w:rPr>
                  </m:ctrlPr>
                </m:sub>
              </m:sSub>
              <m:ctrlPr>
                <w:rPr>
                  <w:rFonts w:ascii="Cambria Math" w:hAnsi="Cambria Math"/>
                  <w:bCs/>
                  <w:i/>
                  <w:sz w:val="24"/>
                </w:rPr>
              </m:ctrlPr>
            </m:num>
            <m:den>
              <m:r>
                <m:rPr/>
                <w:rPr>
                  <w:rFonts w:ascii="Cambria Math" w:hAnsi="Cambria Math"/>
                  <w:sz w:val="24"/>
                </w:rPr>
                <m:t>100</m:t>
              </m:r>
              <m:ctrlPr>
                <w:rPr>
                  <w:rFonts w:ascii="Cambria Math" w:hAnsi="Cambria Math"/>
                  <w:bCs/>
                  <w:i/>
                  <w:sz w:val="24"/>
                </w:rPr>
              </m:ctrlPr>
            </m:den>
          </m:f>
          <m:r>
            <m:rPr/>
            <w:rPr>
              <w:rFonts w:ascii="Cambria Math" w:hAnsi="Cambria Math"/>
              <w:sz w:val="24"/>
            </w:rPr>
            <m:t>×</m:t>
          </m:r>
          <m:d>
            <m:dPr>
              <m:ctrlPr>
                <w:rPr>
                  <w:rFonts w:ascii="Cambria Math" w:hAnsi="Cambria Math"/>
                  <w:bCs/>
                  <w:i/>
                  <w:sz w:val="24"/>
                </w:rPr>
              </m:ctrlPr>
            </m:dPr>
            <m:e>
              <m:r>
                <m:rPr/>
                <w:rPr>
                  <w:rFonts w:ascii="Cambria Math" w:hAnsi="Cambria Math"/>
                  <w:sz w:val="24"/>
                </w:rPr>
                <m:t>1−</m:t>
              </m:r>
              <m:f>
                <m:fPr>
                  <m:ctrlPr>
                    <w:rPr>
                      <w:rFonts w:ascii="Cambria Math" w:hAnsi="Cambria Math"/>
                      <w:bCs/>
                      <w:i/>
                      <w:sz w:val="24"/>
                    </w:rPr>
                  </m:ctrlPr>
                </m:fPr>
                <m:num>
                  <m:sSub>
                    <m:sSubPr>
                      <m:ctrlPr>
                        <w:rPr>
                          <w:rFonts w:ascii="Cambria Math" w:hAnsi="Cambria Math"/>
                          <w:bCs/>
                          <w:i/>
                          <w:sz w:val="24"/>
                        </w:rPr>
                      </m:ctrlPr>
                    </m:sSubPr>
                    <m:e>
                      <m:r>
                        <m:rPr/>
                        <w:rPr>
                          <w:rFonts w:ascii="Cambria Math" w:hAnsi="Cambria Math"/>
                          <w:sz w:val="24"/>
                        </w:rPr>
                        <m:t>q</m:t>
                      </m:r>
                      <m:ctrlPr>
                        <w:rPr>
                          <w:rFonts w:ascii="Cambria Math" w:hAnsi="Cambria Math"/>
                          <w:bCs/>
                          <w:i/>
                          <w:sz w:val="24"/>
                        </w:rPr>
                      </m:ctrlPr>
                    </m:e>
                    <m:sub>
                      <m:r>
                        <m:rPr/>
                        <w:rPr>
                          <w:rFonts w:ascii="Cambria Math" w:hAnsi="Cambria Math"/>
                          <w:sz w:val="24"/>
                        </w:rPr>
                        <m:t>4</m:t>
                      </m:r>
                      <m:ctrlPr>
                        <w:rPr>
                          <w:rFonts w:ascii="Cambria Math" w:hAnsi="Cambria Math"/>
                          <w:bCs/>
                          <w:i/>
                          <w:sz w:val="24"/>
                        </w:rPr>
                      </m:ctrlPr>
                    </m:sub>
                  </m:sSub>
                  <m:ctrlPr>
                    <w:rPr>
                      <w:rFonts w:ascii="Cambria Math" w:hAnsi="Cambria Math"/>
                      <w:bCs/>
                      <w:i/>
                      <w:sz w:val="24"/>
                    </w:rPr>
                  </m:ctrlPr>
                </m:num>
                <m:den>
                  <m:r>
                    <m:rPr/>
                    <w:rPr>
                      <w:rFonts w:ascii="Cambria Math" w:hAnsi="Cambria Math"/>
                      <w:sz w:val="24"/>
                    </w:rPr>
                    <m:t>100</m:t>
                  </m:r>
                  <m:ctrlPr>
                    <w:rPr>
                      <w:rFonts w:ascii="Cambria Math" w:hAnsi="Cambria Math"/>
                      <w:bCs/>
                      <w:i/>
                      <w:sz w:val="24"/>
                    </w:rPr>
                  </m:ctrlPr>
                </m:den>
              </m:f>
              <m:ctrlPr>
                <w:rPr>
                  <w:rFonts w:ascii="Cambria Math" w:hAnsi="Cambria Math"/>
                  <w:bCs/>
                  <w:i/>
                  <w:sz w:val="24"/>
                </w:rPr>
              </m:ctrlPr>
            </m:e>
          </m:d>
          <m:r>
            <m:rPr/>
            <w:rPr>
              <w:rFonts w:ascii="Cambria Math" w:hAnsi="Cambria Math"/>
              <w:sz w:val="24"/>
            </w:rPr>
            <m:t>×</m:t>
          </m:r>
          <m:d>
            <m:dPr>
              <m:ctrlPr>
                <w:rPr>
                  <w:rFonts w:ascii="Cambria Math" w:hAnsi="Cambria Math"/>
                  <w:bCs/>
                  <w:i/>
                  <w:sz w:val="24"/>
                </w:rPr>
              </m:ctrlPr>
            </m:dPr>
            <m:e>
              <m:r>
                <m:rPr/>
                <w:rPr>
                  <w:rFonts w:ascii="Cambria Math" w:hAnsi="Cambria Math"/>
                  <w:sz w:val="24"/>
                </w:rPr>
                <m:t>1−</m:t>
              </m:r>
              <m:f>
                <m:fPr>
                  <m:ctrlPr>
                    <w:rPr>
                      <w:rFonts w:ascii="Cambria Math" w:hAnsi="Cambria Math"/>
                      <w:bCs/>
                      <w:i/>
                      <w:sz w:val="24"/>
                    </w:rPr>
                  </m:ctrlPr>
                </m:fPr>
                <m:num>
                  <m:sSub>
                    <m:sSubPr>
                      <m:ctrlPr>
                        <w:rPr>
                          <w:rFonts w:ascii="Cambria Math" w:hAnsi="Cambria Math"/>
                          <w:bCs/>
                          <w:sz w:val="24"/>
                        </w:rPr>
                      </m:ctrlPr>
                    </m:sSubPr>
                    <m:e>
                      <m:r>
                        <m:rPr>
                          <m:sty m:val="p"/>
                        </m:rPr>
                        <w:rPr>
                          <w:rFonts w:ascii="Cambria Math" w:hAnsi="Cambria Math"/>
                          <w:sz w:val="24"/>
                        </w:rPr>
                        <m:t>η</m:t>
                      </m:r>
                      <m:ctrlPr>
                        <w:rPr>
                          <w:rFonts w:ascii="Cambria Math" w:hAnsi="Cambria Math"/>
                          <w:bCs/>
                          <w:sz w:val="24"/>
                        </w:rPr>
                      </m:ctrlPr>
                    </m:e>
                    <m:sub>
                      <m:r>
                        <m:rPr/>
                        <w:rPr>
                          <w:rFonts w:ascii="Cambria Math" w:hAnsi="Cambria Math"/>
                          <w:sz w:val="24"/>
                        </w:rPr>
                        <m:t>s</m:t>
                      </m:r>
                      <m:ctrlPr>
                        <w:rPr>
                          <w:rFonts w:ascii="Cambria Math" w:hAnsi="Cambria Math"/>
                          <w:bCs/>
                          <w:sz w:val="24"/>
                        </w:rPr>
                      </m:ctrlPr>
                    </m:sub>
                  </m:sSub>
                  <m:ctrlPr>
                    <w:rPr>
                      <w:rFonts w:ascii="Cambria Math" w:hAnsi="Cambria Math"/>
                      <w:bCs/>
                      <w:i/>
                      <w:sz w:val="24"/>
                    </w:rPr>
                  </m:ctrlPr>
                </m:num>
                <m:den>
                  <m:r>
                    <m:rPr/>
                    <w:rPr>
                      <w:rFonts w:ascii="Cambria Math" w:hAnsi="Cambria Math"/>
                      <w:sz w:val="24"/>
                    </w:rPr>
                    <m:t>100</m:t>
                  </m:r>
                  <m:ctrlPr>
                    <w:rPr>
                      <w:rFonts w:ascii="Cambria Math" w:hAnsi="Cambria Math"/>
                      <w:bCs/>
                      <w:i/>
                      <w:sz w:val="24"/>
                    </w:rPr>
                  </m:ctrlPr>
                </m:den>
              </m:f>
              <m:ctrlPr>
                <w:rPr>
                  <w:rFonts w:ascii="Cambria Math" w:hAnsi="Cambria Math"/>
                  <w:bCs/>
                  <w:i/>
                  <w:sz w:val="24"/>
                </w:rPr>
              </m:ctrlPr>
            </m:e>
          </m:d>
          <m:r>
            <m:rPr/>
            <w:rPr>
              <w:rFonts w:ascii="Cambria Math" w:hAnsi="Cambria Math"/>
              <w:sz w:val="24"/>
            </w:rPr>
            <m:t>×K</m:t>
          </m:r>
        </m:oMath>
      </m:oMathPara>
    </w:p>
    <w:p w14:paraId="75C933B3">
      <w:pPr>
        <w:tabs>
          <w:tab w:val="left" w:pos="900"/>
        </w:tabs>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式中：</w:t>
      </w:r>
    </w:p>
    <w:p w14:paraId="42D15788">
      <w:pPr>
        <w:tabs>
          <w:tab w:val="left" w:pos="900"/>
        </w:tabs>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E</w:t>
      </w:r>
      <w:r>
        <w:rPr>
          <w:rFonts w:ascii="Times New Roman" w:hAnsi="Times New Roman"/>
          <w:spacing w:val="-2"/>
          <w:kern w:val="0"/>
          <w:sz w:val="24"/>
          <w:szCs w:val="24"/>
          <w:vertAlign w:val="subscript"/>
        </w:rPr>
        <w:t>SO2</w:t>
      </w:r>
      <w:r>
        <w:rPr>
          <w:rFonts w:ascii="Times New Roman" w:hAnsi="Times New Roman"/>
          <w:spacing w:val="-2"/>
          <w:kern w:val="0"/>
          <w:sz w:val="24"/>
          <w:szCs w:val="24"/>
        </w:rPr>
        <w:t>——核算时段内二氧化硫排放量，t；</w:t>
      </w:r>
    </w:p>
    <w:p w14:paraId="7417DFD5">
      <w:pPr>
        <w:tabs>
          <w:tab w:val="left" w:pos="900"/>
        </w:tabs>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R——核算时段内锅炉燃料耗量，t；</w:t>
      </w:r>
    </w:p>
    <w:p w14:paraId="52F2F001">
      <w:pPr>
        <w:tabs>
          <w:tab w:val="left" w:pos="900"/>
        </w:tabs>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S</w:t>
      </w:r>
      <w:r>
        <w:rPr>
          <w:rFonts w:ascii="Times New Roman" w:hAnsi="Times New Roman"/>
          <w:spacing w:val="-2"/>
          <w:kern w:val="0"/>
          <w:sz w:val="24"/>
          <w:szCs w:val="24"/>
          <w:vertAlign w:val="subscript"/>
        </w:rPr>
        <w:t>ar</w:t>
      </w:r>
      <w:r>
        <w:rPr>
          <w:rFonts w:ascii="Times New Roman" w:hAnsi="Times New Roman"/>
          <w:spacing w:val="-2"/>
          <w:kern w:val="0"/>
          <w:sz w:val="24"/>
          <w:szCs w:val="24"/>
        </w:rPr>
        <w:t>——收到基硫的质量分数，%；</w:t>
      </w:r>
    </w:p>
    <w:p w14:paraId="4CEE397E">
      <w:pPr>
        <w:tabs>
          <w:tab w:val="left" w:pos="900"/>
        </w:tabs>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q</w:t>
      </w:r>
      <w:r>
        <w:rPr>
          <w:rFonts w:ascii="Times New Roman" w:hAnsi="Times New Roman"/>
          <w:spacing w:val="-2"/>
          <w:kern w:val="0"/>
          <w:sz w:val="24"/>
          <w:szCs w:val="24"/>
          <w:vertAlign w:val="superscript"/>
        </w:rPr>
        <w:t>4</w:t>
      </w:r>
      <w:r>
        <w:rPr>
          <w:rFonts w:ascii="Times New Roman" w:hAnsi="Times New Roman"/>
          <w:spacing w:val="-2"/>
          <w:kern w:val="0"/>
          <w:sz w:val="24"/>
          <w:szCs w:val="24"/>
        </w:rPr>
        <w:t>——锅炉机械不完全燃烧热损失，%；</w:t>
      </w:r>
    </w:p>
    <w:p w14:paraId="6A207C86">
      <w:pPr>
        <w:tabs>
          <w:tab w:val="left" w:pos="900"/>
        </w:tabs>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η</w:t>
      </w:r>
      <w:r>
        <w:rPr>
          <w:rFonts w:ascii="Times New Roman" w:hAnsi="Times New Roman"/>
          <w:spacing w:val="-2"/>
          <w:kern w:val="0"/>
          <w:sz w:val="24"/>
          <w:szCs w:val="24"/>
          <w:vertAlign w:val="subscript"/>
        </w:rPr>
        <w:t>s</w:t>
      </w:r>
      <w:r>
        <w:rPr>
          <w:rFonts w:ascii="Times New Roman" w:hAnsi="Times New Roman"/>
          <w:spacing w:val="-2"/>
          <w:kern w:val="0"/>
          <w:sz w:val="24"/>
          <w:szCs w:val="24"/>
        </w:rPr>
        <w:t>——脱硫效率，%；</w:t>
      </w:r>
    </w:p>
    <w:p w14:paraId="7B561424">
      <w:pPr>
        <w:tabs>
          <w:tab w:val="left" w:pos="900"/>
        </w:tabs>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K——燃料中的硫燃烧后氧化成二氧化硫的份额，量纲一的量。</w:t>
      </w:r>
    </w:p>
    <w:p w14:paraId="304FA5C3">
      <w:pPr>
        <w:tabs>
          <w:tab w:val="left" w:pos="900"/>
        </w:tabs>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项目收到基硫的质量分数0.09%，机械不完全燃烧损失</w:t>
      </w:r>
      <w:r>
        <w:rPr>
          <w:rFonts w:hint="eastAsia" w:ascii="Times New Roman" w:hAnsi="Times New Roman"/>
          <w:spacing w:val="-2"/>
          <w:kern w:val="0"/>
          <w:sz w:val="24"/>
          <w:szCs w:val="24"/>
        </w:rPr>
        <w:t>参照</w:t>
      </w:r>
      <w:r>
        <w:rPr>
          <w:rFonts w:ascii="Times New Roman" w:hAnsi="Times New Roman"/>
          <w:spacing w:val="-2"/>
          <w:kern w:val="0"/>
          <w:sz w:val="24"/>
          <w:szCs w:val="24"/>
        </w:rPr>
        <w:t>《污染源源强核算技术指南 锅炉》（HJ991-2018）</w:t>
      </w:r>
      <w:r>
        <w:rPr>
          <w:rFonts w:hint="eastAsia" w:ascii="Times New Roman" w:hAnsi="Times New Roman"/>
          <w:spacing w:val="-2"/>
          <w:kern w:val="0"/>
          <w:sz w:val="24"/>
          <w:szCs w:val="24"/>
        </w:rPr>
        <w:t>附录B中层燃炉取值范围为5%</w:t>
      </w:r>
      <w:r>
        <w:rPr>
          <w:rFonts w:ascii="Times New Roman" w:hAnsi="Times New Roman"/>
          <w:spacing w:val="-2"/>
          <w:kern w:val="0"/>
          <w:sz w:val="24"/>
          <w:szCs w:val="24"/>
        </w:rPr>
        <w:t>～</w:t>
      </w:r>
      <w:r>
        <w:rPr>
          <w:rFonts w:hint="eastAsia" w:ascii="Times New Roman" w:hAnsi="Times New Roman"/>
          <w:spacing w:val="-2"/>
          <w:kern w:val="0"/>
          <w:sz w:val="24"/>
          <w:szCs w:val="24"/>
        </w:rPr>
        <w:t>15%，本项目取均值为10</w:t>
      </w:r>
      <w:r>
        <w:rPr>
          <w:rFonts w:ascii="Times New Roman" w:hAnsi="Times New Roman"/>
          <w:spacing w:val="-2"/>
          <w:kern w:val="0"/>
          <w:sz w:val="24"/>
          <w:szCs w:val="24"/>
        </w:rPr>
        <w:t>%，脱硫效率为0，燃料中的硫燃烧后氧化成二氧化硫的份额0.4。</w:t>
      </w:r>
    </w:p>
    <w:p w14:paraId="7A96E6E7">
      <w:pPr>
        <w:spacing w:line="360" w:lineRule="auto"/>
        <w:ind w:firstLine="480" w:firstLineChars="200"/>
        <w:rPr>
          <w:rFonts w:ascii="Times New Roman" w:hAnsi="Times New Roman"/>
          <w:bCs/>
          <w:sz w:val="24"/>
        </w:rPr>
      </w:pPr>
      <w:r>
        <w:rPr>
          <w:rFonts w:ascii="Times New Roman" w:hAnsi="Times New Roman"/>
          <w:bCs/>
          <w:sz w:val="24"/>
        </w:rPr>
        <w:t>（3）氮氧化物</w:t>
      </w:r>
    </w:p>
    <w:p w14:paraId="0A252D8C">
      <w:pPr>
        <w:spacing w:line="360" w:lineRule="auto"/>
        <w:ind w:firstLine="480" w:firstLineChars="200"/>
        <w:jc w:val="center"/>
        <w:rPr>
          <w:rFonts w:ascii="Times New Roman" w:hAnsi="Times New Roman"/>
          <w:bCs/>
          <w:sz w:val="24"/>
        </w:rPr>
      </w:pPr>
      <m:oMathPara>
        <m:oMath>
          <m:sSub>
            <m:sSubPr>
              <m:ctrlPr>
                <w:rPr>
                  <w:rFonts w:ascii="Cambria Math" w:hAnsi="Cambria Math"/>
                  <w:bCs/>
                  <w:sz w:val="24"/>
                </w:rPr>
              </m:ctrlPr>
            </m:sSubPr>
            <m:e>
              <m:r>
                <m:rPr/>
                <w:rPr>
                  <w:rFonts w:ascii="Cambria Math" w:hAnsi="Cambria Math"/>
                  <w:sz w:val="24"/>
                </w:rPr>
                <m:t>E</m:t>
              </m:r>
              <m:ctrlPr>
                <w:rPr>
                  <w:rFonts w:ascii="Cambria Math" w:hAnsi="Cambria Math"/>
                  <w:bCs/>
                  <w:sz w:val="24"/>
                </w:rPr>
              </m:ctrlPr>
            </m:e>
            <m:sub>
              <m:sSub>
                <m:sSubPr>
                  <m:ctrlPr>
                    <w:rPr>
                      <w:rFonts w:ascii="Cambria Math" w:hAnsi="Cambria Math"/>
                      <w:bCs/>
                      <w:i/>
                      <w:sz w:val="24"/>
                    </w:rPr>
                  </m:ctrlPr>
                </m:sSubPr>
                <m:e>
                  <m:r>
                    <m:rPr/>
                    <w:rPr>
                      <w:rFonts w:ascii="Cambria Math" w:hAnsi="Cambria Math"/>
                      <w:sz w:val="24"/>
                    </w:rPr>
                    <m:t>NO</m:t>
                  </m:r>
                  <m:ctrlPr>
                    <w:rPr>
                      <w:rFonts w:ascii="Cambria Math" w:hAnsi="Cambria Math"/>
                      <w:bCs/>
                      <w:i/>
                      <w:sz w:val="24"/>
                    </w:rPr>
                  </m:ctrlPr>
                </m:e>
                <m:sub>
                  <m:r>
                    <m:rPr/>
                    <w:rPr>
                      <w:rFonts w:ascii="Cambria Math" w:hAnsi="Cambria Math"/>
                      <w:sz w:val="24"/>
                    </w:rPr>
                    <m:t>x</m:t>
                  </m:r>
                  <m:ctrlPr>
                    <w:rPr>
                      <w:rFonts w:ascii="Cambria Math" w:hAnsi="Cambria Math"/>
                      <w:bCs/>
                      <w:i/>
                      <w:sz w:val="24"/>
                    </w:rPr>
                  </m:ctrlPr>
                </m:sub>
              </m:sSub>
              <m:ctrlPr>
                <w:rPr>
                  <w:rFonts w:ascii="Cambria Math" w:hAnsi="Cambria Math"/>
                  <w:bCs/>
                  <w:sz w:val="24"/>
                </w:rPr>
              </m:ctrlPr>
            </m:sub>
          </m:sSub>
          <m:r>
            <m:rPr/>
            <w:rPr>
              <w:rFonts w:ascii="Cambria Math" w:hAnsi="Cambria Math"/>
              <w:sz w:val="24"/>
            </w:rPr>
            <m:t>=</m:t>
          </m:r>
          <m:sSub>
            <m:sSubPr>
              <m:ctrlPr>
                <w:rPr>
                  <w:rFonts w:ascii="Cambria Math" w:hAnsi="Cambria Math"/>
                  <w:bCs/>
                  <w:i/>
                  <w:sz w:val="24"/>
                </w:rPr>
              </m:ctrlPr>
            </m:sSubPr>
            <m:e>
              <m:r>
                <m:rPr/>
                <w:rPr>
                  <w:rFonts w:ascii="Cambria Math" w:hAnsi="Cambria Math"/>
                  <w:sz w:val="24"/>
                </w:rPr>
                <m:t>ρ</m:t>
              </m:r>
              <m:ctrlPr>
                <w:rPr>
                  <w:rFonts w:ascii="Cambria Math" w:hAnsi="Cambria Math"/>
                  <w:bCs/>
                  <w:i/>
                  <w:sz w:val="24"/>
                </w:rPr>
              </m:ctrlPr>
            </m:e>
            <m:sub>
              <m:sSub>
                <m:sSubPr>
                  <m:ctrlPr>
                    <w:rPr>
                      <w:rFonts w:ascii="Cambria Math" w:hAnsi="Cambria Math"/>
                      <w:bCs/>
                      <w:i/>
                      <w:sz w:val="24"/>
                    </w:rPr>
                  </m:ctrlPr>
                </m:sSubPr>
                <m:e>
                  <m:r>
                    <m:rPr/>
                    <w:rPr>
                      <w:rFonts w:ascii="Cambria Math" w:hAnsi="Cambria Math"/>
                      <w:sz w:val="24"/>
                    </w:rPr>
                    <m:t>NO</m:t>
                  </m:r>
                  <m:ctrlPr>
                    <w:rPr>
                      <w:rFonts w:ascii="Cambria Math" w:hAnsi="Cambria Math"/>
                      <w:bCs/>
                      <w:i/>
                      <w:sz w:val="24"/>
                    </w:rPr>
                  </m:ctrlPr>
                </m:e>
                <m:sub>
                  <m:r>
                    <m:rPr/>
                    <w:rPr>
                      <w:rFonts w:ascii="Cambria Math" w:hAnsi="Cambria Math"/>
                      <w:sz w:val="24"/>
                    </w:rPr>
                    <m:t>x</m:t>
                  </m:r>
                  <m:ctrlPr>
                    <w:rPr>
                      <w:rFonts w:ascii="Cambria Math" w:hAnsi="Cambria Math"/>
                      <w:bCs/>
                      <w:i/>
                      <w:sz w:val="24"/>
                    </w:rPr>
                  </m:ctrlPr>
                </m:sub>
              </m:sSub>
              <m:ctrlPr>
                <w:rPr>
                  <w:rFonts w:ascii="Cambria Math" w:hAnsi="Cambria Math"/>
                  <w:bCs/>
                  <w:i/>
                  <w:sz w:val="24"/>
                </w:rPr>
              </m:ctrlPr>
            </m:sub>
          </m:sSub>
          <m:r>
            <m:rPr/>
            <w:rPr>
              <w:rFonts w:ascii="Cambria Math" w:hAnsi="Cambria Math"/>
              <w:sz w:val="24"/>
            </w:rPr>
            <m:t>×Q×</m:t>
          </m:r>
          <m:d>
            <m:dPr>
              <m:ctrlPr>
                <w:rPr>
                  <w:rFonts w:ascii="Cambria Math" w:hAnsi="Cambria Math"/>
                  <w:bCs/>
                  <w:i/>
                  <w:sz w:val="24"/>
                </w:rPr>
              </m:ctrlPr>
            </m:dPr>
            <m:e>
              <m:r>
                <m:rPr/>
                <w:rPr>
                  <w:rFonts w:ascii="Cambria Math" w:hAnsi="Cambria Math"/>
                  <w:sz w:val="24"/>
                </w:rPr>
                <m:t>1−</m:t>
              </m:r>
              <m:f>
                <m:fPr>
                  <m:ctrlPr>
                    <w:rPr>
                      <w:rFonts w:ascii="Cambria Math" w:hAnsi="Cambria Math"/>
                      <w:bCs/>
                      <w:i/>
                      <w:sz w:val="24"/>
                    </w:rPr>
                  </m:ctrlPr>
                </m:fPr>
                <m:num>
                  <m:sSub>
                    <m:sSubPr>
                      <m:ctrlPr>
                        <w:rPr>
                          <w:rFonts w:ascii="Cambria Math" w:hAnsi="Cambria Math"/>
                          <w:bCs/>
                          <w:sz w:val="24"/>
                        </w:rPr>
                      </m:ctrlPr>
                    </m:sSubPr>
                    <m:e>
                      <m:r>
                        <m:rPr>
                          <m:sty m:val="p"/>
                        </m:rPr>
                        <w:rPr>
                          <w:rFonts w:ascii="Cambria Math" w:hAnsi="Cambria Math"/>
                          <w:sz w:val="24"/>
                        </w:rPr>
                        <m:t>η</m:t>
                      </m:r>
                      <m:ctrlPr>
                        <w:rPr>
                          <w:rFonts w:ascii="Cambria Math" w:hAnsi="Cambria Math"/>
                          <w:bCs/>
                          <w:sz w:val="24"/>
                        </w:rPr>
                      </m:ctrlPr>
                    </m:e>
                    <m:sub>
                      <m:sSub>
                        <m:sSubPr>
                          <m:ctrlPr>
                            <w:rPr>
                              <w:rFonts w:ascii="Cambria Math" w:hAnsi="Cambria Math"/>
                              <w:bCs/>
                              <w:i/>
                              <w:sz w:val="24"/>
                            </w:rPr>
                          </m:ctrlPr>
                        </m:sSubPr>
                        <m:e>
                          <m:r>
                            <m:rPr/>
                            <w:rPr>
                              <w:rFonts w:ascii="Cambria Math" w:hAnsi="Cambria Math"/>
                              <w:sz w:val="24"/>
                            </w:rPr>
                            <m:t>NO</m:t>
                          </m:r>
                          <m:ctrlPr>
                            <w:rPr>
                              <w:rFonts w:ascii="Cambria Math" w:hAnsi="Cambria Math"/>
                              <w:bCs/>
                              <w:i/>
                              <w:sz w:val="24"/>
                            </w:rPr>
                          </m:ctrlPr>
                        </m:e>
                        <m:sub>
                          <m:r>
                            <m:rPr/>
                            <w:rPr>
                              <w:rFonts w:ascii="Cambria Math" w:hAnsi="Cambria Math"/>
                              <w:sz w:val="24"/>
                            </w:rPr>
                            <m:t>x</m:t>
                          </m:r>
                          <m:ctrlPr>
                            <w:rPr>
                              <w:rFonts w:ascii="Cambria Math" w:hAnsi="Cambria Math"/>
                              <w:bCs/>
                              <w:i/>
                              <w:sz w:val="24"/>
                            </w:rPr>
                          </m:ctrlPr>
                        </m:sub>
                      </m:sSub>
                      <m:ctrlPr>
                        <w:rPr>
                          <w:rFonts w:ascii="Cambria Math" w:hAnsi="Cambria Math"/>
                          <w:bCs/>
                          <w:sz w:val="24"/>
                        </w:rPr>
                      </m:ctrlPr>
                    </m:sub>
                  </m:sSub>
                  <m:ctrlPr>
                    <w:rPr>
                      <w:rFonts w:ascii="Cambria Math" w:hAnsi="Cambria Math"/>
                      <w:bCs/>
                      <w:i/>
                      <w:sz w:val="24"/>
                    </w:rPr>
                  </m:ctrlPr>
                </m:num>
                <m:den>
                  <m:r>
                    <m:rPr/>
                    <w:rPr>
                      <w:rFonts w:ascii="Cambria Math" w:hAnsi="Cambria Math"/>
                      <w:sz w:val="24"/>
                    </w:rPr>
                    <m:t>100</m:t>
                  </m:r>
                  <m:ctrlPr>
                    <w:rPr>
                      <w:rFonts w:ascii="Cambria Math" w:hAnsi="Cambria Math"/>
                      <w:bCs/>
                      <w:i/>
                      <w:sz w:val="24"/>
                    </w:rPr>
                  </m:ctrlPr>
                </m:den>
              </m:f>
              <m:ctrlPr>
                <w:rPr>
                  <w:rFonts w:ascii="Cambria Math" w:hAnsi="Cambria Math"/>
                  <w:bCs/>
                  <w:i/>
                  <w:sz w:val="24"/>
                </w:rPr>
              </m:ctrlPr>
            </m:e>
          </m:d>
          <m:r>
            <m:rPr/>
            <w:rPr>
              <w:rFonts w:ascii="Cambria Math" w:hAnsi="Cambria Math"/>
              <w:sz w:val="24"/>
            </w:rPr>
            <m:t>×</m:t>
          </m:r>
          <m:sSup>
            <m:sSupPr>
              <m:ctrlPr>
                <w:rPr>
                  <w:rFonts w:ascii="Cambria Math" w:hAnsi="Cambria Math"/>
                  <w:bCs/>
                  <w:i/>
                  <w:sz w:val="24"/>
                </w:rPr>
              </m:ctrlPr>
            </m:sSupPr>
            <m:e>
              <m:r>
                <m:rPr/>
                <w:rPr>
                  <w:rFonts w:ascii="Cambria Math" w:hAnsi="Cambria Math"/>
                  <w:sz w:val="24"/>
                </w:rPr>
                <m:t>10</m:t>
              </m:r>
              <m:ctrlPr>
                <w:rPr>
                  <w:rFonts w:ascii="Cambria Math" w:hAnsi="Cambria Math"/>
                  <w:bCs/>
                  <w:i/>
                  <w:sz w:val="24"/>
                </w:rPr>
              </m:ctrlPr>
            </m:e>
            <m:sup>
              <m:r>
                <m:rPr/>
                <w:rPr>
                  <w:rFonts w:ascii="Cambria Math" w:hAnsi="Cambria Math"/>
                  <w:sz w:val="24"/>
                </w:rPr>
                <m:t>−9</m:t>
              </m:r>
              <m:ctrlPr>
                <w:rPr>
                  <w:rFonts w:ascii="Cambria Math" w:hAnsi="Cambria Math"/>
                  <w:bCs/>
                  <w:i/>
                  <w:sz w:val="24"/>
                </w:rPr>
              </m:ctrlPr>
            </m:sup>
          </m:sSup>
        </m:oMath>
      </m:oMathPara>
    </w:p>
    <w:p w14:paraId="4F5110A0">
      <w:pPr>
        <w:tabs>
          <w:tab w:val="left" w:pos="900"/>
        </w:tabs>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式中：</w:t>
      </w:r>
    </w:p>
    <w:p w14:paraId="73F7AFE0">
      <w:pPr>
        <w:tabs>
          <w:tab w:val="left" w:pos="900"/>
        </w:tabs>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E</w:t>
      </w:r>
      <w:r>
        <w:rPr>
          <w:rFonts w:ascii="Times New Roman" w:hAnsi="Times New Roman"/>
          <w:spacing w:val="-2"/>
          <w:kern w:val="0"/>
          <w:sz w:val="24"/>
          <w:szCs w:val="24"/>
          <w:vertAlign w:val="subscript"/>
        </w:rPr>
        <w:t>NOx</w:t>
      </w:r>
      <w:r>
        <w:rPr>
          <w:rFonts w:ascii="Times New Roman" w:hAnsi="Times New Roman"/>
          <w:spacing w:val="-2"/>
          <w:kern w:val="0"/>
          <w:sz w:val="24"/>
          <w:szCs w:val="24"/>
        </w:rPr>
        <w:t>——核算时段内氮氧化物排放量，t；</w:t>
      </w:r>
    </w:p>
    <w:p w14:paraId="002317D8">
      <w:pPr>
        <w:tabs>
          <w:tab w:val="left" w:pos="900"/>
        </w:tabs>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ρ</w:t>
      </w:r>
      <w:r>
        <w:rPr>
          <w:rFonts w:ascii="Times New Roman" w:hAnsi="Times New Roman"/>
          <w:spacing w:val="-2"/>
          <w:kern w:val="0"/>
          <w:sz w:val="24"/>
          <w:szCs w:val="24"/>
          <w:vertAlign w:val="subscript"/>
        </w:rPr>
        <w:t>NOx</w:t>
      </w:r>
      <w:r>
        <w:rPr>
          <w:rFonts w:ascii="Times New Roman" w:hAnsi="Times New Roman"/>
          <w:spacing w:val="-2"/>
          <w:kern w:val="0"/>
          <w:sz w:val="24"/>
          <w:szCs w:val="24"/>
        </w:rPr>
        <w:t>——锅炉炉膛出口氮氧化物质量浓度，mg/m</w:t>
      </w:r>
      <w:r>
        <w:rPr>
          <w:rFonts w:ascii="Times New Roman" w:hAnsi="Times New Roman"/>
          <w:spacing w:val="-2"/>
          <w:kern w:val="0"/>
          <w:sz w:val="24"/>
          <w:szCs w:val="24"/>
          <w:vertAlign w:val="superscript"/>
        </w:rPr>
        <w:t>3</w:t>
      </w:r>
      <w:r>
        <w:rPr>
          <w:rFonts w:ascii="Times New Roman" w:hAnsi="Times New Roman"/>
          <w:spacing w:val="-2"/>
          <w:kern w:val="0"/>
          <w:sz w:val="24"/>
          <w:szCs w:val="24"/>
        </w:rPr>
        <w:t>；</w:t>
      </w:r>
      <w:r>
        <w:rPr>
          <w:rFonts w:hint="eastAsia" w:ascii="Times New Roman" w:hAnsi="Times New Roman"/>
          <w:spacing w:val="-2"/>
          <w:kern w:val="0"/>
          <w:sz w:val="24"/>
          <w:szCs w:val="24"/>
          <w:u w:val="single"/>
        </w:rPr>
        <w:t>本项目烘干炉规模较小，根据附录B燃生物质炉浓度推荐值，取100</w:t>
      </w:r>
      <w:r>
        <w:rPr>
          <w:rFonts w:ascii="Times New Roman" w:hAnsi="Times New Roman"/>
          <w:spacing w:val="-2"/>
          <w:kern w:val="0"/>
          <w:sz w:val="24"/>
          <w:szCs w:val="24"/>
          <w:u w:val="single"/>
        </w:rPr>
        <w:t>mg/m</w:t>
      </w:r>
      <w:r>
        <w:rPr>
          <w:rFonts w:hint="eastAsia" w:ascii="Times New Roman" w:hAnsi="Times New Roman"/>
          <w:spacing w:val="-2"/>
          <w:kern w:val="0"/>
          <w:sz w:val="24"/>
          <w:szCs w:val="24"/>
          <w:u w:val="single"/>
          <w:vertAlign w:val="superscript"/>
        </w:rPr>
        <w:t>3</w:t>
      </w:r>
      <w:r>
        <w:rPr>
          <w:rFonts w:hint="eastAsia" w:ascii="Times New Roman" w:hAnsi="Times New Roman"/>
          <w:spacing w:val="-2"/>
          <w:kern w:val="0"/>
          <w:sz w:val="24"/>
          <w:szCs w:val="24"/>
          <w:u w:val="single"/>
        </w:rPr>
        <w:t>；</w:t>
      </w:r>
    </w:p>
    <w:p w14:paraId="5D56697F">
      <w:pPr>
        <w:tabs>
          <w:tab w:val="left" w:pos="900"/>
        </w:tabs>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Q——核算时段内标态干烟气排放量，m</w:t>
      </w:r>
      <w:r>
        <w:rPr>
          <w:rFonts w:ascii="Times New Roman" w:hAnsi="Times New Roman"/>
          <w:spacing w:val="-2"/>
          <w:kern w:val="0"/>
          <w:sz w:val="24"/>
          <w:szCs w:val="24"/>
          <w:vertAlign w:val="superscript"/>
        </w:rPr>
        <w:t>3</w:t>
      </w:r>
      <w:r>
        <w:rPr>
          <w:rFonts w:ascii="Times New Roman" w:hAnsi="Times New Roman"/>
          <w:spacing w:val="-2"/>
          <w:kern w:val="0"/>
          <w:sz w:val="24"/>
          <w:szCs w:val="24"/>
        </w:rPr>
        <w:t>；</w:t>
      </w:r>
      <w:r>
        <w:rPr>
          <w:rFonts w:hint="eastAsia" w:ascii="Times New Roman" w:hAnsi="Times New Roman"/>
          <w:spacing w:val="-2"/>
          <w:kern w:val="0"/>
          <w:sz w:val="24"/>
          <w:szCs w:val="24"/>
        </w:rPr>
        <w:t>按引风机设计风量5000m</w:t>
      </w:r>
      <w:r>
        <w:rPr>
          <w:rFonts w:hint="eastAsia" w:ascii="Times New Roman" w:hAnsi="Times New Roman"/>
          <w:spacing w:val="-2"/>
          <w:kern w:val="0"/>
          <w:sz w:val="24"/>
          <w:szCs w:val="24"/>
          <w:vertAlign w:val="superscript"/>
        </w:rPr>
        <w:t>3</w:t>
      </w:r>
      <w:r>
        <w:rPr>
          <w:rFonts w:hint="eastAsia" w:ascii="Times New Roman" w:hAnsi="Times New Roman"/>
          <w:spacing w:val="-2"/>
          <w:kern w:val="0"/>
          <w:sz w:val="24"/>
          <w:szCs w:val="24"/>
        </w:rPr>
        <w:t>/h取值；</w:t>
      </w:r>
    </w:p>
    <w:p w14:paraId="571A1789">
      <w:pPr>
        <w:tabs>
          <w:tab w:val="left" w:pos="900"/>
        </w:tabs>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η</w:t>
      </w:r>
      <w:r>
        <w:rPr>
          <w:rFonts w:ascii="Times New Roman" w:hAnsi="Times New Roman"/>
          <w:spacing w:val="-2"/>
          <w:kern w:val="0"/>
          <w:sz w:val="24"/>
          <w:szCs w:val="24"/>
          <w:vertAlign w:val="subscript"/>
        </w:rPr>
        <w:t>NOx</w:t>
      </w:r>
      <w:r>
        <w:rPr>
          <w:rFonts w:ascii="Times New Roman" w:hAnsi="Times New Roman"/>
          <w:spacing w:val="-2"/>
          <w:kern w:val="0"/>
          <w:sz w:val="24"/>
          <w:szCs w:val="24"/>
        </w:rPr>
        <w:t>——脱硝效率，%。</w:t>
      </w:r>
    </w:p>
    <w:p w14:paraId="1F05C84D">
      <w:pPr>
        <w:tabs>
          <w:tab w:val="left" w:pos="900"/>
        </w:tabs>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项目脱氮效率为0。</w:t>
      </w:r>
    </w:p>
    <w:p w14:paraId="3BE1EA2B">
      <w:pPr>
        <w:tabs>
          <w:tab w:val="left" w:pos="900"/>
        </w:tabs>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w:t>
      </w:r>
      <w:r>
        <w:rPr>
          <w:rFonts w:hint="eastAsia" w:ascii="Times New Roman" w:hAnsi="Times New Roman"/>
          <w:spacing w:val="-2"/>
          <w:kern w:val="0"/>
          <w:sz w:val="24"/>
          <w:szCs w:val="24"/>
        </w:rPr>
        <w:t>4</w:t>
      </w:r>
      <w:r>
        <w:rPr>
          <w:rFonts w:ascii="Times New Roman" w:hAnsi="Times New Roman"/>
          <w:spacing w:val="-2"/>
          <w:kern w:val="0"/>
          <w:sz w:val="24"/>
          <w:szCs w:val="24"/>
        </w:rPr>
        <w:t>）烟气排放情况</w:t>
      </w:r>
    </w:p>
    <w:p w14:paraId="64E1564D">
      <w:pPr>
        <w:tabs>
          <w:tab w:val="left" w:pos="900"/>
        </w:tabs>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本项目烘干炉烟气采用袋式除尘系统进行处理，布袋除尘系统对烟尘</w:t>
      </w:r>
      <w:r>
        <w:rPr>
          <w:rFonts w:hint="eastAsia" w:ascii="Times New Roman" w:hAnsi="Times New Roman"/>
          <w:spacing w:val="-2"/>
          <w:kern w:val="0"/>
          <w:sz w:val="24"/>
          <w:szCs w:val="24"/>
          <w:lang w:eastAsia="zh-CN"/>
        </w:rPr>
        <w:t>有较好地处理</w:t>
      </w:r>
      <w:r>
        <w:rPr>
          <w:rFonts w:ascii="Times New Roman" w:hAnsi="Times New Roman"/>
          <w:spacing w:val="-2"/>
          <w:kern w:val="0"/>
          <w:sz w:val="24"/>
          <w:szCs w:val="24"/>
        </w:rPr>
        <w:t>效率，参考《污染源源强核算技术指南 锅炉》（HJ991-2018）附录B废气污染源源强核算参考值，袋式除尘器颗粒物脱除效率达到99</w:t>
      </w:r>
      <w:r>
        <w:rPr>
          <w:rFonts w:hint="eastAsia" w:ascii="Times New Roman" w:hAnsi="Times New Roman"/>
          <w:spacing w:val="-2"/>
          <w:kern w:val="0"/>
          <w:sz w:val="24"/>
          <w:szCs w:val="24"/>
          <w:lang w:eastAsia="zh-CN"/>
        </w:rPr>
        <w:t>%～</w:t>
      </w:r>
      <w:r>
        <w:rPr>
          <w:rFonts w:ascii="Times New Roman" w:hAnsi="Times New Roman"/>
          <w:spacing w:val="-2"/>
          <w:kern w:val="0"/>
          <w:sz w:val="24"/>
          <w:szCs w:val="24"/>
        </w:rPr>
        <w:t>99.99%，评价按保守99%计算。</w:t>
      </w:r>
      <w:r>
        <w:rPr>
          <w:rFonts w:ascii="Times New Roman" w:hAnsi="Times New Roman"/>
          <w:spacing w:val="-2"/>
          <w:kern w:val="0"/>
          <w:sz w:val="24"/>
          <w:szCs w:val="24"/>
          <w:u w:val="single"/>
        </w:rPr>
        <w:t>项目烘干炉除尘处理系统配套风量为</w:t>
      </w:r>
      <w:r>
        <w:rPr>
          <w:rFonts w:hint="eastAsia" w:ascii="Times New Roman" w:hAnsi="Times New Roman"/>
          <w:spacing w:val="-2"/>
          <w:kern w:val="0"/>
          <w:sz w:val="24"/>
          <w:szCs w:val="24"/>
          <w:u w:val="single"/>
        </w:rPr>
        <w:t>3</w:t>
      </w:r>
      <w:r>
        <w:rPr>
          <w:rFonts w:ascii="Times New Roman" w:hAnsi="Times New Roman"/>
          <w:spacing w:val="-2"/>
          <w:kern w:val="0"/>
          <w:sz w:val="24"/>
          <w:szCs w:val="24"/>
          <w:u w:val="single"/>
        </w:rPr>
        <w:t>000m</w:t>
      </w:r>
      <w:r>
        <w:rPr>
          <w:rFonts w:ascii="Times New Roman" w:hAnsi="Times New Roman"/>
          <w:spacing w:val="-2"/>
          <w:kern w:val="0"/>
          <w:sz w:val="24"/>
          <w:szCs w:val="24"/>
          <w:u w:val="single"/>
          <w:vertAlign w:val="superscript"/>
        </w:rPr>
        <w:t>3</w:t>
      </w:r>
      <w:r>
        <w:rPr>
          <w:rFonts w:ascii="Times New Roman" w:hAnsi="Times New Roman"/>
          <w:spacing w:val="-2"/>
          <w:kern w:val="0"/>
          <w:sz w:val="24"/>
          <w:szCs w:val="24"/>
          <w:u w:val="single"/>
        </w:rPr>
        <w:t>/h引风机，处理后的烟气排气量</w:t>
      </w:r>
      <w:bookmarkStart w:id="108" w:name="OLE_LINK4"/>
      <w:r>
        <w:rPr>
          <w:rFonts w:ascii="Times New Roman" w:hAnsi="Times New Roman"/>
          <w:spacing w:val="-2"/>
          <w:kern w:val="0"/>
          <w:sz w:val="24"/>
          <w:szCs w:val="24"/>
          <w:u w:val="single"/>
        </w:rPr>
        <w:t>为</w:t>
      </w:r>
      <w:r>
        <w:rPr>
          <w:rFonts w:hint="eastAsia" w:ascii="Times New Roman" w:hAnsi="Times New Roman"/>
          <w:spacing w:val="-2"/>
          <w:kern w:val="0"/>
          <w:sz w:val="24"/>
          <w:szCs w:val="24"/>
          <w:u w:val="single"/>
        </w:rPr>
        <w:t>144</w:t>
      </w:r>
      <w:r>
        <w:rPr>
          <w:rFonts w:ascii="Times New Roman" w:hAnsi="Times New Roman"/>
          <w:spacing w:val="-2"/>
          <w:kern w:val="0"/>
          <w:sz w:val="24"/>
          <w:szCs w:val="24"/>
          <w:u w:val="single"/>
        </w:rPr>
        <w:t>0万m</w:t>
      </w:r>
      <w:r>
        <w:rPr>
          <w:rFonts w:ascii="Times New Roman" w:hAnsi="Times New Roman"/>
          <w:spacing w:val="-2"/>
          <w:kern w:val="0"/>
          <w:sz w:val="24"/>
          <w:szCs w:val="24"/>
          <w:u w:val="single"/>
          <w:vertAlign w:val="superscript"/>
        </w:rPr>
        <w:t>3</w:t>
      </w:r>
      <w:r>
        <w:rPr>
          <w:rFonts w:ascii="Times New Roman" w:hAnsi="Times New Roman"/>
          <w:spacing w:val="-2"/>
          <w:kern w:val="0"/>
          <w:sz w:val="24"/>
          <w:szCs w:val="24"/>
          <w:u w:val="single"/>
        </w:rPr>
        <w:t>/a，</w:t>
      </w:r>
      <w:bookmarkEnd w:id="108"/>
      <w:r>
        <w:rPr>
          <w:rFonts w:ascii="Times New Roman" w:hAnsi="Times New Roman"/>
          <w:spacing w:val="-2"/>
          <w:kern w:val="0"/>
          <w:sz w:val="24"/>
          <w:szCs w:val="24"/>
        </w:rPr>
        <w:t>处理后烟气通过1</w:t>
      </w:r>
      <w:r>
        <w:rPr>
          <w:rFonts w:hint="eastAsia" w:ascii="Times New Roman" w:hAnsi="Times New Roman"/>
          <w:spacing w:val="-2"/>
          <w:kern w:val="0"/>
          <w:sz w:val="24"/>
          <w:szCs w:val="24"/>
        </w:rPr>
        <w:t>9</w:t>
      </w:r>
      <w:r>
        <w:rPr>
          <w:rFonts w:ascii="Times New Roman" w:hAnsi="Times New Roman"/>
          <w:spacing w:val="-2"/>
          <w:kern w:val="0"/>
          <w:sz w:val="24"/>
          <w:szCs w:val="24"/>
        </w:rPr>
        <w:t>m高、直径0.</w:t>
      </w:r>
      <w:r>
        <w:rPr>
          <w:rFonts w:hint="eastAsia" w:ascii="Times New Roman" w:hAnsi="Times New Roman"/>
          <w:spacing w:val="-2"/>
          <w:kern w:val="0"/>
          <w:sz w:val="24"/>
          <w:szCs w:val="24"/>
        </w:rPr>
        <w:t>3</w:t>
      </w:r>
      <w:r>
        <w:rPr>
          <w:rFonts w:ascii="Times New Roman" w:hAnsi="Times New Roman"/>
          <w:spacing w:val="-2"/>
          <w:kern w:val="0"/>
          <w:sz w:val="24"/>
          <w:szCs w:val="24"/>
        </w:rPr>
        <w:t>m的排气筒（DA001）排放，排气筒位置位于1#原料处理车间北侧厂房外。</w:t>
      </w:r>
    </w:p>
    <w:p w14:paraId="33B8AA48">
      <w:pPr>
        <w:tabs>
          <w:tab w:val="left" w:pos="900"/>
        </w:tabs>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烘干炉烟气中各污染指标参考《污染源源强核算技术指南 锅炉》（HJ991-2018）计算后，项目烘干炉烟气产排污情况见表2.3-1，排气筒排放浓度、排放速率达标情况见表2.3-2、表2.3-3。</w:t>
      </w:r>
    </w:p>
    <w:p w14:paraId="4E694B9F">
      <w:pPr>
        <w:pStyle w:val="8"/>
        <w:numPr>
          <w:ilvl w:val="4"/>
          <w:numId w:val="3"/>
        </w:numPr>
        <w:rPr>
          <w:sz w:val="24"/>
          <w:szCs w:val="24"/>
        </w:rPr>
      </w:pPr>
      <w:r>
        <w:rPr>
          <w:sz w:val="24"/>
          <w:szCs w:val="24"/>
        </w:rPr>
        <w:t>项目烘干炉烟气产排污情况</w:t>
      </w:r>
    </w:p>
    <w:tbl>
      <w:tblPr>
        <w:tblStyle w:val="88"/>
        <w:tblW w:w="904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00"/>
        <w:gridCol w:w="702"/>
        <w:gridCol w:w="1394"/>
        <w:gridCol w:w="984"/>
        <w:gridCol w:w="913"/>
        <w:gridCol w:w="835"/>
        <w:gridCol w:w="1173"/>
        <w:gridCol w:w="1173"/>
        <w:gridCol w:w="1166"/>
      </w:tblGrid>
      <w:tr w14:paraId="591526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700" w:type="dxa"/>
            <w:vMerge w:val="restart"/>
            <w:vAlign w:val="center"/>
          </w:tcPr>
          <w:p w14:paraId="3886E6D5">
            <w:pPr>
              <w:widowControl/>
              <w:jc w:val="center"/>
              <w:rPr>
                <w:rFonts w:ascii="Times New Roman" w:hAnsi="Times New Roman"/>
                <w:b/>
                <w:bCs/>
                <w:kern w:val="0"/>
                <w:szCs w:val="21"/>
              </w:rPr>
            </w:pPr>
            <w:r>
              <w:rPr>
                <w:rFonts w:ascii="Times New Roman" w:hAnsi="Times New Roman"/>
                <w:b/>
                <w:bCs/>
                <w:kern w:val="0"/>
                <w:szCs w:val="21"/>
              </w:rPr>
              <w:t>排放源</w:t>
            </w:r>
          </w:p>
        </w:tc>
        <w:tc>
          <w:tcPr>
            <w:tcW w:w="702" w:type="dxa"/>
            <w:vMerge w:val="restart"/>
            <w:vAlign w:val="center"/>
          </w:tcPr>
          <w:p w14:paraId="2A524B94">
            <w:pPr>
              <w:widowControl/>
              <w:jc w:val="center"/>
              <w:rPr>
                <w:rFonts w:ascii="Times New Roman" w:hAnsi="Times New Roman"/>
                <w:b/>
                <w:bCs/>
                <w:kern w:val="0"/>
                <w:szCs w:val="21"/>
              </w:rPr>
            </w:pPr>
            <w:r>
              <w:rPr>
                <w:rFonts w:ascii="Times New Roman" w:hAnsi="Times New Roman"/>
                <w:b/>
                <w:bCs/>
                <w:kern w:val="0"/>
                <w:szCs w:val="21"/>
              </w:rPr>
              <w:t>污染物</w:t>
            </w:r>
          </w:p>
        </w:tc>
        <w:tc>
          <w:tcPr>
            <w:tcW w:w="1394" w:type="dxa"/>
            <w:vMerge w:val="restart"/>
            <w:vAlign w:val="center"/>
          </w:tcPr>
          <w:p w14:paraId="322A2A35">
            <w:pPr>
              <w:widowControl/>
              <w:jc w:val="center"/>
              <w:rPr>
                <w:rFonts w:ascii="Times New Roman" w:hAnsi="Times New Roman"/>
                <w:b/>
                <w:bCs/>
                <w:kern w:val="0"/>
                <w:szCs w:val="21"/>
              </w:rPr>
            </w:pPr>
            <w:r>
              <w:rPr>
                <w:rFonts w:ascii="Times New Roman" w:hAnsi="Times New Roman"/>
                <w:b/>
                <w:bCs/>
                <w:kern w:val="0"/>
                <w:szCs w:val="21"/>
              </w:rPr>
              <w:t>烟气量</w:t>
            </w:r>
          </w:p>
          <w:p w14:paraId="16A20AFF">
            <w:pPr>
              <w:jc w:val="center"/>
              <w:rPr>
                <w:rFonts w:ascii="Times New Roman" w:hAnsi="Times New Roman"/>
                <w:b/>
                <w:bCs/>
                <w:kern w:val="0"/>
                <w:szCs w:val="21"/>
              </w:rPr>
            </w:pPr>
            <w:r>
              <w:rPr>
                <w:rFonts w:ascii="Times New Roman" w:hAnsi="Times New Roman"/>
                <w:b/>
                <w:bCs/>
                <w:kern w:val="0"/>
                <w:szCs w:val="21"/>
              </w:rPr>
              <w:t>(m</w:t>
            </w:r>
            <w:r>
              <w:rPr>
                <w:rFonts w:ascii="Times New Roman" w:hAnsi="Times New Roman"/>
                <w:b/>
                <w:bCs/>
                <w:kern w:val="0"/>
                <w:szCs w:val="21"/>
                <w:vertAlign w:val="superscript"/>
              </w:rPr>
              <w:t>3</w:t>
            </w:r>
            <w:r>
              <w:rPr>
                <w:rFonts w:ascii="Times New Roman" w:hAnsi="Times New Roman"/>
                <w:b/>
                <w:bCs/>
                <w:kern w:val="0"/>
                <w:szCs w:val="21"/>
              </w:rPr>
              <w:t>/a)</w:t>
            </w:r>
          </w:p>
        </w:tc>
        <w:tc>
          <w:tcPr>
            <w:tcW w:w="984" w:type="dxa"/>
            <w:vMerge w:val="restart"/>
            <w:vAlign w:val="center"/>
          </w:tcPr>
          <w:p w14:paraId="618CA703">
            <w:pPr>
              <w:widowControl/>
              <w:jc w:val="center"/>
              <w:rPr>
                <w:rFonts w:ascii="Times New Roman" w:hAnsi="Times New Roman"/>
                <w:b/>
                <w:bCs/>
                <w:kern w:val="0"/>
                <w:szCs w:val="21"/>
              </w:rPr>
            </w:pPr>
            <w:r>
              <w:rPr>
                <w:rFonts w:ascii="Times New Roman" w:hAnsi="Times New Roman"/>
                <w:b/>
                <w:bCs/>
                <w:kern w:val="0"/>
                <w:szCs w:val="21"/>
              </w:rPr>
              <w:t>产生量</w:t>
            </w:r>
          </w:p>
          <w:p w14:paraId="6BEFF7C7">
            <w:pPr>
              <w:jc w:val="center"/>
              <w:rPr>
                <w:rFonts w:ascii="Times New Roman" w:hAnsi="Times New Roman"/>
                <w:b/>
                <w:bCs/>
                <w:kern w:val="0"/>
                <w:szCs w:val="21"/>
              </w:rPr>
            </w:pPr>
            <w:r>
              <w:rPr>
                <w:rFonts w:ascii="Times New Roman" w:hAnsi="Times New Roman"/>
                <w:b/>
                <w:bCs/>
                <w:kern w:val="0"/>
                <w:szCs w:val="21"/>
              </w:rPr>
              <w:t>(t/a)</w:t>
            </w:r>
          </w:p>
        </w:tc>
        <w:tc>
          <w:tcPr>
            <w:tcW w:w="1748" w:type="dxa"/>
            <w:gridSpan w:val="2"/>
            <w:vAlign w:val="center"/>
          </w:tcPr>
          <w:p w14:paraId="70017764">
            <w:pPr>
              <w:widowControl/>
              <w:jc w:val="center"/>
              <w:rPr>
                <w:rFonts w:ascii="Times New Roman" w:hAnsi="Times New Roman"/>
                <w:b/>
                <w:bCs/>
                <w:kern w:val="0"/>
                <w:szCs w:val="21"/>
              </w:rPr>
            </w:pPr>
            <w:r>
              <w:rPr>
                <w:rFonts w:ascii="Times New Roman" w:hAnsi="Times New Roman"/>
                <w:b/>
                <w:bCs/>
                <w:kern w:val="0"/>
                <w:szCs w:val="21"/>
              </w:rPr>
              <w:t>治理措施</w:t>
            </w:r>
          </w:p>
        </w:tc>
        <w:tc>
          <w:tcPr>
            <w:tcW w:w="1173" w:type="dxa"/>
            <w:vMerge w:val="restart"/>
            <w:vAlign w:val="center"/>
          </w:tcPr>
          <w:p w14:paraId="034E18F7">
            <w:pPr>
              <w:widowControl/>
              <w:jc w:val="center"/>
              <w:rPr>
                <w:rFonts w:ascii="Times New Roman" w:hAnsi="Times New Roman"/>
                <w:b/>
                <w:bCs/>
                <w:kern w:val="0"/>
                <w:szCs w:val="21"/>
              </w:rPr>
            </w:pPr>
            <w:r>
              <w:rPr>
                <w:rFonts w:ascii="Times New Roman" w:hAnsi="Times New Roman"/>
                <w:b/>
                <w:bCs/>
                <w:kern w:val="0"/>
                <w:szCs w:val="21"/>
              </w:rPr>
              <w:t>排放量</w:t>
            </w:r>
          </w:p>
          <w:p w14:paraId="662062EA">
            <w:pPr>
              <w:widowControl/>
              <w:jc w:val="center"/>
              <w:rPr>
                <w:rFonts w:ascii="Times New Roman" w:hAnsi="Times New Roman"/>
                <w:b/>
                <w:bCs/>
                <w:kern w:val="0"/>
                <w:szCs w:val="21"/>
              </w:rPr>
            </w:pPr>
            <w:r>
              <w:rPr>
                <w:rFonts w:ascii="Times New Roman" w:hAnsi="Times New Roman"/>
                <w:b/>
                <w:bCs/>
                <w:kern w:val="0"/>
                <w:szCs w:val="21"/>
              </w:rPr>
              <w:t>(t/a)</w:t>
            </w:r>
          </w:p>
        </w:tc>
        <w:tc>
          <w:tcPr>
            <w:tcW w:w="1173" w:type="dxa"/>
            <w:vMerge w:val="restart"/>
            <w:vAlign w:val="center"/>
          </w:tcPr>
          <w:p w14:paraId="037FAB24">
            <w:pPr>
              <w:widowControl/>
              <w:jc w:val="center"/>
              <w:rPr>
                <w:rFonts w:ascii="Times New Roman" w:hAnsi="Times New Roman"/>
                <w:b/>
                <w:bCs/>
                <w:kern w:val="0"/>
                <w:szCs w:val="21"/>
              </w:rPr>
            </w:pPr>
            <w:r>
              <w:rPr>
                <w:rFonts w:ascii="Times New Roman" w:hAnsi="Times New Roman"/>
                <w:b/>
                <w:bCs/>
                <w:kern w:val="0"/>
                <w:szCs w:val="21"/>
              </w:rPr>
              <w:t>排放速率</w:t>
            </w:r>
          </w:p>
          <w:p w14:paraId="53D53F6C">
            <w:pPr>
              <w:widowControl/>
              <w:jc w:val="center"/>
              <w:rPr>
                <w:rFonts w:ascii="Times New Roman" w:hAnsi="Times New Roman"/>
                <w:b/>
                <w:bCs/>
                <w:kern w:val="0"/>
                <w:szCs w:val="21"/>
              </w:rPr>
            </w:pPr>
            <w:r>
              <w:rPr>
                <w:rFonts w:ascii="Times New Roman" w:hAnsi="Times New Roman"/>
                <w:b/>
                <w:bCs/>
                <w:kern w:val="0"/>
                <w:szCs w:val="21"/>
              </w:rPr>
              <w:t>(kg/h)</w:t>
            </w:r>
          </w:p>
        </w:tc>
        <w:tc>
          <w:tcPr>
            <w:tcW w:w="1166" w:type="dxa"/>
            <w:vMerge w:val="restart"/>
            <w:vAlign w:val="center"/>
          </w:tcPr>
          <w:p w14:paraId="36EEE6AE">
            <w:pPr>
              <w:widowControl/>
              <w:jc w:val="center"/>
              <w:rPr>
                <w:rFonts w:ascii="Times New Roman" w:hAnsi="Times New Roman"/>
                <w:b/>
                <w:bCs/>
                <w:kern w:val="0"/>
                <w:szCs w:val="21"/>
              </w:rPr>
            </w:pPr>
            <w:r>
              <w:rPr>
                <w:rFonts w:ascii="Times New Roman" w:hAnsi="Times New Roman"/>
                <w:b/>
                <w:bCs/>
                <w:kern w:val="0"/>
                <w:szCs w:val="21"/>
              </w:rPr>
              <w:t>排放浓度</w:t>
            </w:r>
          </w:p>
          <w:p w14:paraId="06146FE4">
            <w:pPr>
              <w:widowControl/>
              <w:jc w:val="center"/>
              <w:rPr>
                <w:rFonts w:ascii="Times New Roman" w:hAnsi="Times New Roman"/>
                <w:b/>
                <w:bCs/>
                <w:kern w:val="0"/>
                <w:szCs w:val="21"/>
              </w:rPr>
            </w:pPr>
            <w:r>
              <w:rPr>
                <w:rFonts w:ascii="Times New Roman" w:hAnsi="Times New Roman"/>
                <w:b/>
                <w:bCs/>
                <w:kern w:val="0"/>
                <w:szCs w:val="21"/>
              </w:rPr>
              <w:t>(mg/m</w:t>
            </w:r>
            <w:r>
              <w:rPr>
                <w:rFonts w:ascii="Times New Roman" w:hAnsi="Times New Roman"/>
                <w:b/>
                <w:bCs/>
                <w:kern w:val="0"/>
                <w:szCs w:val="21"/>
                <w:vertAlign w:val="superscript"/>
              </w:rPr>
              <w:t>3</w:t>
            </w:r>
            <w:r>
              <w:rPr>
                <w:rFonts w:ascii="Times New Roman" w:hAnsi="Times New Roman"/>
                <w:b/>
                <w:bCs/>
                <w:kern w:val="0"/>
                <w:szCs w:val="21"/>
              </w:rPr>
              <w:t>)</w:t>
            </w:r>
          </w:p>
        </w:tc>
      </w:tr>
      <w:tr w14:paraId="4DF62E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700" w:type="dxa"/>
            <w:vMerge w:val="continue"/>
            <w:vAlign w:val="center"/>
          </w:tcPr>
          <w:p w14:paraId="1B792160">
            <w:pPr>
              <w:widowControl/>
              <w:jc w:val="left"/>
              <w:rPr>
                <w:rFonts w:ascii="Times New Roman" w:hAnsi="Times New Roman"/>
                <w:b/>
                <w:bCs/>
                <w:kern w:val="0"/>
                <w:szCs w:val="21"/>
              </w:rPr>
            </w:pPr>
          </w:p>
        </w:tc>
        <w:tc>
          <w:tcPr>
            <w:tcW w:w="702" w:type="dxa"/>
            <w:vMerge w:val="continue"/>
            <w:vAlign w:val="center"/>
          </w:tcPr>
          <w:p w14:paraId="11021CA5">
            <w:pPr>
              <w:widowControl/>
              <w:jc w:val="left"/>
              <w:rPr>
                <w:rFonts w:ascii="Times New Roman" w:hAnsi="Times New Roman"/>
                <w:b/>
                <w:bCs/>
                <w:kern w:val="0"/>
                <w:szCs w:val="21"/>
              </w:rPr>
            </w:pPr>
          </w:p>
        </w:tc>
        <w:tc>
          <w:tcPr>
            <w:tcW w:w="1394" w:type="dxa"/>
            <w:vMerge w:val="continue"/>
            <w:vAlign w:val="center"/>
          </w:tcPr>
          <w:p w14:paraId="1911A555">
            <w:pPr>
              <w:widowControl/>
              <w:jc w:val="center"/>
              <w:rPr>
                <w:rFonts w:ascii="Times New Roman" w:hAnsi="Times New Roman"/>
                <w:b/>
                <w:bCs/>
                <w:kern w:val="0"/>
                <w:szCs w:val="21"/>
              </w:rPr>
            </w:pPr>
          </w:p>
        </w:tc>
        <w:tc>
          <w:tcPr>
            <w:tcW w:w="984" w:type="dxa"/>
            <w:vMerge w:val="continue"/>
            <w:vAlign w:val="center"/>
          </w:tcPr>
          <w:p w14:paraId="55007AFB">
            <w:pPr>
              <w:widowControl/>
              <w:jc w:val="center"/>
              <w:rPr>
                <w:rFonts w:ascii="Times New Roman" w:hAnsi="Times New Roman"/>
                <w:b/>
                <w:bCs/>
                <w:kern w:val="0"/>
                <w:szCs w:val="21"/>
              </w:rPr>
            </w:pPr>
          </w:p>
        </w:tc>
        <w:tc>
          <w:tcPr>
            <w:tcW w:w="913" w:type="dxa"/>
            <w:vAlign w:val="center"/>
          </w:tcPr>
          <w:p w14:paraId="0E7AC581">
            <w:pPr>
              <w:widowControl/>
              <w:jc w:val="center"/>
              <w:rPr>
                <w:rFonts w:ascii="Times New Roman" w:hAnsi="Times New Roman"/>
                <w:b/>
                <w:bCs/>
                <w:kern w:val="0"/>
                <w:szCs w:val="21"/>
              </w:rPr>
            </w:pPr>
            <w:r>
              <w:rPr>
                <w:rFonts w:ascii="Times New Roman" w:hAnsi="Times New Roman"/>
                <w:b/>
                <w:bCs/>
                <w:kern w:val="0"/>
                <w:szCs w:val="21"/>
              </w:rPr>
              <w:t>工艺</w:t>
            </w:r>
          </w:p>
        </w:tc>
        <w:tc>
          <w:tcPr>
            <w:tcW w:w="835" w:type="dxa"/>
            <w:vAlign w:val="center"/>
          </w:tcPr>
          <w:p w14:paraId="16F7A2EF">
            <w:pPr>
              <w:widowControl/>
              <w:jc w:val="center"/>
              <w:rPr>
                <w:rFonts w:ascii="Times New Roman" w:hAnsi="Times New Roman"/>
                <w:b/>
                <w:bCs/>
                <w:kern w:val="0"/>
                <w:szCs w:val="21"/>
              </w:rPr>
            </w:pPr>
            <w:r>
              <w:rPr>
                <w:rFonts w:ascii="Times New Roman" w:hAnsi="Times New Roman"/>
                <w:b/>
                <w:bCs/>
                <w:kern w:val="0"/>
                <w:szCs w:val="21"/>
              </w:rPr>
              <w:t>效率</w:t>
            </w:r>
          </w:p>
        </w:tc>
        <w:tc>
          <w:tcPr>
            <w:tcW w:w="1173" w:type="dxa"/>
            <w:vMerge w:val="continue"/>
            <w:vAlign w:val="center"/>
          </w:tcPr>
          <w:p w14:paraId="35325FB9">
            <w:pPr>
              <w:widowControl/>
              <w:jc w:val="left"/>
              <w:rPr>
                <w:rFonts w:ascii="Times New Roman" w:hAnsi="Times New Roman"/>
                <w:b/>
                <w:bCs/>
                <w:kern w:val="0"/>
                <w:szCs w:val="21"/>
              </w:rPr>
            </w:pPr>
          </w:p>
        </w:tc>
        <w:tc>
          <w:tcPr>
            <w:tcW w:w="1173" w:type="dxa"/>
            <w:vMerge w:val="continue"/>
            <w:vAlign w:val="center"/>
          </w:tcPr>
          <w:p w14:paraId="688F1F2F">
            <w:pPr>
              <w:widowControl/>
              <w:jc w:val="left"/>
              <w:rPr>
                <w:rFonts w:ascii="Times New Roman" w:hAnsi="Times New Roman"/>
                <w:b/>
                <w:bCs/>
                <w:kern w:val="0"/>
                <w:szCs w:val="21"/>
              </w:rPr>
            </w:pPr>
          </w:p>
        </w:tc>
        <w:tc>
          <w:tcPr>
            <w:tcW w:w="1166" w:type="dxa"/>
            <w:vMerge w:val="continue"/>
            <w:vAlign w:val="center"/>
          </w:tcPr>
          <w:p w14:paraId="55AC4C41">
            <w:pPr>
              <w:widowControl/>
              <w:jc w:val="left"/>
              <w:rPr>
                <w:rFonts w:ascii="Times New Roman" w:hAnsi="Times New Roman"/>
                <w:b/>
                <w:bCs/>
                <w:kern w:val="0"/>
                <w:szCs w:val="21"/>
              </w:rPr>
            </w:pPr>
          </w:p>
        </w:tc>
      </w:tr>
      <w:tr w14:paraId="0DD409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700" w:type="dxa"/>
            <w:vMerge w:val="restart"/>
            <w:vAlign w:val="center"/>
          </w:tcPr>
          <w:p w14:paraId="78744292">
            <w:pPr>
              <w:widowControl/>
              <w:jc w:val="center"/>
              <w:rPr>
                <w:rFonts w:ascii="Times New Roman" w:hAnsi="Times New Roman"/>
                <w:kern w:val="0"/>
                <w:szCs w:val="21"/>
              </w:rPr>
            </w:pPr>
            <w:r>
              <w:rPr>
                <w:rFonts w:ascii="Times New Roman" w:hAnsi="Times New Roman"/>
                <w:kern w:val="0"/>
                <w:szCs w:val="21"/>
              </w:rPr>
              <w:t>烘干炉</w:t>
            </w:r>
          </w:p>
          <w:p w14:paraId="1F2AC584">
            <w:pPr>
              <w:widowControl/>
              <w:jc w:val="center"/>
              <w:rPr>
                <w:rFonts w:ascii="Times New Roman" w:hAnsi="Times New Roman"/>
                <w:kern w:val="0"/>
                <w:szCs w:val="21"/>
              </w:rPr>
            </w:pPr>
            <w:r>
              <w:rPr>
                <w:rFonts w:ascii="Times New Roman" w:hAnsi="Times New Roman"/>
                <w:kern w:val="0"/>
                <w:szCs w:val="21"/>
              </w:rPr>
              <w:t>烟气</w:t>
            </w:r>
          </w:p>
        </w:tc>
        <w:tc>
          <w:tcPr>
            <w:tcW w:w="702" w:type="dxa"/>
            <w:vAlign w:val="center"/>
          </w:tcPr>
          <w:p w14:paraId="46E810C6">
            <w:pPr>
              <w:widowControl/>
              <w:jc w:val="center"/>
              <w:rPr>
                <w:rFonts w:ascii="Times New Roman" w:hAnsi="Times New Roman"/>
                <w:kern w:val="0"/>
                <w:szCs w:val="21"/>
              </w:rPr>
            </w:pPr>
            <w:r>
              <w:rPr>
                <w:rFonts w:ascii="Times New Roman" w:hAnsi="Times New Roman"/>
                <w:kern w:val="0"/>
                <w:szCs w:val="21"/>
              </w:rPr>
              <w:t>烟尘</w:t>
            </w:r>
          </w:p>
        </w:tc>
        <w:tc>
          <w:tcPr>
            <w:tcW w:w="1394" w:type="dxa"/>
            <w:vMerge w:val="restart"/>
            <w:vAlign w:val="center"/>
          </w:tcPr>
          <w:p w14:paraId="4FD86222">
            <w:pPr>
              <w:widowControl/>
              <w:jc w:val="center"/>
              <w:rPr>
                <w:rFonts w:ascii="Times New Roman" w:hAnsi="Times New Roman"/>
                <w:kern w:val="0"/>
                <w:szCs w:val="21"/>
                <w:u w:val="single"/>
              </w:rPr>
            </w:pPr>
            <w:r>
              <w:rPr>
                <w:rFonts w:hint="eastAsia" w:ascii="Times New Roman" w:hAnsi="Times New Roman"/>
                <w:kern w:val="0"/>
                <w:szCs w:val="21"/>
                <w:u w:val="single"/>
              </w:rPr>
              <w:t>240</w:t>
            </w:r>
            <w:r>
              <w:rPr>
                <w:rFonts w:ascii="Times New Roman" w:hAnsi="Times New Roman"/>
                <w:kern w:val="0"/>
                <w:szCs w:val="21"/>
                <w:u w:val="single"/>
              </w:rPr>
              <w:t>0×10</w:t>
            </w:r>
            <w:r>
              <w:rPr>
                <w:rFonts w:ascii="Times New Roman" w:hAnsi="Times New Roman"/>
                <w:kern w:val="0"/>
                <w:szCs w:val="21"/>
                <w:u w:val="single"/>
                <w:vertAlign w:val="superscript"/>
              </w:rPr>
              <w:t>4</w:t>
            </w:r>
          </w:p>
        </w:tc>
        <w:tc>
          <w:tcPr>
            <w:tcW w:w="984" w:type="dxa"/>
            <w:vAlign w:val="center"/>
          </w:tcPr>
          <w:p w14:paraId="3B3982E6">
            <w:pPr>
              <w:widowControl/>
              <w:jc w:val="center"/>
              <w:rPr>
                <w:rFonts w:ascii="Times New Roman" w:hAnsi="Times New Roman"/>
                <w:kern w:val="0"/>
                <w:szCs w:val="21"/>
                <w:u w:val="single"/>
              </w:rPr>
            </w:pPr>
            <w:r>
              <w:rPr>
                <w:rFonts w:ascii="Times New Roman" w:hAnsi="Times New Roman" w:eastAsia="等线"/>
                <w:szCs w:val="21"/>
                <w:u w:val="single"/>
              </w:rPr>
              <w:t>8.4440</w:t>
            </w:r>
          </w:p>
        </w:tc>
        <w:tc>
          <w:tcPr>
            <w:tcW w:w="913" w:type="dxa"/>
            <w:vMerge w:val="restart"/>
            <w:vAlign w:val="center"/>
          </w:tcPr>
          <w:p w14:paraId="285F9583">
            <w:pPr>
              <w:widowControl/>
              <w:jc w:val="center"/>
              <w:rPr>
                <w:rFonts w:ascii="Times New Roman" w:hAnsi="Times New Roman"/>
                <w:kern w:val="0"/>
                <w:szCs w:val="21"/>
              </w:rPr>
            </w:pPr>
            <w:r>
              <w:rPr>
                <w:rFonts w:ascii="Times New Roman" w:hAnsi="Times New Roman"/>
                <w:kern w:val="0"/>
                <w:szCs w:val="21"/>
              </w:rPr>
              <w:t>袋式</w:t>
            </w:r>
          </w:p>
          <w:p w14:paraId="75F781E7">
            <w:pPr>
              <w:widowControl/>
              <w:jc w:val="center"/>
              <w:rPr>
                <w:rFonts w:ascii="Times New Roman" w:hAnsi="Times New Roman"/>
                <w:kern w:val="0"/>
                <w:szCs w:val="21"/>
              </w:rPr>
            </w:pPr>
            <w:r>
              <w:rPr>
                <w:rFonts w:ascii="Times New Roman" w:hAnsi="Times New Roman"/>
                <w:kern w:val="0"/>
                <w:szCs w:val="21"/>
              </w:rPr>
              <w:t>除尘</w:t>
            </w:r>
          </w:p>
        </w:tc>
        <w:tc>
          <w:tcPr>
            <w:tcW w:w="835" w:type="dxa"/>
            <w:vAlign w:val="center"/>
          </w:tcPr>
          <w:p w14:paraId="333F676A">
            <w:pPr>
              <w:widowControl/>
              <w:jc w:val="center"/>
              <w:rPr>
                <w:rFonts w:ascii="Times New Roman" w:hAnsi="Times New Roman"/>
                <w:kern w:val="0"/>
                <w:szCs w:val="21"/>
              </w:rPr>
            </w:pPr>
            <w:r>
              <w:rPr>
                <w:rFonts w:ascii="Times New Roman" w:hAnsi="Times New Roman"/>
                <w:kern w:val="0"/>
                <w:szCs w:val="21"/>
              </w:rPr>
              <w:t>99%</w:t>
            </w:r>
          </w:p>
        </w:tc>
        <w:tc>
          <w:tcPr>
            <w:tcW w:w="1173" w:type="dxa"/>
            <w:vAlign w:val="center"/>
          </w:tcPr>
          <w:p w14:paraId="226F27F3">
            <w:pPr>
              <w:widowControl/>
              <w:jc w:val="center"/>
              <w:rPr>
                <w:rFonts w:ascii="Times New Roman" w:hAnsi="Times New Roman"/>
                <w:kern w:val="0"/>
                <w:szCs w:val="21"/>
                <w:u w:val="single"/>
              </w:rPr>
            </w:pPr>
            <w:r>
              <w:rPr>
                <w:rFonts w:ascii="Times New Roman" w:hAnsi="Times New Roman" w:eastAsia="等线"/>
                <w:szCs w:val="21"/>
                <w:u w:val="single"/>
              </w:rPr>
              <w:t>0.0840</w:t>
            </w:r>
          </w:p>
        </w:tc>
        <w:tc>
          <w:tcPr>
            <w:tcW w:w="1173" w:type="dxa"/>
            <w:vAlign w:val="center"/>
          </w:tcPr>
          <w:p w14:paraId="1D5C51F9">
            <w:pPr>
              <w:jc w:val="center"/>
              <w:rPr>
                <w:rFonts w:ascii="Times New Roman" w:hAnsi="Times New Roman"/>
                <w:kern w:val="0"/>
                <w:szCs w:val="21"/>
                <w:u w:val="single"/>
              </w:rPr>
            </w:pPr>
            <w:r>
              <w:rPr>
                <w:rFonts w:ascii="Times New Roman" w:hAnsi="Times New Roman" w:eastAsia="等线"/>
                <w:szCs w:val="21"/>
                <w:u w:val="single"/>
              </w:rPr>
              <w:t>0.0175</w:t>
            </w:r>
          </w:p>
        </w:tc>
        <w:tc>
          <w:tcPr>
            <w:tcW w:w="1166" w:type="dxa"/>
            <w:vAlign w:val="center"/>
          </w:tcPr>
          <w:p w14:paraId="79C175E0">
            <w:pPr>
              <w:jc w:val="center"/>
              <w:rPr>
                <w:rFonts w:ascii="Times New Roman" w:hAnsi="Times New Roman"/>
                <w:kern w:val="0"/>
                <w:szCs w:val="21"/>
                <w:u w:val="single"/>
              </w:rPr>
            </w:pPr>
            <w:r>
              <w:rPr>
                <w:rFonts w:ascii="Times New Roman" w:hAnsi="Times New Roman" w:eastAsia="等线"/>
                <w:szCs w:val="21"/>
                <w:u w:val="single"/>
              </w:rPr>
              <w:t>3.5</w:t>
            </w:r>
          </w:p>
        </w:tc>
      </w:tr>
      <w:tr w14:paraId="092529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700" w:type="dxa"/>
            <w:vMerge w:val="continue"/>
            <w:vAlign w:val="center"/>
          </w:tcPr>
          <w:p w14:paraId="1A8EF850">
            <w:pPr>
              <w:widowControl/>
              <w:jc w:val="center"/>
              <w:rPr>
                <w:rFonts w:ascii="Times New Roman" w:hAnsi="Times New Roman"/>
                <w:kern w:val="0"/>
                <w:szCs w:val="21"/>
              </w:rPr>
            </w:pPr>
          </w:p>
        </w:tc>
        <w:tc>
          <w:tcPr>
            <w:tcW w:w="702" w:type="dxa"/>
            <w:vAlign w:val="center"/>
          </w:tcPr>
          <w:p w14:paraId="79D8D5A6">
            <w:pPr>
              <w:widowControl/>
              <w:jc w:val="center"/>
              <w:rPr>
                <w:rFonts w:ascii="Times New Roman" w:hAnsi="Times New Roman"/>
                <w:kern w:val="0"/>
                <w:szCs w:val="21"/>
              </w:rPr>
            </w:pPr>
            <w:r>
              <w:rPr>
                <w:rFonts w:ascii="Times New Roman" w:hAnsi="Times New Roman"/>
                <w:szCs w:val="21"/>
              </w:rPr>
              <w:t>SO</w:t>
            </w:r>
            <w:r>
              <w:rPr>
                <w:rFonts w:ascii="Times New Roman" w:hAnsi="Times New Roman"/>
                <w:szCs w:val="21"/>
                <w:vertAlign w:val="subscript"/>
              </w:rPr>
              <w:t>2</w:t>
            </w:r>
          </w:p>
        </w:tc>
        <w:tc>
          <w:tcPr>
            <w:tcW w:w="1394" w:type="dxa"/>
            <w:vMerge w:val="continue"/>
            <w:vAlign w:val="center"/>
          </w:tcPr>
          <w:p w14:paraId="0E89312D">
            <w:pPr>
              <w:widowControl/>
              <w:jc w:val="center"/>
              <w:rPr>
                <w:rFonts w:ascii="Times New Roman" w:hAnsi="Times New Roman"/>
                <w:kern w:val="0"/>
                <w:szCs w:val="21"/>
                <w:u w:val="single"/>
              </w:rPr>
            </w:pPr>
          </w:p>
        </w:tc>
        <w:tc>
          <w:tcPr>
            <w:tcW w:w="984" w:type="dxa"/>
            <w:vAlign w:val="center"/>
          </w:tcPr>
          <w:p w14:paraId="4030462B">
            <w:pPr>
              <w:widowControl/>
              <w:jc w:val="center"/>
              <w:rPr>
                <w:rFonts w:ascii="Times New Roman" w:hAnsi="Times New Roman"/>
                <w:kern w:val="0"/>
                <w:szCs w:val="21"/>
                <w:u w:val="single"/>
              </w:rPr>
            </w:pPr>
            <w:r>
              <w:rPr>
                <w:rFonts w:ascii="Times New Roman" w:hAnsi="Times New Roman" w:eastAsia="等线"/>
                <w:szCs w:val="21"/>
                <w:u w:val="single"/>
              </w:rPr>
              <w:t>0.4420</w:t>
            </w:r>
          </w:p>
        </w:tc>
        <w:tc>
          <w:tcPr>
            <w:tcW w:w="913" w:type="dxa"/>
            <w:vMerge w:val="continue"/>
            <w:vAlign w:val="center"/>
          </w:tcPr>
          <w:p w14:paraId="1700A9A7">
            <w:pPr>
              <w:widowControl/>
              <w:jc w:val="center"/>
              <w:rPr>
                <w:rFonts w:ascii="Times New Roman" w:hAnsi="Times New Roman"/>
                <w:kern w:val="0"/>
                <w:szCs w:val="21"/>
              </w:rPr>
            </w:pPr>
          </w:p>
        </w:tc>
        <w:tc>
          <w:tcPr>
            <w:tcW w:w="835" w:type="dxa"/>
            <w:vAlign w:val="center"/>
          </w:tcPr>
          <w:p w14:paraId="0F7930D4">
            <w:pPr>
              <w:widowControl/>
              <w:jc w:val="center"/>
              <w:rPr>
                <w:rFonts w:ascii="Times New Roman" w:hAnsi="Times New Roman"/>
                <w:kern w:val="0"/>
                <w:szCs w:val="21"/>
              </w:rPr>
            </w:pPr>
            <w:r>
              <w:rPr>
                <w:rFonts w:ascii="Times New Roman" w:hAnsi="Times New Roman"/>
                <w:kern w:val="0"/>
                <w:szCs w:val="21"/>
              </w:rPr>
              <w:t>0%</w:t>
            </w:r>
          </w:p>
        </w:tc>
        <w:tc>
          <w:tcPr>
            <w:tcW w:w="1173" w:type="dxa"/>
            <w:vAlign w:val="center"/>
          </w:tcPr>
          <w:p w14:paraId="37530198">
            <w:pPr>
              <w:widowControl/>
              <w:jc w:val="center"/>
              <w:rPr>
                <w:rFonts w:ascii="Times New Roman" w:hAnsi="Times New Roman"/>
                <w:kern w:val="0"/>
                <w:szCs w:val="21"/>
                <w:u w:val="single"/>
              </w:rPr>
            </w:pPr>
            <w:r>
              <w:rPr>
                <w:rFonts w:ascii="Times New Roman" w:hAnsi="Times New Roman" w:eastAsia="等线"/>
                <w:szCs w:val="21"/>
                <w:u w:val="single"/>
              </w:rPr>
              <w:t>0.4420</w:t>
            </w:r>
          </w:p>
        </w:tc>
        <w:tc>
          <w:tcPr>
            <w:tcW w:w="1173" w:type="dxa"/>
            <w:vAlign w:val="center"/>
          </w:tcPr>
          <w:p w14:paraId="0670F020">
            <w:pPr>
              <w:jc w:val="center"/>
              <w:rPr>
                <w:rFonts w:ascii="Times New Roman" w:hAnsi="Times New Roman"/>
                <w:kern w:val="0"/>
                <w:szCs w:val="21"/>
                <w:u w:val="single"/>
              </w:rPr>
            </w:pPr>
            <w:r>
              <w:rPr>
                <w:rFonts w:ascii="Times New Roman" w:hAnsi="Times New Roman" w:eastAsia="等线"/>
                <w:szCs w:val="21"/>
                <w:u w:val="single"/>
              </w:rPr>
              <w:t>0.0921</w:t>
            </w:r>
          </w:p>
        </w:tc>
        <w:tc>
          <w:tcPr>
            <w:tcW w:w="1166" w:type="dxa"/>
            <w:vAlign w:val="center"/>
          </w:tcPr>
          <w:p w14:paraId="35B8AF2D">
            <w:pPr>
              <w:widowControl/>
              <w:jc w:val="center"/>
              <w:rPr>
                <w:rFonts w:ascii="Times New Roman" w:hAnsi="Times New Roman"/>
                <w:kern w:val="0"/>
                <w:szCs w:val="21"/>
                <w:u w:val="single"/>
              </w:rPr>
            </w:pPr>
            <w:r>
              <w:rPr>
                <w:rFonts w:ascii="Times New Roman" w:hAnsi="Times New Roman" w:eastAsia="等线"/>
                <w:szCs w:val="21"/>
                <w:u w:val="single"/>
              </w:rPr>
              <w:t>18.42</w:t>
            </w:r>
          </w:p>
        </w:tc>
      </w:tr>
      <w:tr w14:paraId="313AAE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700" w:type="dxa"/>
            <w:vMerge w:val="continue"/>
            <w:vAlign w:val="center"/>
          </w:tcPr>
          <w:p w14:paraId="71C8A42D">
            <w:pPr>
              <w:widowControl/>
              <w:jc w:val="center"/>
              <w:rPr>
                <w:rFonts w:ascii="Times New Roman" w:hAnsi="Times New Roman"/>
                <w:kern w:val="0"/>
                <w:szCs w:val="21"/>
              </w:rPr>
            </w:pPr>
          </w:p>
        </w:tc>
        <w:tc>
          <w:tcPr>
            <w:tcW w:w="702" w:type="dxa"/>
            <w:vAlign w:val="center"/>
          </w:tcPr>
          <w:p w14:paraId="394F4750">
            <w:pPr>
              <w:widowControl/>
              <w:jc w:val="center"/>
              <w:rPr>
                <w:rFonts w:ascii="Times New Roman" w:hAnsi="Times New Roman"/>
                <w:kern w:val="0"/>
                <w:szCs w:val="21"/>
              </w:rPr>
            </w:pPr>
            <w:r>
              <w:rPr>
                <w:rFonts w:ascii="Times New Roman" w:hAnsi="Times New Roman"/>
                <w:szCs w:val="21"/>
              </w:rPr>
              <w:t>NO</w:t>
            </w:r>
            <w:r>
              <w:rPr>
                <w:rFonts w:ascii="Times New Roman" w:hAnsi="Times New Roman"/>
                <w:szCs w:val="21"/>
                <w:vertAlign w:val="subscript"/>
              </w:rPr>
              <w:t>x</w:t>
            </w:r>
          </w:p>
        </w:tc>
        <w:tc>
          <w:tcPr>
            <w:tcW w:w="1394" w:type="dxa"/>
            <w:vMerge w:val="continue"/>
            <w:vAlign w:val="center"/>
          </w:tcPr>
          <w:p w14:paraId="316F905F">
            <w:pPr>
              <w:widowControl/>
              <w:jc w:val="center"/>
              <w:rPr>
                <w:rFonts w:ascii="Times New Roman" w:hAnsi="Times New Roman"/>
                <w:kern w:val="0"/>
                <w:szCs w:val="21"/>
                <w:u w:val="single"/>
              </w:rPr>
            </w:pPr>
          </w:p>
        </w:tc>
        <w:tc>
          <w:tcPr>
            <w:tcW w:w="984" w:type="dxa"/>
            <w:vAlign w:val="center"/>
          </w:tcPr>
          <w:p w14:paraId="20024ADB">
            <w:pPr>
              <w:widowControl/>
              <w:jc w:val="center"/>
              <w:rPr>
                <w:rFonts w:ascii="Times New Roman" w:hAnsi="Times New Roman"/>
                <w:kern w:val="0"/>
                <w:szCs w:val="21"/>
                <w:u w:val="single"/>
              </w:rPr>
            </w:pPr>
            <w:r>
              <w:rPr>
                <w:rFonts w:hint="eastAsia" w:ascii="Times New Roman" w:hAnsi="Times New Roman" w:eastAsia="等线"/>
                <w:szCs w:val="21"/>
                <w:u w:val="single"/>
              </w:rPr>
              <w:t>2.40</w:t>
            </w:r>
            <w:r>
              <w:rPr>
                <w:rFonts w:ascii="Times New Roman" w:hAnsi="Times New Roman" w:eastAsia="等线"/>
                <w:szCs w:val="21"/>
                <w:u w:val="single"/>
              </w:rPr>
              <w:t>00</w:t>
            </w:r>
          </w:p>
        </w:tc>
        <w:tc>
          <w:tcPr>
            <w:tcW w:w="913" w:type="dxa"/>
            <w:vMerge w:val="continue"/>
            <w:vAlign w:val="center"/>
          </w:tcPr>
          <w:p w14:paraId="12FE6BD5">
            <w:pPr>
              <w:widowControl/>
              <w:jc w:val="center"/>
              <w:rPr>
                <w:rFonts w:ascii="Times New Roman" w:hAnsi="Times New Roman"/>
                <w:kern w:val="0"/>
                <w:szCs w:val="21"/>
              </w:rPr>
            </w:pPr>
          </w:p>
        </w:tc>
        <w:tc>
          <w:tcPr>
            <w:tcW w:w="835" w:type="dxa"/>
            <w:vAlign w:val="center"/>
          </w:tcPr>
          <w:p w14:paraId="457B8DAA">
            <w:pPr>
              <w:widowControl/>
              <w:jc w:val="center"/>
              <w:rPr>
                <w:rFonts w:ascii="Times New Roman" w:hAnsi="Times New Roman"/>
                <w:kern w:val="0"/>
                <w:szCs w:val="21"/>
              </w:rPr>
            </w:pPr>
            <w:r>
              <w:rPr>
                <w:rFonts w:ascii="Times New Roman" w:hAnsi="Times New Roman"/>
                <w:kern w:val="0"/>
                <w:szCs w:val="21"/>
              </w:rPr>
              <w:t>0%</w:t>
            </w:r>
          </w:p>
        </w:tc>
        <w:tc>
          <w:tcPr>
            <w:tcW w:w="1173" w:type="dxa"/>
            <w:vAlign w:val="center"/>
          </w:tcPr>
          <w:p w14:paraId="2FF690F2">
            <w:pPr>
              <w:widowControl/>
              <w:jc w:val="center"/>
              <w:rPr>
                <w:rFonts w:ascii="Times New Roman" w:hAnsi="Times New Roman"/>
                <w:kern w:val="0"/>
                <w:szCs w:val="21"/>
                <w:u w:val="single"/>
              </w:rPr>
            </w:pPr>
            <w:r>
              <w:rPr>
                <w:rFonts w:hint="eastAsia" w:ascii="Times New Roman" w:hAnsi="Times New Roman" w:eastAsia="等线"/>
                <w:szCs w:val="21"/>
                <w:u w:val="single"/>
              </w:rPr>
              <w:t>2.40</w:t>
            </w:r>
            <w:r>
              <w:rPr>
                <w:rFonts w:ascii="Times New Roman" w:hAnsi="Times New Roman" w:eastAsia="等线"/>
                <w:szCs w:val="21"/>
                <w:u w:val="single"/>
              </w:rPr>
              <w:t>00</w:t>
            </w:r>
          </w:p>
        </w:tc>
        <w:tc>
          <w:tcPr>
            <w:tcW w:w="1173" w:type="dxa"/>
            <w:vAlign w:val="center"/>
          </w:tcPr>
          <w:p w14:paraId="212353C1">
            <w:pPr>
              <w:jc w:val="center"/>
              <w:rPr>
                <w:rFonts w:ascii="Times New Roman" w:hAnsi="Times New Roman"/>
                <w:kern w:val="0"/>
                <w:szCs w:val="21"/>
                <w:u w:val="single"/>
              </w:rPr>
            </w:pPr>
            <w:r>
              <w:rPr>
                <w:rFonts w:ascii="Times New Roman" w:hAnsi="Times New Roman" w:eastAsia="等线"/>
                <w:szCs w:val="21"/>
                <w:u w:val="single"/>
              </w:rPr>
              <w:t>0.</w:t>
            </w:r>
            <w:r>
              <w:rPr>
                <w:rFonts w:hint="eastAsia" w:ascii="Times New Roman" w:hAnsi="Times New Roman" w:eastAsia="等线"/>
                <w:szCs w:val="21"/>
                <w:u w:val="single"/>
              </w:rPr>
              <w:t>5</w:t>
            </w:r>
            <w:r>
              <w:rPr>
                <w:rFonts w:ascii="Times New Roman" w:hAnsi="Times New Roman" w:eastAsia="等线"/>
                <w:szCs w:val="21"/>
                <w:u w:val="single"/>
              </w:rPr>
              <w:t>000</w:t>
            </w:r>
          </w:p>
        </w:tc>
        <w:tc>
          <w:tcPr>
            <w:tcW w:w="1166" w:type="dxa"/>
            <w:vAlign w:val="center"/>
          </w:tcPr>
          <w:p w14:paraId="6350E3A9">
            <w:pPr>
              <w:widowControl/>
              <w:jc w:val="center"/>
              <w:rPr>
                <w:rFonts w:ascii="Times New Roman" w:hAnsi="Times New Roman"/>
                <w:kern w:val="0"/>
                <w:szCs w:val="21"/>
                <w:u w:val="single"/>
              </w:rPr>
            </w:pPr>
            <w:r>
              <w:rPr>
                <w:rFonts w:ascii="Times New Roman" w:hAnsi="Times New Roman" w:eastAsia="等线"/>
                <w:szCs w:val="21"/>
                <w:u w:val="single"/>
              </w:rPr>
              <w:t>100</w:t>
            </w:r>
          </w:p>
        </w:tc>
      </w:tr>
    </w:tbl>
    <w:p w14:paraId="333F7203">
      <w:pPr>
        <w:tabs>
          <w:tab w:val="left" w:pos="900"/>
        </w:tabs>
        <w:spacing w:line="360" w:lineRule="auto"/>
        <w:ind w:firstLine="472" w:firstLineChars="200"/>
        <w:rPr>
          <w:rFonts w:ascii="Times New Roman" w:hAnsi="Times New Roman"/>
          <w:spacing w:val="-2"/>
          <w:kern w:val="0"/>
          <w:sz w:val="24"/>
          <w:szCs w:val="24"/>
        </w:rPr>
      </w:pPr>
    </w:p>
    <w:p w14:paraId="2405A33A">
      <w:pPr>
        <w:pStyle w:val="8"/>
        <w:numPr>
          <w:ilvl w:val="4"/>
          <w:numId w:val="3"/>
        </w:numPr>
        <w:rPr>
          <w:sz w:val="24"/>
          <w:szCs w:val="24"/>
        </w:rPr>
      </w:pPr>
      <w:r>
        <w:rPr>
          <w:sz w:val="24"/>
          <w:szCs w:val="24"/>
        </w:rPr>
        <w:t>项目烘干炉烟气污染物排放浓度达标情况</w:t>
      </w:r>
    </w:p>
    <w:tbl>
      <w:tblPr>
        <w:tblStyle w:val="88"/>
        <w:tblW w:w="9067"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19"/>
        <w:gridCol w:w="1333"/>
        <w:gridCol w:w="1361"/>
        <w:gridCol w:w="1275"/>
        <w:gridCol w:w="2987"/>
        <w:gridCol w:w="992"/>
      </w:tblGrid>
      <w:tr w14:paraId="092ECB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blHeader/>
        </w:trPr>
        <w:tc>
          <w:tcPr>
            <w:tcW w:w="1119" w:type="dxa"/>
            <w:shd w:val="clear" w:color="auto" w:fill="auto"/>
            <w:noWrap/>
            <w:vAlign w:val="center"/>
          </w:tcPr>
          <w:p w14:paraId="07539C26">
            <w:pPr>
              <w:widowControl/>
              <w:jc w:val="center"/>
              <w:rPr>
                <w:rFonts w:ascii="Times New Roman" w:hAnsi="Times New Roman"/>
                <w:b/>
                <w:bCs/>
                <w:kern w:val="0"/>
                <w:szCs w:val="21"/>
              </w:rPr>
            </w:pPr>
            <w:r>
              <w:rPr>
                <w:rFonts w:ascii="Times New Roman" w:hAnsi="Times New Roman"/>
                <w:b/>
                <w:bCs/>
                <w:kern w:val="0"/>
                <w:szCs w:val="21"/>
              </w:rPr>
              <w:t>污染物</w:t>
            </w:r>
          </w:p>
        </w:tc>
        <w:tc>
          <w:tcPr>
            <w:tcW w:w="1333" w:type="dxa"/>
            <w:shd w:val="clear" w:color="auto" w:fill="auto"/>
            <w:noWrap/>
            <w:vAlign w:val="center"/>
          </w:tcPr>
          <w:p w14:paraId="2D9A1A80">
            <w:pPr>
              <w:widowControl/>
              <w:jc w:val="center"/>
              <w:rPr>
                <w:rFonts w:ascii="Times New Roman" w:hAnsi="Times New Roman"/>
                <w:b/>
                <w:bCs/>
                <w:kern w:val="0"/>
                <w:szCs w:val="21"/>
              </w:rPr>
            </w:pPr>
            <w:r>
              <w:rPr>
                <w:rFonts w:ascii="Times New Roman" w:hAnsi="Times New Roman"/>
                <w:b/>
                <w:bCs/>
                <w:kern w:val="0"/>
                <w:szCs w:val="21"/>
              </w:rPr>
              <w:t>项目</w:t>
            </w:r>
          </w:p>
          <w:p w14:paraId="0BF758ED">
            <w:pPr>
              <w:widowControl/>
              <w:jc w:val="center"/>
              <w:rPr>
                <w:rFonts w:ascii="Times New Roman" w:hAnsi="Times New Roman"/>
                <w:b/>
                <w:bCs/>
                <w:kern w:val="0"/>
                <w:szCs w:val="21"/>
              </w:rPr>
            </w:pPr>
            <w:r>
              <w:rPr>
                <w:rFonts w:ascii="Times New Roman" w:hAnsi="Times New Roman"/>
                <w:b/>
                <w:bCs/>
                <w:kern w:val="0"/>
                <w:szCs w:val="21"/>
              </w:rPr>
              <w:t>产生浓度（mg/m</w:t>
            </w:r>
            <w:r>
              <w:rPr>
                <w:rFonts w:ascii="Times New Roman" w:hAnsi="Times New Roman"/>
                <w:b/>
                <w:bCs/>
                <w:kern w:val="0"/>
                <w:szCs w:val="21"/>
                <w:vertAlign w:val="superscript"/>
              </w:rPr>
              <w:t>3</w:t>
            </w:r>
            <w:r>
              <w:rPr>
                <w:rFonts w:ascii="Times New Roman" w:hAnsi="Times New Roman"/>
                <w:b/>
                <w:bCs/>
                <w:kern w:val="0"/>
                <w:szCs w:val="21"/>
              </w:rPr>
              <w:t>）</w:t>
            </w:r>
          </w:p>
        </w:tc>
        <w:tc>
          <w:tcPr>
            <w:tcW w:w="1361" w:type="dxa"/>
            <w:shd w:val="clear" w:color="auto" w:fill="auto"/>
            <w:noWrap/>
            <w:vAlign w:val="center"/>
          </w:tcPr>
          <w:p w14:paraId="2B1B26F5">
            <w:pPr>
              <w:widowControl/>
              <w:jc w:val="center"/>
              <w:rPr>
                <w:rFonts w:ascii="Times New Roman" w:hAnsi="Times New Roman"/>
                <w:b/>
                <w:bCs/>
                <w:kern w:val="0"/>
                <w:szCs w:val="21"/>
              </w:rPr>
            </w:pPr>
            <w:r>
              <w:rPr>
                <w:rFonts w:ascii="Times New Roman" w:hAnsi="Times New Roman"/>
                <w:b/>
                <w:bCs/>
                <w:kern w:val="0"/>
                <w:szCs w:val="21"/>
              </w:rPr>
              <w:t>项目</w:t>
            </w:r>
          </w:p>
          <w:p w14:paraId="4BB25AF2">
            <w:pPr>
              <w:widowControl/>
              <w:jc w:val="center"/>
              <w:rPr>
                <w:rFonts w:ascii="Times New Roman" w:hAnsi="Times New Roman"/>
                <w:b/>
                <w:bCs/>
                <w:kern w:val="0"/>
                <w:szCs w:val="21"/>
              </w:rPr>
            </w:pPr>
            <w:r>
              <w:rPr>
                <w:rFonts w:ascii="Times New Roman" w:hAnsi="Times New Roman"/>
                <w:b/>
                <w:bCs/>
                <w:kern w:val="0"/>
                <w:szCs w:val="21"/>
              </w:rPr>
              <w:t>排放浓度（mg/m</w:t>
            </w:r>
            <w:r>
              <w:rPr>
                <w:rFonts w:ascii="Times New Roman" w:hAnsi="Times New Roman"/>
                <w:b/>
                <w:bCs/>
                <w:kern w:val="0"/>
                <w:szCs w:val="21"/>
                <w:vertAlign w:val="superscript"/>
              </w:rPr>
              <w:t>3</w:t>
            </w:r>
            <w:r>
              <w:rPr>
                <w:rFonts w:ascii="Times New Roman" w:hAnsi="Times New Roman"/>
                <w:b/>
                <w:bCs/>
                <w:kern w:val="0"/>
                <w:szCs w:val="21"/>
              </w:rPr>
              <w:t>）</w:t>
            </w:r>
          </w:p>
        </w:tc>
        <w:tc>
          <w:tcPr>
            <w:tcW w:w="1275" w:type="dxa"/>
            <w:shd w:val="clear" w:color="auto" w:fill="auto"/>
            <w:noWrap/>
            <w:vAlign w:val="center"/>
          </w:tcPr>
          <w:p w14:paraId="1457DCDE">
            <w:pPr>
              <w:widowControl/>
              <w:jc w:val="center"/>
              <w:rPr>
                <w:rFonts w:ascii="Times New Roman" w:hAnsi="Times New Roman"/>
                <w:b/>
                <w:bCs/>
                <w:kern w:val="0"/>
                <w:szCs w:val="21"/>
              </w:rPr>
            </w:pPr>
            <w:r>
              <w:rPr>
                <w:rFonts w:ascii="Times New Roman" w:hAnsi="Times New Roman"/>
                <w:b/>
                <w:bCs/>
                <w:kern w:val="0"/>
                <w:szCs w:val="21"/>
              </w:rPr>
              <w:t>标准浓度</w:t>
            </w:r>
          </w:p>
          <w:p w14:paraId="09C0FA28">
            <w:pPr>
              <w:widowControl/>
              <w:jc w:val="center"/>
              <w:rPr>
                <w:rFonts w:ascii="Times New Roman" w:hAnsi="Times New Roman"/>
                <w:b/>
                <w:bCs/>
                <w:kern w:val="0"/>
                <w:szCs w:val="21"/>
              </w:rPr>
            </w:pPr>
            <w:r>
              <w:rPr>
                <w:rFonts w:ascii="Times New Roman" w:hAnsi="Times New Roman"/>
                <w:b/>
                <w:bCs/>
                <w:kern w:val="0"/>
                <w:szCs w:val="21"/>
              </w:rPr>
              <w:t>排放限值（mg/m</w:t>
            </w:r>
            <w:r>
              <w:rPr>
                <w:rFonts w:ascii="Times New Roman" w:hAnsi="Times New Roman"/>
                <w:b/>
                <w:bCs/>
                <w:kern w:val="0"/>
                <w:szCs w:val="21"/>
                <w:vertAlign w:val="superscript"/>
              </w:rPr>
              <w:t>3</w:t>
            </w:r>
            <w:r>
              <w:rPr>
                <w:rFonts w:ascii="Times New Roman" w:hAnsi="Times New Roman"/>
                <w:b/>
                <w:bCs/>
                <w:kern w:val="0"/>
                <w:szCs w:val="21"/>
              </w:rPr>
              <w:t>）</w:t>
            </w:r>
          </w:p>
        </w:tc>
        <w:tc>
          <w:tcPr>
            <w:tcW w:w="2987" w:type="dxa"/>
            <w:shd w:val="clear" w:color="auto" w:fill="auto"/>
            <w:noWrap/>
            <w:vAlign w:val="center"/>
          </w:tcPr>
          <w:p w14:paraId="4B498B46">
            <w:pPr>
              <w:widowControl/>
              <w:jc w:val="center"/>
              <w:rPr>
                <w:rFonts w:ascii="Times New Roman" w:hAnsi="Times New Roman"/>
                <w:b/>
                <w:bCs/>
                <w:kern w:val="0"/>
                <w:szCs w:val="21"/>
              </w:rPr>
            </w:pPr>
            <w:r>
              <w:rPr>
                <w:rFonts w:ascii="Times New Roman" w:hAnsi="Times New Roman"/>
                <w:b/>
                <w:bCs/>
                <w:kern w:val="0"/>
                <w:szCs w:val="21"/>
              </w:rPr>
              <w:t>执行标准</w:t>
            </w:r>
          </w:p>
        </w:tc>
        <w:tc>
          <w:tcPr>
            <w:tcW w:w="992" w:type="dxa"/>
            <w:shd w:val="clear" w:color="auto" w:fill="auto"/>
            <w:noWrap/>
            <w:vAlign w:val="center"/>
          </w:tcPr>
          <w:p w14:paraId="5F70E5DA">
            <w:pPr>
              <w:widowControl/>
              <w:jc w:val="center"/>
              <w:rPr>
                <w:rFonts w:ascii="Times New Roman" w:hAnsi="Times New Roman"/>
                <w:b/>
                <w:bCs/>
                <w:kern w:val="0"/>
                <w:szCs w:val="21"/>
              </w:rPr>
            </w:pPr>
            <w:r>
              <w:rPr>
                <w:rFonts w:ascii="Times New Roman" w:hAnsi="Times New Roman"/>
                <w:b/>
                <w:bCs/>
                <w:kern w:val="0"/>
                <w:szCs w:val="21"/>
              </w:rPr>
              <w:t>达标情况</w:t>
            </w:r>
          </w:p>
        </w:tc>
      </w:tr>
      <w:tr w14:paraId="4D4373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119" w:type="dxa"/>
            <w:shd w:val="clear" w:color="auto" w:fill="auto"/>
            <w:noWrap/>
            <w:vAlign w:val="center"/>
          </w:tcPr>
          <w:p w14:paraId="634EC34E">
            <w:pPr>
              <w:widowControl/>
              <w:jc w:val="center"/>
              <w:rPr>
                <w:rFonts w:ascii="Times New Roman" w:hAnsi="Times New Roman"/>
                <w:kern w:val="0"/>
                <w:szCs w:val="21"/>
              </w:rPr>
            </w:pPr>
            <w:r>
              <w:rPr>
                <w:rFonts w:ascii="Times New Roman" w:hAnsi="Times New Roman"/>
                <w:kern w:val="0"/>
                <w:szCs w:val="21"/>
              </w:rPr>
              <w:t>颗粒物</w:t>
            </w:r>
          </w:p>
        </w:tc>
        <w:tc>
          <w:tcPr>
            <w:tcW w:w="1333" w:type="dxa"/>
            <w:shd w:val="clear" w:color="auto" w:fill="auto"/>
            <w:noWrap/>
            <w:vAlign w:val="center"/>
          </w:tcPr>
          <w:p w14:paraId="5FA77D1F">
            <w:pPr>
              <w:widowControl/>
              <w:jc w:val="center"/>
              <w:rPr>
                <w:rFonts w:ascii="Times New Roman" w:hAnsi="Times New Roman"/>
                <w:kern w:val="0"/>
                <w:szCs w:val="21"/>
                <w:u w:val="single"/>
              </w:rPr>
            </w:pPr>
            <w:r>
              <w:rPr>
                <w:rFonts w:ascii="Times New Roman" w:hAnsi="Times New Roman" w:eastAsia="等线"/>
                <w:szCs w:val="21"/>
                <w:u w:val="single"/>
              </w:rPr>
              <w:t>351.83</w:t>
            </w:r>
          </w:p>
        </w:tc>
        <w:tc>
          <w:tcPr>
            <w:tcW w:w="1361" w:type="dxa"/>
            <w:shd w:val="clear" w:color="auto" w:fill="auto"/>
            <w:noWrap/>
            <w:vAlign w:val="center"/>
          </w:tcPr>
          <w:p w14:paraId="3777FCC8">
            <w:pPr>
              <w:widowControl/>
              <w:jc w:val="center"/>
              <w:rPr>
                <w:rFonts w:ascii="Times New Roman" w:hAnsi="Times New Roman"/>
                <w:kern w:val="0"/>
                <w:szCs w:val="21"/>
                <w:u w:val="single"/>
              </w:rPr>
            </w:pPr>
            <w:r>
              <w:rPr>
                <w:rFonts w:ascii="Times New Roman" w:hAnsi="Times New Roman" w:eastAsia="等线"/>
                <w:szCs w:val="21"/>
                <w:u w:val="single"/>
              </w:rPr>
              <w:t>3.5</w:t>
            </w:r>
          </w:p>
        </w:tc>
        <w:tc>
          <w:tcPr>
            <w:tcW w:w="1275" w:type="dxa"/>
            <w:shd w:val="clear" w:color="auto" w:fill="auto"/>
            <w:noWrap/>
            <w:vAlign w:val="center"/>
          </w:tcPr>
          <w:p w14:paraId="11295B6D">
            <w:pPr>
              <w:widowControl/>
              <w:jc w:val="center"/>
              <w:rPr>
                <w:rFonts w:ascii="Times New Roman" w:hAnsi="Times New Roman"/>
                <w:kern w:val="0"/>
                <w:szCs w:val="21"/>
              </w:rPr>
            </w:pPr>
            <w:r>
              <w:rPr>
                <w:rFonts w:ascii="Times New Roman" w:hAnsi="Times New Roman"/>
                <w:kern w:val="0"/>
                <w:szCs w:val="21"/>
              </w:rPr>
              <w:t>200</w:t>
            </w:r>
          </w:p>
        </w:tc>
        <w:tc>
          <w:tcPr>
            <w:tcW w:w="2987" w:type="dxa"/>
            <w:vMerge w:val="restart"/>
            <w:shd w:val="clear" w:color="auto" w:fill="auto"/>
            <w:noWrap/>
            <w:vAlign w:val="center"/>
          </w:tcPr>
          <w:p w14:paraId="7AA5251C">
            <w:pPr>
              <w:widowControl/>
              <w:jc w:val="center"/>
              <w:rPr>
                <w:rFonts w:ascii="Times New Roman" w:hAnsi="Times New Roman"/>
                <w:kern w:val="0"/>
                <w:szCs w:val="21"/>
              </w:rPr>
            </w:pPr>
            <w:r>
              <w:rPr>
                <w:rFonts w:ascii="Times New Roman" w:hAnsi="Times New Roman"/>
                <w:spacing w:val="-2"/>
                <w:kern w:val="0"/>
                <w:szCs w:val="21"/>
              </w:rPr>
              <w:t>《工业炉窑大气污染物排放标准》（GB9078-1996）</w:t>
            </w:r>
            <w:r>
              <w:rPr>
                <w:rFonts w:ascii="Times New Roman" w:hAnsi="Times New Roman"/>
                <w:kern w:val="0"/>
                <w:szCs w:val="21"/>
              </w:rPr>
              <w:t>　</w:t>
            </w:r>
          </w:p>
        </w:tc>
        <w:tc>
          <w:tcPr>
            <w:tcW w:w="992" w:type="dxa"/>
            <w:shd w:val="clear" w:color="auto" w:fill="auto"/>
            <w:noWrap/>
            <w:vAlign w:val="center"/>
          </w:tcPr>
          <w:p w14:paraId="2C8D8C13">
            <w:pPr>
              <w:widowControl/>
              <w:jc w:val="center"/>
              <w:rPr>
                <w:rFonts w:ascii="Times New Roman" w:hAnsi="Times New Roman"/>
                <w:kern w:val="0"/>
                <w:szCs w:val="21"/>
              </w:rPr>
            </w:pPr>
            <w:r>
              <w:rPr>
                <w:rFonts w:ascii="Times New Roman" w:hAnsi="Times New Roman"/>
                <w:kern w:val="0"/>
                <w:szCs w:val="21"/>
              </w:rPr>
              <w:t>达标</w:t>
            </w:r>
          </w:p>
        </w:tc>
      </w:tr>
      <w:tr w14:paraId="7924E3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119" w:type="dxa"/>
            <w:shd w:val="clear" w:color="auto" w:fill="auto"/>
            <w:noWrap/>
            <w:vAlign w:val="center"/>
          </w:tcPr>
          <w:p w14:paraId="2FBD0F41">
            <w:pPr>
              <w:widowControl/>
              <w:jc w:val="center"/>
              <w:rPr>
                <w:rFonts w:ascii="Times New Roman" w:hAnsi="Times New Roman"/>
                <w:kern w:val="0"/>
                <w:szCs w:val="21"/>
              </w:rPr>
            </w:pPr>
            <w:r>
              <w:rPr>
                <w:rFonts w:ascii="Times New Roman" w:hAnsi="Times New Roman"/>
                <w:kern w:val="0"/>
                <w:szCs w:val="21"/>
              </w:rPr>
              <w:t>SO</w:t>
            </w:r>
            <w:r>
              <w:rPr>
                <w:rFonts w:ascii="Times New Roman" w:hAnsi="Times New Roman"/>
                <w:kern w:val="0"/>
                <w:szCs w:val="21"/>
                <w:vertAlign w:val="subscript"/>
              </w:rPr>
              <w:t>2</w:t>
            </w:r>
          </w:p>
        </w:tc>
        <w:tc>
          <w:tcPr>
            <w:tcW w:w="1333" w:type="dxa"/>
            <w:shd w:val="clear" w:color="auto" w:fill="auto"/>
            <w:noWrap/>
            <w:vAlign w:val="center"/>
          </w:tcPr>
          <w:p w14:paraId="02FEFD6B">
            <w:pPr>
              <w:widowControl/>
              <w:jc w:val="center"/>
              <w:rPr>
                <w:rFonts w:ascii="Times New Roman" w:hAnsi="Times New Roman"/>
                <w:kern w:val="0"/>
                <w:szCs w:val="21"/>
                <w:u w:val="single"/>
              </w:rPr>
            </w:pPr>
            <w:r>
              <w:rPr>
                <w:rFonts w:ascii="Times New Roman" w:hAnsi="Times New Roman" w:eastAsia="等线"/>
                <w:szCs w:val="21"/>
                <w:u w:val="single"/>
              </w:rPr>
              <w:t>18.42</w:t>
            </w:r>
          </w:p>
        </w:tc>
        <w:tc>
          <w:tcPr>
            <w:tcW w:w="1361" w:type="dxa"/>
            <w:shd w:val="clear" w:color="auto" w:fill="auto"/>
            <w:noWrap/>
            <w:vAlign w:val="center"/>
          </w:tcPr>
          <w:p w14:paraId="0B4CAC52">
            <w:pPr>
              <w:widowControl/>
              <w:jc w:val="center"/>
              <w:rPr>
                <w:rFonts w:ascii="Times New Roman" w:hAnsi="Times New Roman"/>
                <w:kern w:val="0"/>
                <w:szCs w:val="21"/>
                <w:u w:val="single"/>
              </w:rPr>
            </w:pPr>
            <w:r>
              <w:rPr>
                <w:rFonts w:ascii="Times New Roman" w:hAnsi="Times New Roman" w:eastAsia="等线"/>
                <w:szCs w:val="21"/>
                <w:u w:val="single"/>
              </w:rPr>
              <w:t>18.42</w:t>
            </w:r>
          </w:p>
        </w:tc>
        <w:tc>
          <w:tcPr>
            <w:tcW w:w="1275" w:type="dxa"/>
            <w:shd w:val="clear" w:color="auto" w:fill="auto"/>
            <w:noWrap/>
            <w:vAlign w:val="center"/>
          </w:tcPr>
          <w:p w14:paraId="177B6CFB">
            <w:pPr>
              <w:widowControl/>
              <w:jc w:val="center"/>
              <w:rPr>
                <w:rFonts w:ascii="Times New Roman" w:hAnsi="Times New Roman"/>
                <w:kern w:val="0"/>
                <w:szCs w:val="21"/>
              </w:rPr>
            </w:pPr>
            <w:r>
              <w:rPr>
                <w:rFonts w:ascii="Times New Roman" w:hAnsi="Times New Roman"/>
                <w:kern w:val="0"/>
                <w:szCs w:val="21"/>
              </w:rPr>
              <w:t>850</w:t>
            </w:r>
          </w:p>
        </w:tc>
        <w:tc>
          <w:tcPr>
            <w:tcW w:w="2987" w:type="dxa"/>
            <w:vMerge w:val="continue"/>
            <w:shd w:val="clear" w:color="auto" w:fill="auto"/>
            <w:noWrap/>
            <w:vAlign w:val="center"/>
          </w:tcPr>
          <w:p w14:paraId="7510A393">
            <w:pPr>
              <w:widowControl/>
              <w:jc w:val="center"/>
              <w:rPr>
                <w:rFonts w:ascii="Times New Roman" w:hAnsi="Times New Roman"/>
                <w:kern w:val="0"/>
                <w:szCs w:val="21"/>
              </w:rPr>
            </w:pPr>
          </w:p>
        </w:tc>
        <w:tc>
          <w:tcPr>
            <w:tcW w:w="992" w:type="dxa"/>
            <w:shd w:val="clear" w:color="auto" w:fill="auto"/>
            <w:noWrap/>
            <w:vAlign w:val="center"/>
          </w:tcPr>
          <w:p w14:paraId="1A603D85">
            <w:pPr>
              <w:widowControl/>
              <w:jc w:val="center"/>
              <w:rPr>
                <w:rFonts w:ascii="Times New Roman" w:hAnsi="Times New Roman"/>
                <w:kern w:val="0"/>
                <w:szCs w:val="21"/>
              </w:rPr>
            </w:pPr>
            <w:r>
              <w:rPr>
                <w:rFonts w:ascii="Times New Roman" w:hAnsi="Times New Roman"/>
                <w:kern w:val="0"/>
                <w:szCs w:val="21"/>
              </w:rPr>
              <w:t>达标</w:t>
            </w:r>
          </w:p>
        </w:tc>
      </w:tr>
      <w:tr w14:paraId="10AF5A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119" w:type="dxa"/>
            <w:shd w:val="clear" w:color="auto" w:fill="auto"/>
            <w:noWrap/>
            <w:vAlign w:val="center"/>
          </w:tcPr>
          <w:p w14:paraId="174A73F8">
            <w:pPr>
              <w:widowControl/>
              <w:jc w:val="center"/>
              <w:rPr>
                <w:rFonts w:ascii="Times New Roman" w:hAnsi="Times New Roman"/>
                <w:kern w:val="0"/>
                <w:szCs w:val="21"/>
              </w:rPr>
            </w:pPr>
            <w:r>
              <w:rPr>
                <w:rFonts w:ascii="Times New Roman" w:hAnsi="Times New Roman"/>
                <w:kern w:val="0"/>
                <w:szCs w:val="21"/>
              </w:rPr>
              <w:t>NO</w:t>
            </w:r>
            <w:r>
              <w:rPr>
                <w:rFonts w:ascii="Times New Roman" w:hAnsi="Times New Roman"/>
                <w:kern w:val="0"/>
                <w:szCs w:val="21"/>
                <w:vertAlign w:val="subscript"/>
              </w:rPr>
              <w:t>x</w:t>
            </w:r>
          </w:p>
        </w:tc>
        <w:tc>
          <w:tcPr>
            <w:tcW w:w="1333" w:type="dxa"/>
            <w:shd w:val="clear" w:color="auto" w:fill="auto"/>
            <w:noWrap/>
            <w:vAlign w:val="center"/>
          </w:tcPr>
          <w:p w14:paraId="1E4FA0AD">
            <w:pPr>
              <w:widowControl/>
              <w:jc w:val="center"/>
              <w:rPr>
                <w:rFonts w:ascii="Times New Roman" w:hAnsi="Times New Roman"/>
                <w:kern w:val="0"/>
                <w:szCs w:val="21"/>
                <w:u w:val="single"/>
              </w:rPr>
            </w:pPr>
            <w:r>
              <w:rPr>
                <w:rFonts w:ascii="Times New Roman" w:hAnsi="Times New Roman" w:eastAsia="等线"/>
                <w:szCs w:val="21"/>
                <w:u w:val="single"/>
              </w:rPr>
              <w:t>100</w:t>
            </w:r>
          </w:p>
        </w:tc>
        <w:tc>
          <w:tcPr>
            <w:tcW w:w="1361" w:type="dxa"/>
            <w:shd w:val="clear" w:color="auto" w:fill="auto"/>
            <w:noWrap/>
            <w:vAlign w:val="center"/>
          </w:tcPr>
          <w:p w14:paraId="6FD3CD6F">
            <w:pPr>
              <w:widowControl/>
              <w:jc w:val="center"/>
              <w:rPr>
                <w:rFonts w:ascii="Times New Roman" w:hAnsi="Times New Roman"/>
                <w:kern w:val="0"/>
                <w:szCs w:val="21"/>
                <w:u w:val="single"/>
              </w:rPr>
            </w:pPr>
            <w:r>
              <w:rPr>
                <w:rFonts w:ascii="Times New Roman" w:hAnsi="Times New Roman" w:eastAsia="等线"/>
                <w:szCs w:val="21"/>
                <w:u w:val="single"/>
              </w:rPr>
              <w:t>100</w:t>
            </w:r>
          </w:p>
        </w:tc>
        <w:tc>
          <w:tcPr>
            <w:tcW w:w="1275" w:type="dxa"/>
            <w:shd w:val="clear" w:color="auto" w:fill="auto"/>
            <w:noWrap/>
            <w:vAlign w:val="center"/>
          </w:tcPr>
          <w:p w14:paraId="2B7D0B32">
            <w:pPr>
              <w:widowControl/>
              <w:jc w:val="center"/>
              <w:rPr>
                <w:rFonts w:ascii="Times New Roman" w:hAnsi="Times New Roman"/>
                <w:kern w:val="0"/>
                <w:szCs w:val="21"/>
              </w:rPr>
            </w:pPr>
            <w:r>
              <w:rPr>
                <w:rFonts w:ascii="Times New Roman" w:hAnsi="Times New Roman"/>
                <w:kern w:val="0"/>
                <w:szCs w:val="21"/>
              </w:rPr>
              <w:t>240</w:t>
            </w:r>
          </w:p>
        </w:tc>
        <w:tc>
          <w:tcPr>
            <w:tcW w:w="2987" w:type="dxa"/>
            <w:shd w:val="clear" w:color="auto" w:fill="auto"/>
            <w:noWrap/>
            <w:vAlign w:val="center"/>
          </w:tcPr>
          <w:p w14:paraId="772337FB">
            <w:pPr>
              <w:widowControl/>
              <w:jc w:val="center"/>
              <w:rPr>
                <w:rFonts w:ascii="Times New Roman" w:hAnsi="Times New Roman"/>
                <w:kern w:val="0"/>
                <w:szCs w:val="21"/>
              </w:rPr>
            </w:pPr>
            <w:r>
              <w:rPr>
                <w:rFonts w:ascii="Times New Roman" w:hAnsi="Times New Roman"/>
                <w:spacing w:val="-2"/>
                <w:kern w:val="0"/>
                <w:szCs w:val="21"/>
              </w:rPr>
              <w:t>《大气污染物综合排放标准》（GB16297-1996）</w:t>
            </w:r>
          </w:p>
        </w:tc>
        <w:tc>
          <w:tcPr>
            <w:tcW w:w="992" w:type="dxa"/>
            <w:shd w:val="clear" w:color="auto" w:fill="auto"/>
            <w:noWrap/>
            <w:vAlign w:val="center"/>
          </w:tcPr>
          <w:p w14:paraId="1D278894">
            <w:pPr>
              <w:widowControl/>
              <w:jc w:val="center"/>
              <w:rPr>
                <w:rFonts w:ascii="Times New Roman" w:hAnsi="Times New Roman"/>
                <w:kern w:val="0"/>
                <w:szCs w:val="21"/>
              </w:rPr>
            </w:pPr>
            <w:r>
              <w:rPr>
                <w:rFonts w:ascii="Times New Roman" w:hAnsi="Times New Roman"/>
                <w:kern w:val="0"/>
                <w:szCs w:val="21"/>
              </w:rPr>
              <w:t>达标</w:t>
            </w:r>
          </w:p>
        </w:tc>
      </w:tr>
    </w:tbl>
    <w:p w14:paraId="324002AD">
      <w:pPr>
        <w:snapToGrid w:val="0"/>
        <w:spacing w:line="348" w:lineRule="auto"/>
        <w:ind w:firstLine="480"/>
        <w:rPr>
          <w:rFonts w:ascii="Times New Roman" w:hAnsi="Times New Roman"/>
          <w:spacing w:val="-2"/>
          <w:kern w:val="0"/>
          <w:sz w:val="24"/>
          <w:szCs w:val="24"/>
        </w:rPr>
      </w:pPr>
    </w:p>
    <w:p w14:paraId="0AEA333E">
      <w:pPr>
        <w:snapToGrid w:val="0"/>
        <w:spacing w:line="348" w:lineRule="auto"/>
        <w:ind w:firstLine="480"/>
        <w:rPr>
          <w:rFonts w:ascii="Times New Roman" w:hAnsi="Times New Roman"/>
          <w:spacing w:val="-2"/>
          <w:kern w:val="0"/>
          <w:sz w:val="24"/>
          <w:szCs w:val="24"/>
        </w:rPr>
      </w:pPr>
      <w:r>
        <w:rPr>
          <w:rFonts w:hint="eastAsia" w:ascii="Times New Roman" w:hAnsi="Times New Roman"/>
          <w:sz w:val="24"/>
          <w:szCs w:val="24"/>
        </w:rPr>
        <w:t>项目周边200m半径范围内的最高建筑为东北面的钦州港冷链保税交易中心厂房，高度为14m。</w:t>
      </w:r>
      <w:r>
        <w:rPr>
          <w:rFonts w:hint="eastAsia" w:ascii="Times New Roman" w:hAnsi="Times New Roman"/>
          <w:sz w:val="24"/>
          <w:szCs w:val="24"/>
          <w:u w:val="single"/>
        </w:rPr>
        <w:t>项目烘干炉</w:t>
      </w:r>
      <w:r>
        <w:rPr>
          <w:rFonts w:hint="eastAsia" w:ascii="Times New Roman" w:hAnsi="Times New Roman"/>
          <w:spacing w:val="-2"/>
          <w:kern w:val="0"/>
          <w:sz w:val="24"/>
          <w:szCs w:val="24"/>
          <w:u w:val="single"/>
        </w:rPr>
        <w:t>排气筒高度19m，满足</w:t>
      </w:r>
      <w:r>
        <w:rPr>
          <w:rFonts w:ascii="Times New Roman" w:hAnsi="Times New Roman"/>
          <w:spacing w:val="-2"/>
          <w:kern w:val="0"/>
          <w:sz w:val="24"/>
          <w:szCs w:val="24"/>
          <w:u w:val="single"/>
        </w:rPr>
        <w:t>《工业炉窑大气污染物排放标准》（GB9078-1996）</w:t>
      </w:r>
      <w:r>
        <w:rPr>
          <w:rFonts w:hint="eastAsia" w:ascii="Times New Roman" w:hAnsi="Times New Roman"/>
          <w:spacing w:val="-2"/>
          <w:kern w:val="0"/>
          <w:sz w:val="24"/>
          <w:szCs w:val="24"/>
          <w:u w:val="single"/>
        </w:rPr>
        <w:t>中排气筒高出周围半径200m距离内最高建筑物3m以上，及</w:t>
      </w:r>
      <w:r>
        <w:rPr>
          <w:rFonts w:hint="eastAsia" w:ascii="Times New Roman" w:hAnsi="Times New Roman"/>
          <w:sz w:val="24"/>
          <w:szCs w:val="24"/>
          <w:u w:val="single"/>
        </w:rPr>
        <w:t>《大气污染物综合排放标准》（GB16297-1996）要求的“新污染源的排气筒一般不低于15m，排气筒高度应高出周围200m半径范围的建筑5m以上</w:t>
      </w:r>
      <w:r>
        <w:rPr>
          <w:rFonts w:hint="eastAsia" w:ascii="Times New Roman" w:hAnsi="Times New Roman"/>
          <w:spacing w:val="-2"/>
          <w:kern w:val="0"/>
          <w:sz w:val="24"/>
          <w:szCs w:val="24"/>
          <w:u w:val="single"/>
        </w:rPr>
        <w:t>的要求。</w:t>
      </w:r>
      <w:r>
        <w:rPr>
          <w:rFonts w:ascii="Times New Roman" w:hAnsi="Times New Roman"/>
          <w:spacing w:val="-2"/>
          <w:kern w:val="0"/>
          <w:sz w:val="24"/>
          <w:szCs w:val="24"/>
        </w:rPr>
        <w:t>烘干炉烟气有组织排放的颗粒物、SO</w:t>
      </w:r>
      <w:r>
        <w:rPr>
          <w:rFonts w:ascii="Times New Roman" w:hAnsi="Times New Roman"/>
          <w:spacing w:val="-2"/>
          <w:kern w:val="0"/>
          <w:sz w:val="24"/>
          <w:szCs w:val="24"/>
          <w:vertAlign w:val="subscript"/>
        </w:rPr>
        <w:t>2</w:t>
      </w:r>
      <w:r>
        <w:rPr>
          <w:rFonts w:ascii="Times New Roman" w:hAnsi="Times New Roman"/>
          <w:spacing w:val="-2"/>
          <w:kern w:val="0"/>
          <w:sz w:val="24"/>
          <w:szCs w:val="24"/>
        </w:rPr>
        <w:t>浓度均低于《工业炉窑大气污染物排放标准》（GB9078-1996）表2干燥炉、窑的排放浓度限值，氮氧化物排放浓度低于《大气污染物综合排放标准（GB16297-1996）》二级标准浓度限值。</w:t>
      </w:r>
    </w:p>
    <w:p w14:paraId="21CB9346">
      <w:pPr>
        <w:snapToGrid w:val="0"/>
        <w:spacing w:line="348" w:lineRule="auto"/>
        <w:ind w:firstLine="480"/>
        <w:rPr>
          <w:rFonts w:ascii="Times New Roman" w:hAnsi="Times New Roman"/>
          <w:spacing w:val="-2"/>
          <w:kern w:val="0"/>
          <w:sz w:val="24"/>
          <w:szCs w:val="24"/>
        </w:rPr>
      </w:pPr>
    </w:p>
    <w:p w14:paraId="6A57D48E">
      <w:pPr>
        <w:snapToGrid w:val="0"/>
        <w:spacing w:line="348" w:lineRule="auto"/>
        <w:ind w:firstLine="480"/>
        <w:rPr>
          <w:rFonts w:ascii="Times New Roman" w:hAnsi="Times New Roman"/>
          <w:spacing w:val="-2"/>
          <w:kern w:val="0"/>
          <w:sz w:val="24"/>
          <w:szCs w:val="24"/>
        </w:rPr>
      </w:pPr>
    </w:p>
    <w:p w14:paraId="5CB372C0">
      <w:pPr>
        <w:snapToGrid w:val="0"/>
        <w:spacing w:line="348" w:lineRule="auto"/>
        <w:ind w:firstLine="480"/>
        <w:rPr>
          <w:rFonts w:ascii="Times New Roman" w:hAnsi="Times New Roman"/>
          <w:spacing w:val="-2"/>
          <w:kern w:val="0"/>
          <w:sz w:val="24"/>
          <w:szCs w:val="24"/>
        </w:rPr>
      </w:pPr>
    </w:p>
    <w:p w14:paraId="78ED9765">
      <w:pPr>
        <w:pStyle w:val="8"/>
        <w:numPr>
          <w:ilvl w:val="4"/>
          <w:numId w:val="3"/>
        </w:numPr>
        <w:rPr>
          <w:sz w:val="24"/>
          <w:szCs w:val="24"/>
        </w:rPr>
      </w:pPr>
      <w:r>
        <w:rPr>
          <w:sz w:val="24"/>
          <w:szCs w:val="24"/>
        </w:rPr>
        <w:t>项目烘干炉烟气污染物排放速率达标情况</w:t>
      </w:r>
    </w:p>
    <w:tbl>
      <w:tblPr>
        <w:tblStyle w:val="88"/>
        <w:tblW w:w="9057"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61"/>
        <w:gridCol w:w="1418"/>
        <w:gridCol w:w="1134"/>
        <w:gridCol w:w="992"/>
        <w:gridCol w:w="3260"/>
        <w:gridCol w:w="992"/>
      </w:tblGrid>
      <w:tr w14:paraId="65CB87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1261" w:type="dxa"/>
            <w:vMerge w:val="restart"/>
            <w:shd w:val="clear" w:color="auto" w:fill="auto"/>
            <w:noWrap/>
            <w:vAlign w:val="center"/>
          </w:tcPr>
          <w:p w14:paraId="4DD5F966">
            <w:pPr>
              <w:widowControl/>
              <w:jc w:val="center"/>
              <w:rPr>
                <w:rFonts w:ascii="Times New Roman" w:hAnsi="Times New Roman"/>
                <w:b/>
                <w:bCs/>
                <w:kern w:val="0"/>
                <w:szCs w:val="21"/>
              </w:rPr>
            </w:pPr>
            <w:r>
              <w:rPr>
                <w:rFonts w:ascii="Times New Roman" w:hAnsi="Times New Roman"/>
                <w:b/>
                <w:bCs/>
                <w:kern w:val="0"/>
                <w:szCs w:val="21"/>
              </w:rPr>
              <w:t>污染物</w:t>
            </w:r>
          </w:p>
        </w:tc>
        <w:tc>
          <w:tcPr>
            <w:tcW w:w="1418" w:type="dxa"/>
            <w:vMerge w:val="restart"/>
            <w:shd w:val="clear" w:color="auto" w:fill="auto"/>
            <w:noWrap/>
            <w:vAlign w:val="center"/>
          </w:tcPr>
          <w:p w14:paraId="24CD93B3">
            <w:pPr>
              <w:widowControl/>
              <w:jc w:val="center"/>
              <w:rPr>
                <w:rFonts w:ascii="Times New Roman" w:hAnsi="Times New Roman"/>
                <w:b/>
                <w:bCs/>
                <w:kern w:val="0"/>
                <w:szCs w:val="21"/>
              </w:rPr>
            </w:pPr>
            <w:r>
              <w:rPr>
                <w:rFonts w:ascii="Times New Roman" w:hAnsi="Times New Roman"/>
                <w:b/>
                <w:bCs/>
                <w:kern w:val="0"/>
                <w:szCs w:val="21"/>
              </w:rPr>
              <w:t>项目排放速率</w:t>
            </w:r>
            <w:r>
              <w:rPr>
                <w:rFonts w:ascii="Times New Roman" w:hAnsi="Times New Roman"/>
                <w:b/>
                <w:bCs/>
                <w:spacing w:val="-2"/>
                <w:kern w:val="0"/>
                <w:szCs w:val="21"/>
              </w:rPr>
              <w:t>（kg/h）</w:t>
            </w:r>
          </w:p>
        </w:tc>
        <w:tc>
          <w:tcPr>
            <w:tcW w:w="2126" w:type="dxa"/>
            <w:gridSpan w:val="2"/>
            <w:shd w:val="clear" w:color="auto" w:fill="auto"/>
            <w:vAlign w:val="center"/>
          </w:tcPr>
          <w:p w14:paraId="7DA8051A">
            <w:pPr>
              <w:widowControl/>
              <w:jc w:val="center"/>
              <w:rPr>
                <w:rFonts w:ascii="Times New Roman" w:hAnsi="Times New Roman"/>
                <w:b/>
                <w:bCs/>
                <w:kern w:val="0"/>
                <w:szCs w:val="21"/>
              </w:rPr>
            </w:pPr>
            <w:r>
              <w:rPr>
                <w:rFonts w:ascii="Times New Roman" w:hAnsi="Times New Roman"/>
                <w:b/>
                <w:bCs/>
                <w:spacing w:val="-2"/>
                <w:kern w:val="0"/>
                <w:szCs w:val="21"/>
              </w:rPr>
              <w:t>最高允许排放速率（kg/h）</w:t>
            </w:r>
          </w:p>
        </w:tc>
        <w:tc>
          <w:tcPr>
            <w:tcW w:w="3260" w:type="dxa"/>
            <w:vMerge w:val="restart"/>
            <w:shd w:val="clear" w:color="auto" w:fill="auto"/>
            <w:noWrap/>
            <w:vAlign w:val="center"/>
          </w:tcPr>
          <w:p w14:paraId="31D8B6CC">
            <w:pPr>
              <w:widowControl/>
              <w:jc w:val="center"/>
              <w:rPr>
                <w:rFonts w:ascii="Times New Roman" w:hAnsi="Times New Roman"/>
                <w:b/>
                <w:bCs/>
                <w:kern w:val="0"/>
                <w:szCs w:val="21"/>
              </w:rPr>
            </w:pPr>
            <w:r>
              <w:rPr>
                <w:rFonts w:ascii="Times New Roman" w:hAnsi="Times New Roman"/>
                <w:b/>
                <w:bCs/>
                <w:kern w:val="0"/>
                <w:szCs w:val="21"/>
              </w:rPr>
              <w:t>执行标准</w:t>
            </w:r>
          </w:p>
        </w:tc>
        <w:tc>
          <w:tcPr>
            <w:tcW w:w="992" w:type="dxa"/>
            <w:vMerge w:val="restart"/>
            <w:shd w:val="clear" w:color="auto" w:fill="auto"/>
            <w:vAlign w:val="center"/>
          </w:tcPr>
          <w:p w14:paraId="61E98FCB">
            <w:pPr>
              <w:jc w:val="center"/>
              <w:rPr>
                <w:rFonts w:ascii="Times New Roman" w:hAnsi="Times New Roman"/>
                <w:b/>
                <w:bCs/>
                <w:kern w:val="0"/>
                <w:szCs w:val="21"/>
              </w:rPr>
            </w:pPr>
            <w:r>
              <w:rPr>
                <w:rFonts w:ascii="Times New Roman" w:hAnsi="Times New Roman"/>
                <w:b/>
                <w:bCs/>
                <w:kern w:val="0"/>
                <w:szCs w:val="21"/>
              </w:rPr>
              <w:t>达标</w:t>
            </w:r>
          </w:p>
          <w:p w14:paraId="583E36DC">
            <w:pPr>
              <w:jc w:val="center"/>
              <w:rPr>
                <w:rFonts w:ascii="Times New Roman" w:hAnsi="Times New Roman"/>
                <w:b/>
                <w:bCs/>
                <w:kern w:val="0"/>
                <w:szCs w:val="21"/>
              </w:rPr>
            </w:pPr>
            <w:r>
              <w:rPr>
                <w:rFonts w:ascii="Times New Roman" w:hAnsi="Times New Roman"/>
                <w:b/>
                <w:bCs/>
                <w:kern w:val="0"/>
                <w:szCs w:val="21"/>
              </w:rPr>
              <w:t>情况</w:t>
            </w:r>
          </w:p>
        </w:tc>
      </w:tr>
      <w:tr w14:paraId="12B845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1261" w:type="dxa"/>
            <w:vMerge w:val="continue"/>
            <w:shd w:val="clear" w:color="auto" w:fill="auto"/>
            <w:noWrap/>
            <w:vAlign w:val="center"/>
          </w:tcPr>
          <w:p w14:paraId="4C0C3529">
            <w:pPr>
              <w:widowControl/>
              <w:jc w:val="center"/>
              <w:rPr>
                <w:rFonts w:ascii="Times New Roman" w:hAnsi="Times New Roman"/>
                <w:b/>
                <w:bCs/>
                <w:kern w:val="0"/>
                <w:szCs w:val="21"/>
              </w:rPr>
            </w:pPr>
          </w:p>
        </w:tc>
        <w:tc>
          <w:tcPr>
            <w:tcW w:w="1418" w:type="dxa"/>
            <w:vMerge w:val="continue"/>
            <w:shd w:val="clear" w:color="auto" w:fill="auto"/>
            <w:noWrap/>
            <w:vAlign w:val="center"/>
          </w:tcPr>
          <w:p w14:paraId="0B6051DF">
            <w:pPr>
              <w:widowControl/>
              <w:jc w:val="center"/>
              <w:rPr>
                <w:rFonts w:ascii="Times New Roman" w:hAnsi="Times New Roman"/>
                <w:b/>
                <w:bCs/>
                <w:kern w:val="0"/>
                <w:szCs w:val="21"/>
              </w:rPr>
            </w:pPr>
          </w:p>
        </w:tc>
        <w:tc>
          <w:tcPr>
            <w:tcW w:w="1134" w:type="dxa"/>
            <w:shd w:val="clear" w:color="auto" w:fill="auto"/>
            <w:vAlign w:val="center"/>
          </w:tcPr>
          <w:p w14:paraId="093181AD">
            <w:pPr>
              <w:widowControl/>
              <w:jc w:val="center"/>
              <w:rPr>
                <w:rFonts w:ascii="Times New Roman" w:hAnsi="Times New Roman"/>
                <w:b/>
                <w:bCs/>
                <w:kern w:val="0"/>
                <w:szCs w:val="21"/>
              </w:rPr>
            </w:pPr>
            <w:r>
              <w:rPr>
                <w:rFonts w:ascii="Times New Roman" w:hAnsi="Times New Roman"/>
                <w:b/>
                <w:bCs/>
                <w:kern w:val="0"/>
                <w:szCs w:val="21"/>
              </w:rPr>
              <w:t>排气筒（m）</w:t>
            </w:r>
          </w:p>
        </w:tc>
        <w:tc>
          <w:tcPr>
            <w:tcW w:w="992" w:type="dxa"/>
            <w:shd w:val="clear" w:color="auto" w:fill="auto"/>
            <w:vAlign w:val="center"/>
          </w:tcPr>
          <w:p w14:paraId="4B487D06">
            <w:pPr>
              <w:widowControl/>
              <w:jc w:val="center"/>
              <w:rPr>
                <w:rFonts w:ascii="Times New Roman" w:hAnsi="Times New Roman"/>
                <w:b/>
                <w:bCs/>
                <w:kern w:val="0"/>
                <w:szCs w:val="21"/>
              </w:rPr>
            </w:pPr>
            <w:r>
              <w:rPr>
                <w:rFonts w:ascii="Times New Roman" w:hAnsi="Times New Roman"/>
                <w:b/>
                <w:bCs/>
                <w:kern w:val="0"/>
                <w:szCs w:val="21"/>
              </w:rPr>
              <w:t>二级</w:t>
            </w:r>
          </w:p>
        </w:tc>
        <w:tc>
          <w:tcPr>
            <w:tcW w:w="3260" w:type="dxa"/>
            <w:vMerge w:val="continue"/>
            <w:shd w:val="clear" w:color="auto" w:fill="auto"/>
            <w:noWrap/>
            <w:vAlign w:val="center"/>
          </w:tcPr>
          <w:p w14:paraId="36F12B58">
            <w:pPr>
              <w:widowControl/>
              <w:jc w:val="center"/>
              <w:rPr>
                <w:rFonts w:ascii="Times New Roman" w:hAnsi="Times New Roman"/>
                <w:b/>
                <w:bCs/>
                <w:kern w:val="0"/>
                <w:szCs w:val="21"/>
              </w:rPr>
            </w:pPr>
          </w:p>
        </w:tc>
        <w:tc>
          <w:tcPr>
            <w:tcW w:w="992" w:type="dxa"/>
            <w:vMerge w:val="continue"/>
            <w:shd w:val="clear" w:color="auto" w:fill="auto"/>
            <w:vAlign w:val="center"/>
          </w:tcPr>
          <w:p w14:paraId="5D18927A">
            <w:pPr>
              <w:widowControl/>
              <w:jc w:val="center"/>
              <w:rPr>
                <w:rFonts w:ascii="Times New Roman" w:hAnsi="Times New Roman"/>
                <w:b/>
                <w:bCs/>
                <w:kern w:val="0"/>
                <w:szCs w:val="21"/>
              </w:rPr>
            </w:pPr>
          </w:p>
        </w:tc>
      </w:tr>
      <w:tr w14:paraId="311B67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61" w:type="dxa"/>
            <w:shd w:val="clear" w:color="auto" w:fill="auto"/>
            <w:noWrap/>
            <w:vAlign w:val="center"/>
          </w:tcPr>
          <w:p w14:paraId="424BA6FC">
            <w:pPr>
              <w:widowControl/>
              <w:jc w:val="center"/>
              <w:rPr>
                <w:rFonts w:ascii="Times New Roman" w:hAnsi="Times New Roman"/>
                <w:kern w:val="0"/>
                <w:szCs w:val="21"/>
              </w:rPr>
            </w:pPr>
            <w:r>
              <w:rPr>
                <w:rFonts w:ascii="Times New Roman" w:hAnsi="Times New Roman"/>
                <w:kern w:val="0"/>
                <w:szCs w:val="21"/>
              </w:rPr>
              <w:t>颗粒物</w:t>
            </w:r>
          </w:p>
        </w:tc>
        <w:tc>
          <w:tcPr>
            <w:tcW w:w="1418" w:type="dxa"/>
            <w:shd w:val="clear" w:color="auto" w:fill="auto"/>
            <w:noWrap/>
            <w:vAlign w:val="center"/>
          </w:tcPr>
          <w:p w14:paraId="6B51E337">
            <w:pPr>
              <w:widowControl/>
              <w:jc w:val="center"/>
              <w:rPr>
                <w:rFonts w:ascii="Times New Roman" w:hAnsi="Times New Roman"/>
                <w:kern w:val="0"/>
                <w:szCs w:val="21"/>
              </w:rPr>
            </w:pPr>
            <w:r>
              <w:rPr>
                <w:rFonts w:ascii="Times New Roman" w:hAnsi="Times New Roman" w:eastAsia="等线"/>
                <w:szCs w:val="21"/>
                <w:u w:val="single"/>
              </w:rPr>
              <w:t>0.0175</w:t>
            </w:r>
          </w:p>
        </w:tc>
        <w:tc>
          <w:tcPr>
            <w:tcW w:w="1134" w:type="dxa"/>
            <w:shd w:val="clear" w:color="auto" w:fill="auto"/>
            <w:vAlign w:val="center"/>
          </w:tcPr>
          <w:p w14:paraId="3F86B4BC">
            <w:pPr>
              <w:widowControl/>
              <w:jc w:val="center"/>
              <w:rPr>
                <w:rFonts w:ascii="Times New Roman" w:hAnsi="Times New Roman"/>
                <w:kern w:val="0"/>
                <w:szCs w:val="21"/>
              </w:rPr>
            </w:pPr>
            <w:r>
              <w:rPr>
                <w:rFonts w:ascii="Times New Roman" w:hAnsi="Times New Roman"/>
                <w:kern w:val="0"/>
                <w:szCs w:val="21"/>
              </w:rPr>
              <w:t>/</w:t>
            </w:r>
          </w:p>
        </w:tc>
        <w:tc>
          <w:tcPr>
            <w:tcW w:w="992" w:type="dxa"/>
            <w:shd w:val="clear" w:color="auto" w:fill="auto"/>
            <w:vAlign w:val="center"/>
          </w:tcPr>
          <w:p w14:paraId="2DD05E99">
            <w:pPr>
              <w:widowControl/>
              <w:jc w:val="center"/>
              <w:rPr>
                <w:rFonts w:ascii="Times New Roman" w:hAnsi="Times New Roman"/>
                <w:kern w:val="0"/>
                <w:szCs w:val="21"/>
              </w:rPr>
            </w:pPr>
            <w:r>
              <w:rPr>
                <w:rFonts w:ascii="Times New Roman" w:hAnsi="Times New Roman"/>
                <w:kern w:val="0"/>
                <w:szCs w:val="21"/>
              </w:rPr>
              <w:t>/</w:t>
            </w:r>
          </w:p>
        </w:tc>
        <w:tc>
          <w:tcPr>
            <w:tcW w:w="3260" w:type="dxa"/>
            <w:vMerge w:val="restart"/>
            <w:shd w:val="clear" w:color="auto" w:fill="auto"/>
            <w:noWrap/>
            <w:vAlign w:val="center"/>
          </w:tcPr>
          <w:p w14:paraId="2DC9E64E">
            <w:pPr>
              <w:jc w:val="center"/>
              <w:rPr>
                <w:rFonts w:ascii="Times New Roman" w:hAnsi="Times New Roman"/>
                <w:spacing w:val="-2"/>
                <w:kern w:val="0"/>
                <w:szCs w:val="21"/>
              </w:rPr>
            </w:pPr>
            <w:r>
              <w:rPr>
                <w:rFonts w:ascii="Times New Roman" w:hAnsi="Times New Roman"/>
                <w:spacing w:val="-2"/>
                <w:kern w:val="0"/>
                <w:szCs w:val="21"/>
              </w:rPr>
              <w:t>《工业炉窑大气污染物排放标准》（GB9078-1996）</w:t>
            </w:r>
          </w:p>
        </w:tc>
        <w:tc>
          <w:tcPr>
            <w:tcW w:w="992" w:type="dxa"/>
            <w:shd w:val="clear" w:color="auto" w:fill="auto"/>
            <w:vAlign w:val="center"/>
          </w:tcPr>
          <w:p w14:paraId="35950631">
            <w:pPr>
              <w:jc w:val="center"/>
              <w:rPr>
                <w:rFonts w:ascii="Times New Roman" w:hAnsi="Times New Roman"/>
                <w:spacing w:val="-2"/>
                <w:kern w:val="0"/>
                <w:szCs w:val="21"/>
              </w:rPr>
            </w:pPr>
            <w:r>
              <w:rPr>
                <w:rFonts w:ascii="Times New Roman" w:hAnsi="Times New Roman"/>
                <w:spacing w:val="-2"/>
                <w:kern w:val="0"/>
                <w:szCs w:val="21"/>
              </w:rPr>
              <w:t>/</w:t>
            </w:r>
          </w:p>
        </w:tc>
      </w:tr>
      <w:tr w14:paraId="538FF9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61" w:type="dxa"/>
            <w:shd w:val="clear" w:color="auto" w:fill="auto"/>
            <w:noWrap/>
            <w:vAlign w:val="center"/>
          </w:tcPr>
          <w:p w14:paraId="034D7B73">
            <w:pPr>
              <w:widowControl/>
              <w:jc w:val="center"/>
              <w:rPr>
                <w:rFonts w:ascii="Times New Roman" w:hAnsi="Times New Roman"/>
                <w:kern w:val="0"/>
                <w:szCs w:val="21"/>
              </w:rPr>
            </w:pPr>
            <w:r>
              <w:rPr>
                <w:rFonts w:ascii="Times New Roman" w:hAnsi="Times New Roman"/>
                <w:kern w:val="0"/>
                <w:szCs w:val="21"/>
              </w:rPr>
              <w:t>SO</w:t>
            </w:r>
            <w:r>
              <w:rPr>
                <w:rFonts w:ascii="Times New Roman" w:hAnsi="Times New Roman"/>
                <w:kern w:val="0"/>
                <w:szCs w:val="21"/>
                <w:vertAlign w:val="subscript"/>
              </w:rPr>
              <w:t>2</w:t>
            </w:r>
          </w:p>
        </w:tc>
        <w:tc>
          <w:tcPr>
            <w:tcW w:w="1418" w:type="dxa"/>
            <w:shd w:val="clear" w:color="auto" w:fill="auto"/>
            <w:noWrap/>
            <w:vAlign w:val="center"/>
          </w:tcPr>
          <w:p w14:paraId="4E85ABD1">
            <w:pPr>
              <w:widowControl/>
              <w:jc w:val="center"/>
              <w:rPr>
                <w:rFonts w:ascii="Times New Roman" w:hAnsi="Times New Roman"/>
                <w:kern w:val="0"/>
                <w:szCs w:val="21"/>
              </w:rPr>
            </w:pPr>
            <w:r>
              <w:rPr>
                <w:rFonts w:ascii="Times New Roman" w:hAnsi="Times New Roman" w:eastAsia="等线"/>
                <w:szCs w:val="21"/>
                <w:u w:val="single"/>
              </w:rPr>
              <w:t>0.0921</w:t>
            </w:r>
          </w:p>
        </w:tc>
        <w:tc>
          <w:tcPr>
            <w:tcW w:w="1134" w:type="dxa"/>
            <w:shd w:val="clear" w:color="auto" w:fill="auto"/>
            <w:vAlign w:val="center"/>
          </w:tcPr>
          <w:p w14:paraId="791D3DE0">
            <w:pPr>
              <w:widowControl/>
              <w:jc w:val="center"/>
              <w:rPr>
                <w:rFonts w:ascii="Times New Roman" w:hAnsi="Times New Roman"/>
                <w:kern w:val="0"/>
                <w:szCs w:val="21"/>
              </w:rPr>
            </w:pPr>
            <w:r>
              <w:rPr>
                <w:rFonts w:ascii="Times New Roman" w:hAnsi="Times New Roman"/>
                <w:kern w:val="0"/>
                <w:szCs w:val="21"/>
              </w:rPr>
              <w:t>/</w:t>
            </w:r>
          </w:p>
        </w:tc>
        <w:tc>
          <w:tcPr>
            <w:tcW w:w="992" w:type="dxa"/>
            <w:shd w:val="clear" w:color="auto" w:fill="auto"/>
            <w:vAlign w:val="center"/>
          </w:tcPr>
          <w:p w14:paraId="71DBC01F">
            <w:pPr>
              <w:widowControl/>
              <w:jc w:val="center"/>
              <w:rPr>
                <w:rFonts w:ascii="Times New Roman" w:hAnsi="Times New Roman"/>
                <w:kern w:val="0"/>
                <w:szCs w:val="21"/>
              </w:rPr>
            </w:pPr>
            <w:r>
              <w:rPr>
                <w:rFonts w:ascii="Times New Roman" w:hAnsi="Times New Roman"/>
                <w:kern w:val="0"/>
                <w:szCs w:val="21"/>
              </w:rPr>
              <w:t>/</w:t>
            </w:r>
          </w:p>
        </w:tc>
        <w:tc>
          <w:tcPr>
            <w:tcW w:w="3260" w:type="dxa"/>
            <w:vMerge w:val="continue"/>
            <w:shd w:val="clear" w:color="auto" w:fill="auto"/>
            <w:noWrap/>
            <w:vAlign w:val="center"/>
          </w:tcPr>
          <w:p w14:paraId="166647F2">
            <w:pPr>
              <w:jc w:val="center"/>
              <w:rPr>
                <w:rFonts w:ascii="Times New Roman" w:hAnsi="Times New Roman"/>
                <w:spacing w:val="-2"/>
                <w:kern w:val="0"/>
                <w:szCs w:val="21"/>
              </w:rPr>
            </w:pPr>
          </w:p>
        </w:tc>
        <w:tc>
          <w:tcPr>
            <w:tcW w:w="992" w:type="dxa"/>
            <w:shd w:val="clear" w:color="auto" w:fill="auto"/>
            <w:vAlign w:val="center"/>
          </w:tcPr>
          <w:p w14:paraId="6CE2CAEE">
            <w:pPr>
              <w:jc w:val="center"/>
              <w:rPr>
                <w:rFonts w:ascii="Times New Roman" w:hAnsi="Times New Roman"/>
                <w:spacing w:val="-2"/>
                <w:kern w:val="0"/>
                <w:szCs w:val="21"/>
              </w:rPr>
            </w:pPr>
            <w:r>
              <w:rPr>
                <w:rFonts w:ascii="Times New Roman" w:hAnsi="Times New Roman"/>
                <w:spacing w:val="-2"/>
                <w:kern w:val="0"/>
                <w:szCs w:val="21"/>
              </w:rPr>
              <w:t>/</w:t>
            </w:r>
          </w:p>
        </w:tc>
      </w:tr>
      <w:tr w14:paraId="4A1A0A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61" w:type="dxa"/>
            <w:shd w:val="clear" w:color="auto" w:fill="auto"/>
            <w:noWrap/>
            <w:vAlign w:val="center"/>
          </w:tcPr>
          <w:p w14:paraId="555A28ED">
            <w:pPr>
              <w:widowControl/>
              <w:jc w:val="center"/>
              <w:rPr>
                <w:rFonts w:ascii="Times New Roman" w:hAnsi="Times New Roman"/>
                <w:kern w:val="0"/>
                <w:szCs w:val="21"/>
              </w:rPr>
            </w:pPr>
            <w:r>
              <w:rPr>
                <w:rFonts w:ascii="Times New Roman" w:hAnsi="Times New Roman"/>
                <w:kern w:val="0"/>
                <w:szCs w:val="21"/>
              </w:rPr>
              <w:t>NO</w:t>
            </w:r>
            <w:r>
              <w:rPr>
                <w:rFonts w:ascii="Times New Roman" w:hAnsi="Times New Roman"/>
                <w:kern w:val="0"/>
                <w:szCs w:val="21"/>
                <w:vertAlign w:val="subscript"/>
              </w:rPr>
              <w:t>x</w:t>
            </w:r>
          </w:p>
        </w:tc>
        <w:tc>
          <w:tcPr>
            <w:tcW w:w="1418" w:type="dxa"/>
            <w:shd w:val="clear" w:color="auto" w:fill="auto"/>
            <w:noWrap/>
            <w:vAlign w:val="center"/>
          </w:tcPr>
          <w:p w14:paraId="7EE0DEAA">
            <w:pPr>
              <w:widowControl/>
              <w:jc w:val="center"/>
              <w:rPr>
                <w:rFonts w:ascii="Times New Roman" w:hAnsi="Times New Roman"/>
                <w:kern w:val="0"/>
                <w:szCs w:val="21"/>
              </w:rPr>
            </w:pPr>
            <w:r>
              <w:rPr>
                <w:rFonts w:ascii="Times New Roman" w:hAnsi="Times New Roman" w:eastAsia="等线"/>
                <w:szCs w:val="21"/>
                <w:u w:val="single"/>
              </w:rPr>
              <w:t>0.</w:t>
            </w:r>
            <w:r>
              <w:rPr>
                <w:rFonts w:hint="eastAsia" w:ascii="Times New Roman" w:hAnsi="Times New Roman" w:eastAsia="等线"/>
                <w:szCs w:val="21"/>
                <w:u w:val="single"/>
              </w:rPr>
              <w:t>5</w:t>
            </w:r>
            <w:r>
              <w:rPr>
                <w:rFonts w:ascii="Times New Roman" w:hAnsi="Times New Roman" w:eastAsia="等线"/>
                <w:szCs w:val="21"/>
                <w:u w:val="single"/>
              </w:rPr>
              <w:t>000</w:t>
            </w:r>
          </w:p>
        </w:tc>
        <w:tc>
          <w:tcPr>
            <w:tcW w:w="1134" w:type="dxa"/>
            <w:shd w:val="clear" w:color="auto" w:fill="auto"/>
            <w:vAlign w:val="center"/>
          </w:tcPr>
          <w:p w14:paraId="13CB2668">
            <w:pPr>
              <w:widowControl/>
              <w:jc w:val="center"/>
              <w:rPr>
                <w:rFonts w:ascii="Times New Roman" w:hAnsi="Times New Roman"/>
                <w:kern w:val="0"/>
                <w:szCs w:val="21"/>
              </w:rPr>
            </w:pPr>
            <w:r>
              <w:rPr>
                <w:rFonts w:hint="eastAsia" w:ascii="Times New Roman" w:hAnsi="Times New Roman"/>
                <w:kern w:val="0"/>
                <w:szCs w:val="21"/>
              </w:rPr>
              <w:t>19</w:t>
            </w:r>
          </w:p>
        </w:tc>
        <w:tc>
          <w:tcPr>
            <w:tcW w:w="992" w:type="dxa"/>
            <w:shd w:val="clear" w:color="auto" w:fill="auto"/>
            <w:vAlign w:val="center"/>
          </w:tcPr>
          <w:p w14:paraId="738D26FD">
            <w:pPr>
              <w:widowControl/>
              <w:jc w:val="center"/>
              <w:rPr>
                <w:rFonts w:ascii="Times New Roman" w:hAnsi="Times New Roman"/>
                <w:kern w:val="0"/>
                <w:szCs w:val="21"/>
              </w:rPr>
            </w:pPr>
            <w:r>
              <w:rPr>
                <w:rFonts w:hint="eastAsia" w:ascii="Times New Roman" w:hAnsi="Times New Roman"/>
                <w:kern w:val="0"/>
                <w:szCs w:val="21"/>
              </w:rPr>
              <w:t>1.194</w:t>
            </w:r>
          </w:p>
        </w:tc>
        <w:tc>
          <w:tcPr>
            <w:tcW w:w="3260" w:type="dxa"/>
            <w:shd w:val="clear" w:color="auto" w:fill="auto"/>
            <w:noWrap/>
            <w:vAlign w:val="center"/>
          </w:tcPr>
          <w:p w14:paraId="091DB57E">
            <w:pPr>
              <w:jc w:val="center"/>
              <w:rPr>
                <w:rFonts w:ascii="Times New Roman" w:hAnsi="Times New Roman"/>
                <w:spacing w:val="-2"/>
                <w:kern w:val="0"/>
                <w:szCs w:val="21"/>
              </w:rPr>
            </w:pPr>
            <w:r>
              <w:rPr>
                <w:rFonts w:ascii="Times New Roman" w:hAnsi="Times New Roman"/>
                <w:spacing w:val="-2"/>
                <w:kern w:val="0"/>
                <w:szCs w:val="21"/>
              </w:rPr>
              <w:t>《大气污染物综合排放标准》（GB16297-1996）</w:t>
            </w:r>
          </w:p>
        </w:tc>
        <w:tc>
          <w:tcPr>
            <w:tcW w:w="992" w:type="dxa"/>
            <w:shd w:val="clear" w:color="auto" w:fill="auto"/>
            <w:vAlign w:val="center"/>
          </w:tcPr>
          <w:p w14:paraId="53C866BC">
            <w:pPr>
              <w:jc w:val="center"/>
              <w:rPr>
                <w:rFonts w:ascii="Times New Roman" w:hAnsi="Times New Roman"/>
                <w:spacing w:val="-2"/>
                <w:kern w:val="0"/>
                <w:szCs w:val="21"/>
              </w:rPr>
            </w:pPr>
            <w:r>
              <w:rPr>
                <w:rFonts w:ascii="Times New Roman" w:hAnsi="Times New Roman"/>
                <w:spacing w:val="-2"/>
                <w:kern w:val="0"/>
                <w:szCs w:val="21"/>
              </w:rPr>
              <w:t>达标</w:t>
            </w:r>
          </w:p>
        </w:tc>
      </w:tr>
    </w:tbl>
    <w:p w14:paraId="64108511">
      <w:pPr>
        <w:snapToGrid w:val="0"/>
        <w:spacing w:line="360" w:lineRule="auto"/>
        <w:ind w:firstLine="480"/>
        <w:rPr>
          <w:rFonts w:ascii="Times New Roman" w:hAnsi="Times New Roman"/>
          <w:spacing w:val="-2"/>
          <w:kern w:val="0"/>
          <w:sz w:val="24"/>
          <w:szCs w:val="24"/>
        </w:rPr>
      </w:pPr>
    </w:p>
    <w:p w14:paraId="68CDD775">
      <w:pPr>
        <w:snapToGrid w:val="0"/>
        <w:spacing w:line="360" w:lineRule="auto"/>
        <w:ind w:firstLine="480"/>
        <w:rPr>
          <w:rFonts w:ascii="Times New Roman" w:hAnsi="Times New Roman"/>
          <w:spacing w:val="-2"/>
          <w:kern w:val="0"/>
          <w:sz w:val="24"/>
          <w:szCs w:val="24"/>
        </w:rPr>
      </w:pPr>
      <w:r>
        <w:rPr>
          <w:rFonts w:hint="eastAsia" w:ascii="Times New Roman" w:hAnsi="Times New Roman"/>
          <w:spacing w:val="-2"/>
          <w:kern w:val="0"/>
          <w:sz w:val="24"/>
          <w:szCs w:val="24"/>
        </w:rPr>
        <w:t>项目烘干炉排气筒高度19m，氮氧化物最高允许排放速率标准参照</w:t>
      </w:r>
      <w:r>
        <w:rPr>
          <w:rFonts w:ascii="Times New Roman" w:hAnsi="Times New Roman"/>
          <w:spacing w:val="-2"/>
          <w:kern w:val="0"/>
          <w:sz w:val="24"/>
          <w:szCs w:val="24"/>
        </w:rPr>
        <w:t>《大气污染物综合排放标准》（GB16297-1996）二级标准</w:t>
      </w:r>
      <w:r>
        <w:rPr>
          <w:rFonts w:hint="eastAsia" w:ascii="Times New Roman" w:hAnsi="Times New Roman"/>
          <w:spacing w:val="-2"/>
          <w:kern w:val="0"/>
          <w:sz w:val="24"/>
          <w:szCs w:val="24"/>
        </w:rPr>
        <w:t>，采用内插法计算出19m高排气筒最高允许排放速率标准值为1.194kg/h。项目</w:t>
      </w:r>
      <w:r>
        <w:rPr>
          <w:rFonts w:ascii="Times New Roman" w:hAnsi="Times New Roman"/>
          <w:spacing w:val="-2"/>
          <w:kern w:val="0"/>
          <w:sz w:val="24"/>
          <w:szCs w:val="24"/>
        </w:rPr>
        <w:t>烘干炉烟气有组织排放的NO</w:t>
      </w:r>
      <w:r>
        <w:rPr>
          <w:rFonts w:ascii="Times New Roman" w:hAnsi="Times New Roman"/>
          <w:spacing w:val="-2"/>
          <w:kern w:val="0"/>
          <w:sz w:val="24"/>
          <w:szCs w:val="24"/>
          <w:vertAlign w:val="subscript"/>
        </w:rPr>
        <w:t>X</w:t>
      </w:r>
      <w:r>
        <w:rPr>
          <w:rFonts w:hint="eastAsia" w:ascii="Times New Roman" w:hAnsi="Times New Roman"/>
          <w:spacing w:val="-2"/>
          <w:kern w:val="0"/>
          <w:sz w:val="24"/>
          <w:szCs w:val="24"/>
        </w:rPr>
        <w:t>排放速率为0.5kg/h，</w:t>
      </w:r>
      <w:r>
        <w:rPr>
          <w:rFonts w:ascii="Times New Roman" w:hAnsi="Times New Roman"/>
          <w:spacing w:val="-2"/>
          <w:kern w:val="0"/>
          <w:sz w:val="24"/>
          <w:szCs w:val="24"/>
        </w:rPr>
        <w:t>达到《大气污染物综合排放标准》（GB16297-1996）二级标准中的最高允许排放速率</w:t>
      </w:r>
      <w:r>
        <w:rPr>
          <w:rFonts w:hint="eastAsia" w:ascii="Times New Roman" w:hAnsi="Times New Roman"/>
          <w:spacing w:val="-2"/>
          <w:kern w:val="0"/>
          <w:sz w:val="24"/>
          <w:szCs w:val="24"/>
        </w:rPr>
        <w:t>要求</w:t>
      </w:r>
      <w:r>
        <w:rPr>
          <w:rFonts w:ascii="Times New Roman" w:hAnsi="Times New Roman"/>
          <w:spacing w:val="-2"/>
          <w:kern w:val="0"/>
          <w:sz w:val="24"/>
          <w:szCs w:val="24"/>
        </w:rPr>
        <w:t>。</w:t>
      </w:r>
    </w:p>
    <w:p w14:paraId="3BCF8E21">
      <w:pPr>
        <w:snapToGrid w:val="0"/>
        <w:spacing w:line="360" w:lineRule="auto"/>
        <w:ind w:firstLine="480"/>
        <w:rPr>
          <w:rFonts w:ascii="Times New Roman" w:hAnsi="Times New Roman"/>
          <w:spacing w:val="-2"/>
          <w:kern w:val="0"/>
          <w:sz w:val="24"/>
          <w:szCs w:val="24"/>
        </w:rPr>
      </w:pPr>
      <w:r>
        <w:rPr>
          <w:rFonts w:ascii="Times New Roman" w:hAnsi="Times New Roman"/>
          <w:spacing w:val="-2"/>
          <w:kern w:val="0"/>
          <w:sz w:val="24"/>
          <w:szCs w:val="24"/>
        </w:rPr>
        <w:t>项目烘干炉烟气点源排放参数见表2.3-</w:t>
      </w:r>
      <w:r>
        <w:rPr>
          <w:rFonts w:hint="eastAsia" w:ascii="Times New Roman" w:hAnsi="Times New Roman"/>
          <w:spacing w:val="-2"/>
          <w:kern w:val="0"/>
          <w:sz w:val="24"/>
          <w:szCs w:val="24"/>
        </w:rPr>
        <w:t>4</w:t>
      </w:r>
      <w:r>
        <w:rPr>
          <w:rFonts w:ascii="Times New Roman" w:hAnsi="Times New Roman"/>
          <w:spacing w:val="-2"/>
          <w:kern w:val="0"/>
          <w:sz w:val="24"/>
          <w:szCs w:val="24"/>
        </w:rPr>
        <w:t>。</w:t>
      </w:r>
    </w:p>
    <w:p w14:paraId="248C4DAC">
      <w:pPr>
        <w:pStyle w:val="8"/>
        <w:numPr>
          <w:ilvl w:val="4"/>
          <w:numId w:val="3"/>
        </w:numPr>
        <w:rPr>
          <w:sz w:val="24"/>
          <w:szCs w:val="24"/>
        </w:rPr>
      </w:pPr>
      <w:r>
        <w:rPr>
          <w:sz w:val="24"/>
          <w:szCs w:val="24"/>
        </w:rPr>
        <w:t>项目烘干炉烟气点源排放参数清单</w:t>
      </w:r>
    </w:p>
    <w:tbl>
      <w:tblPr>
        <w:tblStyle w:val="88"/>
        <w:tblpPr w:leftFromText="180" w:rightFromText="180" w:vertAnchor="text" w:tblpY="1"/>
        <w:tblOverlap w:val="never"/>
        <w:tblW w:w="904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55"/>
        <w:gridCol w:w="1214"/>
        <w:gridCol w:w="1201"/>
        <w:gridCol w:w="993"/>
        <w:gridCol w:w="709"/>
        <w:gridCol w:w="673"/>
        <w:gridCol w:w="768"/>
        <w:gridCol w:w="703"/>
        <w:gridCol w:w="700"/>
        <w:gridCol w:w="824"/>
      </w:tblGrid>
      <w:tr w14:paraId="2D7DFB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1255" w:type="dxa"/>
            <w:vMerge w:val="restart"/>
            <w:vAlign w:val="center"/>
          </w:tcPr>
          <w:p w14:paraId="358C967A">
            <w:pPr>
              <w:jc w:val="center"/>
              <w:rPr>
                <w:rFonts w:ascii="Times New Roman" w:hAnsi="Times New Roman"/>
                <w:b/>
                <w:bCs/>
                <w:kern w:val="0"/>
                <w:szCs w:val="21"/>
              </w:rPr>
            </w:pPr>
            <w:r>
              <w:rPr>
                <w:rFonts w:ascii="Times New Roman" w:hAnsi="Times New Roman"/>
                <w:b/>
                <w:bCs/>
                <w:kern w:val="0"/>
                <w:szCs w:val="21"/>
              </w:rPr>
              <w:t>污染源名称</w:t>
            </w:r>
          </w:p>
        </w:tc>
        <w:tc>
          <w:tcPr>
            <w:tcW w:w="2415" w:type="dxa"/>
            <w:gridSpan w:val="2"/>
            <w:shd w:val="clear" w:color="auto" w:fill="auto"/>
            <w:vAlign w:val="center"/>
          </w:tcPr>
          <w:p w14:paraId="6D759BBC">
            <w:pPr>
              <w:widowControl/>
              <w:jc w:val="center"/>
              <w:rPr>
                <w:rFonts w:ascii="Times New Roman" w:hAnsi="Times New Roman"/>
                <w:b/>
                <w:bCs/>
                <w:kern w:val="0"/>
                <w:szCs w:val="21"/>
              </w:rPr>
            </w:pPr>
            <w:r>
              <w:rPr>
                <w:rFonts w:ascii="Times New Roman" w:hAnsi="Times New Roman"/>
                <w:b/>
                <w:bCs/>
                <w:kern w:val="0"/>
                <w:szCs w:val="21"/>
              </w:rPr>
              <w:t>排气筒底部中心坐标(°)</w:t>
            </w:r>
          </w:p>
        </w:tc>
        <w:tc>
          <w:tcPr>
            <w:tcW w:w="993" w:type="dxa"/>
            <w:vMerge w:val="restart"/>
            <w:vAlign w:val="center"/>
          </w:tcPr>
          <w:p w14:paraId="53E47E32">
            <w:pPr>
              <w:jc w:val="left"/>
              <w:rPr>
                <w:rFonts w:ascii="Times New Roman" w:hAnsi="Times New Roman"/>
                <w:b/>
                <w:bCs/>
                <w:kern w:val="0"/>
                <w:szCs w:val="21"/>
              </w:rPr>
            </w:pPr>
            <w:r>
              <w:rPr>
                <w:rFonts w:ascii="Times New Roman" w:hAnsi="Times New Roman"/>
                <w:b/>
                <w:bCs/>
                <w:kern w:val="0"/>
                <w:szCs w:val="21"/>
              </w:rPr>
              <w:t>气筒底部海拔高度(m)</w:t>
            </w:r>
          </w:p>
        </w:tc>
        <w:tc>
          <w:tcPr>
            <w:tcW w:w="2853" w:type="dxa"/>
            <w:gridSpan w:val="4"/>
            <w:shd w:val="clear" w:color="auto" w:fill="auto"/>
            <w:vAlign w:val="center"/>
          </w:tcPr>
          <w:p w14:paraId="7FCA2A96">
            <w:pPr>
              <w:widowControl/>
              <w:jc w:val="center"/>
              <w:rPr>
                <w:rFonts w:ascii="Times New Roman" w:hAnsi="Times New Roman"/>
                <w:b/>
                <w:bCs/>
                <w:kern w:val="0"/>
                <w:szCs w:val="21"/>
              </w:rPr>
            </w:pPr>
            <w:r>
              <w:rPr>
                <w:rFonts w:ascii="Times New Roman" w:hAnsi="Times New Roman"/>
                <w:b/>
                <w:bCs/>
                <w:kern w:val="0"/>
                <w:szCs w:val="21"/>
              </w:rPr>
              <w:t>排气筒参数</w:t>
            </w:r>
          </w:p>
        </w:tc>
        <w:tc>
          <w:tcPr>
            <w:tcW w:w="700" w:type="dxa"/>
            <w:vMerge w:val="restart"/>
            <w:shd w:val="clear" w:color="auto" w:fill="auto"/>
            <w:vAlign w:val="center"/>
          </w:tcPr>
          <w:p w14:paraId="09D0C850">
            <w:pPr>
              <w:jc w:val="center"/>
              <w:rPr>
                <w:rFonts w:ascii="Times New Roman" w:hAnsi="Times New Roman"/>
                <w:b/>
                <w:bCs/>
                <w:kern w:val="0"/>
                <w:szCs w:val="21"/>
              </w:rPr>
            </w:pPr>
            <w:r>
              <w:rPr>
                <w:rFonts w:hint="eastAsia" w:ascii="Times New Roman" w:hAnsi="Times New Roman"/>
                <w:b/>
                <w:bCs/>
                <w:kern w:val="0"/>
                <w:szCs w:val="21"/>
              </w:rPr>
              <w:t>污染物名称</w:t>
            </w:r>
          </w:p>
        </w:tc>
        <w:tc>
          <w:tcPr>
            <w:tcW w:w="824" w:type="dxa"/>
            <w:vMerge w:val="restart"/>
            <w:shd w:val="clear" w:color="auto" w:fill="auto"/>
            <w:vAlign w:val="center"/>
          </w:tcPr>
          <w:p w14:paraId="29A15671">
            <w:pPr>
              <w:jc w:val="center"/>
              <w:rPr>
                <w:rFonts w:ascii="Times New Roman" w:hAnsi="Times New Roman"/>
                <w:b/>
                <w:bCs/>
                <w:szCs w:val="21"/>
              </w:rPr>
            </w:pPr>
            <w:r>
              <w:rPr>
                <w:rFonts w:ascii="Times New Roman" w:hAnsi="Times New Roman"/>
                <w:b/>
                <w:bCs/>
                <w:kern w:val="0"/>
                <w:szCs w:val="21"/>
              </w:rPr>
              <w:t>排放速率(kg/h)</w:t>
            </w:r>
          </w:p>
        </w:tc>
      </w:tr>
      <w:tr w14:paraId="2EE2A4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1255" w:type="dxa"/>
            <w:vMerge w:val="continue"/>
            <w:vAlign w:val="center"/>
          </w:tcPr>
          <w:p w14:paraId="55235E49">
            <w:pPr>
              <w:widowControl/>
              <w:jc w:val="center"/>
              <w:rPr>
                <w:rFonts w:ascii="Times New Roman" w:hAnsi="Times New Roman"/>
                <w:b/>
                <w:bCs/>
                <w:kern w:val="0"/>
                <w:szCs w:val="21"/>
              </w:rPr>
            </w:pPr>
          </w:p>
        </w:tc>
        <w:tc>
          <w:tcPr>
            <w:tcW w:w="1214" w:type="dxa"/>
            <w:shd w:val="clear" w:color="auto" w:fill="auto"/>
            <w:vAlign w:val="center"/>
          </w:tcPr>
          <w:p w14:paraId="48E5009E">
            <w:pPr>
              <w:widowControl/>
              <w:jc w:val="center"/>
              <w:rPr>
                <w:rFonts w:ascii="Times New Roman" w:hAnsi="Times New Roman"/>
                <w:b/>
                <w:bCs/>
                <w:kern w:val="0"/>
                <w:szCs w:val="21"/>
              </w:rPr>
            </w:pPr>
            <w:r>
              <w:rPr>
                <w:rFonts w:ascii="Times New Roman" w:hAnsi="Times New Roman"/>
                <w:b/>
                <w:bCs/>
                <w:kern w:val="0"/>
                <w:szCs w:val="21"/>
              </w:rPr>
              <w:t>经度</w:t>
            </w:r>
          </w:p>
        </w:tc>
        <w:tc>
          <w:tcPr>
            <w:tcW w:w="1201" w:type="dxa"/>
            <w:shd w:val="clear" w:color="auto" w:fill="auto"/>
            <w:vAlign w:val="center"/>
          </w:tcPr>
          <w:p w14:paraId="14558F08">
            <w:pPr>
              <w:widowControl/>
              <w:jc w:val="center"/>
              <w:rPr>
                <w:rFonts w:ascii="Times New Roman" w:hAnsi="Times New Roman"/>
                <w:b/>
                <w:bCs/>
                <w:kern w:val="0"/>
                <w:szCs w:val="21"/>
              </w:rPr>
            </w:pPr>
            <w:r>
              <w:rPr>
                <w:rFonts w:ascii="Times New Roman" w:hAnsi="Times New Roman"/>
                <w:b/>
                <w:bCs/>
                <w:kern w:val="0"/>
                <w:szCs w:val="21"/>
              </w:rPr>
              <w:t>纬度</w:t>
            </w:r>
          </w:p>
        </w:tc>
        <w:tc>
          <w:tcPr>
            <w:tcW w:w="993" w:type="dxa"/>
            <w:vMerge w:val="continue"/>
            <w:vAlign w:val="center"/>
          </w:tcPr>
          <w:p w14:paraId="315CF362">
            <w:pPr>
              <w:widowControl/>
              <w:jc w:val="left"/>
              <w:rPr>
                <w:rFonts w:ascii="Times New Roman" w:hAnsi="Times New Roman"/>
                <w:b/>
                <w:bCs/>
                <w:kern w:val="0"/>
                <w:szCs w:val="21"/>
              </w:rPr>
            </w:pPr>
          </w:p>
        </w:tc>
        <w:tc>
          <w:tcPr>
            <w:tcW w:w="709" w:type="dxa"/>
            <w:shd w:val="clear" w:color="auto" w:fill="auto"/>
            <w:vAlign w:val="center"/>
          </w:tcPr>
          <w:p w14:paraId="55F1C965">
            <w:pPr>
              <w:widowControl/>
              <w:jc w:val="center"/>
              <w:rPr>
                <w:rFonts w:ascii="Times New Roman" w:hAnsi="Times New Roman"/>
                <w:b/>
                <w:bCs/>
                <w:kern w:val="0"/>
                <w:szCs w:val="21"/>
              </w:rPr>
            </w:pPr>
            <w:r>
              <w:rPr>
                <w:rFonts w:ascii="Times New Roman" w:hAnsi="Times New Roman"/>
                <w:b/>
                <w:bCs/>
                <w:kern w:val="0"/>
                <w:szCs w:val="21"/>
              </w:rPr>
              <w:t>高度(m)</w:t>
            </w:r>
          </w:p>
        </w:tc>
        <w:tc>
          <w:tcPr>
            <w:tcW w:w="673" w:type="dxa"/>
            <w:shd w:val="clear" w:color="auto" w:fill="auto"/>
            <w:vAlign w:val="center"/>
          </w:tcPr>
          <w:p w14:paraId="37C81CE1">
            <w:pPr>
              <w:widowControl/>
              <w:jc w:val="center"/>
              <w:rPr>
                <w:rFonts w:ascii="Times New Roman" w:hAnsi="Times New Roman"/>
                <w:b/>
                <w:bCs/>
                <w:kern w:val="0"/>
                <w:szCs w:val="21"/>
              </w:rPr>
            </w:pPr>
            <w:r>
              <w:rPr>
                <w:rFonts w:ascii="Times New Roman" w:hAnsi="Times New Roman"/>
                <w:b/>
                <w:bCs/>
                <w:kern w:val="0"/>
                <w:szCs w:val="21"/>
              </w:rPr>
              <w:t>内径(m)</w:t>
            </w:r>
          </w:p>
        </w:tc>
        <w:tc>
          <w:tcPr>
            <w:tcW w:w="768" w:type="dxa"/>
            <w:shd w:val="clear" w:color="auto" w:fill="auto"/>
            <w:vAlign w:val="center"/>
          </w:tcPr>
          <w:p w14:paraId="1308C0E1">
            <w:pPr>
              <w:widowControl/>
              <w:jc w:val="center"/>
              <w:rPr>
                <w:rFonts w:ascii="Times New Roman" w:hAnsi="Times New Roman"/>
                <w:b/>
                <w:bCs/>
                <w:kern w:val="0"/>
                <w:szCs w:val="21"/>
              </w:rPr>
            </w:pPr>
            <w:r>
              <w:rPr>
                <w:rFonts w:ascii="Times New Roman" w:hAnsi="Times New Roman"/>
                <w:b/>
                <w:bCs/>
                <w:kern w:val="0"/>
                <w:szCs w:val="21"/>
              </w:rPr>
              <w:t>温度(℃)</w:t>
            </w:r>
          </w:p>
        </w:tc>
        <w:tc>
          <w:tcPr>
            <w:tcW w:w="703" w:type="dxa"/>
            <w:shd w:val="clear" w:color="auto" w:fill="auto"/>
            <w:vAlign w:val="center"/>
          </w:tcPr>
          <w:p w14:paraId="51DC22BF">
            <w:pPr>
              <w:widowControl/>
              <w:jc w:val="center"/>
              <w:rPr>
                <w:rFonts w:ascii="Times New Roman" w:hAnsi="Times New Roman"/>
                <w:b/>
                <w:bCs/>
                <w:kern w:val="0"/>
                <w:szCs w:val="21"/>
              </w:rPr>
            </w:pPr>
            <w:r>
              <w:rPr>
                <w:rFonts w:ascii="Times New Roman" w:hAnsi="Times New Roman"/>
                <w:b/>
                <w:bCs/>
                <w:kern w:val="0"/>
                <w:szCs w:val="21"/>
              </w:rPr>
              <w:t>流速(m/s)</w:t>
            </w:r>
          </w:p>
        </w:tc>
        <w:tc>
          <w:tcPr>
            <w:tcW w:w="700" w:type="dxa"/>
            <w:vMerge w:val="continue"/>
            <w:shd w:val="clear" w:color="auto" w:fill="auto"/>
            <w:vAlign w:val="center"/>
          </w:tcPr>
          <w:p w14:paraId="052DDD45">
            <w:pPr>
              <w:widowControl/>
              <w:jc w:val="center"/>
              <w:rPr>
                <w:rFonts w:ascii="Times New Roman" w:hAnsi="Times New Roman"/>
                <w:b/>
                <w:bCs/>
                <w:kern w:val="0"/>
                <w:szCs w:val="21"/>
              </w:rPr>
            </w:pPr>
          </w:p>
        </w:tc>
        <w:tc>
          <w:tcPr>
            <w:tcW w:w="824" w:type="dxa"/>
            <w:vMerge w:val="continue"/>
            <w:shd w:val="clear" w:color="auto" w:fill="auto"/>
            <w:vAlign w:val="center"/>
          </w:tcPr>
          <w:p w14:paraId="4B8E5869">
            <w:pPr>
              <w:widowControl/>
              <w:jc w:val="center"/>
              <w:rPr>
                <w:rFonts w:ascii="Times New Roman" w:hAnsi="Times New Roman"/>
                <w:b/>
                <w:bCs/>
                <w:szCs w:val="21"/>
              </w:rPr>
            </w:pPr>
          </w:p>
        </w:tc>
      </w:tr>
      <w:tr w14:paraId="1B55D9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55" w:type="dxa"/>
            <w:vMerge w:val="restart"/>
            <w:shd w:val="clear" w:color="auto" w:fill="auto"/>
            <w:vAlign w:val="center"/>
          </w:tcPr>
          <w:p w14:paraId="47D7A6E7">
            <w:pPr>
              <w:widowControl/>
              <w:jc w:val="center"/>
              <w:rPr>
                <w:rFonts w:ascii="Times New Roman" w:hAnsi="Times New Roman"/>
                <w:kern w:val="0"/>
                <w:szCs w:val="21"/>
              </w:rPr>
            </w:pPr>
            <w:r>
              <w:rPr>
                <w:rFonts w:ascii="Times New Roman" w:hAnsi="Times New Roman"/>
                <w:szCs w:val="21"/>
              </w:rPr>
              <w:t>烘干炉排气筒</w:t>
            </w:r>
            <w:r>
              <w:rPr>
                <w:rFonts w:hint="eastAsia" w:ascii="Times New Roman" w:hAnsi="Times New Roman"/>
                <w:szCs w:val="21"/>
              </w:rPr>
              <w:t>（DA001）</w:t>
            </w:r>
          </w:p>
        </w:tc>
        <w:tc>
          <w:tcPr>
            <w:tcW w:w="1214" w:type="dxa"/>
            <w:vMerge w:val="restart"/>
            <w:shd w:val="clear" w:color="auto" w:fill="auto"/>
            <w:vAlign w:val="center"/>
          </w:tcPr>
          <w:p w14:paraId="372AD27F">
            <w:pPr>
              <w:widowControl/>
              <w:jc w:val="center"/>
              <w:rPr>
                <w:rFonts w:ascii="Times New Roman" w:hAnsi="Times New Roman"/>
                <w:kern w:val="0"/>
                <w:szCs w:val="21"/>
              </w:rPr>
            </w:pPr>
            <w:r>
              <w:rPr>
                <w:rFonts w:ascii="Times New Roman" w:hAnsi="Times New Roman"/>
                <w:szCs w:val="21"/>
              </w:rPr>
              <w:t>108.667620</w:t>
            </w:r>
          </w:p>
        </w:tc>
        <w:tc>
          <w:tcPr>
            <w:tcW w:w="1201" w:type="dxa"/>
            <w:vMerge w:val="restart"/>
            <w:shd w:val="clear" w:color="auto" w:fill="auto"/>
            <w:vAlign w:val="center"/>
          </w:tcPr>
          <w:p w14:paraId="00DA1F2B">
            <w:pPr>
              <w:widowControl/>
              <w:jc w:val="center"/>
              <w:rPr>
                <w:rFonts w:ascii="Times New Roman" w:hAnsi="Times New Roman"/>
                <w:kern w:val="0"/>
                <w:szCs w:val="21"/>
              </w:rPr>
            </w:pPr>
            <w:r>
              <w:rPr>
                <w:rFonts w:ascii="Times New Roman" w:hAnsi="Times New Roman"/>
                <w:szCs w:val="21"/>
              </w:rPr>
              <w:t>21.672537</w:t>
            </w:r>
          </w:p>
        </w:tc>
        <w:tc>
          <w:tcPr>
            <w:tcW w:w="993" w:type="dxa"/>
            <w:vMerge w:val="restart"/>
            <w:shd w:val="clear" w:color="auto" w:fill="auto"/>
            <w:vAlign w:val="center"/>
          </w:tcPr>
          <w:p w14:paraId="4AEA5D9B">
            <w:pPr>
              <w:widowControl/>
              <w:jc w:val="center"/>
              <w:rPr>
                <w:rFonts w:ascii="Times New Roman" w:hAnsi="Times New Roman"/>
                <w:kern w:val="0"/>
                <w:szCs w:val="21"/>
              </w:rPr>
            </w:pPr>
            <w:r>
              <w:rPr>
                <w:rFonts w:ascii="Times New Roman" w:hAnsi="Times New Roman"/>
                <w:kern w:val="0"/>
                <w:szCs w:val="21"/>
              </w:rPr>
              <w:t>0</w:t>
            </w:r>
          </w:p>
        </w:tc>
        <w:tc>
          <w:tcPr>
            <w:tcW w:w="709" w:type="dxa"/>
            <w:vMerge w:val="restart"/>
            <w:shd w:val="clear" w:color="auto" w:fill="auto"/>
            <w:vAlign w:val="center"/>
          </w:tcPr>
          <w:p w14:paraId="1C15EADD">
            <w:pPr>
              <w:widowControl/>
              <w:jc w:val="center"/>
              <w:rPr>
                <w:rFonts w:ascii="Times New Roman" w:hAnsi="Times New Roman"/>
                <w:kern w:val="0"/>
                <w:szCs w:val="21"/>
              </w:rPr>
            </w:pPr>
            <w:r>
              <w:rPr>
                <w:rFonts w:hint="eastAsia" w:ascii="Times New Roman" w:hAnsi="Times New Roman"/>
                <w:kern w:val="0"/>
                <w:szCs w:val="21"/>
              </w:rPr>
              <w:t>19</w:t>
            </w:r>
          </w:p>
        </w:tc>
        <w:tc>
          <w:tcPr>
            <w:tcW w:w="673" w:type="dxa"/>
            <w:vMerge w:val="restart"/>
            <w:shd w:val="clear" w:color="auto" w:fill="auto"/>
            <w:vAlign w:val="center"/>
          </w:tcPr>
          <w:p w14:paraId="0FDFE047">
            <w:pPr>
              <w:widowControl/>
              <w:jc w:val="center"/>
              <w:rPr>
                <w:rFonts w:ascii="Times New Roman" w:hAnsi="Times New Roman"/>
                <w:kern w:val="0"/>
                <w:szCs w:val="21"/>
              </w:rPr>
            </w:pPr>
            <w:r>
              <w:rPr>
                <w:rFonts w:ascii="Times New Roman" w:hAnsi="Times New Roman"/>
                <w:kern w:val="0"/>
                <w:szCs w:val="21"/>
              </w:rPr>
              <w:t>0.</w:t>
            </w:r>
            <w:r>
              <w:rPr>
                <w:rFonts w:hint="eastAsia" w:ascii="Times New Roman" w:hAnsi="Times New Roman"/>
                <w:kern w:val="0"/>
                <w:szCs w:val="21"/>
              </w:rPr>
              <w:t>3</w:t>
            </w:r>
          </w:p>
        </w:tc>
        <w:tc>
          <w:tcPr>
            <w:tcW w:w="768" w:type="dxa"/>
            <w:vMerge w:val="restart"/>
            <w:shd w:val="clear" w:color="auto" w:fill="auto"/>
            <w:vAlign w:val="center"/>
          </w:tcPr>
          <w:p w14:paraId="1AABBBEB">
            <w:pPr>
              <w:widowControl/>
              <w:jc w:val="center"/>
              <w:rPr>
                <w:rFonts w:ascii="Times New Roman" w:hAnsi="Times New Roman"/>
                <w:kern w:val="0"/>
                <w:szCs w:val="21"/>
              </w:rPr>
            </w:pPr>
            <w:r>
              <w:rPr>
                <w:rFonts w:hint="eastAsia" w:ascii="Times New Roman" w:hAnsi="Times New Roman"/>
                <w:kern w:val="0"/>
                <w:szCs w:val="21"/>
              </w:rPr>
              <w:t>8</w:t>
            </w:r>
            <w:r>
              <w:rPr>
                <w:rFonts w:ascii="Times New Roman" w:hAnsi="Times New Roman"/>
                <w:kern w:val="0"/>
                <w:szCs w:val="21"/>
              </w:rPr>
              <w:t>0</w:t>
            </w:r>
          </w:p>
        </w:tc>
        <w:tc>
          <w:tcPr>
            <w:tcW w:w="703" w:type="dxa"/>
            <w:vMerge w:val="restart"/>
            <w:shd w:val="clear" w:color="auto" w:fill="auto"/>
            <w:vAlign w:val="center"/>
          </w:tcPr>
          <w:p w14:paraId="4954DBB8">
            <w:pPr>
              <w:widowControl/>
              <w:jc w:val="center"/>
              <w:rPr>
                <w:rFonts w:ascii="Times New Roman" w:hAnsi="Times New Roman"/>
                <w:kern w:val="0"/>
                <w:szCs w:val="21"/>
              </w:rPr>
            </w:pPr>
            <w:r>
              <w:rPr>
                <w:rFonts w:hint="eastAsia" w:ascii="Times New Roman" w:hAnsi="Times New Roman"/>
                <w:kern w:val="0"/>
                <w:szCs w:val="21"/>
              </w:rPr>
              <w:t>19.65</w:t>
            </w:r>
          </w:p>
        </w:tc>
        <w:tc>
          <w:tcPr>
            <w:tcW w:w="700" w:type="dxa"/>
            <w:shd w:val="clear" w:color="auto" w:fill="auto"/>
            <w:vAlign w:val="center"/>
          </w:tcPr>
          <w:p w14:paraId="577E0845">
            <w:pPr>
              <w:widowControl/>
              <w:jc w:val="center"/>
              <w:rPr>
                <w:rFonts w:ascii="Times New Roman" w:hAnsi="Times New Roman"/>
                <w:kern w:val="0"/>
                <w:szCs w:val="21"/>
              </w:rPr>
            </w:pPr>
            <w:r>
              <w:rPr>
                <w:rFonts w:ascii="Times New Roman" w:hAnsi="Times New Roman"/>
                <w:kern w:val="0"/>
                <w:szCs w:val="21"/>
              </w:rPr>
              <w:t>PM</w:t>
            </w:r>
            <w:r>
              <w:rPr>
                <w:rFonts w:ascii="Times New Roman" w:hAnsi="Times New Roman"/>
                <w:kern w:val="0"/>
                <w:szCs w:val="21"/>
                <w:vertAlign w:val="subscript"/>
              </w:rPr>
              <w:t>10</w:t>
            </w:r>
          </w:p>
        </w:tc>
        <w:tc>
          <w:tcPr>
            <w:tcW w:w="824" w:type="dxa"/>
            <w:shd w:val="clear" w:color="auto" w:fill="auto"/>
            <w:vAlign w:val="center"/>
          </w:tcPr>
          <w:p w14:paraId="19102486">
            <w:pPr>
              <w:widowControl/>
              <w:jc w:val="center"/>
              <w:rPr>
                <w:rFonts w:ascii="Times New Roman" w:hAnsi="Times New Roman"/>
                <w:kern w:val="0"/>
                <w:szCs w:val="21"/>
              </w:rPr>
            </w:pPr>
            <w:r>
              <w:rPr>
                <w:rFonts w:ascii="Times New Roman" w:hAnsi="Times New Roman" w:eastAsia="等线"/>
                <w:szCs w:val="21"/>
                <w:u w:val="single"/>
              </w:rPr>
              <w:t>0.0175</w:t>
            </w:r>
          </w:p>
        </w:tc>
      </w:tr>
      <w:tr w14:paraId="1CE9B6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55" w:type="dxa"/>
            <w:vMerge w:val="continue"/>
            <w:shd w:val="clear" w:color="auto" w:fill="auto"/>
            <w:vAlign w:val="center"/>
          </w:tcPr>
          <w:p w14:paraId="47958015">
            <w:pPr>
              <w:widowControl/>
              <w:jc w:val="center"/>
              <w:rPr>
                <w:rFonts w:ascii="Times New Roman" w:hAnsi="Times New Roman"/>
                <w:szCs w:val="21"/>
              </w:rPr>
            </w:pPr>
          </w:p>
        </w:tc>
        <w:tc>
          <w:tcPr>
            <w:tcW w:w="1214" w:type="dxa"/>
            <w:vMerge w:val="continue"/>
            <w:shd w:val="clear" w:color="auto" w:fill="auto"/>
            <w:vAlign w:val="center"/>
          </w:tcPr>
          <w:p w14:paraId="4D5F878F">
            <w:pPr>
              <w:widowControl/>
              <w:jc w:val="center"/>
              <w:rPr>
                <w:rFonts w:ascii="Times New Roman" w:hAnsi="Times New Roman"/>
                <w:szCs w:val="21"/>
              </w:rPr>
            </w:pPr>
          </w:p>
        </w:tc>
        <w:tc>
          <w:tcPr>
            <w:tcW w:w="1201" w:type="dxa"/>
            <w:vMerge w:val="continue"/>
            <w:shd w:val="clear" w:color="auto" w:fill="auto"/>
            <w:vAlign w:val="center"/>
          </w:tcPr>
          <w:p w14:paraId="64E0624C">
            <w:pPr>
              <w:widowControl/>
              <w:jc w:val="center"/>
              <w:rPr>
                <w:rFonts w:ascii="Times New Roman" w:hAnsi="Times New Roman"/>
                <w:szCs w:val="21"/>
              </w:rPr>
            </w:pPr>
          </w:p>
        </w:tc>
        <w:tc>
          <w:tcPr>
            <w:tcW w:w="993" w:type="dxa"/>
            <w:vMerge w:val="continue"/>
            <w:shd w:val="clear" w:color="auto" w:fill="auto"/>
            <w:vAlign w:val="center"/>
          </w:tcPr>
          <w:p w14:paraId="0F27E64A">
            <w:pPr>
              <w:widowControl/>
              <w:jc w:val="center"/>
              <w:rPr>
                <w:rFonts w:ascii="Times New Roman" w:hAnsi="Times New Roman"/>
                <w:kern w:val="0"/>
                <w:szCs w:val="21"/>
              </w:rPr>
            </w:pPr>
          </w:p>
        </w:tc>
        <w:tc>
          <w:tcPr>
            <w:tcW w:w="709" w:type="dxa"/>
            <w:vMerge w:val="continue"/>
            <w:shd w:val="clear" w:color="auto" w:fill="auto"/>
            <w:vAlign w:val="center"/>
          </w:tcPr>
          <w:p w14:paraId="08BA4ED9">
            <w:pPr>
              <w:widowControl/>
              <w:jc w:val="center"/>
              <w:rPr>
                <w:rFonts w:ascii="Times New Roman" w:hAnsi="Times New Roman"/>
                <w:kern w:val="0"/>
                <w:szCs w:val="21"/>
              </w:rPr>
            </w:pPr>
          </w:p>
        </w:tc>
        <w:tc>
          <w:tcPr>
            <w:tcW w:w="673" w:type="dxa"/>
            <w:vMerge w:val="continue"/>
            <w:shd w:val="clear" w:color="auto" w:fill="auto"/>
            <w:vAlign w:val="center"/>
          </w:tcPr>
          <w:p w14:paraId="6E6F8384">
            <w:pPr>
              <w:widowControl/>
              <w:jc w:val="center"/>
              <w:rPr>
                <w:rFonts w:ascii="Times New Roman" w:hAnsi="Times New Roman"/>
                <w:kern w:val="0"/>
                <w:szCs w:val="21"/>
              </w:rPr>
            </w:pPr>
          </w:p>
        </w:tc>
        <w:tc>
          <w:tcPr>
            <w:tcW w:w="768" w:type="dxa"/>
            <w:vMerge w:val="continue"/>
            <w:shd w:val="clear" w:color="auto" w:fill="auto"/>
            <w:vAlign w:val="center"/>
          </w:tcPr>
          <w:p w14:paraId="471550FE">
            <w:pPr>
              <w:widowControl/>
              <w:jc w:val="center"/>
              <w:rPr>
                <w:rFonts w:ascii="Times New Roman" w:hAnsi="Times New Roman"/>
                <w:kern w:val="0"/>
                <w:szCs w:val="21"/>
              </w:rPr>
            </w:pPr>
          </w:p>
        </w:tc>
        <w:tc>
          <w:tcPr>
            <w:tcW w:w="703" w:type="dxa"/>
            <w:vMerge w:val="continue"/>
            <w:shd w:val="clear" w:color="auto" w:fill="auto"/>
            <w:vAlign w:val="center"/>
          </w:tcPr>
          <w:p w14:paraId="17D10BCC">
            <w:pPr>
              <w:widowControl/>
              <w:jc w:val="center"/>
              <w:rPr>
                <w:rFonts w:ascii="Times New Roman" w:hAnsi="Times New Roman"/>
                <w:kern w:val="0"/>
                <w:szCs w:val="21"/>
              </w:rPr>
            </w:pPr>
          </w:p>
        </w:tc>
        <w:tc>
          <w:tcPr>
            <w:tcW w:w="700" w:type="dxa"/>
            <w:shd w:val="clear" w:color="auto" w:fill="auto"/>
            <w:vAlign w:val="center"/>
          </w:tcPr>
          <w:p w14:paraId="49BE5DB0">
            <w:pPr>
              <w:widowControl/>
              <w:jc w:val="center"/>
              <w:rPr>
                <w:rFonts w:ascii="Times New Roman" w:hAnsi="Times New Roman"/>
                <w:kern w:val="0"/>
                <w:szCs w:val="21"/>
              </w:rPr>
            </w:pPr>
            <w:r>
              <w:rPr>
                <w:rFonts w:ascii="Times New Roman" w:hAnsi="Times New Roman"/>
                <w:szCs w:val="21"/>
              </w:rPr>
              <w:t>SO</w:t>
            </w:r>
            <w:r>
              <w:rPr>
                <w:rFonts w:ascii="Times New Roman" w:hAnsi="Times New Roman"/>
                <w:szCs w:val="21"/>
                <w:vertAlign w:val="subscript"/>
              </w:rPr>
              <w:t>2</w:t>
            </w:r>
          </w:p>
        </w:tc>
        <w:tc>
          <w:tcPr>
            <w:tcW w:w="824" w:type="dxa"/>
            <w:shd w:val="clear" w:color="auto" w:fill="auto"/>
            <w:vAlign w:val="center"/>
          </w:tcPr>
          <w:p w14:paraId="271CF4D7">
            <w:pPr>
              <w:widowControl/>
              <w:jc w:val="center"/>
              <w:rPr>
                <w:rFonts w:ascii="Times New Roman" w:hAnsi="Times New Roman"/>
                <w:kern w:val="0"/>
                <w:szCs w:val="21"/>
              </w:rPr>
            </w:pPr>
            <w:r>
              <w:rPr>
                <w:rFonts w:ascii="Times New Roman" w:hAnsi="Times New Roman" w:eastAsia="等线"/>
                <w:szCs w:val="21"/>
                <w:u w:val="single"/>
              </w:rPr>
              <w:t>0.0921</w:t>
            </w:r>
          </w:p>
        </w:tc>
      </w:tr>
      <w:tr w14:paraId="009533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55" w:type="dxa"/>
            <w:vMerge w:val="continue"/>
            <w:shd w:val="clear" w:color="auto" w:fill="auto"/>
            <w:vAlign w:val="center"/>
          </w:tcPr>
          <w:p w14:paraId="4CF8B675">
            <w:pPr>
              <w:widowControl/>
              <w:jc w:val="center"/>
              <w:rPr>
                <w:rFonts w:ascii="Times New Roman" w:hAnsi="Times New Roman"/>
                <w:szCs w:val="21"/>
              </w:rPr>
            </w:pPr>
          </w:p>
        </w:tc>
        <w:tc>
          <w:tcPr>
            <w:tcW w:w="1214" w:type="dxa"/>
            <w:vMerge w:val="continue"/>
            <w:shd w:val="clear" w:color="auto" w:fill="auto"/>
            <w:vAlign w:val="center"/>
          </w:tcPr>
          <w:p w14:paraId="7C7C7BC5">
            <w:pPr>
              <w:widowControl/>
              <w:jc w:val="center"/>
              <w:rPr>
                <w:rFonts w:ascii="Times New Roman" w:hAnsi="Times New Roman"/>
                <w:szCs w:val="21"/>
              </w:rPr>
            </w:pPr>
          </w:p>
        </w:tc>
        <w:tc>
          <w:tcPr>
            <w:tcW w:w="1201" w:type="dxa"/>
            <w:vMerge w:val="continue"/>
            <w:shd w:val="clear" w:color="auto" w:fill="auto"/>
            <w:vAlign w:val="center"/>
          </w:tcPr>
          <w:p w14:paraId="4EA52987">
            <w:pPr>
              <w:widowControl/>
              <w:jc w:val="center"/>
              <w:rPr>
                <w:rFonts w:ascii="Times New Roman" w:hAnsi="Times New Roman"/>
                <w:szCs w:val="21"/>
              </w:rPr>
            </w:pPr>
          </w:p>
        </w:tc>
        <w:tc>
          <w:tcPr>
            <w:tcW w:w="993" w:type="dxa"/>
            <w:vMerge w:val="continue"/>
            <w:shd w:val="clear" w:color="auto" w:fill="auto"/>
            <w:vAlign w:val="center"/>
          </w:tcPr>
          <w:p w14:paraId="31370EB7">
            <w:pPr>
              <w:widowControl/>
              <w:jc w:val="center"/>
              <w:rPr>
                <w:rFonts w:ascii="Times New Roman" w:hAnsi="Times New Roman"/>
                <w:kern w:val="0"/>
                <w:szCs w:val="21"/>
              </w:rPr>
            </w:pPr>
          </w:p>
        </w:tc>
        <w:tc>
          <w:tcPr>
            <w:tcW w:w="709" w:type="dxa"/>
            <w:vMerge w:val="continue"/>
            <w:shd w:val="clear" w:color="auto" w:fill="auto"/>
            <w:vAlign w:val="center"/>
          </w:tcPr>
          <w:p w14:paraId="283C40D3">
            <w:pPr>
              <w:widowControl/>
              <w:jc w:val="center"/>
              <w:rPr>
                <w:rFonts w:ascii="Times New Roman" w:hAnsi="Times New Roman"/>
                <w:kern w:val="0"/>
                <w:szCs w:val="21"/>
              </w:rPr>
            </w:pPr>
          </w:p>
        </w:tc>
        <w:tc>
          <w:tcPr>
            <w:tcW w:w="673" w:type="dxa"/>
            <w:vMerge w:val="continue"/>
            <w:shd w:val="clear" w:color="auto" w:fill="auto"/>
            <w:vAlign w:val="center"/>
          </w:tcPr>
          <w:p w14:paraId="2A8F96ED">
            <w:pPr>
              <w:widowControl/>
              <w:jc w:val="center"/>
              <w:rPr>
                <w:rFonts w:ascii="Times New Roman" w:hAnsi="Times New Roman"/>
                <w:kern w:val="0"/>
                <w:szCs w:val="21"/>
              </w:rPr>
            </w:pPr>
          </w:p>
        </w:tc>
        <w:tc>
          <w:tcPr>
            <w:tcW w:w="768" w:type="dxa"/>
            <w:vMerge w:val="continue"/>
            <w:shd w:val="clear" w:color="auto" w:fill="auto"/>
            <w:vAlign w:val="center"/>
          </w:tcPr>
          <w:p w14:paraId="619DC562">
            <w:pPr>
              <w:widowControl/>
              <w:jc w:val="center"/>
              <w:rPr>
                <w:rFonts w:ascii="Times New Roman" w:hAnsi="Times New Roman"/>
                <w:kern w:val="0"/>
                <w:szCs w:val="21"/>
              </w:rPr>
            </w:pPr>
          </w:p>
        </w:tc>
        <w:tc>
          <w:tcPr>
            <w:tcW w:w="703" w:type="dxa"/>
            <w:vMerge w:val="continue"/>
            <w:shd w:val="clear" w:color="auto" w:fill="auto"/>
            <w:vAlign w:val="center"/>
          </w:tcPr>
          <w:p w14:paraId="7CAA1EC8">
            <w:pPr>
              <w:widowControl/>
              <w:jc w:val="center"/>
              <w:rPr>
                <w:rFonts w:ascii="Times New Roman" w:hAnsi="Times New Roman"/>
                <w:kern w:val="0"/>
                <w:szCs w:val="21"/>
              </w:rPr>
            </w:pPr>
          </w:p>
        </w:tc>
        <w:tc>
          <w:tcPr>
            <w:tcW w:w="700" w:type="dxa"/>
            <w:shd w:val="clear" w:color="auto" w:fill="auto"/>
            <w:vAlign w:val="center"/>
          </w:tcPr>
          <w:p w14:paraId="256BEB39">
            <w:pPr>
              <w:widowControl/>
              <w:jc w:val="center"/>
              <w:rPr>
                <w:rFonts w:ascii="Times New Roman" w:hAnsi="Times New Roman"/>
                <w:kern w:val="0"/>
                <w:szCs w:val="21"/>
              </w:rPr>
            </w:pPr>
            <w:r>
              <w:rPr>
                <w:rFonts w:ascii="Times New Roman" w:hAnsi="Times New Roman"/>
                <w:szCs w:val="21"/>
              </w:rPr>
              <w:t>NO</w:t>
            </w:r>
            <w:r>
              <w:rPr>
                <w:rFonts w:ascii="Times New Roman" w:hAnsi="Times New Roman"/>
                <w:szCs w:val="21"/>
                <w:vertAlign w:val="subscript"/>
              </w:rPr>
              <w:t>x</w:t>
            </w:r>
          </w:p>
        </w:tc>
        <w:tc>
          <w:tcPr>
            <w:tcW w:w="824" w:type="dxa"/>
            <w:shd w:val="clear" w:color="auto" w:fill="auto"/>
            <w:vAlign w:val="center"/>
          </w:tcPr>
          <w:p w14:paraId="382BBA41">
            <w:pPr>
              <w:widowControl/>
              <w:jc w:val="center"/>
              <w:rPr>
                <w:rFonts w:ascii="Times New Roman" w:hAnsi="Times New Roman"/>
                <w:kern w:val="0"/>
                <w:szCs w:val="21"/>
              </w:rPr>
            </w:pPr>
            <w:r>
              <w:rPr>
                <w:rFonts w:ascii="Times New Roman" w:hAnsi="Times New Roman" w:eastAsia="等线"/>
                <w:szCs w:val="21"/>
                <w:u w:val="single"/>
              </w:rPr>
              <w:t>0.</w:t>
            </w:r>
            <w:r>
              <w:rPr>
                <w:rFonts w:hint="eastAsia" w:ascii="Times New Roman" w:hAnsi="Times New Roman" w:eastAsia="等线"/>
                <w:szCs w:val="21"/>
                <w:u w:val="single"/>
              </w:rPr>
              <w:t>5</w:t>
            </w:r>
            <w:r>
              <w:rPr>
                <w:rFonts w:ascii="Times New Roman" w:hAnsi="Times New Roman" w:eastAsia="等线"/>
                <w:szCs w:val="21"/>
                <w:u w:val="single"/>
              </w:rPr>
              <w:t>000</w:t>
            </w:r>
          </w:p>
        </w:tc>
      </w:tr>
    </w:tbl>
    <w:p w14:paraId="76E8275A">
      <w:pPr>
        <w:snapToGrid w:val="0"/>
        <w:spacing w:line="348" w:lineRule="auto"/>
        <w:ind w:firstLine="480"/>
        <w:rPr>
          <w:rFonts w:ascii="Times New Roman" w:hAnsi="Times New Roman"/>
          <w:spacing w:val="-2"/>
          <w:kern w:val="0"/>
          <w:sz w:val="24"/>
          <w:szCs w:val="24"/>
        </w:rPr>
      </w:pPr>
    </w:p>
    <w:p w14:paraId="433A9431">
      <w:pPr>
        <w:pStyle w:val="7"/>
        <w:numPr>
          <w:ilvl w:val="3"/>
          <w:numId w:val="3"/>
        </w:numPr>
      </w:pPr>
      <w:r>
        <w:t>生产车间粉尘</w:t>
      </w:r>
    </w:p>
    <w:p w14:paraId="395401C7">
      <w:pPr>
        <w:snapToGrid w:val="0"/>
        <w:spacing w:line="348" w:lineRule="auto"/>
        <w:ind w:firstLine="480"/>
        <w:rPr>
          <w:rFonts w:ascii="Times New Roman" w:hAnsi="Times New Roman"/>
          <w:spacing w:val="-2"/>
          <w:kern w:val="0"/>
          <w:sz w:val="24"/>
          <w:szCs w:val="24"/>
        </w:rPr>
      </w:pPr>
      <w:r>
        <w:rPr>
          <w:rFonts w:ascii="Times New Roman" w:hAnsi="Times New Roman"/>
          <w:spacing w:val="-2"/>
          <w:kern w:val="0"/>
          <w:sz w:val="24"/>
          <w:szCs w:val="24"/>
        </w:rPr>
        <w:t>项目生产过程中烘干机、磁选机的</w:t>
      </w:r>
      <w:r>
        <w:rPr>
          <w:rFonts w:hint="eastAsia" w:ascii="Times New Roman" w:hAnsi="Times New Roman"/>
          <w:spacing w:val="-2"/>
          <w:kern w:val="0"/>
          <w:sz w:val="24"/>
          <w:szCs w:val="24"/>
        </w:rPr>
        <w:t>进</w:t>
      </w:r>
      <w:r>
        <w:rPr>
          <w:rFonts w:ascii="Times New Roman" w:hAnsi="Times New Roman"/>
          <w:spacing w:val="-2"/>
          <w:kern w:val="0"/>
          <w:sz w:val="24"/>
          <w:szCs w:val="24"/>
        </w:rPr>
        <w:t>出料，项目原料、干燥原料、产品、副产品等在车间内的转运，均产生一定量的含矿扬尘，其中产尘较大的工序位于烘干机进出料、磁选机进出料工序。烘干机、磁选机等设备进出料过程中</w:t>
      </w:r>
      <w:r>
        <w:rPr>
          <w:rFonts w:hint="eastAsia" w:ascii="Times New Roman" w:hAnsi="Times New Roman"/>
          <w:spacing w:val="-2"/>
          <w:kern w:val="0"/>
          <w:sz w:val="24"/>
          <w:szCs w:val="24"/>
        </w:rPr>
        <w:t>，</w:t>
      </w:r>
      <w:r>
        <w:rPr>
          <w:rFonts w:ascii="Times New Roman" w:hAnsi="Times New Roman"/>
          <w:spacing w:val="-2"/>
          <w:kern w:val="0"/>
          <w:sz w:val="24"/>
          <w:szCs w:val="24"/>
        </w:rPr>
        <w:t>对生产物料的扰动较大，该工序产尘量相对较大；车间内的小型装载车进行物料装卸产尘也主要是集中在</w:t>
      </w:r>
      <w:r>
        <w:rPr>
          <w:rFonts w:hint="eastAsia" w:ascii="Times New Roman" w:hAnsi="Times New Roman"/>
          <w:spacing w:val="-2"/>
          <w:kern w:val="0"/>
          <w:sz w:val="24"/>
          <w:szCs w:val="24"/>
        </w:rPr>
        <w:t>设备进出</w:t>
      </w:r>
      <w:r>
        <w:rPr>
          <w:rFonts w:ascii="Times New Roman" w:hAnsi="Times New Roman"/>
          <w:spacing w:val="-2"/>
          <w:kern w:val="0"/>
          <w:sz w:val="24"/>
          <w:szCs w:val="24"/>
        </w:rPr>
        <w:t>料操作过程中。为了减少物料损失及粉尘的污染，项目生产车间</w:t>
      </w:r>
      <w:r>
        <w:rPr>
          <w:rFonts w:hint="eastAsia" w:ascii="Times New Roman" w:hAnsi="Times New Roman"/>
          <w:spacing w:val="-2"/>
          <w:kern w:val="0"/>
          <w:sz w:val="24"/>
          <w:szCs w:val="24"/>
        </w:rPr>
        <w:t>采用封闭式设计</w:t>
      </w:r>
      <w:r>
        <w:rPr>
          <w:rFonts w:ascii="Times New Roman" w:hAnsi="Times New Roman"/>
          <w:spacing w:val="-2"/>
          <w:kern w:val="0"/>
          <w:sz w:val="24"/>
          <w:szCs w:val="24"/>
        </w:rPr>
        <w:t>，生产环境封闭程度相对较好，并且项目的物料为密度较大的含金属矿砂，短期扰动产生的扬尘在不受露天风吹影响情况下，大部分会快速重力沉降到车间地面。</w:t>
      </w:r>
    </w:p>
    <w:p w14:paraId="66D5114C">
      <w:pPr>
        <w:snapToGrid w:val="0"/>
        <w:spacing w:line="348" w:lineRule="auto"/>
        <w:ind w:firstLine="480"/>
        <w:rPr>
          <w:rFonts w:ascii="Times New Roman" w:hAnsi="Times New Roman"/>
          <w:spacing w:val="-2"/>
          <w:kern w:val="0"/>
          <w:sz w:val="24"/>
          <w:szCs w:val="24"/>
        </w:rPr>
      </w:pPr>
      <w:r>
        <w:rPr>
          <w:rFonts w:ascii="Times New Roman" w:hAnsi="Times New Roman"/>
          <w:spacing w:val="-2"/>
          <w:kern w:val="0"/>
          <w:sz w:val="24"/>
          <w:szCs w:val="24"/>
        </w:rPr>
        <w:t>本次环评根据《扬尘源颗粒物排放清单编制技术指南》（环境保护部公告2014年第92号）中堆场装卸过程的扬尘颗粒物排放量计算公式，进行估算项目生产车间产生的扬尘。</w:t>
      </w:r>
    </w:p>
    <w:p w14:paraId="170580EE">
      <w:pPr>
        <w:snapToGrid w:val="0"/>
        <w:spacing w:line="348" w:lineRule="auto"/>
        <w:ind w:firstLine="480"/>
        <w:rPr>
          <w:rFonts w:ascii="Times New Roman" w:hAnsi="Times New Roman"/>
          <w:spacing w:val="-2"/>
          <w:kern w:val="0"/>
          <w:sz w:val="24"/>
          <w:szCs w:val="24"/>
        </w:rPr>
      </w:pPr>
      <w:r>
        <w:rPr>
          <w:rFonts w:ascii="Times New Roman" w:hAnsi="Times New Roman"/>
          <w:spacing w:val="-2"/>
          <w:kern w:val="0"/>
          <w:sz w:val="24"/>
          <w:szCs w:val="24"/>
        </w:rPr>
        <w:t>（1）堆场扬尘排放量计算方法</w:t>
      </w:r>
    </w:p>
    <w:p w14:paraId="492FE8A7">
      <w:pPr>
        <w:snapToGrid w:val="0"/>
        <w:spacing w:line="348" w:lineRule="auto"/>
        <w:ind w:firstLine="480"/>
        <w:rPr>
          <w:rFonts w:ascii="Times New Roman" w:hAnsi="Times New Roman"/>
          <w:spacing w:val="-2"/>
          <w:kern w:val="0"/>
          <w:sz w:val="24"/>
          <w:szCs w:val="24"/>
        </w:rPr>
      </w:pPr>
      <w:r>
        <w:rPr>
          <w:rFonts w:ascii="Times New Roman" w:hAnsi="Times New Roman"/>
          <w:spacing w:val="-2"/>
          <w:kern w:val="0"/>
          <w:sz w:val="24"/>
          <w:szCs w:val="24"/>
        </w:rPr>
        <w:t>堆场的扬尘源排放量是装卸、运输引起的扬尘与堆积存放期间风蚀扬尘的加和，计算公式如下：</w:t>
      </w:r>
    </w:p>
    <w:p w14:paraId="4DFD1F5D">
      <w:pPr>
        <w:spacing w:line="360" w:lineRule="auto"/>
        <w:ind w:firstLine="480" w:firstLineChars="200"/>
        <w:jc w:val="center"/>
        <w:rPr>
          <w:rFonts w:ascii="Times New Roman" w:hAnsi="Times New Roman"/>
          <w:sz w:val="24"/>
          <w:szCs w:val="24"/>
        </w:rPr>
      </w:pPr>
      <m:oMathPara>
        <m:oMath>
          <m:sSub>
            <m:sSubPr>
              <m:ctrlPr>
                <w:rPr>
                  <w:rFonts w:ascii="Cambria Math" w:hAnsi="Cambria Math"/>
                  <w:i/>
                  <w:sz w:val="24"/>
                  <w:szCs w:val="24"/>
                </w:rPr>
              </m:ctrlPr>
            </m:sSubPr>
            <m:e>
              <m:r>
                <m:rPr/>
                <w:rPr>
                  <w:rFonts w:ascii="Cambria Math" w:hAnsi="Cambria Math"/>
                  <w:sz w:val="24"/>
                  <w:szCs w:val="24"/>
                </w:rPr>
                <m:t>W</m:t>
              </m:r>
              <m:ctrlPr>
                <w:rPr>
                  <w:rFonts w:ascii="Cambria Math" w:hAnsi="Cambria Math"/>
                  <w:i/>
                  <w:sz w:val="24"/>
                  <w:szCs w:val="24"/>
                </w:rPr>
              </m:ctrlPr>
            </m:e>
            <m:sub>
              <m:r>
                <m:rPr/>
                <w:rPr>
                  <w:rFonts w:ascii="Cambria Math" w:hAnsi="Cambria Math"/>
                  <w:sz w:val="24"/>
                  <w:szCs w:val="24"/>
                </w:rPr>
                <m:t>Y</m:t>
              </m:r>
              <m:ctrlPr>
                <w:rPr>
                  <w:rFonts w:ascii="Cambria Math" w:hAnsi="Cambria Math"/>
                  <w:i/>
                  <w:sz w:val="24"/>
                  <w:szCs w:val="24"/>
                </w:rPr>
              </m:ctrlPr>
            </m:sub>
          </m:sSub>
          <m:r>
            <m:rPr/>
            <w:rPr>
              <w:rFonts w:ascii="Cambria Math" w:hAnsi="Cambria Math"/>
              <w:sz w:val="24"/>
              <w:szCs w:val="24"/>
            </w:rPr>
            <m:t>=</m:t>
          </m:r>
          <m:nary>
            <m:naryPr>
              <m:chr m:val="∑"/>
              <m:limLoc m:val="undOvr"/>
              <m:ctrlPr>
                <w:rPr>
                  <w:rFonts w:ascii="Cambria Math" w:hAnsi="Cambria Math"/>
                  <w:i/>
                  <w:sz w:val="24"/>
                  <w:szCs w:val="24"/>
                </w:rPr>
              </m:ctrlPr>
            </m:naryPr>
            <m:sub>
              <m:r>
                <m:rPr/>
                <w:rPr>
                  <w:rFonts w:ascii="Cambria Math" w:hAnsi="Cambria Math"/>
                  <w:sz w:val="24"/>
                  <w:szCs w:val="24"/>
                </w:rPr>
                <m:t>i=1</m:t>
              </m:r>
              <m:ctrlPr>
                <w:rPr>
                  <w:rFonts w:ascii="Cambria Math" w:hAnsi="Cambria Math"/>
                  <w:i/>
                  <w:sz w:val="24"/>
                  <w:szCs w:val="24"/>
                </w:rPr>
              </m:ctrlPr>
            </m:sub>
            <m:sup>
              <m:r>
                <m:rPr/>
                <w:rPr>
                  <w:rFonts w:ascii="Cambria Math" w:hAnsi="Cambria Math"/>
                  <w:sz w:val="24"/>
                  <w:szCs w:val="24"/>
                </w:rPr>
                <m:t>m</m:t>
              </m:r>
              <m:ctrlPr>
                <w:rPr>
                  <w:rFonts w:ascii="Cambria Math" w:hAnsi="Cambria Math"/>
                  <w:i/>
                  <w:sz w:val="24"/>
                  <w:szCs w:val="24"/>
                </w:rPr>
              </m:ctrlPr>
            </m:sup>
            <m:e>
              <m:sSub>
                <m:sSubPr>
                  <m:ctrlPr>
                    <w:rPr>
                      <w:rFonts w:ascii="Cambria Math" w:hAnsi="Cambria Math"/>
                      <w:i/>
                      <w:sz w:val="24"/>
                      <w:szCs w:val="24"/>
                    </w:rPr>
                  </m:ctrlPr>
                </m:sSubPr>
                <m:e>
                  <m:r>
                    <m:rPr/>
                    <w:rPr>
                      <w:rFonts w:ascii="Cambria Math" w:hAnsi="Cambria Math"/>
                      <w:sz w:val="24"/>
                      <w:szCs w:val="24"/>
                    </w:rPr>
                    <m:t>E</m:t>
                  </m:r>
                  <m:ctrlPr>
                    <w:rPr>
                      <w:rFonts w:ascii="Cambria Math" w:hAnsi="Cambria Math"/>
                      <w:i/>
                      <w:sz w:val="24"/>
                      <w:szCs w:val="24"/>
                    </w:rPr>
                  </m:ctrlPr>
                </m:e>
                <m:sub>
                  <m:r>
                    <m:rPr/>
                    <w:rPr>
                      <w:rFonts w:ascii="Cambria Math" w:hAnsi="Cambria Math"/>
                      <w:sz w:val="24"/>
                      <w:szCs w:val="24"/>
                    </w:rPr>
                    <m:t>ℎ</m:t>
                  </m:r>
                  <m:ctrlPr>
                    <w:rPr>
                      <w:rFonts w:ascii="Cambria Math" w:hAnsi="Cambria Math"/>
                      <w:i/>
                      <w:sz w:val="24"/>
                      <w:szCs w:val="24"/>
                    </w:rPr>
                  </m:ctrlPr>
                </m:sub>
              </m:sSub>
              <m:ctrlPr>
                <w:rPr>
                  <w:rFonts w:ascii="Cambria Math" w:hAnsi="Cambria Math"/>
                  <w:i/>
                  <w:sz w:val="24"/>
                  <w:szCs w:val="24"/>
                </w:rPr>
              </m:ctrlPr>
            </m:e>
          </m:nary>
          <m:r>
            <m:rPr/>
            <w:rPr>
              <w:rFonts w:ascii="Cambria Math" w:hAnsi="Cambria Math"/>
              <w:sz w:val="24"/>
              <w:szCs w:val="24"/>
            </w:rPr>
            <m:t>×</m:t>
          </m:r>
          <m:sSub>
            <m:sSubPr>
              <m:ctrlPr>
                <w:rPr>
                  <w:rFonts w:ascii="Cambria Math" w:hAnsi="Cambria Math"/>
                  <w:i/>
                  <w:sz w:val="24"/>
                  <w:szCs w:val="24"/>
                </w:rPr>
              </m:ctrlPr>
            </m:sSubPr>
            <m:e>
              <m:r>
                <m:rPr/>
                <w:rPr>
                  <w:rFonts w:ascii="Cambria Math" w:hAnsi="Cambria Math"/>
                  <w:sz w:val="24"/>
                  <w:szCs w:val="24"/>
                </w:rPr>
                <m:t>G</m:t>
              </m:r>
              <m:ctrlPr>
                <w:rPr>
                  <w:rFonts w:ascii="Cambria Math" w:hAnsi="Cambria Math"/>
                  <w:i/>
                  <w:sz w:val="24"/>
                  <w:szCs w:val="24"/>
                </w:rPr>
              </m:ctrlPr>
            </m:e>
            <m:sub>
              <m:r>
                <m:rPr/>
                <w:rPr>
                  <w:rFonts w:ascii="Cambria Math" w:hAnsi="Cambria Math"/>
                  <w:sz w:val="24"/>
                  <w:szCs w:val="24"/>
                </w:rPr>
                <m:t>Yi</m:t>
              </m:r>
              <m:ctrlPr>
                <w:rPr>
                  <w:rFonts w:ascii="Cambria Math" w:hAnsi="Cambria Math"/>
                  <w:i/>
                  <w:sz w:val="24"/>
                  <w:szCs w:val="24"/>
                </w:rPr>
              </m:ctrlPr>
            </m:sub>
          </m:sSub>
          <m:r>
            <m:rPr/>
            <w:rPr>
              <w:rFonts w:ascii="Cambria Math" w:hAnsi="Cambria Math"/>
              <w:sz w:val="24"/>
              <w:szCs w:val="24"/>
            </w:rPr>
            <m:t>×</m:t>
          </m:r>
          <m:sSup>
            <m:sSupPr>
              <m:ctrlPr>
                <w:rPr>
                  <w:rFonts w:ascii="Cambria Math" w:hAnsi="Cambria Math"/>
                  <w:i/>
                  <w:sz w:val="24"/>
                  <w:szCs w:val="24"/>
                </w:rPr>
              </m:ctrlPr>
            </m:sSupPr>
            <m:e>
              <m:r>
                <m:rPr/>
                <w:rPr>
                  <w:rFonts w:ascii="Cambria Math" w:hAnsi="Cambria Math"/>
                  <w:sz w:val="24"/>
                  <w:szCs w:val="24"/>
                </w:rPr>
                <m:t>10</m:t>
              </m:r>
              <m:ctrlPr>
                <w:rPr>
                  <w:rFonts w:ascii="Cambria Math" w:hAnsi="Cambria Math"/>
                  <w:i/>
                  <w:sz w:val="24"/>
                  <w:szCs w:val="24"/>
                </w:rPr>
              </m:ctrlPr>
            </m:e>
            <m:sup>
              <m:r>
                <m:rPr/>
                <w:rPr>
                  <w:rFonts w:ascii="Cambria Math" w:hAnsi="Cambria Math"/>
                  <w:sz w:val="24"/>
                  <w:szCs w:val="24"/>
                </w:rPr>
                <m:t>−3</m:t>
              </m:r>
              <m:ctrlPr>
                <w:rPr>
                  <w:rFonts w:ascii="Cambria Math" w:hAnsi="Cambria Math"/>
                  <w:i/>
                  <w:sz w:val="24"/>
                  <w:szCs w:val="24"/>
                </w:rPr>
              </m:ctrlPr>
            </m:sup>
          </m:sSup>
          <m:r>
            <m:rPr/>
            <w:rPr>
              <w:rFonts w:ascii="Cambria Math" w:hAnsi="Cambria Math"/>
              <w:sz w:val="24"/>
              <w:szCs w:val="24"/>
            </w:rPr>
            <m:t>×</m:t>
          </m:r>
          <m:sSub>
            <m:sSubPr>
              <m:ctrlPr>
                <w:rPr>
                  <w:rFonts w:ascii="Cambria Math" w:hAnsi="Cambria Math"/>
                  <w:i/>
                  <w:sz w:val="24"/>
                  <w:szCs w:val="24"/>
                </w:rPr>
              </m:ctrlPr>
            </m:sSubPr>
            <m:e>
              <m:r>
                <m:rPr/>
                <w:rPr>
                  <w:rFonts w:ascii="Cambria Math" w:hAnsi="Cambria Math"/>
                  <w:sz w:val="24"/>
                  <w:szCs w:val="24"/>
                </w:rPr>
                <m:t>E</m:t>
              </m:r>
              <m:ctrlPr>
                <w:rPr>
                  <w:rFonts w:ascii="Cambria Math" w:hAnsi="Cambria Math"/>
                  <w:i/>
                  <w:sz w:val="24"/>
                  <w:szCs w:val="24"/>
                </w:rPr>
              </m:ctrlPr>
            </m:e>
            <m:sub>
              <m:r>
                <m:rPr/>
                <w:rPr>
                  <w:rFonts w:ascii="Cambria Math" w:hAnsi="Cambria Math"/>
                  <w:sz w:val="24"/>
                  <w:szCs w:val="24"/>
                </w:rPr>
                <m:t>w</m:t>
              </m:r>
              <m:ctrlPr>
                <w:rPr>
                  <w:rFonts w:ascii="Cambria Math" w:hAnsi="Cambria Math"/>
                  <w:i/>
                  <w:sz w:val="24"/>
                  <w:szCs w:val="24"/>
                </w:rPr>
              </m:ctrlPr>
            </m:sub>
          </m:sSub>
          <m:r>
            <m:rPr/>
            <w:rPr>
              <w:rFonts w:ascii="Cambria Math" w:hAnsi="Cambria Math"/>
              <w:sz w:val="24"/>
              <w:szCs w:val="24"/>
            </w:rPr>
            <m:t>×</m:t>
          </m:r>
          <m:sSub>
            <m:sSubPr>
              <m:ctrlPr>
                <w:rPr>
                  <w:rFonts w:ascii="Cambria Math" w:hAnsi="Cambria Math"/>
                  <w:i/>
                  <w:sz w:val="24"/>
                  <w:szCs w:val="24"/>
                </w:rPr>
              </m:ctrlPr>
            </m:sSubPr>
            <m:e>
              <m:r>
                <m:rPr/>
                <w:rPr>
                  <w:rFonts w:ascii="Cambria Math" w:hAnsi="Cambria Math"/>
                  <w:sz w:val="24"/>
                  <w:szCs w:val="24"/>
                </w:rPr>
                <m:t>A</m:t>
              </m:r>
              <m:ctrlPr>
                <w:rPr>
                  <w:rFonts w:ascii="Cambria Math" w:hAnsi="Cambria Math"/>
                  <w:i/>
                  <w:sz w:val="24"/>
                  <w:szCs w:val="24"/>
                </w:rPr>
              </m:ctrlPr>
            </m:e>
            <m:sub>
              <m:r>
                <m:rPr/>
                <w:rPr>
                  <w:rFonts w:ascii="Cambria Math" w:hAnsi="Cambria Math"/>
                  <w:sz w:val="24"/>
                  <w:szCs w:val="24"/>
                </w:rPr>
                <m:t>Y</m:t>
              </m:r>
              <m:ctrlPr>
                <w:rPr>
                  <w:rFonts w:ascii="Cambria Math" w:hAnsi="Cambria Math"/>
                  <w:i/>
                  <w:sz w:val="24"/>
                  <w:szCs w:val="24"/>
                </w:rPr>
              </m:ctrlPr>
            </m:sub>
          </m:sSub>
          <m:r>
            <m:rPr/>
            <w:rPr>
              <w:rFonts w:ascii="Cambria Math" w:hAnsi="Cambria Math"/>
              <w:sz w:val="24"/>
              <w:szCs w:val="24"/>
            </w:rPr>
            <m:t>×</m:t>
          </m:r>
          <m:sSup>
            <m:sSupPr>
              <m:ctrlPr>
                <w:rPr>
                  <w:rFonts w:ascii="Cambria Math" w:hAnsi="Cambria Math"/>
                  <w:i/>
                  <w:sz w:val="24"/>
                  <w:szCs w:val="24"/>
                </w:rPr>
              </m:ctrlPr>
            </m:sSupPr>
            <m:e>
              <m:r>
                <m:rPr/>
                <w:rPr>
                  <w:rFonts w:ascii="Cambria Math" w:hAnsi="Cambria Math"/>
                  <w:sz w:val="24"/>
                  <w:szCs w:val="24"/>
                </w:rPr>
                <m:t>10</m:t>
              </m:r>
              <m:ctrlPr>
                <w:rPr>
                  <w:rFonts w:ascii="Cambria Math" w:hAnsi="Cambria Math"/>
                  <w:i/>
                  <w:sz w:val="24"/>
                  <w:szCs w:val="24"/>
                </w:rPr>
              </m:ctrlPr>
            </m:e>
            <m:sup>
              <m:r>
                <m:rPr/>
                <w:rPr>
                  <w:rFonts w:ascii="Cambria Math" w:hAnsi="Cambria Math"/>
                  <w:sz w:val="24"/>
                  <w:szCs w:val="24"/>
                </w:rPr>
                <m:t>−3</m:t>
              </m:r>
              <m:ctrlPr>
                <w:rPr>
                  <w:rFonts w:ascii="Cambria Math" w:hAnsi="Cambria Math"/>
                  <w:i/>
                  <w:sz w:val="24"/>
                  <w:szCs w:val="24"/>
                </w:rPr>
              </m:ctrlPr>
            </m:sup>
          </m:sSup>
        </m:oMath>
      </m:oMathPara>
    </w:p>
    <w:p w14:paraId="02A924AE">
      <w:pPr>
        <w:snapToGrid w:val="0"/>
        <w:spacing w:line="348" w:lineRule="auto"/>
        <w:ind w:firstLine="480"/>
        <w:rPr>
          <w:rFonts w:ascii="Times New Roman" w:hAnsi="Times New Roman"/>
          <w:spacing w:val="-2"/>
          <w:kern w:val="0"/>
          <w:sz w:val="24"/>
          <w:szCs w:val="24"/>
        </w:rPr>
      </w:pPr>
      <w:r>
        <w:rPr>
          <w:rFonts w:ascii="Times New Roman" w:hAnsi="Times New Roman"/>
          <w:spacing w:val="-2"/>
          <w:kern w:val="0"/>
          <w:sz w:val="24"/>
          <w:szCs w:val="24"/>
        </w:rPr>
        <w:t>式中：</w:t>
      </w:r>
    </w:p>
    <w:p w14:paraId="2DF0DE49">
      <w:pPr>
        <w:spacing w:line="360" w:lineRule="auto"/>
        <w:ind w:firstLine="480" w:firstLineChars="200"/>
        <w:rPr>
          <w:rFonts w:ascii="Times New Roman" w:hAnsi="Times New Roman"/>
          <w:sz w:val="24"/>
          <w:szCs w:val="24"/>
        </w:rPr>
      </w:pPr>
      <w:r>
        <w:rPr>
          <w:rFonts w:ascii="Times New Roman" w:hAnsi="Times New Roman"/>
          <w:sz w:val="24"/>
          <w:szCs w:val="24"/>
        </w:rPr>
        <w:t>W</w:t>
      </w:r>
      <w:r>
        <w:rPr>
          <w:rFonts w:ascii="Times New Roman" w:hAnsi="Times New Roman"/>
          <w:sz w:val="24"/>
          <w:szCs w:val="24"/>
          <w:vertAlign w:val="subscript"/>
        </w:rPr>
        <w:t>Y</w:t>
      </w:r>
      <w:r>
        <w:rPr>
          <w:rFonts w:ascii="Times New Roman" w:hAnsi="Times New Roman"/>
          <w:sz w:val="24"/>
          <w:szCs w:val="24"/>
        </w:rPr>
        <w:t>——堆场扬尘源中颗粒物总排放量，t/a；</w:t>
      </w:r>
    </w:p>
    <w:p w14:paraId="0C8C5D68">
      <w:pPr>
        <w:spacing w:line="360" w:lineRule="auto"/>
        <w:ind w:firstLine="480" w:firstLineChars="200"/>
        <w:rPr>
          <w:rFonts w:ascii="Times New Roman" w:hAnsi="Times New Roman"/>
          <w:sz w:val="24"/>
          <w:szCs w:val="24"/>
        </w:rPr>
      </w:pPr>
      <w:r>
        <w:rPr>
          <w:rFonts w:ascii="Times New Roman" w:hAnsi="Times New Roman"/>
          <w:sz w:val="24"/>
          <w:szCs w:val="24"/>
        </w:rPr>
        <w:t>E</w:t>
      </w:r>
      <w:r>
        <w:rPr>
          <w:rFonts w:ascii="Times New Roman" w:hAnsi="Times New Roman"/>
          <w:sz w:val="24"/>
          <w:szCs w:val="24"/>
          <w:vertAlign w:val="subscript"/>
        </w:rPr>
        <w:t>h</w:t>
      </w:r>
      <w:r>
        <w:rPr>
          <w:rFonts w:ascii="Times New Roman" w:hAnsi="Times New Roman"/>
          <w:sz w:val="24"/>
          <w:szCs w:val="24"/>
        </w:rPr>
        <w:t>——堆场装卸运输过程的扬尘颗粒物排放系数，kg/t；</w:t>
      </w:r>
    </w:p>
    <w:p w14:paraId="7FE822D0">
      <w:pPr>
        <w:spacing w:line="360" w:lineRule="auto"/>
        <w:ind w:firstLine="480" w:firstLineChars="200"/>
        <w:rPr>
          <w:rFonts w:ascii="Times New Roman" w:hAnsi="Times New Roman"/>
          <w:sz w:val="24"/>
          <w:szCs w:val="24"/>
        </w:rPr>
      </w:pPr>
      <w:r>
        <w:rPr>
          <w:rFonts w:ascii="Times New Roman" w:hAnsi="Times New Roman"/>
          <w:sz w:val="24"/>
          <w:szCs w:val="24"/>
        </w:rPr>
        <w:t>m——每年料堆物料装卸总次数；</w:t>
      </w:r>
    </w:p>
    <w:p w14:paraId="078C8312">
      <w:pPr>
        <w:spacing w:line="360" w:lineRule="auto"/>
        <w:ind w:firstLine="480" w:firstLineChars="200"/>
        <w:rPr>
          <w:rFonts w:ascii="Times New Roman" w:hAnsi="Times New Roman"/>
          <w:sz w:val="24"/>
          <w:szCs w:val="24"/>
        </w:rPr>
      </w:pPr>
      <w:r>
        <w:rPr>
          <w:rFonts w:ascii="Times New Roman" w:hAnsi="Times New Roman"/>
          <w:sz w:val="24"/>
          <w:szCs w:val="24"/>
        </w:rPr>
        <w:t>G</w:t>
      </w:r>
      <w:r>
        <w:rPr>
          <w:rFonts w:ascii="Times New Roman" w:hAnsi="Times New Roman"/>
          <w:sz w:val="24"/>
          <w:szCs w:val="24"/>
          <w:vertAlign w:val="subscript"/>
        </w:rPr>
        <w:t>Yi</w:t>
      </w:r>
      <w:r>
        <w:rPr>
          <w:rFonts w:ascii="Times New Roman" w:hAnsi="Times New Roman"/>
          <w:sz w:val="24"/>
          <w:szCs w:val="24"/>
        </w:rPr>
        <w:t>——第i次装卸过程的物料装卸量，t；项目车间内的装置车每次物料装卸约为1t；</w:t>
      </w:r>
    </w:p>
    <w:p w14:paraId="348D069B">
      <w:pPr>
        <w:spacing w:line="360" w:lineRule="auto"/>
        <w:ind w:firstLine="480" w:firstLineChars="200"/>
        <w:rPr>
          <w:rFonts w:ascii="Times New Roman" w:hAnsi="Times New Roman"/>
          <w:sz w:val="24"/>
          <w:szCs w:val="24"/>
        </w:rPr>
      </w:pPr>
      <w:r>
        <w:rPr>
          <w:rFonts w:ascii="Times New Roman" w:hAnsi="Times New Roman"/>
          <w:sz w:val="24"/>
          <w:szCs w:val="24"/>
        </w:rPr>
        <w:t>E</w:t>
      </w:r>
      <w:r>
        <w:rPr>
          <w:rFonts w:ascii="Times New Roman" w:hAnsi="Times New Roman"/>
          <w:sz w:val="24"/>
          <w:szCs w:val="24"/>
          <w:vertAlign w:val="subscript"/>
        </w:rPr>
        <w:t>w</w:t>
      </w:r>
      <w:r>
        <w:rPr>
          <w:rFonts w:ascii="Times New Roman" w:hAnsi="Times New Roman"/>
          <w:sz w:val="24"/>
          <w:szCs w:val="24"/>
        </w:rPr>
        <w:t>——料堆受到风蚀作用的颗粒物排放系数，kg/m</w:t>
      </w:r>
      <w:r>
        <w:rPr>
          <w:rFonts w:ascii="Times New Roman" w:hAnsi="Times New Roman"/>
          <w:sz w:val="24"/>
          <w:szCs w:val="24"/>
          <w:vertAlign w:val="superscript"/>
        </w:rPr>
        <w:t>2</w:t>
      </w:r>
      <w:r>
        <w:rPr>
          <w:rFonts w:ascii="Times New Roman" w:hAnsi="Times New Roman"/>
          <w:sz w:val="24"/>
          <w:szCs w:val="24"/>
        </w:rPr>
        <w:t>；</w:t>
      </w:r>
    </w:p>
    <w:p w14:paraId="21434393">
      <w:pPr>
        <w:spacing w:line="360" w:lineRule="auto"/>
        <w:ind w:firstLine="480" w:firstLineChars="200"/>
        <w:rPr>
          <w:rFonts w:ascii="Times New Roman" w:hAnsi="Times New Roman"/>
          <w:spacing w:val="-2"/>
          <w:kern w:val="0"/>
          <w:sz w:val="24"/>
          <w:szCs w:val="24"/>
        </w:rPr>
      </w:pPr>
      <w:r>
        <w:rPr>
          <w:rFonts w:ascii="Times New Roman" w:hAnsi="Times New Roman"/>
          <w:sz w:val="24"/>
          <w:szCs w:val="24"/>
        </w:rPr>
        <w:t>A</w:t>
      </w:r>
      <w:r>
        <w:rPr>
          <w:rFonts w:ascii="Times New Roman" w:hAnsi="Times New Roman"/>
          <w:sz w:val="24"/>
          <w:szCs w:val="24"/>
          <w:vertAlign w:val="subscript"/>
        </w:rPr>
        <w:t>Y</w:t>
      </w:r>
      <w:r>
        <w:rPr>
          <w:rFonts w:ascii="Times New Roman" w:hAnsi="Times New Roman"/>
          <w:sz w:val="24"/>
          <w:szCs w:val="24"/>
        </w:rPr>
        <w:t>——料堆表面积，m</w:t>
      </w:r>
      <w:r>
        <w:rPr>
          <w:rFonts w:ascii="Times New Roman" w:hAnsi="Times New Roman"/>
          <w:sz w:val="24"/>
          <w:szCs w:val="24"/>
          <w:vertAlign w:val="superscript"/>
        </w:rPr>
        <w:t>2</w:t>
      </w:r>
      <w:r>
        <w:rPr>
          <w:rFonts w:ascii="Times New Roman" w:hAnsi="Times New Roman"/>
          <w:sz w:val="24"/>
          <w:szCs w:val="24"/>
        </w:rPr>
        <w:t>。</w:t>
      </w:r>
    </w:p>
    <w:p w14:paraId="2C841B05">
      <w:pPr>
        <w:snapToGrid w:val="0"/>
        <w:spacing w:line="348" w:lineRule="auto"/>
        <w:ind w:firstLine="480"/>
        <w:rPr>
          <w:rFonts w:ascii="Times New Roman" w:hAnsi="Times New Roman"/>
          <w:spacing w:val="-2"/>
          <w:kern w:val="0"/>
          <w:sz w:val="24"/>
          <w:szCs w:val="24"/>
        </w:rPr>
      </w:pPr>
      <w:r>
        <w:rPr>
          <w:rFonts w:ascii="Times New Roman" w:hAnsi="Times New Roman"/>
          <w:spacing w:val="-2"/>
          <w:kern w:val="0"/>
          <w:sz w:val="24"/>
          <w:szCs w:val="24"/>
        </w:rPr>
        <w:t>（2）堆场装卸、运输物料过程扬尘排放系数计算方法</w:t>
      </w:r>
    </w:p>
    <w:p w14:paraId="630D66A1">
      <w:pPr>
        <w:spacing w:line="360" w:lineRule="auto"/>
        <w:ind w:firstLine="480" w:firstLineChars="200"/>
        <w:jc w:val="center"/>
        <w:rPr>
          <w:rFonts w:ascii="Times New Roman" w:hAnsi="Times New Roman"/>
          <w:sz w:val="24"/>
          <w:szCs w:val="24"/>
        </w:rPr>
      </w:pPr>
      <m:oMathPara>
        <m:oMath>
          <m:sSub>
            <m:sSubPr>
              <m:ctrlPr>
                <w:rPr>
                  <w:rFonts w:ascii="Cambria Math" w:hAnsi="Cambria Math"/>
                  <w:i/>
                  <w:sz w:val="24"/>
                  <w:szCs w:val="24"/>
                </w:rPr>
              </m:ctrlPr>
            </m:sSubPr>
            <m:e>
              <m:r>
                <m:rPr/>
                <w:rPr>
                  <w:rFonts w:ascii="Cambria Math" w:hAnsi="Cambria Math"/>
                  <w:sz w:val="24"/>
                  <w:szCs w:val="24"/>
                </w:rPr>
                <m:t>E</m:t>
              </m:r>
              <m:ctrlPr>
                <w:rPr>
                  <w:rFonts w:ascii="Cambria Math" w:hAnsi="Cambria Math"/>
                  <w:i/>
                  <w:sz w:val="24"/>
                  <w:szCs w:val="24"/>
                </w:rPr>
              </m:ctrlPr>
            </m:e>
            <m:sub>
              <m:r>
                <m:rPr/>
                <w:rPr>
                  <w:rFonts w:ascii="Cambria Math" w:hAnsi="Cambria Math"/>
                  <w:sz w:val="24"/>
                  <w:szCs w:val="24"/>
                </w:rPr>
                <m:t>ℎ</m:t>
              </m:r>
              <m:ctrlPr>
                <w:rPr>
                  <w:rFonts w:ascii="Cambria Math" w:hAnsi="Cambria Math"/>
                  <w:i/>
                  <w:sz w:val="24"/>
                  <w:szCs w:val="24"/>
                </w:rPr>
              </m:ctrlPr>
            </m:sub>
          </m:sSub>
          <m:r>
            <m:rPr/>
            <w:rPr>
              <w:rFonts w:ascii="Cambria Math" w:hAnsi="Cambria Math"/>
              <w:sz w:val="24"/>
              <w:szCs w:val="24"/>
            </w:rPr>
            <m:t>=</m:t>
          </m:r>
          <m:sSub>
            <m:sSubPr>
              <m:ctrlPr>
                <w:rPr>
                  <w:rFonts w:ascii="Cambria Math" w:hAnsi="Cambria Math"/>
                  <w:i/>
                  <w:sz w:val="24"/>
                  <w:szCs w:val="24"/>
                </w:rPr>
              </m:ctrlPr>
            </m:sSubPr>
            <m:e>
              <m:r>
                <m:rPr/>
                <w:rPr>
                  <w:rFonts w:ascii="Cambria Math" w:hAnsi="Cambria Math"/>
                  <w:sz w:val="24"/>
                  <w:szCs w:val="24"/>
                </w:rPr>
                <m:t>k</m:t>
              </m:r>
              <m:ctrlPr>
                <w:rPr>
                  <w:rFonts w:ascii="Cambria Math" w:hAnsi="Cambria Math"/>
                  <w:i/>
                  <w:sz w:val="24"/>
                  <w:szCs w:val="24"/>
                </w:rPr>
              </m:ctrlPr>
            </m:e>
            <m:sub>
              <m:r>
                <m:rPr/>
                <w:rPr>
                  <w:rFonts w:ascii="Cambria Math" w:hAnsi="Cambria Math"/>
                  <w:sz w:val="24"/>
                  <w:szCs w:val="24"/>
                </w:rPr>
                <m:t>i</m:t>
              </m:r>
              <m:ctrlPr>
                <w:rPr>
                  <w:rFonts w:ascii="Cambria Math" w:hAnsi="Cambria Math"/>
                  <w:i/>
                  <w:sz w:val="24"/>
                  <w:szCs w:val="24"/>
                </w:rPr>
              </m:ctrlPr>
            </m:sub>
          </m:sSub>
          <m:r>
            <m:rPr/>
            <w:rPr>
              <w:rFonts w:ascii="Cambria Math" w:hAnsi="Cambria Math"/>
              <w:sz w:val="24"/>
              <w:szCs w:val="24"/>
            </w:rPr>
            <m:t>×0.0016×</m:t>
          </m:r>
          <m:f>
            <m:fPr>
              <m:ctrlPr>
                <w:rPr>
                  <w:rFonts w:ascii="Cambria Math" w:hAnsi="Cambria Math"/>
                  <w:i/>
                  <w:sz w:val="24"/>
                  <w:szCs w:val="24"/>
                </w:rPr>
              </m:ctrlPr>
            </m:fPr>
            <m:num>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r>
                            <m:rPr/>
                            <w:rPr>
                              <w:rFonts w:ascii="Cambria Math" w:hAnsi="Cambria Math"/>
                              <w:sz w:val="24"/>
                              <w:szCs w:val="24"/>
                            </w:rPr>
                            <m:t>u</m:t>
                          </m:r>
                          <m:ctrlPr>
                            <w:rPr>
                              <w:rFonts w:ascii="Cambria Math" w:hAnsi="Cambria Math"/>
                              <w:i/>
                              <w:sz w:val="24"/>
                              <w:szCs w:val="24"/>
                            </w:rPr>
                          </m:ctrlPr>
                        </m:num>
                        <m:den>
                          <m:r>
                            <m:rPr/>
                            <w:rPr>
                              <w:rFonts w:ascii="Cambria Math" w:hAnsi="Cambria Math"/>
                              <w:sz w:val="24"/>
                              <w:szCs w:val="24"/>
                            </w:rPr>
                            <m:t>2.2</m:t>
                          </m:r>
                          <m:ctrlPr>
                            <w:rPr>
                              <w:rFonts w:ascii="Cambria Math" w:hAnsi="Cambria Math"/>
                              <w:i/>
                              <w:sz w:val="24"/>
                              <w:szCs w:val="24"/>
                            </w:rPr>
                          </m:ctrlPr>
                        </m:den>
                      </m:f>
                      <m:ctrlPr>
                        <w:rPr>
                          <w:rFonts w:ascii="Cambria Math" w:hAnsi="Cambria Math"/>
                          <w:i/>
                          <w:sz w:val="24"/>
                          <w:szCs w:val="24"/>
                        </w:rPr>
                      </m:ctrlPr>
                    </m:e>
                  </m:d>
                  <m:ctrlPr>
                    <w:rPr>
                      <w:rFonts w:ascii="Cambria Math" w:hAnsi="Cambria Math"/>
                      <w:i/>
                      <w:sz w:val="24"/>
                      <w:szCs w:val="24"/>
                    </w:rPr>
                  </m:ctrlPr>
                </m:e>
                <m:sup>
                  <m:r>
                    <m:rPr/>
                    <w:rPr>
                      <w:rFonts w:ascii="Cambria Math" w:hAnsi="Cambria Math"/>
                      <w:sz w:val="24"/>
                      <w:szCs w:val="24"/>
                    </w:rPr>
                    <m:t>1.3</m:t>
                  </m:r>
                  <m:ctrlPr>
                    <w:rPr>
                      <w:rFonts w:ascii="Cambria Math" w:hAnsi="Cambria Math"/>
                      <w:i/>
                      <w:sz w:val="24"/>
                      <w:szCs w:val="24"/>
                    </w:rPr>
                  </m:ctrlPr>
                </m:sup>
              </m:sSup>
              <m:ctrlPr>
                <w:rPr>
                  <w:rFonts w:ascii="Cambria Math" w:hAnsi="Cambria Math"/>
                  <w:i/>
                  <w:sz w:val="24"/>
                  <w:szCs w:val="24"/>
                </w:rPr>
              </m:ctrlPr>
            </m:num>
            <m:den>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r>
                            <m:rPr/>
                            <w:rPr>
                              <w:rFonts w:ascii="Cambria Math" w:hAnsi="Cambria Math"/>
                              <w:sz w:val="24"/>
                              <w:szCs w:val="24"/>
                            </w:rPr>
                            <m:t>M</m:t>
                          </m:r>
                          <m:ctrlPr>
                            <w:rPr>
                              <w:rFonts w:ascii="Cambria Math" w:hAnsi="Cambria Math"/>
                              <w:i/>
                              <w:sz w:val="24"/>
                              <w:szCs w:val="24"/>
                            </w:rPr>
                          </m:ctrlPr>
                        </m:num>
                        <m:den>
                          <m:r>
                            <m:rPr/>
                            <w:rPr>
                              <w:rFonts w:ascii="Cambria Math" w:hAnsi="Cambria Math"/>
                              <w:sz w:val="24"/>
                              <w:szCs w:val="24"/>
                            </w:rPr>
                            <m:t>2</m:t>
                          </m:r>
                          <m:ctrlPr>
                            <w:rPr>
                              <w:rFonts w:ascii="Cambria Math" w:hAnsi="Cambria Math"/>
                              <w:i/>
                              <w:sz w:val="24"/>
                              <w:szCs w:val="24"/>
                            </w:rPr>
                          </m:ctrlPr>
                        </m:den>
                      </m:f>
                      <m:ctrlPr>
                        <w:rPr>
                          <w:rFonts w:ascii="Cambria Math" w:hAnsi="Cambria Math"/>
                          <w:i/>
                          <w:sz w:val="24"/>
                          <w:szCs w:val="24"/>
                        </w:rPr>
                      </m:ctrlPr>
                    </m:e>
                  </m:d>
                  <m:ctrlPr>
                    <w:rPr>
                      <w:rFonts w:ascii="Cambria Math" w:hAnsi="Cambria Math"/>
                      <w:i/>
                      <w:sz w:val="24"/>
                      <w:szCs w:val="24"/>
                    </w:rPr>
                  </m:ctrlPr>
                </m:e>
                <m:sup>
                  <m:r>
                    <m:rPr/>
                    <w:rPr>
                      <w:rFonts w:ascii="Cambria Math" w:hAnsi="Cambria Math"/>
                      <w:sz w:val="24"/>
                      <w:szCs w:val="24"/>
                    </w:rPr>
                    <m:t>1.4</m:t>
                  </m:r>
                  <m:ctrlPr>
                    <w:rPr>
                      <w:rFonts w:ascii="Cambria Math" w:hAnsi="Cambria Math"/>
                      <w:i/>
                      <w:sz w:val="24"/>
                      <w:szCs w:val="24"/>
                    </w:rPr>
                  </m:ctrlPr>
                </m:sup>
              </m:sSup>
              <m:ctrlPr>
                <w:rPr>
                  <w:rFonts w:ascii="Cambria Math" w:hAnsi="Cambria Math"/>
                  <w:i/>
                  <w:sz w:val="24"/>
                  <w:szCs w:val="24"/>
                </w:rPr>
              </m:ctrlPr>
            </m:den>
          </m:f>
          <m:r>
            <m:rPr/>
            <w:rPr>
              <w:rFonts w:ascii="Cambria Math" w:hAnsi="Cambria Math"/>
              <w:sz w:val="24"/>
              <w:szCs w:val="24"/>
            </w:rPr>
            <m:t>×</m:t>
          </m:r>
          <m:d>
            <m:dPr>
              <m:ctrlPr>
                <w:rPr>
                  <w:rFonts w:ascii="Cambria Math" w:hAnsi="Cambria Math"/>
                  <w:i/>
                  <w:sz w:val="24"/>
                  <w:szCs w:val="24"/>
                </w:rPr>
              </m:ctrlPr>
            </m:dPr>
            <m:e>
              <m:r>
                <m:rPr/>
                <w:rPr>
                  <w:rFonts w:ascii="Cambria Math" w:hAnsi="Cambria Math"/>
                  <w:sz w:val="24"/>
                  <w:szCs w:val="24"/>
                </w:rPr>
                <m:t>1−η</m:t>
              </m:r>
              <m:ctrlPr>
                <w:rPr>
                  <w:rFonts w:ascii="Cambria Math" w:hAnsi="Cambria Math"/>
                  <w:i/>
                  <w:sz w:val="24"/>
                  <w:szCs w:val="24"/>
                </w:rPr>
              </m:ctrlPr>
            </m:e>
          </m:d>
        </m:oMath>
      </m:oMathPara>
    </w:p>
    <w:p w14:paraId="14272A33">
      <w:pPr>
        <w:snapToGri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式中：</w:t>
      </w:r>
    </w:p>
    <w:p w14:paraId="3D8A95BC">
      <w:pPr>
        <w:snapToGri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E</w:t>
      </w:r>
      <w:r>
        <w:rPr>
          <w:rFonts w:ascii="Times New Roman" w:hAnsi="Times New Roman"/>
          <w:spacing w:val="-2"/>
          <w:kern w:val="0"/>
          <w:sz w:val="24"/>
          <w:szCs w:val="24"/>
          <w:vertAlign w:val="subscript"/>
        </w:rPr>
        <w:t>h</w:t>
      </w:r>
      <w:r>
        <w:rPr>
          <w:rFonts w:ascii="Times New Roman" w:hAnsi="Times New Roman"/>
          <w:sz w:val="24"/>
          <w:szCs w:val="24"/>
        </w:rPr>
        <w:t>——</w:t>
      </w:r>
      <w:r>
        <w:rPr>
          <w:rFonts w:ascii="Times New Roman" w:hAnsi="Times New Roman"/>
          <w:spacing w:val="-2"/>
          <w:kern w:val="0"/>
          <w:sz w:val="24"/>
          <w:szCs w:val="24"/>
        </w:rPr>
        <w:t>堆场装卸扬尘的排放系数，kg/t；</w:t>
      </w:r>
    </w:p>
    <w:p w14:paraId="089F1169">
      <w:pPr>
        <w:snapToGri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k</w:t>
      </w:r>
      <w:r>
        <w:rPr>
          <w:rFonts w:ascii="Times New Roman" w:hAnsi="Times New Roman"/>
          <w:spacing w:val="-2"/>
          <w:kern w:val="0"/>
          <w:sz w:val="24"/>
          <w:szCs w:val="24"/>
          <w:vertAlign w:val="subscript"/>
        </w:rPr>
        <w:t>i</w:t>
      </w:r>
      <w:r>
        <w:rPr>
          <w:rFonts w:ascii="Times New Roman" w:hAnsi="Times New Roman"/>
          <w:sz w:val="24"/>
          <w:szCs w:val="24"/>
        </w:rPr>
        <w:t>——</w:t>
      </w:r>
      <w:r>
        <w:rPr>
          <w:rFonts w:ascii="Times New Roman" w:hAnsi="Times New Roman"/>
          <w:spacing w:val="-2"/>
          <w:kern w:val="0"/>
          <w:sz w:val="24"/>
          <w:szCs w:val="24"/>
        </w:rPr>
        <w:t>物料的粒度乘数，TSP取0.74；</w:t>
      </w:r>
    </w:p>
    <w:p w14:paraId="596BA0E4">
      <w:pPr>
        <w:snapToGri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u</w:t>
      </w:r>
      <w:r>
        <w:rPr>
          <w:rFonts w:ascii="Times New Roman" w:hAnsi="Times New Roman"/>
          <w:sz w:val="24"/>
          <w:szCs w:val="24"/>
        </w:rPr>
        <w:t>——</w:t>
      </w:r>
      <w:r>
        <w:rPr>
          <w:rFonts w:ascii="Times New Roman" w:hAnsi="Times New Roman"/>
          <w:spacing w:val="-2"/>
          <w:kern w:val="0"/>
          <w:sz w:val="24"/>
          <w:szCs w:val="24"/>
        </w:rPr>
        <w:t>地面平均风速，m/s，项目生产及物料装卸转运均在室内进行，地面平均风速按静风进行取值，取值0.2m/s；</w:t>
      </w:r>
    </w:p>
    <w:p w14:paraId="11082A11">
      <w:pPr>
        <w:snapToGri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M</w:t>
      </w:r>
      <w:r>
        <w:rPr>
          <w:rFonts w:ascii="Times New Roman" w:hAnsi="Times New Roman"/>
          <w:sz w:val="24"/>
          <w:szCs w:val="24"/>
        </w:rPr>
        <w:t>——</w:t>
      </w:r>
      <w:r>
        <w:rPr>
          <w:rFonts w:ascii="Times New Roman" w:hAnsi="Times New Roman"/>
          <w:spacing w:val="-2"/>
          <w:kern w:val="0"/>
          <w:sz w:val="24"/>
          <w:szCs w:val="24"/>
        </w:rPr>
        <w:t>物料含水率，%，原料毛矿含水率取</w:t>
      </w:r>
      <w:r>
        <w:rPr>
          <w:rFonts w:hint="eastAsia" w:ascii="Times New Roman" w:hAnsi="Times New Roman"/>
          <w:spacing w:val="-2"/>
          <w:kern w:val="0"/>
          <w:sz w:val="24"/>
          <w:szCs w:val="24"/>
          <w:u w:val="single"/>
        </w:rPr>
        <w:t>3.8</w:t>
      </w:r>
      <w:r>
        <w:rPr>
          <w:rFonts w:ascii="Times New Roman" w:hAnsi="Times New Roman"/>
          <w:spacing w:val="-2"/>
          <w:kern w:val="0"/>
          <w:sz w:val="24"/>
          <w:szCs w:val="24"/>
        </w:rPr>
        <w:t>，烘干后的物料含水率取</w:t>
      </w:r>
      <w:r>
        <w:rPr>
          <w:rFonts w:hint="eastAsia" w:ascii="Times New Roman" w:hAnsi="Times New Roman"/>
          <w:spacing w:val="-2"/>
          <w:kern w:val="0"/>
          <w:sz w:val="24"/>
          <w:szCs w:val="24"/>
        </w:rPr>
        <w:t>2</w:t>
      </w:r>
      <w:r>
        <w:rPr>
          <w:rFonts w:ascii="Times New Roman" w:hAnsi="Times New Roman"/>
          <w:spacing w:val="-2"/>
          <w:kern w:val="0"/>
          <w:sz w:val="24"/>
          <w:szCs w:val="24"/>
        </w:rPr>
        <w:t>.5；</w:t>
      </w:r>
    </w:p>
    <w:p w14:paraId="01427C7C">
      <w:pPr>
        <w:snapToGri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η</w:t>
      </w:r>
      <w:r>
        <w:rPr>
          <w:rFonts w:ascii="Times New Roman" w:hAnsi="Times New Roman"/>
          <w:sz w:val="24"/>
          <w:szCs w:val="24"/>
        </w:rPr>
        <w:t>——</w:t>
      </w:r>
      <w:r>
        <w:rPr>
          <w:rFonts w:ascii="Times New Roman" w:hAnsi="Times New Roman"/>
          <w:spacing w:val="-2"/>
          <w:kern w:val="0"/>
          <w:sz w:val="24"/>
          <w:szCs w:val="24"/>
        </w:rPr>
        <w:t>污染控制技术对扬尘的去除效率，%，参考《扬尘源颗粒物排放清单编制技术指南》表12，项目生产及物料装卸转运均在室内进行，TSP控制效率按三边围挡遮围取值90%。</w:t>
      </w:r>
    </w:p>
    <w:p w14:paraId="6EAE5E43">
      <w:pPr>
        <w:snapToGri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（3）堆场风蚀扬尘排放系数计算方法</w:t>
      </w:r>
    </w:p>
    <w:p w14:paraId="3263198B">
      <w:pPr>
        <w:spacing w:line="360" w:lineRule="auto"/>
        <w:ind w:firstLine="480" w:firstLineChars="200"/>
        <w:jc w:val="center"/>
        <w:rPr>
          <w:rFonts w:ascii="Times New Roman" w:hAnsi="Times New Roman"/>
          <w:sz w:val="24"/>
          <w:szCs w:val="24"/>
        </w:rPr>
      </w:pPr>
      <m:oMathPara>
        <m:oMath>
          <m:sSub>
            <m:sSubPr>
              <m:ctrlPr>
                <w:rPr>
                  <w:rFonts w:ascii="Cambria Math" w:hAnsi="Cambria Math"/>
                  <w:i/>
                  <w:sz w:val="24"/>
                  <w:szCs w:val="24"/>
                </w:rPr>
              </m:ctrlPr>
            </m:sSubPr>
            <m:e>
              <m:r>
                <m:rPr/>
                <w:rPr>
                  <w:rFonts w:ascii="Cambria Math" w:hAnsi="Cambria Math"/>
                  <w:sz w:val="24"/>
                  <w:szCs w:val="24"/>
                </w:rPr>
                <m:t>E</m:t>
              </m:r>
              <m:ctrlPr>
                <w:rPr>
                  <w:rFonts w:ascii="Cambria Math" w:hAnsi="Cambria Math"/>
                  <w:i/>
                  <w:sz w:val="24"/>
                  <w:szCs w:val="24"/>
                </w:rPr>
              </m:ctrlPr>
            </m:e>
            <m:sub>
              <m:r>
                <m:rPr/>
                <w:rPr>
                  <w:rFonts w:ascii="Cambria Math" w:hAnsi="Cambria Math"/>
                  <w:sz w:val="24"/>
                  <w:szCs w:val="24"/>
                </w:rPr>
                <m:t>W</m:t>
              </m:r>
              <m:ctrlPr>
                <w:rPr>
                  <w:rFonts w:ascii="Cambria Math" w:hAnsi="Cambria Math"/>
                  <w:i/>
                  <w:sz w:val="24"/>
                  <w:szCs w:val="24"/>
                </w:rPr>
              </m:ctrlPr>
            </m:sub>
          </m:sSub>
          <m:r>
            <m:rPr/>
            <w:rPr>
              <w:rFonts w:ascii="Cambria Math" w:hAnsi="Cambria Math"/>
              <w:sz w:val="24"/>
              <w:szCs w:val="24"/>
            </w:rPr>
            <m:t>=</m:t>
          </m:r>
          <m:sSub>
            <m:sSubPr>
              <m:ctrlPr>
                <w:rPr>
                  <w:rFonts w:ascii="Cambria Math" w:hAnsi="Cambria Math"/>
                  <w:i/>
                  <w:sz w:val="24"/>
                  <w:szCs w:val="24"/>
                </w:rPr>
              </m:ctrlPr>
            </m:sSubPr>
            <m:e>
              <m:r>
                <m:rPr/>
                <w:rPr>
                  <w:rFonts w:ascii="Cambria Math" w:hAnsi="Cambria Math"/>
                  <w:sz w:val="24"/>
                  <w:szCs w:val="24"/>
                </w:rPr>
                <m:t>k</m:t>
              </m:r>
              <m:ctrlPr>
                <w:rPr>
                  <w:rFonts w:ascii="Cambria Math" w:hAnsi="Cambria Math"/>
                  <w:i/>
                  <w:sz w:val="24"/>
                  <w:szCs w:val="24"/>
                </w:rPr>
              </m:ctrlPr>
            </m:e>
            <m:sub>
              <m:r>
                <m:rPr/>
                <w:rPr>
                  <w:rFonts w:ascii="Cambria Math" w:hAnsi="Cambria Math"/>
                  <w:sz w:val="24"/>
                  <w:szCs w:val="24"/>
                </w:rPr>
                <m:t>i</m:t>
              </m:r>
              <m:ctrlPr>
                <w:rPr>
                  <w:rFonts w:ascii="Cambria Math" w:hAnsi="Cambria Math"/>
                  <w:i/>
                  <w:sz w:val="24"/>
                  <w:szCs w:val="24"/>
                </w:rPr>
              </m:ctrlPr>
            </m:sub>
          </m:sSub>
          <m:r>
            <m:rPr/>
            <w:rPr>
              <w:rFonts w:ascii="Cambria Math" w:hAnsi="Cambria Math"/>
              <w:sz w:val="24"/>
              <w:szCs w:val="24"/>
            </w:rPr>
            <m:t>×</m:t>
          </m:r>
          <m:nary>
            <m:naryPr>
              <m:chr m:val="∑"/>
              <m:limLoc m:val="undOvr"/>
              <m:ctrlPr>
                <w:rPr>
                  <w:rFonts w:ascii="Cambria Math" w:hAnsi="Cambria Math"/>
                  <w:i/>
                  <w:sz w:val="24"/>
                  <w:szCs w:val="24"/>
                </w:rPr>
              </m:ctrlPr>
            </m:naryPr>
            <m:sub>
              <m:r>
                <m:rPr/>
                <w:rPr>
                  <w:rFonts w:ascii="Cambria Math" w:hAnsi="Cambria Math"/>
                  <w:sz w:val="24"/>
                  <w:szCs w:val="24"/>
                </w:rPr>
                <m:t>i=1</m:t>
              </m:r>
              <m:ctrlPr>
                <w:rPr>
                  <w:rFonts w:ascii="Cambria Math" w:hAnsi="Cambria Math"/>
                  <w:i/>
                  <w:sz w:val="24"/>
                  <w:szCs w:val="24"/>
                </w:rPr>
              </m:ctrlPr>
            </m:sub>
            <m:sup>
              <m:r>
                <m:rPr/>
                <w:rPr>
                  <w:rFonts w:ascii="Cambria Math" w:hAnsi="Cambria Math"/>
                  <w:sz w:val="24"/>
                  <w:szCs w:val="24"/>
                </w:rPr>
                <m:t>n</m:t>
              </m:r>
              <m:ctrlPr>
                <w:rPr>
                  <w:rFonts w:ascii="Cambria Math" w:hAnsi="Cambria Math"/>
                  <w:i/>
                  <w:sz w:val="24"/>
                  <w:szCs w:val="24"/>
                </w:rPr>
              </m:ctrlPr>
            </m:sup>
            <m:e>
              <m:sSub>
                <m:sSubPr>
                  <m:ctrlPr>
                    <w:rPr>
                      <w:rFonts w:ascii="Cambria Math" w:hAnsi="Cambria Math"/>
                      <w:i/>
                      <w:sz w:val="24"/>
                      <w:szCs w:val="24"/>
                    </w:rPr>
                  </m:ctrlPr>
                </m:sSubPr>
                <m:e>
                  <m:r>
                    <m:rPr/>
                    <w:rPr>
                      <w:rFonts w:ascii="Cambria Math" w:hAnsi="Cambria Math"/>
                      <w:sz w:val="24"/>
                      <w:szCs w:val="24"/>
                    </w:rPr>
                    <m:t>P</m:t>
                  </m:r>
                  <m:ctrlPr>
                    <w:rPr>
                      <w:rFonts w:ascii="Cambria Math" w:hAnsi="Cambria Math"/>
                      <w:i/>
                      <w:sz w:val="24"/>
                      <w:szCs w:val="24"/>
                    </w:rPr>
                  </m:ctrlPr>
                </m:e>
                <m:sub>
                  <m:r>
                    <m:rPr/>
                    <w:rPr>
                      <w:rFonts w:ascii="Cambria Math" w:hAnsi="Cambria Math"/>
                      <w:sz w:val="24"/>
                      <w:szCs w:val="24"/>
                    </w:rPr>
                    <m:t>i</m:t>
                  </m:r>
                  <m:ctrlPr>
                    <w:rPr>
                      <w:rFonts w:ascii="Cambria Math" w:hAnsi="Cambria Math"/>
                      <w:i/>
                      <w:sz w:val="24"/>
                      <w:szCs w:val="24"/>
                    </w:rPr>
                  </m:ctrlPr>
                </m:sub>
              </m:sSub>
              <m:ctrlPr>
                <w:rPr>
                  <w:rFonts w:ascii="Cambria Math" w:hAnsi="Cambria Math"/>
                  <w:i/>
                  <w:sz w:val="24"/>
                  <w:szCs w:val="24"/>
                </w:rPr>
              </m:ctrlPr>
            </m:e>
          </m:nary>
          <m:r>
            <m:rPr/>
            <w:rPr>
              <w:rFonts w:ascii="Cambria Math" w:hAnsi="Cambria Math"/>
              <w:sz w:val="24"/>
              <w:szCs w:val="24"/>
            </w:rPr>
            <m:t>×</m:t>
          </m:r>
          <m:d>
            <m:dPr>
              <m:ctrlPr>
                <w:rPr>
                  <w:rFonts w:ascii="Cambria Math" w:hAnsi="Cambria Math"/>
                  <w:i/>
                  <w:sz w:val="24"/>
                  <w:szCs w:val="24"/>
                </w:rPr>
              </m:ctrlPr>
            </m:dPr>
            <m:e>
              <m:r>
                <m:rPr/>
                <w:rPr>
                  <w:rFonts w:ascii="Cambria Math" w:hAnsi="Cambria Math"/>
                  <w:sz w:val="24"/>
                  <w:szCs w:val="24"/>
                </w:rPr>
                <m:t>1−η</m:t>
              </m:r>
              <m:ctrlPr>
                <w:rPr>
                  <w:rFonts w:ascii="Cambria Math" w:hAnsi="Cambria Math"/>
                  <w:i/>
                  <w:sz w:val="24"/>
                  <w:szCs w:val="24"/>
                </w:rPr>
              </m:ctrlPr>
            </m:e>
          </m:d>
          <m:sSup>
            <m:sSupPr>
              <m:ctrlPr>
                <w:rPr>
                  <w:rFonts w:ascii="Cambria Math" w:hAnsi="Cambria Math"/>
                  <w:i/>
                  <w:sz w:val="24"/>
                  <w:szCs w:val="24"/>
                </w:rPr>
              </m:ctrlPr>
            </m:sSupPr>
            <m:e>
              <m:r>
                <m:rPr/>
                <w:rPr>
                  <w:rFonts w:ascii="Cambria Math" w:hAnsi="Cambria Math"/>
                  <w:sz w:val="24"/>
                  <w:szCs w:val="24"/>
                </w:rPr>
                <m:t>×10</m:t>
              </m:r>
              <m:ctrlPr>
                <w:rPr>
                  <w:rFonts w:ascii="Cambria Math" w:hAnsi="Cambria Math"/>
                  <w:i/>
                  <w:sz w:val="24"/>
                  <w:szCs w:val="24"/>
                </w:rPr>
              </m:ctrlPr>
            </m:e>
            <m:sup>
              <m:r>
                <m:rPr/>
                <w:rPr>
                  <w:rFonts w:ascii="Cambria Math" w:hAnsi="Cambria Math"/>
                  <w:sz w:val="24"/>
                  <w:szCs w:val="24"/>
                </w:rPr>
                <m:t>−3</m:t>
              </m:r>
              <m:ctrlPr>
                <w:rPr>
                  <w:rFonts w:ascii="Cambria Math" w:hAnsi="Cambria Math"/>
                  <w:i/>
                  <w:sz w:val="24"/>
                  <w:szCs w:val="24"/>
                </w:rPr>
              </m:ctrlPr>
            </m:sup>
          </m:sSup>
        </m:oMath>
      </m:oMathPara>
    </w:p>
    <w:p w14:paraId="1ED7A96A">
      <w:pPr>
        <w:spacing w:line="360" w:lineRule="auto"/>
        <w:ind w:firstLine="480" w:firstLineChars="200"/>
        <w:rPr>
          <w:rFonts w:ascii="Times New Roman" w:hAnsi="Times New Roman"/>
          <w:sz w:val="24"/>
          <w:szCs w:val="24"/>
        </w:rPr>
      </w:pPr>
      <w:r>
        <w:rPr>
          <w:rFonts w:ascii="Times New Roman" w:hAnsi="Times New Roman"/>
          <w:sz w:val="24"/>
          <w:szCs w:val="24"/>
        </w:rPr>
        <w:t>式中：</w:t>
      </w:r>
    </w:p>
    <w:p w14:paraId="528AF8A9">
      <w:pPr>
        <w:spacing w:line="360" w:lineRule="auto"/>
        <w:ind w:firstLine="480" w:firstLineChars="200"/>
        <w:rPr>
          <w:rFonts w:ascii="Times New Roman" w:hAnsi="Times New Roman"/>
          <w:sz w:val="24"/>
          <w:szCs w:val="24"/>
        </w:rPr>
      </w:pPr>
      <w:r>
        <w:rPr>
          <w:rFonts w:ascii="Times New Roman" w:hAnsi="Times New Roman"/>
          <w:sz w:val="24"/>
          <w:szCs w:val="24"/>
        </w:rPr>
        <w:t>E</w:t>
      </w:r>
      <w:r>
        <w:rPr>
          <w:rFonts w:ascii="Times New Roman" w:hAnsi="Times New Roman"/>
          <w:sz w:val="24"/>
          <w:szCs w:val="24"/>
          <w:vertAlign w:val="subscript"/>
        </w:rPr>
        <w:t>w</w:t>
      </w:r>
      <w:r>
        <w:rPr>
          <w:rFonts w:ascii="Times New Roman" w:hAnsi="Times New Roman"/>
          <w:sz w:val="24"/>
          <w:szCs w:val="24"/>
        </w:rPr>
        <w:t>——堆场风蚀扬尘的排放系数，kg/m</w:t>
      </w:r>
      <w:r>
        <w:rPr>
          <w:rFonts w:ascii="Times New Roman" w:hAnsi="Times New Roman"/>
          <w:sz w:val="24"/>
          <w:szCs w:val="24"/>
          <w:vertAlign w:val="superscript"/>
        </w:rPr>
        <w:t>2</w:t>
      </w:r>
      <w:r>
        <w:rPr>
          <w:rFonts w:ascii="Times New Roman" w:hAnsi="Times New Roman"/>
          <w:sz w:val="24"/>
          <w:szCs w:val="24"/>
        </w:rPr>
        <w:t>；</w:t>
      </w:r>
    </w:p>
    <w:p w14:paraId="38724B3B">
      <w:pPr>
        <w:spacing w:line="360" w:lineRule="auto"/>
        <w:ind w:firstLine="480" w:firstLineChars="200"/>
        <w:rPr>
          <w:rFonts w:ascii="Times New Roman" w:hAnsi="Times New Roman"/>
          <w:sz w:val="24"/>
          <w:szCs w:val="24"/>
        </w:rPr>
      </w:pPr>
      <w:r>
        <w:rPr>
          <w:rFonts w:ascii="Times New Roman" w:hAnsi="Times New Roman"/>
          <w:sz w:val="24"/>
          <w:szCs w:val="24"/>
        </w:rPr>
        <w:t>k</w:t>
      </w:r>
      <w:r>
        <w:rPr>
          <w:rFonts w:ascii="Times New Roman" w:hAnsi="Times New Roman"/>
          <w:sz w:val="24"/>
          <w:szCs w:val="24"/>
          <w:vertAlign w:val="subscript"/>
        </w:rPr>
        <w:t>i</w:t>
      </w:r>
      <w:r>
        <w:rPr>
          <w:rFonts w:ascii="Times New Roman" w:hAnsi="Times New Roman"/>
          <w:sz w:val="24"/>
          <w:szCs w:val="24"/>
        </w:rPr>
        <w:t>——物料的粒度乘数；TSP取1.0；</w:t>
      </w:r>
    </w:p>
    <w:p w14:paraId="13BCD620">
      <w:pPr>
        <w:spacing w:line="360" w:lineRule="auto"/>
        <w:ind w:firstLine="480" w:firstLineChars="200"/>
        <w:rPr>
          <w:rFonts w:ascii="Times New Roman" w:hAnsi="Times New Roman"/>
          <w:sz w:val="24"/>
          <w:szCs w:val="24"/>
        </w:rPr>
      </w:pPr>
      <w:r>
        <w:rPr>
          <w:rFonts w:ascii="Times New Roman" w:hAnsi="Times New Roman"/>
          <w:sz w:val="24"/>
          <w:szCs w:val="24"/>
        </w:rPr>
        <w:t>n</w:t>
      </w:r>
      <w:bookmarkStart w:id="109" w:name="_Hlk75884222"/>
      <w:r>
        <w:rPr>
          <w:rFonts w:ascii="Times New Roman" w:hAnsi="Times New Roman"/>
          <w:sz w:val="24"/>
          <w:szCs w:val="24"/>
        </w:rPr>
        <w:t>——</w:t>
      </w:r>
      <w:bookmarkEnd w:id="109"/>
      <w:r>
        <w:rPr>
          <w:rFonts w:ascii="Times New Roman" w:hAnsi="Times New Roman"/>
          <w:sz w:val="24"/>
          <w:szCs w:val="24"/>
        </w:rPr>
        <w:t>料堆每年受扰动的次数</w:t>
      </w:r>
      <w:bookmarkStart w:id="110" w:name="_Hlk91747287"/>
      <w:r>
        <w:rPr>
          <w:rFonts w:ascii="Times New Roman" w:hAnsi="Times New Roman"/>
          <w:sz w:val="24"/>
          <w:szCs w:val="24"/>
        </w:rPr>
        <w:t>；</w:t>
      </w:r>
      <w:bookmarkEnd w:id="110"/>
    </w:p>
    <w:p w14:paraId="4E6F4C3C">
      <w:pPr>
        <w:spacing w:line="360" w:lineRule="auto"/>
        <w:ind w:firstLine="480" w:firstLineChars="200"/>
        <w:rPr>
          <w:rFonts w:ascii="Times New Roman" w:hAnsi="Times New Roman"/>
          <w:sz w:val="24"/>
          <w:szCs w:val="24"/>
        </w:rPr>
      </w:pPr>
      <w:r>
        <w:rPr>
          <w:rFonts w:ascii="Times New Roman" w:hAnsi="Times New Roman"/>
          <w:sz w:val="24"/>
          <w:szCs w:val="24"/>
        </w:rPr>
        <w:t>η——污染控制技术对扬尘的去除效率，%；</w:t>
      </w:r>
    </w:p>
    <w:p w14:paraId="1ECC85FF">
      <w:pPr>
        <w:spacing w:line="360" w:lineRule="auto"/>
        <w:ind w:firstLine="480" w:firstLineChars="200"/>
        <w:rPr>
          <w:rFonts w:ascii="Times New Roman" w:hAnsi="Times New Roman"/>
          <w:sz w:val="24"/>
          <w:szCs w:val="24"/>
        </w:rPr>
      </w:pPr>
      <w:r>
        <w:rPr>
          <w:rFonts w:ascii="Times New Roman" w:hAnsi="Times New Roman"/>
          <w:sz w:val="24"/>
          <w:szCs w:val="24"/>
        </w:rPr>
        <w:t>P</w:t>
      </w:r>
      <w:r>
        <w:rPr>
          <w:rFonts w:ascii="Times New Roman" w:hAnsi="Times New Roman"/>
          <w:sz w:val="24"/>
          <w:szCs w:val="24"/>
          <w:vertAlign w:val="subscript"/>
        </w:rPr>
        <w:t>i</w:t>
      </w:r>
      <w:r>
        <w:rPr>
          <w:rFonts w:ascii="Times New Roman" w:hAnsi="Times New Roman"/>
          <w:sz w:val="24"/>
          <w:szCs w:val="24"/>
        </w:rPr>
        <w:t>——为第i次扰动中观测的最大风速的风蚀潜势，g/m</w:t>
      </w:r>
      <w:r>
        <w:rPr>
          <w:rFonts w:ascii="Times New Roman" w:hAnsi="Times New Roman"/>
          <w:sz w:val="24"/>
          <w:szCs w:val="24"/>
          <w:vertAlign w:val="superscript"/>
        </w:rPr>
        <w:t>2</w:t>
      </w:r>
      <w:r>
        <w:rPr>
          <w:rFonts w:ascii="Times New Roman" w:hAnsi="Times New Roman"/>
          <w:sz w:val="24"/>
          <w:szCs w:val="24"/>
        </w:rPr>
        <w:t>；用下式计算：</w:t>
      </w:r>
    </w:p>
    <w:p w14:paraId="273D4634">
      <w:pPr>
        <w:spacing w:line="360" w:lineRule="auto"/>
        <w:ind w:firstLine="480" w:firstLineChars="200"/>
        <w:jc w:val="center"/>
        <w:rPr>
          <w:rFonts w:ascii="Times New Roman" w:hAnsi="Times New Roman"/>
          <w:sz w:val="24"/>
          <w:szCs w:val="24"/>
        </w:rPr>
      </w:pPr>
      <m:oMathPara>
        <m:oMathParaPr>
          <m:jc m:val="center"/>
        </m:oMathParaPr>
        <m:oMath>
          <m:sSub>
            <m:sSubPr>
              <m:ctrlPr>
                <w:rPr>
                  <w:rFonts w:ascii="Cambria Math" w:hAnsi="Cambria Math"/>
                  <w:i/>
                  <w:sz w:val="24"/>
                  <w:szCs w:val="24"/>
                </w:rPr>
              </m:ctrlPr>
            </m:sSubPr>
            <m:e>
              <m:r>
                <m:rPr/>
                <w:rPr>
                  <w:rFonts w:ascii="Cambria Math" w:hAnsi="Cambria Math"/>
                  <w:sz w:val="24"/>
                  <w:szCs w:val="24"/>
                </w:rPr>
                <m:t>P</m:t>
              </m:r>
              <m:ctrlPr>
                <w:rPr>
                  <w:rFonts w:ascii="Cambria Math" w:hAnsi="Cambria Math"/>
                  <w:i/>
                  <w:sz w:val="24"/>
                  <w:szCs w:val="24"/>
                </w:rPr>
              </m:ctrlPr>
            </m:e>
            <m:sub>
              <m:r>
                <m:rPr/>
                <w:rPr>
                  <w:rFonts w:ascii="Cambria Math" w:hAnsi="Cambria Math"/>
                  <w:sz w:val="24"/>
                  <w:szCs w:val="24"/>
                </w:rPr>
                <m:t>i</m:t>
              </m:r>
              <m:ctrlPr>
                <w:rPr>
                  <w:rFonts w:ascii="Cambria Math" w:hAnsi="Cambria Math"/>
                  <w:i/>
                  <w:sz w:val="24"/>
                  <w:szCs w:val="24"/>
                </w:rPr>
              </m:ctrlPr>
            </m:sub>
          </m:sSub>
          <m:r>
            <m:rPr/>
            <w:rPr>
              <w:rFonts w:ascii="Cambria Math" w:hAnsi="Cambria Math"/>
              <w:sz w:val="24"/>
              <w:szCs w:val="24"/>
            </w:rPr>
            <m:t>=</m:t>
          </m:r>
          <m:d>
            <m:dPr>
              <m:begChr m:val="{"/>
              <m:endChr m:val=""/>
              <m:ctrlPr>
                <w:rPr>
                  <w:rFonts w:ascii="Cambria Math" w:hAnsi="Cambria Math"/>
                  <w:i/>
                  <w:sz w:val="24"/>
                  <w:szCs w:val="24"/>
                </w:rPr>
              </m:ctrlPr>
            </m:dPr>
            <m:e>
              <m:eqArr>
                <m:eqArrPr>
                  <m:ctrlPr>
                    <w:rPr>
                      <w:rFonts w:ascii="Cambria Math" w:hAnsi="Cambria Math"/>
                      <w:i/>
                      <w:sz w:val="24"/>
                      <w:szCs w:val="24"/>
                    </w:rPr>
                  </m:ctrlPr>
                </m:eqArrPr>
                <m:e>
                  <m:sSup>
                    <m:sSupPr>
                      <m:ctrlPr>
                        <w:rPr>
                          <w:rFonts w:ascii="Cambria Math" w:hAnsi="Cambria Math"/>
                          <w:i/>
                          <w:sz w:val="24"/>
                          <w:szCs w:val="24"/>
                        </w:rPr>
                      </m:ctrlPr>
                    </m:sSupPr>
                    <m:e>
                      <m:r>
                        <m:rPr/>
                        <w:rPr>
                          <w:rFonts w:ascii="Cambria Math" w:hAnsi="Cambria Math"/>
                          <w:sz w:val="24"/>
                          <w:szCs w:val="24"/>
                        </w:rPr>
                        <m:t>58</m:t>
                      </m:r>
                      <m:d>
                        <m:dPr>
                          <m:ctrlPr>
                            <w:rPr>
                              <w:rFonts w:ascii="Cambria Math" w:hAnsi="Cambria Math"/>
                              <w:i/>
                              <w:sz w:val="24"/>
                              <w:szCs w:val="24"/>
                            </w:rPr>
                          </m:ctrlPr>
                        </m:dPr>
                        <m:e>
                          <m:sSup>
                            <m:sSupPr>
                              <m:ctrlPr>
                                <w:rPr>
                                  <w:rFonts w:ascii="Cambria Math" w:hAnsi="Cambria Math"/>
                                  <w:i/>
                                  <w:sz w:val="24"/>
                                  <w:szCs w:val="24"/>
                                </w:rPr>
                              </m:ctrlPr>
                            </m:sSupPr>
                            <m:e>
                              <m:r>
                                <m:rPr/>
                                <w:rPr>
                                  <w:rFonts w:ascii="Cambria Math" w:hAnsi="Cambria Math"/>
                                  <w:sz w:val="24"/>
                                  <w:szCs w:val="24"/>
                                </w:rPr>
                                <m:t>u</m:t>
                              </m:r>
                              <m:ctrlPr>
                                <w:rPr>
                                  <w:rFonts w:ascii="Cambria Math" w:hAnsi="Cambria Math"/>
                                  <w:i/>
                                  <w:sz w:val="24"/>
                                  <w:szCs w:val="24"/>
                                </w:rPr>
                              </m:ctrlPr>
                            </m:e>
                            <m:sup>
                              <m:r>
                                <m:rPr>
                                  <m:sty m:val="p"/>
                                </m:rPr>
                                <w:rPr>
                                  <w:rFonts w:ascii="Cambria Math" w:hAnsi="Cambria Math"/>
                                  <w:sz w:val="24"/>
                                  <w:szCs w:val="24"/>
                                  <w:vertAlign w:val="superscript"/>
                                </w:rPr>
                                <m:t>∗</m:t>
                              </m:r>
                              <m:ctrlPr>
                                <w:rPr>
                                  <w:rFonts w:ascii="Cambria Math" w:hAnsi="Cambria Math"/>
                                  <w:i/>
                                  <w:sz w:val="24"/>
                                  <w:szCs w:val="24"/>
                                </w:rPr>
                              </m:ctrlPr>
                            </m:sup>
                          </m:sSup>
                          <m:r>
                            <m:rPr/>
                            <w:rPr>
                              <w:rFonts w:ascii="Cambria Math" w:hAnsi="Cambria Math"/>
                              <w:sz w:val="24"/>
                              <w:szCs w:val="24"/>
                            </w:rPr>
                            <m:t>−</m:t>
                          </m:r>
                          <m:sSup>
                            <m:sSupPr>
                              <m:ctrlPr>
                                <w:rPr>
                                  <w:rFonts w:ascii="Cambria Math" w:hAnsi="Cambria Math"/>
                                  <w:i/>
                                  <w:sz w:val="24"/>
                                  <w:szCs w:val="24"/>
                                </w:rPr>
                              </m:ctrlPr>
                            </m:sSupPr>
                            <m:e>
                              <m:sSub>
                                <m:sSubPr>
                                  <m:ctrlPr>
                                    <w:rPr>
                                      <w:rFonts w:ascii="Cambria Math" w:hAnsi="Cambria Math"/>
                                      <w:i/>
                                      <w:sz w:val="24"/>
                                      <w:szCs w:val="24"/>
                                    </w:rPr>
                                  </m:ctrlPr>
                                </m:sSubPr>
                                <m:e>
                                  <m:r>
                                    <m:rPr/>
                                    <w:rPr>
                                      <w:rFonts w:ascii="Cambria Math" w:hAnsi="Cambria Math"/>
                                      <w:sz w:val="24"/>
                                      <w:szCs w:val="24"/>
                                    </w:rPr>
                                    <m:t>u</m:t>
                                  </m:r>
                                  <m:ctrlPr>
                                    <w:rPr>
                                      <w:rFonts w:ascii="Cambria Math" w:hAnsi="Cambria Math"/>
                                      <w:i/>
                                      <w:sz w:val="24"/>
                                      <w:szCs w:val="24"/>
                                    </w:rPr>
                                  </m:ctrlPr>
                                </m:e>
                                <m:sub>
                                  <m:r>
                                    <m:rPr/>
                                    <w:rPr>
                                      <w:rFonts w:ascii="Cambria Math" w:hAnsi="Cambria Math"/>
                                      <w:sz w:val="24"/>
                                      <w:szCs w:val="24"/>
                                    </w:rPr>
                                    <m:t>t</m:t>
                                  </m:r>
                                  <m:ctrlPr>
                                    <w:rPr>
                                      <w:rFonts w:ascii="Cambria Math" w:hAnsi="Cambria Math"/>
                                      <w:i/>
                                      <w:sz w:val="24"/>
                                      <w:szCs w:val="24"/>
                                    </w:rPr>
                                  </m:ctrlPr>
                                </m:sub>
                              </m:sSub>
                              <m:ctrlPr>
                                <w:rPr>
                                  <w:rFonts w:ascii="Cambria Math" w:hAnsi="Cambria Math"/>
                                  <w:i/>
                                  <w:sz w:val="24"/>
                                  <w:szCs w:val="24"/>
                                </w:rPr>
                              </m:ctrlPr>
                            </m:e>
                            <m:sup>
                              <m:r>
                                <m:rPr>
                                  <m:sty m:val="p"/>
                                </m:rPr>
                                <w:rPr>
                                  <w:rFonts w:ascii="Cambria Math" w:hAnsi="Cambria Math"/>
                                  <w:sz w:val="24"/>
                                  <w:szCs w:val="24"/>
                                  <w:vertAlign w:val="superscript"/>
                                </w:rPr>
                                <m:t>∗</m:t>
                              </m:r>
                              <m:ctrlPr>
                                <w:rPr>
                                  <w:rFonts w:ascii="Cambria Math" w:hAnsi="Cambria Math"/>
                                  <w:i/>
                                  <w:sz w:val="24"/>
                                  <w:szCs w:val="24"/>
                                </w:rPr>
                              </m:ctrlPr>
                            </m:sup>
                          </m:sSup>
                          <m:ctrlPr>
                            <w:rPr>
                              <w:rFonts w:ascii="Cambria Math" w:hAnsi="Cambria Math"/>
                              <w:i/>
                              <w:sz w:val="24"/>
                              <w:szCs w:val="24"/>
                            </w:rPr>
                          </m:ctrlPr>
                        </m:e>
                      </m:d>
                      <m:ctrlPr>
                        <w:rPr>
                          <w:rFonts w:ascii="Cambria Math" w:hAnsi="Cambria Math"/>
                          <w:i/>
                          <w:sz w:val="24"/>
                          <w:szCs w:val="24"/>
                        </w:rPr>
                      </m:ctrlPr>
                    </m:e>
                    <m:sup>
                      <m:r>
                        <m:rPr/>
                        <w:rPr>
                          <w:rFonts w:ascii="Cambria Math" w:hAnsi="Cambria Math"/>
                          <w:sz w:val="24"/>
                          <w:szCs w:val="24"/>
                        </w:rPr>
                        <m:t>2</m:t>
                      </m:r>
                      <m:ctrlPr>
                        <w:rPr>
                          <w:rFonts w:ascii="Cambria Math" w:hAnsi="Cambria Math"/>
                          <w:i/>
                          <w:sz w:val="24"/>
                          <w:szCs w:val="24"/>
                        </w:rPr>
                      </m:ctrlPr>
                    </m:sup>
                  </m:sSup>
                  <m:r>
                    <m:rPr/>
                    <w:rPr>
                      <w:rFonts w:ascii="Cambria Math" w:hAnsi="Cambria Math"/>
                      <w:sz w:val="24"/>
                      <w:szCs w:val="24"/>
                    </w:rPr>
                    <m:t>+25</m:t>
                  </m:r>
                  <m:d>
                    <m:dPr>
                      <m:ctrlPr>
                        <w:rPr>
                          <w:rFonts w:ascii="Cambria Math" w:hAnsi="Cambria Math"/>
                          <w:i/>
                          <w:sz w:val="24"/>
                          <w:szCs w:val="24"/>
                        </w:rPr>
                      </m:ctrlPr>
                    </m:dPr>
                    <m:e>
                      <m:sSup>
                        <m:sSupPr>
                          <m:ctrlPr>
                            <w:rPr>
                              <w:rFonts w:ascii="Cambria Math" w:hAnsi="Cambria Math"/>
                              <w:i/>
                              <w:sz w:val="24"/>
                              <w:szCs w:val="24"/>
                            </w:rPr>
                          </m:ctrlPr>
                        </m:sSupPr>
                        <m:e>
                          <m:r>
                            <m:rPr/>
                            <w:rPr>
                              <w:rFonts w:ascii="Cambria Math" w:hAnsi="Cambria Math"/>
                              <w:sz w:val="24"/>
                              <w:szCs w:val="24"/>
                            </w:rPr>
                            <m:t>u</m:t>
                          </m:r>
                          <m:ctrlPr>
                            <w:rPr>
                              <w:rFonts w:ascii="Cambria Math" w:hAnsi="Cambria Math"/>
                              <w:i/>
                              <w:sz w:val="24"/>
                              <w:szCs w:val="24"/>
                            </w:rPr>
                          </m:ctrlPr>
                        </m:e>
                        <m:sup>
                          <m:r>
                            <m:rPr>
                              <m:sty m:val="p"/>
                            </m:rPr>
                            <w:rPr>
                              <w:rFonts w:ascii="Cambria Math" w:hAnsi="Cambria Math"/>
                              <w:sz w:val="24"/>
                              <w:szCs w:val="24"/>
                              <w:vertAlign w:val="superscript"/>
                            </w:rPr>
                            <m:t>∗</m:t>
                          </m:r>
                          <m:ctrlPr>
                            <w:rPr>
                              <w:rFonts w:ascii="Cambria Math" w:hAnsi="Cambria Math"/>
                              <w:i/>
                              <w:sz w:val="24"/>
                              <w:szCs w:val="24"/>
                            </w:rPr>
                          </m:ctrlPr>
                        </m:sup>
                      </m:sSup>
                      <m:r>
                        <m:rPr/>
                        <w:rPr>
                          <w:rFonts w:ascii="Cambria Math" w:hAnsi="Cambria Math"/>
                          <w:sz w:val="24"/>
                          <w:szCs w:val="24"/>
                        </w:rPr>
                        <m:t>−</m:t>
                      </m:r>
                      <m:sSup>
                        <m:sSupPr>
                          <m:ctrlPr>
                            <w:rPr>
                              <w:rFonts w:ascii="Cambria Math" w:hAnsi="Cambria Math"/>
                              <w:i/>
                              <w:sz w:val="24"/>
                              <w:szCs w:val="24"/>
                            </w:rPr>
                          </m:ctrlPr>
                        </m:sSupPr>
                        <m:e>
                          <m:sSub>
                            <m:sSubPr>
                              <m:ctrlPr>
                                <w:rPr>
                                  <w:rFonts w:ascii="Cambria Math" w:hAnsi="Cambria Math"/>
                                  <w:i/>
                                  <w:sz w:val="24"/>
                                  <w:szCs w:val="24"/>
                                </w:rPr>
                              </m:ctrlPr>
                            </m:sSubPr>
                            <m:e>
                              <m:r>
                                <m:rPr/>
                                <w:rPr>
                                  <w:rFonts w:ascii="Cambria Math" w:hAnsi="Cambria Math"/>
                                  <w:sz w:val="24"/>
                                  <w:szCs w:val="24"/>
                                </w:rPr>
                                <m:t>u</m:t>
                              </m:r>
                              <m:ctrlPr>
                                <w:rPr>
                                  <w:rFonts w:ascii="Cambria Math" w:hAnsi="Cambria Math"/>
                                  <w:i/>
                                  <w:sz w:val="24"/>
                                  <w:szCs w:val="24"/>
                                </w:rPr>
                              </m:ctrlPr>
                            </m:e>
                            <m:sub>
                              <m:r>
                                <m:rPr/>
                                <w:rPr>
                                  <w:rFonts w:ascii="Cambria Math" w:hAnsi="Cambria Math"/>
                                  <w:sz w:val="24"/>
                                  <w:szCs w:val="24"/>
                                </w:rPr>
                                <m:t>t</m:t>
                              </m:r>
                              <m:ctrlPr>
                                <w:rPr>
                                  <w:rFonts w:ascii="Cambria Math" w:hAnsi="Cambria Math"/>
                                  <w:i/>
                                  <w:sz w:val="24"/>
                                  <w:szCs w:val="24"/>
                                </w:rPr>
                              </m:ctrlPr>
                            </m:sub>
                          </m:sSub>
                          <m:ctrlPr>
                            <w:rPr>
                              <w:rFonts w:ascii="Cambria Math" w:hAnsi="Cambria Math"/>
                              <w:i/>
                              <w:sz w:val="24"/>
                              <w:szCs w:val="24"/>
                            </w:rPr>
                          </m:ctrlPr>
                        </m:e>
                        <m:sup>
                          <m:r>
                            <m:rPr>
                              <m:sty m:val="p"/>
                            </m:rPr>
                            <w:rPr>
                              <w:rFonts w:ascii="Cambria Math" w:hAnsi="Cambria Math"/>
                              <w:sz w:val="24"/>
                              <w:szCs w:val="24"/>
                              <w:vertAlign w:val="superscript"/>
                            </w:rPr>
                            <m:t>∗</m:t>
                          </m:r>
                          <m:ctrlPr>
                            <w:rPr>
                              <w:rFonts w:ascii="Cambria Math" w:hAnsi="Cambria Math"/>
                              <w:i/>
                              <w:sz w:val="24"/>
                              <w:szCs w:val="24"/>
                            </w:rPr>
                          </m:ctrlPr>
                        </m:sup>
                      </m:sSup>
                      <m:ctrlPr>
                        <w:rPr>
                          <w:rFonts w:ascii="Cambria Math" w:hAnsi="Cambria Math"/>
                          <w:i/>
                          <w:sz w:val="24"/>
                          <w:szCs w:val="24"/>
                        </w:rPr>
                      </m:ctrlPr>
                    </m:e>
                  </m:d>
                  <m:r>
                    <m:rPr/>
                    <w:rPr>
                      <w:rFonts w:ascii="Cambria Math" w:hAnsi="Cambria Math"/>
                      <w:sz w:val="24"/>
                      <w:szCs w:val="24"/>
                    </w:rPr>
                    <m:t xml:space="preserve">                     </m:t>
                  </m:r>
                  <m:sSup>
                    <m:sSupPr>
                      <m:ctrlPr>
                        <w:rPr>
                          <w:rFonts w:ascii="Cambria Math" w:hAnsi="Cambria Math"/>
                          <w:i/>
                          <w:sz w:val="24"/>
                          <w:szCs w:val="24"/>
                        </w:rPr>
                      </m:ctrlPr>
                    </m:sSupPr>
                    <m:e>
                      <m:r>
                        <m:rPr/>
                        <w:rPr>
                          <w:rFonts w:ascii="Cambria Math" w:hAnsi="Cambria Math"/>
                          <w:sz w:val="24"/>
                          <w:szCs w:val="24"/>
                        </w:rPr>
                        <m:t>u</m:t>
                      </m:r>
                      <m:ctrlPr>
                        <w:rPr>
                          <w:rFonts w:ascii="Cambria Math" w:hAnsi="Cambria Math"/>
                          <w:i/>
                          <w:sz w:val="24"/>
                          <w:szCs w:val="24"/>
                        </w:rPr>
                      </m:ctrlPr>
                    </m:e>
                    <m:sup>
                      <m:r>
                        <m:rPr>
                          <m:sty m:val="p"/>
                        </m:rPr>
                        <w:rPr>
                          <w:rFonts w:ascii="Cambria Math" w:hAnsi="Cambria Math"/>
                          <w:sz w:val="24"/>
                          <w:szCs w:val="24"/>
                          <w:vertAlign w:val="superscript"/>
                        </w:rPr>
                        <m:t>∗</m:t>
                      </m:r>
                      <m:ctrlPr>
                        <w:rPr>
                          <w:rFonts w:ascii="Cambria Math" w:hAnsi="Cambria Math"/>
                          <w:i/>
                          <w:sz w:val="24"/>
                          <w:szCs w:val="24"/>
                        </w:rPr>
                      </m:ctrlPr>
                    </m:sup>
                  </m:sSup>
                  <m:r>
                    <m:rPr/>
                    <w:rPr>
                      <w:rFonts w:ascii="Cambria Math" w:hAnsi="Cambria Math"/>
                      <w:sz w:val="24"/>
                      <w:szCs w:val="24"/>
                    </w:rPr>
                    <m:t>&gt;</m:t>
                  </m:r>
                  <m:sSup>
                    <m:sSupPr>
                      <m:ctrlPr>
                        <w:rPr>
                          <w:rFonts w:ascii="Cambria Math" w:hAnsi="Cambria Math"/>
                          <w:i/>
                          <w:sz w:val="24"/>
                          <w:szCs w:val="24"/>
                        </w:rPr>
                      </m:ctrlPr>
                    </m:sSupPr>
                    <m:e>
                      <m:sSub>
                        <m:sSubPr>
                          <m:ctrlPr>
                            <w:rPr>
                              <w:rFonts w:ascii="Cambria Math" w:hAnsi="Cambria Math"/>
                              <w:i/>
                              <w:sz w:val="24"/>
                              <w:szCs w:val="24"/>
                            </w:rPr>
                          </m:ctrlPr>
                        </m:sSubPr>
                        <m:e>
                          <m:r>
                            <m:rPr/>
                            <w:rPr>
                              <w:rFonts w:ascii="Cambria Math" w:hAnsi="Cambria Math"/>
                              <w:sz w:val="24"/>
                              <w:szCs w:val="24"/>
                            </w:rPr>
                            <m:t>u</m:t>
                          </m:r>
                          <m:ctrlPr>
                            <w:rPr>
                              <w:rFonts w:ascii="Cambria Math" w:hAnsi="Cambria Math"/>
                              <w:i/>
                              <w:sz w:val="24"/>
                              <w:szCs w:val="24"/>
                            </w:rPr>
                          </m:ctrlPr>
                        </m:e>
                        <m:sub>
                          <m:r>
                            <m:rPr/>
                            <w:rPr>
                              <w:rFonts w:ascii="Cambria Math" w:hAnsi="Cambria Math"/>
                              <w:sz w:val="24"/>
                              <w:szCs w:val="24"/>
                            </w:rPr>
                            <m:t>t</m:t>
                          </m:r>
                          <m:ctrlPr>
                            <w:rPr>
                              <w:rFonts w:ascii="Cambria Math" w:hAnsi="Cambria Math"/>
                              <w:i/>
                              <w:sz w:val="24"/>
                              <w:szCs w:val="24"/>
                            </w:rPr>
                          </m:ctrlPr>
                        </m:sub>
                      </m:sSub>
                      <m:ctrlPr>
                        <w:rPr>
                          <w:rFonts w:ascii="Cambria Math" w:hAnsi="Cambria Math"/>
                          <w:i/>
                          <w:sz w:val="24"/>
                          <w:szCs w:val="24"/>
                        </w:rPr>
                      </m:ctrlPr>
                    </m:e>
                    <m:sup>
                      <m:r>
                        <m:rPr>
                          <m:sty m:val="p"/>
                        </m:rPr>
                        <w:rPr>
                          <w:rFonts w:ascii="Cambria Math" w:hAnsi="Cambria Math"/>
                          <w:sz w:val="24"/>
                          <w:szCs w:val="24"/>
                          <w:vertAlign w:val="superscript"/>
                        </w:rPr>
                        <m:t>∗</m:t>
                      </m:r>
                      <m:ctrlPr>
                        <w:rPr>
                          <w:rFonts w:ascii="Cambria Math" w:hAnsi="Cambria Math"/>
                          <w:i/>
                          <w:sz w:val="24"/>
                          <w:szCs w:val="24"/>
                        </w:rPr>
                      </m:ctrlPr>
                    </m:sup>
                  </m:sSup>
                  <m:ctrlPr>
                    <w:rPr>
                      <w:rFonts w:ascii="Cambria Math" w:hAnsi="Cambria Math"/>
                      <w:i/>
                      <w:sz w:val="24"/>
                      <w:szCs w:val="24"/>
                    </w:rPr>
                  </m:ctrlPr>
                </m:e>
                <m:e>
                  <m:r>
                    <m:rPr/>
                    <w:rPr>
                      <w:rFonts w:ascii="Cambria Math" w:hAnsi="Cambria Math"/>
                      <w:sz w:val="24"/>
                      <w:szCs w:val="24"/>
                    </w:rPr>
                    <m:t xml:space="preserve">0                                                                          </m:t>
                  </m:r>
                  <m:sSup>
                    <m:sSupPr>
                      <m:ctrlPr>
                        <w:rPr>
                          <w:rFonts w:ascii="Cambria Math" w:hAnsi="Cambria Math"/>
                          <w:i/>
                          <w:sz w:val="24"/>
                          <w:szCs w:val="24"/>
                        </w:rPr>
                      </m:ctrlPr>
                    </m:sSupPr>
                    <m:e>
                      <m:r>
                        <m:rPr/>
                        <w:rPr>
                          <w:rFonts w:ascii="Cambria Math" w:hAnsi="Cambria Math"/>
                          <w:sz w:val="24"/>
                          <w:szCs w:val="24"/>
                        </w:rPr>
                        <m:t>u</m:t>
                      </m:r>
                      <m:ctrlPr>
                        <w:rPr>
                          <w:rFonts w:ascii="Cambria Math" w:hAnsi="Cambria Math"/>
                          <w:i/>
                          <w:sz w:val="24"/>
                          <w:szCs w:val="24"/>
                        </w:rPr>
                      </m:ctrlPr>
                    </m:e>
                    <m:sup>
                      <m:r>
                        <m:rPr>
                          <m:sty m:val="p"/>
                        </m:rPr>
                        <w:rPr>
                          <w:rFonts w:ascii="Cambria Math" w:hAnsi="Cambria Math"/>
                          <w:sz w:val="24"/>
                          <w:szCs w:val="24"/>
                          <w:vertAlign w:val="superscript"/>
                        </w:rPr>
                        <m:t>∗</m:t>
                      </m:r>
                      <m:ctrlPr>
                        <w:rPr>
                          <w:rFonts w:ascii="Cambria Math" w:hAnsi="Cambria Math"/>
                          <w:i/>
                          <w:sz w:val="24"/>
                          <w:szCs w:val="24"/>
                        </w:rPr>
                      </m:ctrlPr>
                    </m:sup>
                  </m:sSup>
                  <m:r>
                    <m:rPr/>
                    <w:rPr>
                      <w:rFonts w:ascii="Cambria Math" w:hAnsi="Cambria Math"/>
                      <w:sz w:val="24"/>
                      <w:szCs w:val="24"/>
                    </w:rPr>
                    <m:t>≤</m:t>
                  </m:r>
                  <m:sSup>
                    <m:sSupPr>
                      <m:ctrlPr>
                        <w:rPr>
                          <w:rFonts w:ascii="Cambria Math" w:hAnsi="Cambria Math"/>
                          <w:i/>
                          <w:sz w:val="24"/>
                          <w:szCs w:val="24"/>
                        </w:rPr>
                      </m:ctrlPr>
                    </m:sSupPr>
                    <m:e>
                      <m:sSub>
                        <m:sSubPr>
                          <m:ctrlPr>
                            <w:rPr>
                              <w:rFonts w:ascii="Cambria Math" w:hAnsi="Cambria Math"/>
                              <w:i/>
                              <w:sz w:val="24"/>
                              <w:szCs w:val="24"/>
                            </w:rPr>
                          </m:ctrlPr>
                        </m:sSubPr>
                        <m:e>
                          <m:r>
                            <m:rPr/>
                            <w:rPr>
                              <w:rFonts w:ascii="Cambria Math" w:hAnsi="Cambria Math"/>
                              <w:sz w:val="24"/>
                              <w:szCs w:val="24"/>
                            </w:rPr>
                            <m:t>u</m:t>
                          </m:r>
                          <m:ctrlPr>
                            <w:rPr>
                              <w:rFonts w:ascii="Cambria Math" w:hAnsi="Cambria Math"/>
                              <w:i/>
                              <w:sz w:val="24"/>
                              <w:szCs w:val="24"/>
                            </w:rPr>
                          </m:ctrlPr>
                        </m:e>
                        <m:sub>
                          <m:r>
                            <m:rPr/>
                            <w:rPr>
                              <w:rFonts w:ascii="Cambria Math" w:hAnsi="Cambria Math"/>
                              <w:sz w:val="24"/>
                              <w:szCs w:val="24"/>
                            </w:rPr>
                            <m:t>t</m:t>
                          </m:r>
                          <m:ctrlPr>
                            <w:rPr>
                              <w:rFonts w:ascii="Cambria Math" w:hAnsi="Cambria Math"/>
                              <w:i/>
                              <w:sz w:val="24"/>
                              <w:szCs w:val="24"/>
                            </w:rPr>
                          </m:ctrlPr>
                        </m:sub>
                      </m:sSub>
                      <m:ctrlPr>
                        <w:rPr>
                          <w:rFonts w:ascii="Cambria Math" w:hAnsi="Cambria Math"/>
                          <w:i/>
                          <w:sz w:val="24"/>
                          <w:szCs w:val="24"/>
                        </w:rPr>
                      </m:ctrlPr>
                    </m:e>
                    <m:sup>
                      <m:r>
                        <m:rPr>
                          <m:sty m:val="p"/>
                        </m:rPr>
                        <w:rPr>
                          <w:rFonts w:ascii="Cambria Math" w:hAnsi="Cambria Math"/>
                          <w:sz w:val="24"/>
                          <w:szCs w:val="24"/>
                          <w:vertAlign w:val="superscript"/>
                        </w:rPr>
                        <m:t>∗</m:t>
                      </m:r>
                      <m:ctrlPr>
                        <w:rPr>
                          <w:rFonts w:ascii="Cambria Math" w:hAnsi="Cambria Math"/>
                          <w:i/>
                          <w:sz w:val="24"/>
                          <w:szCs w:val="24"/>
                        </w:rPr>
                      </m:ctrlPr>
                    </m:sup>
                  </m:sSup>
                  <m:ctrlPr>
                    <w:rPr>
                      <w:rFonts w:ascii="Cambria Math" w:hAnsi="Cambria Math"/>
                      <w:i/>
                      <w:sz w:val="24"/>
                      <w:szCs w:val="24"/>
                    </w:rPr>
                  </m:ctrlPr>
                </m:e>
              </m:eqArr>
              <m:ctrlPr>
                <w:rPr>
                  <w:rFonts w:ascii="Cambria Math" w:hAnsi="Cambria Math"/>
                  <w:i/>
                  <w:sz w:val="24"/>
                  <w:szCs w:val="24"/>
                </w:rPr>
              </m:ctrlPr>
            </m:e>
          </m:d>
        </m:oMath>
      </m:oMathPara>
    </w:p>
    <w:p w14:paraId="74BB0610">
      <w:pPr>
        <w:spacing w:line="360" w:lineRule="auto"/>
        <w:ind w:firstLine="480" w:firstLineChars="200"/>
        <w:rPr>
          <w:rFonts w:ascii="Times New Roman" w:hAnsi="Times New Roman"/>
          <w:sz w:val="24"/>
          <w:szCs w:val="24"/>
        </w:rPr>
      </w:pPr>
      <w:r>
        <w:rPr>
          <w:rFonts w:ascii="Times New Roman" w:hAnsi="Times New Roman"/>
          <w:sz w:val="24"/>
          <w:szCs w:val="24"/>
        </w:rPr>
        <w:t>u</w:t>
      </w:r>
      <w:r>
        <w:rPr>
          <w:rFonts w:ascii="Times New Roman" w:hAnsi="Times New Roman"/>
          <w:sz w:val="24"/>
          <w:szCs w:val="24"/>
          <w:vertAlign w:val="subscript"/>
        </w:rPr>
        <w:t>t</w:t>
      </w:r>
      <w:r>
        <w:rPr>
          <w:rFonts w:ascii="Times New Roman" w:hAnsi="Times New Roman"/>
          <w:sz w:val="24"/>
          <w:szCs w:val="24"/>
          <w:vertAlign w:val="superscript"/>
        </w:rPr>
        <w:t>*</w:t>
      </w:r>
      <w:bookmarkStart w:id="111" w:name="_Hlk75884454"/>
      <w:r>
        <w:rPr>
          <w:rFonts w:ascii="Times New Roman" w:hAnsi="Times New Roman"/>
          <w:sz w:val="24"/>
          <w:szCs w:val="24"/>
        </w:rPr>
        <w:t>——</w:t>
      </w:r>
      <w:bookmarkEnd w:id="111"/>
      <w:r>
        <w:rPr>
          <w:rFonts w:ascii="Times New Roman" w:hAnsi="Times New Roman"/>
          <w:sz w:val="24"/>
          <w:szCs w:val="24"/>
        </w:rPr>
        <w:t>阈值摩擦风速，即起尘的临界摩擦风速，m/s；</w:t>
      </w:r>
    </w:p>
    <w:p w14:paraId="45E49776">
      <w:pPr>
        <w:spacing w:line="360" w:lineRule="auto"/>
        <w:ind w:firstLine="480" w:firstLineChars="200"/>
        <w:rPr>
          <w:rFonts w:ascii="Times New Roman" w:hAnsi="Times New Roman"/>
          <w:sz w:val="24"/>
          <w:szCs w:val="24"/>
        </w:rPr>
      </w:pPr>
      <w:r>
        <w:rPr>
          <w:rFonts w:ascii="Times New Roman" w:hAnsi="Times New Roman"/>
          <w:sz w:val="24"/>
          <w:szCs w:val="24"/>
        </w:rPr>
        <w:t>u*——摩擦风速，m/s；用下式计算：</w:t>
      </w:r>
    </w:p>
    <w:p w14:paraId="6D936940">
      <w:pPr>
        <w:spacing w:line="360" w:lineRule="auto"/>
        <w:ind w:firstLine="480" w:firstLineChars="200"/>
        <w:jc w:val="center"/>
        <w:rPr>
          <w:rFonts w:ascii="Times New Roman" w:hAnsi="Times New Roman"/>
          <w:sz w:val="24"/>
          <w:szCs w:val="24"/>
        </w:rPr>
      </w:pPr>
      <m:oMathPara>
        <m:oMath>
          <m:sSup>
            <m:sSupPr>
              <m:ctrlPr>
                <w:rPr>
                  <w:rFonts w:ascii="Cambria Math" w:hAnsi="Cambria Math"/>
                  <w:i/>
                  <w:sz w:val="24"/>
                  <w:szCs w:val="24"/>
                </w:rPr>
              </m:ctrlPr>
            </m:sSupPr>
            <m:e>
              <m:r>
                <m:rPr/>
                <w:rPr>
                  <w:rFonts w:ascii="Cambria Math" w:hAnsi="Cambria Math"/>
                  <w:sz w:val="24"/>
                  <w:szCs w:val="24"/>
                </w:rPr>
                <m:t>u</m:t>
              </m:r>
              <m:ctrlPr>
                <w:rPr>
                  <w:rFonts w:ascii="Cambria Math" w:hAnsi="Cambria Math"/>
                  <w:i/>
                  <w:sz w:val="24"/>
                  <w:szCs w:val="24"/>
                </w:rPr>
              </m:ctrlPr>
            </m:e>
            <m:sup>
              <m:r>
                <m:rPr>
                  <m:sty m:val="p"/>
                </m:rPr>
                <w:rPr>
                  <w:rFonts w:ascii="Cambria Math" w:hAnsi="Cambria Math"/>
                  <w:sz w:val="24"/>
                  <w:szCs w:val="24"/>
                  <w:vertAlign w:val="superscript"/>
                </w:rPr>
                <m:t>∗</m:t>
              </m:r>
              <m:ctrlPr>
                <w:rPr>
                  <w:rFonts w:ascii="Cambria Math" w:hAnsi="Cambria Math"/>
                  <w:i/>
                  <w:sz w:val="24"/>
                  <w:szCs w:val="24"/>
                </w:rPr>
              </m:ctrlPr>
            </m:sup>
          </m:sSup>
          <m:r>
            <m:rPr/>
            <w:rPr>
              <w:rFonts w:ascii="Cambria Math" w:hAnsi="Cambria Math"/>
              <w:sz w:val="24"/>
              <w:szCs w:val="24"/>
            </w:rPr>
            <m:t>=0.4u</m:t>
          </m:r>
          <m:d>
            <m:dPr>
              <m:ctrlPr>
                <w:rPr>
                  <w:rFonts w:ascii="Cambria Math" w:hAnsi="Cambria Math"/>
                  <w:i/>
                  <w:sz w:val="24"/>
                  <w:szCs w:val="24"/>
                </w:rPr>
              </m:ctrlPr>
            </m:dPr>
            <m:e>
              <m:r>
                <m:rPr/>
                <w:rPr>
                  <w:rFonts w:ascii="Cambria Math" w:hAnsi="Cambria Math"/>
                  <w:sz w:val="24"/>
                  <w:szCs w:val="24"/>
                </w:rPr>
                <m:t>z</m:t>
              </m:r>
              <m:ctrlPr>
                <w:rPr>
                  <w:rFonts w:ascii="Cambria Math" w:hAnsi="Cambria Math"/>
                  <w:i/>
                  <w:sz w:val="24"/>
                  <w:szCs w:val="24"/>
                </w:rPr>
              </m:ctrlPr>
            </m:e>
          </m:d>
          <m:r>
            <m:rPr/>
            <w:rPr>
              <w:rFonts w:ascii="Cambria Math" w:hAnsi="Cambria Math"/>
              <w:sz w:val="24"/>
              <w:szCs w:val="24"/>
            </w:rPr>
            <m:t>∕</m:t>
          </m:r>
          <m:func>
            <m:funcPr>
              <m:ctrlPr>
                <w:rPr>
                  <w:rFonts w:ascii="Cambria Math" w:hAnsi="Cambria Math"/>
                  <w:i/>
                  <w:sz w:val="24"/>
                  <w:szCs w:val="24"/>
                </w:rPr>
              </m:ctrlPr>
            </m:funcPr>
            <m:fName>
              <m:r>
                <m:rPr>
                  <m:sty m:val="p"/>
                </m:rPr>
                <w:rPr>
                  <w:rFonts w:ascii="Cambria Math" w:hAnsi="Cambria Math"/>
                  <w:sz w:val="24"/>
                  <w:szCs w:val="24"/>
                </w:rPr>
                <m:t>ln</m:t>
              </m:r>
              <m:ctrlPr>
                <w:rPr>
                  <w:rFonts w:ascii="Cambria Math" w:hAnsi="Cambria Math"/>
                  <w:i/>
                  <w:sz w:val="24"/>
                  <w:szCs w:val="24"/>
                </w:rPr>
              </m:ctrlPr>
            </m:fName>
            <m:e>
              <m:f>
                <m:fPr>
                  <m:type m:val="lin"/>
                  <m:ctrlPr>
                    <w:rPr>
                      <w:rFonts w:ascii="Cambria Math" w:hAnsi="Cambria Math"/>
                      <w:i/>
                      <w:sz w:val="24"/>
                      <w:szCs w:val="24"/>
                    </w:rPr>
                  </m:ctrlPr>
                </m:fPr>
                <m:num>
                  <m:r>
                    <m:rPr/>
                    <w:rPr>
                      <w:rFonts w:ascii="Cambria Math" w:hAnsi="Cambria Math"/>
                      <w:sz w:val="24"/>
                      <w:szCs w:val="24"/>
                    </w:rPr>
                    <m:t>z</m:t>
                  </m:r>
                  <m:ctrlPr>
                    <w:rPr>
                      <w:rFonts w:ascii="Cambria Math" w:hAnsi="Cambria Math"/>
                      <w:i/>
                      <w:sz w:val="24"/>
                      <w:szCs w:val="24"/>
                    </w:rPr>
                  </m:ctrlPr>
                </m:num>
                <m:den>
                  <m:sSub>
                    <m:sSubPr>
                      <m:ctrlPr>
                        <w:rPr>
                          <w:rFonts w:ascii="Cambria Math" w:hAnsi="Cambria Math"/>
                          <w:i/>
                          <w:sz w:val="24"/>
                          <w:szCs w:val="24"/>
                        </w:rPr>
                      </m:ctrlPr>
                    </m:sSubPr>
                    <m:e>
                      <m:r>
                        <m:rPr/>
                        <w:rPr>
                          <w:rFonts w:ascii="Cambria Math" w:hAnsi="Cambria Math"/>
                          <w:sz w:val="24"/>
                          <w:szCs w:val="24"/>
                        </w:rPr>
                        <m:t>z</m:t>
                      </m:r>
                      <m:ctrlPr>
                        <w:rPr>
                          <w:rFonts w:ascii="Cambria Math" w:hAnsi="Cambria Math"/>
                          <w:i/>
                          <w:sz w:val="24"/>
                          <w:szCs w:val="24"/>
                        </w:rPr>
                      </m:ctrlPr>
                    </m:e>
                    <m:sub>
                      <m:r>
                        <m:rPr/>
                        <w:rPr>
                          <w:rFonts w:ascii="Cambria Math" w:hAnsi="Cambria Math"/>
                          <w:sz w:val="24"/>
                          <w:szCs w:val="24"/>
                        </w:rPr>
                        <m:t>0</m:t>
                      </m:r>
                      <m:ctrlPr>
                        <w:rPr>
                          <w:rFonts w:ascii="Cambria Math" w:hAnsi="Cambria Math"/>
                          <w:i/>
                          <w:sz w:val="24"/>
                          <w:szCs w:val="24"/>
                        </w:rPr>
                      </m:ctrlPr>
                    </m:sub>
                  </m:sSub>
                  <m:ctrlPr>
                    <w:rPr>
                      <w:rFonts w:ascii="Cambria Math" w:hAnsi="Cambria Math"/>
                      <w:i/>
                      <w:sz w:val="24"/>
                      <w:szCs w:val="24"/>
                    </w:rPr>
                  </m:ctrlPr>
                </m:den>
              </m:f>
              <m:r>
                <m:rPr/>
                <w:rPr>
                  <w:rFonts w:ascii="Cambria Math" w:hAnsi="Cambria Math"/>
                  <w:sz w:val="24"/>
                  <w:szCs w:val="24"/>
                </w:rPr>
                <m:t xml:space="preserve">                               </m:t>
              </m:r>
              <m:ctrlPr>
                <w:rPr>
                  <w:rFonts w:ascii="Cambria Math" w:hAnsi="Cambria Math"/>
                  <w:i/>
                  <w:sz w:val="24"/>
                  <w:szCs w:val="24"/>
                </w:rPr>
              </m:ctrlPr>
            </m:e>
          </m:func>
          <m:r>
            <m:rPr/>
            <w:rPr>
              <w:rFonts w:ascii="Cambria Math" w:hAnsi="Cambria Math"/>
              <w:sz w:val="24"/>
              <w:szCs w:val="24"/>
            </w:rPr>
            <m:t>z&gt;</m:t>
          </m:r>
          <m:sSub>
            <m:sSubPr>
              <m:ctrlPr>
                <w:rPr>
                  <w:rFonts w:ascii="Cambria Math" w:hAnsi="Cambria Math"/>
                  <w:i/>
                  <w:sz w:val="24"/>
                  <w:szCs w:val="24"/>
                </w:rPr>
              </m:ctrlPr>
            </m:sSubPr>
            <m:e>
              <m:r>
                <m:rPr/>
                <w:rPr>
                  <w:rFonts w:ascii="Cambria Math" w:hAnsi="Cambria Math"/>
                  <w:sz w:val="24"/>
                  <w:szCs w:val="24"/>
                </w:rPr>
                <m:t>z</m:t>
              </m:r>
              <m:ctrlPr>
                <w:rPr>
                  <w:rFonts w:ascii="Cambria Math" w:hAnsi="Cambria Math"/>
                  <w:i/>
                  <w:sz w:val="24"/>
                  <w:szCs w:val="24"/>
                </w:rPr>
              </m:ctrlPr>
            </m:e>
            <m:sub>
              <m:r>
                <m:rPr/>
                <w:rPr>
                  <w:rFonts w:ascii="Cambria Math" w:hAnsi="Cambria Math"/>
                  <w:sz w:val="24"/>
                  <w:szCs w:val="24"/>
                </w:rPr>
                <m:t>0</m:t>
              </m:r>
              <m:ctrlPr>
                <w:rPr>
                  <w:rFonts w:ascii="Cambria Math" w:hAnsi="Cambria Math"/>
                  <w:i/>
                  <w:sz w:val="24"/>
                  <w:szCs w:val="24"/>
                </w:rPr>
              </m:ctrlPr>
            </m:sub>
          </m:sSub>
        </m:oMath>
      </m:oMathPara>
    </w:p>
    <w:p w14:paraId="4B399EDB">
      <w:pPr>
        <w:spacing w:line="360" w:lineRule="auto"/>
        <w:ind w:firstLine="480" w:firstLineChars="200"/>
        <w:rPr>
          <w:rFonts w:ascii="Times New Roman" w:hAnsi="Times New Roman"/>
          <w:sz w:val="24"/>
          <w:szCs w:val="24"/>
        </w:rPr>
      </w:pPr>
      <w:bookmarkStart w:id="112" w:name="_Hlk75966424"/>
      <w:r>
        <w:rPr>
          <w:rFonts w:ascii="Times New Roman" w:hAnsi="Times New Roman"/>
          <w:sz w:val="24"/>
          <w:szCs w:val="24"/>
        </w:rPr>
        <w:t>u（z）</w:t>
      </w:r>
      <w:bookmarkStart w:id="113" w:name="_Hlk75884410"/>
      <w:r>
        <w:rPr>
          <w:rFonts w:ascii="Times New Roman" w:hAnsi="Times New Roman"/>
          <w:sz w:val="24"/>
          <w:szCs w:val="24"/>
        </w:rPr>
        <w:t>——</w:t>
      </w:r>
      <w:bookmarkEnd w:id="113"/>
      <w:r>
        <w:rPr>
          <w:rFonts w:ascii="Times New Roman" w:hAnsi="Times New Roman"/>
          <w:sz w:val="24"/>
          <w:szCs w:val="24"/>
        </w:rPr>
        <w:t>地面风速</w:t>
      </w:r>
      <w:bookmarkEnd w:id="112"/>
      <w:r>
        <w:rPr>
          <w:rFonts w:ascii="Times New Roman" w:hAnsi="Times New Roman"/>
          <w:sz w:val="24"/>
          <w:szCs w:val="24"/>
        </w:rPr>
        <w:t>，</w:t>
      </w:r>
      <w:bookmarkStart w:id="114" w:name="_Hlk75966590"/>
      <w:r>
        <w:rPr>
          <w:rFonts w:ascii="Times New Roman" w:hAnsi="Times New Roman"/>
          <w:sz w:val="24"/>
          <w:szCs w:val="24"/>
        </w:rPr>
        <w:t>m/s</w:t>
      </w:r>
      <w:bookmarkEnd w:id="114"/>
      <w:r>
        <w:rPr>
          <w:rFonts w:ascii="Times New Roman" w:hAnsi="Times New Roman"/>
          <w:sz w:val="24"/>
          <w:szCs w:val="24"/>
        </w:rPr>
        <w:t>，室内取0.2；</w:t>
      </w:r>
    </w:p>
    <w:p w14:paraId="7C9012E5">
      <w:pPr>
        <w:spacing w:line="360" w:lineRule="auto"/>
        <w:ind w:firstLine="480" w:firstLineChars="200"/>
        <w:rPr>
          <w:rFonts w:ascii="Times New Roman" w:hAnsi="Times New Roman"/>
          <w:sz w:val="24"/>
          <w:szCs w:val="24"/>
        </w:rPr>
      </w:pPr>
      <w:r>
        <w:rPr>
          <w:rFonts w:ascii="Times New Roman" w:hAnsi="Times New Roman"/>
          <w:sz w:val="24"/>
          <w:szCs w:val="24"/>
        </w:rPr>
        <w:t>z——地面风速检测高度，m；取1.0；</w:t>
      </w:r>
    </w:p>
    <w:p w14:paraId="3E31C524">
      <w:pPr>
        <w:spacing w:line="360" w:lineRule="auto"/>
        <w:ind w:firstLine="480" w:firstLineChars="200"/>
        <w:rPr>
          <w:rFonts w:ascii="Times New Roman" w:hAnsi="Times New Roman"/>
          <w:sz w:val="24"/>
          <w:szCs w:val="24"/>
        </w:rPr>
      </w:pPr>
      <w:r>
        <w:rPr>
          <w:rFonts w:ascii="Times New Roman" w:hAnsi="Times New Roman"/>
          <w:sz w:val="24"/>
          <w:szCs w:val="24"/>
        </w:rPr>
        <w:t>z</w:t>
      </w:r>
      <w:r>
        <w:rPr>
          <w:rFonts w:ascii="Times New Roman" w:hAnsi="Times New Roman"/>
          <w:sz w:val="24"/>
          <w:szCs w:val="24"/>
          <w:vertAlign w:val="subscript"/>
        </w:rPr>
        <w:t>0</w:t>
      </w:r>
      <w:r>
        <w:rPr>
          <w:rFonts w:ascii="Times New Roman" w:hAnsi="Times New Roman"/>
          <w:sz w:val="24"/>
          <w:szCs w:val="24"/>
        </w:rPr>
        <w:t>——地面粗糙度，m，城市取值0.6；</w:t>
      </w:r>
    </w:p>
    <w:p w14:paraId="1664C9ED">
      <w:pPr>
        <w:spacing w:line="360" w:lineRule="auto"/>
        <w:ind w:firstLine="480" w:firstLineChars="200"/>
        <w:rPr>
          <w:rFonts w:ascii="Times New Roman" w:hAnsi="Times New Roman"/>
          <w:sz w:val="24"/>
          <w:szCs w:val="24"/>
        </w:rPr>
      </w:pPr>
      <w:r>
        <w:rPr>
          <w:rFonts w:ascii="Times New Roman" w:hAnsi="Times New Roman"/>
          <w:sz w:val="24"/>
          <w:szCs w:val="24"/>
        </w:rPr>
        <w:t>0.4——冯卡门常数，无量纲。</w:t>
      </w:r>
    </w:p>
    <w:p w14:paraId="33A34664">
      <w:pPr>
        <w:snapToGri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项目生产及物料装卸转运均在</w:t>
      </w:r>
      <w:r>
        <w:rPr>
          <w:rFonts w:hint="eastAsia" w:ascii="Times New Roman" w:hAnsi="Times New Roman"/>
          <w:spacing w:val="-2"/>
          <w:kern w:val="0"/>
          <w:sz w:val="24"/>
          <w:szCs w:val="24"/>
        </w:rPr>
        <w:t>封闭式</w:t>
      </w:r>
      <w:r>
        <w:rPr>
          <w:rFonts w:ascii="Times New Roman" w:hAnsi="Times New Roman"/>
          <w:spacing w:val="-2"/>
          <w:kern w:val="0"/>
          <w:sz w:val="24"/>
          <w:szCs w:val="24"/>
        </w:rPr>
        <w:t>车间内进行，室内作业状态下</w:t>
      </w:r>
      <w:r>
        <w:rPr>
          <w:rFonts w:hint="eastAsia" w:ascii="Times New Roman" w:hAnsi="Times New Roman"/>
          <w:spacing w:val="-2"/>
          <w:kern w:val="0"/>
          <w:sz w:val="24"/>
          <w:szCs w:val="24"/>
        </w:rPr>
        <w:t>自然</w:t>
      </w:r>
      <w:r>
        <w:rPr>
          <w:rFonts w:ascii="Times New Roman" w:hAnsi="Times New Roman"/>
          <w:spacing w:val="-2"/>
          <w:kern w:val="0"/>
          <w:sz w:val="24"/>
          <w:szCs w:val="24"/>
        </w:rPr>
        <w:t>风速对堆料的扰动极小，风蚀潜势几乎可以忽略，堆场风蚀作用非常小，</w:t>
      </w:r>
      <w:r>
        <w:rPr>
          <w:rFonts w:hint="eastAsia" w:ascii="Times New Roman" w:hAnsi="Times New Roman"/>
          <w:spacing w:val="-2"/>
          <w:kern w:val="0"/>
          <w:sz w:val="24"/>
          <w:szCs w:val="24"/>
        </w:rPr>
        <w:t>因此</w:t>
      </w:r>
      <w:r>
        <w:rPr>
          <w:rFonts w:ascii="Times New Roman" w:hAnsi="Times New Roman"/>
          <w:spacing w:val="-2"/>
          <w:kern w:val="0"/>
          <w:sz w:val="24"/>
          <w:szCs w:val="24"/>
        </w:rPr>
        <w:t>风蚀作用产生的堆场风蚀静态起尘量几乎可以忽略不计，不进行定量分析。因此，本项目堆场的扬尘源主要估算</w:t>
      </w:r>
      <w:r>
        <w:rPr>
          <w:rFonts w:hint="eastAsia" w:ascii="Times New Roman" w:hAnsi="Times New Roman"/>
          <w:spacing w:val="-2"/>
          <w:kern w:val="0"/>
          <w:sz w:val="24"/>
          <w:szCs w:val="24"/>
        </w:rPr>
        <w:t>设备进出料口物料装卸</w:t>
      </w:r>
      <w:r>
        <w:rPr>
          <w:rFonts w:ascii="Times New Roman" w:hAnsi="Times New Roman"/>
          <w:spacing w:val="-2"/>
          <w:kern w:val="0"/>
          <w:sz w:val="24"/>
          <w:szCs w:val="24"/>
        </w:rPr>
        <w:t>引起的扬尘。</w:t>
      </w:r>
    </w:p>
    <w:p w14:paraId="19D03423">
      <w:pPr>
        <w:snapToGrid w:val="0"/>
        <w:spacing w:line="348" w:lineRule="auto"/>
        <w:ind w:firstLine="480"/>
        <w:rPr>
          <w:rFonts w:ascii="Times New Roman" w:hAnsi="Times New Roman"/>
          <w:spacing w:val="-2"/>
          <w:kern w:val="0"/>
          <w:sz w:val="24"/>
          <w:szCs w:val="24"/>
        </w:rPr>
      </w:pPr>
      <w:r>
        <w:rPr>
          <w:rFonts w:ascii="Times New Roman" w:hAnsi="Times New Roman"/>
          <w:spacing w:val="-2"/>
          <w:kern w:val="0"/>
          <w:sz w:val="24"/>
          <w:szCs w:val="24"/>
        </w:rPr>
        <w:t>项目生产车间粉尘根据《扬尘源颗粒物排放清单编制技术指南》中堆场装卸运输过程的颗粒物计算公式估算结果见表2.3-</w:t>
      </w:r>
      <w:r>
        <w:rPr>
          <w:rFonts w:hint="eastAsia" w:ascii="Times New Roman" w:hAnsi="Times New Roman"/>
          <w:spacing w:val="-2"/>
          <w:kern w:val="0"/>
          <w:sz w:val="24"/>
          <w:szCs w:val="24"/>
        </w:rPr>
        <w:t>5</w:t>
      </w:r>
      <w:r>
        <w:rPr>
          <w:rFonts w:ascii="Times New Roman" w:hAnsi="Times New Roman"/>
          <w:spacing w:val="-2"/>
          <w:kern w:val="0"/>
          <w:sz w:val="24"/>
          <w:szCs w:val="24"/>
        </w:rPr>
        <w:t>。</w:t>
      </w:r>
      <w:r>
        <w:rPr>
          <w:rFonts w:hint="eastAsia" w:ascii="Times New Roman" w:hAnsi="Times New Roman"/>
          <w:spacing w:val="-2"/>
          <w:kern w:val="0"/>
          <w:sz w:val="24"/>
          <w:szCs w:val="24"/>
        </w:rPr>
        <w:t>每个工序的物料装卸总量根据原料总量、过程物料的损失、烘干后的损失水分量进行核算。</w:t>
      </w:r>
    </w:p>
    <w:p w14:paraId="636CD2F8">
      <w:pPr>
        <w:pStyle w:val="8"/>
        <w:numPr>
          <w:ilvl w:val="4"/>
          <w:numId w:val="3"/>
        </w:numPr>
        <w:rPr>
          <w:sz w:val="24"/>
          <w:szCs w:val="24"/>
        </w:rPr>
      </w:pPr>
      <w:r>
        <w:rPr>
          <w:sz w:val="24"/>
          <w:szCs w:val="24"/>
        </w:rPr>
        <w:t>项目生产车间粉尘产生量估算结果表</w:t>
      </w:r>
    </w:p>
    <w:tbl>
      <w:tblPr>
        <w:tblStyle w:val="89"/>
        <w:tblW w:w="904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94"/>
        <w:gridCol w:w="1701"/>
        <w:gridCol w:w="1134"/>
        <w:gridCol w:w="1134"/>
        <w:gridCol w:w="1276"/>
        <w:gridCol w:w="992"/>
        <w:gridCol w:w="1134"/>
        <w:gridCol w:w="975"/>
      </w:tblGrid>
      <w:tr w14:paraId="38E909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94" w:type="dxa"/>
            <w:tcBorders>
              <w:right w:val="single" w:color="auto" w:sz="4" w:space="0"/>
            </w:tcBorders>
            <w:vAlign w:val="center"/>
          </w:tcPr>
          <w:p w14:paraId="60E64D08">
            <w:pPr>
              <w:snapToGrid w:val="0"/>
              <w:jc w:val="center"/>
              <w:rPr>
                <w:rFonts w:ascii="Times New Roman" w:hAnsi="Times New Roman"/>
                <w:b/>
                <w:bCs/>
                <w:spacing w:val="-2"/>
                <w:kern w:val="0"/>
                <w:szCs w:val="21"/>
              </w:rPr>
            </w:pPr>
            <w:r>
              <w:rPr>
                <w:rFonts w:hint="eastAsia" w:ascii="Times New Roman" w:hAnsi="Times New Roman"/>
                <w:b/>
                <w:bCs/>
                <w:spacing w:val="-2"/>
                <w:kern w:val="0"/>
                <w:szCs w:val="21"/>
              </w:rPr>
              <w:t>序号</w:t>
            </w:r>
          </w:p>
        </w:tc>
        <w:tc>
          <w:tcPr>
            <w:tcW w:w="1701" w:type="dxa"/>
            <w:tcBorders>
              <w:left w:val="single" w:color="auto" w:sz="4" w:space="0"/>
            </w:tcBorders>
            <w:vAlign w:val="center"/>
          </w:tcPr>
          <w:p w14:paraId="77FA9D55">
            <w:pPr>
              <w:snapToGrid w:val="0"/>
              <w:jc w:val="center"/>
              <w:rPr>
                <w:rFonts w:ascii="Times New Roman" w:hAnsi="Times New Roman"/>
                <w:b/>
                <w:bCs/>
                <w:spacing w:val="-2"/>
                <w:kern w:val="0"/>
                <w:szCs w:val="21"/>
              </w:rPr>
            </w:pPr>
            <w:r>
              <w:rPr>
                <w:rFonts w:ascii="Times New Roman" w:hAnsi="Times New Roman"/>
                <w:b/>
                <w:bCs/>
                <w:spacing w:val="-2"/>
                <w:kern w:val="0"/>
                <w:szCs w:val="21"/>
              </w:rPr>
              <w:t>产尘工序</w:t>
            </w:r>
          </w:p>
        </w:tc>
        <w:tc>
          <w:tcPr>
            <w:tcW w:w="1134" w:type="dxa"/>
            <w:vAlign w:val="center"/>
          </w:tcPr>
          <w:p w14:paraId="7E261D0B">
            <w:pPr>
              <w:snapToGrid w:val="0"/>
              <w:jc w:val="center"/>
              <w:rPr>
                <w:rFonts w:ascii="Times New Roman" w:hAnsi="Times New Roman"/>
                <w:b/>
                <w:bCs/>
                <w:spacing w:val="-2"/>
                <w:kern w:val="0"/>
                <w:szCs w:val="21"/>
              </w:rPr>
            </w:pPr>
            <w:r>
              <w:rPr>
                <w:rFonts w:ascii="Times New Roman" w:hAnsi="Times New Roman"/>
                <w:b/>
                <w:bCs/>
                <w:spacing w:val="-2"/>
                <w:kern w:val="0"/>
                <w:szCs w:val="21"/>
              </w:rPr>
              <w:t>装卸扬尘产生量（t/a）</w:t>
            </w:r>
          </w:p>
        </w:tc>
        <w:tc>
          <w:tcPr>
            <w:tcW w:w="1134" w:type="dxa"/>
            <w:vAlign w:val="center"/>
          </w:tcPr>
          <w:p w14:paraId="173539D7">
            <w:pPr>
              <w:snapToGrid w:val="0"/>
              <w:jc w:val="center"/>
              <w:rPr>
                <w:rFonts w:ascii="Times New Roman" w:hAnsi="Times New Roman"/>
                <w:b/>
                <w:bCs/>
                <w:spacing w:val="-2"/>
                <w:kern w:val="0"/>
                <w:szCs w:val="21"/>
              </w:rPr>
            </w:pPr>
            <w:r>
              <w:rPr>
                <w:rFonts w:ascii="Times New Roman" w:hAnsi="Times New Roman"/>
                <w:b/>
                <w:bCs/>
                <w:spacing w:val="-2"/>
                <w:kern w:val="0"/>
                <w:szCs w:val="21"/>
              </w:rPr>
              <w:t>装卸扬尘排放系数（kg/t）</w:t>
            </w:r>
          </w:p>
        </w:tc>
        <w:tc>
          <w:tcPr>
            <w:tcW w:w="1276" w:type="dxa"/>
            <w:vAlign w:val="center"/>
          </w:tcPr>
          <w:p w14:paraId="6FF8B6E8">
            <w:pPr>
              <w:snapToGrid w:val="0"/>
              <w:jc w:val="center"/>
              <w:rPr>
                <w:rFonts w:ascii="Times New Roman" w:hAnsi="Times New Roman"/>
                <w:b/>
                <w:bCs/>
                <w:spacing w:val="-2"/>
                <w:kern w:val="0"/>
                <w:szCs w:val="21"/>
              </w:rPr>
            </w:pPr>
            <w:r>
              <w:rPr>
                <w:rFonts w:hint="eastAsia" w:ascii="Times New Roman" w:hAnsi="Times New Roman"/>
                <w:b/>
                <w:bCs/>
                <w:spacing w:val="-2"/>
                <w:kern w:val="0"/>
                <w:szCs w:val="21"/>
              </w:rPr>
              <w:t>物料</w:t>
            </w:r>
            <w:r>
              <w:rPr>
                <w:rFonts w:ascii="Times New Roman" w:hAnsi="Times New Roman"/>
                <w:b/>
                <w:bCs/>
                <w:spacing w:val="-2"/>
                <w:kern w:val="0"/>
                <w:szCs w:val="21"/>
              </w:rPr>
              <w:t>装卸</w:t>
            </w:r>
            <w:r>
              <w:rPr>
                <w:rFonts w:hint="eastAsia" w:ascii="Times New Roman" w:hAnsi="Times New Roman"/>
                <w:b/>
                <w:bCs/>
                <w:spacing w:val="-2"/>
                <w:kern w:val="0"/>
                <w:szCs w:val="21"/>
              </w:rPr>
              <w:t>总</w:t>
            </w:r>
            <w:r>
              <w:rPr>
                <w:rFonts w:ascii="Times New Roman" w:hAnsi="Times New Roman"/>
                <w:b/>
                <w:bCs/>
                <w:spacing w:val="-2"/>
                <w:kern w:val="0"/>
                <w:szCs w:val="21"/>
              </w:rPr>
              <w:t>量</w:t>
            </w:r>
          </w:p>
          <w:p w14:paraId="338DDF43">
            <w:pPr>
              <w:snapToGrid w:val="0"/>
              <w:jc w:val="center"/>
              <w:rPr>
                <w:rFonts w:ascii="Times New Roman" w:hAnsi="Times New Roman"/>
                <w:b/>
                <w:bCs/>
                <w:spacing w:val="-2"/>
                <w:kern w:val="0"/>
                <w:szCs w:val="21"/>
              </w:rPr>
            </w:pPr>
            <w:r>
              <w:rPr>
                <w:rFonts w:ascii="Times New Roman" w:hAnsi="Times New Roman"/>
                <w:b/>
                <w:bCs/>
                <w:spacing w:val="-2"/>
                <w:kern w:val="0"/>
                <w:szCs w:val="21"/>
              </w:rPr>
              <w:t>（t）</w:t>
            </w:r>
          </w:p>
        </w:tc>
        <w:tc>
          <w:tcPr>
            <w:tcW w:w="992" w:type="dxa"/>
            <w:vAlign w:val="center"/>
          </w:tcPr>
          <w:p w14:paraId="64BAE647">
            <w:pPr>
              <w:snapToGrid w:val="0"/>
              <w:jc w:val="center"/>
              <w:rPr>
                <w:rFonts w:ascii="Times New Roman" w:hAnsi="Times New Roman"/>
                <w:b/>
                <w:bCs/>
                <w:spacing w:val="-2"/>
                <w:kern w:val="0"/>
                <w:szCs w:val="21"/>
              </w:rPr>
            </w:pPr>
            <w:r>
              <w:rPr>
                <w:rFonts w:ascii="Times New Roman" w:hAnsi="Times New Roman"/>
                <w:b/>
                <w:bCs/>
                <w:spacing w:val="-2"/>
                <w:kern w:val="0"/>
                <w:szCs w:val="21"/>
              </w:rPr>
              <w:t>单次物料装卸量（t）</w:t>
            </w:r>
          </w:p>
        </w:tc>
        <w:tc>
          <w:tcPr>
            <w:tcW w:w="1134" w:type="dxa"/>
            <w:tcBorders>
              <w:right w:val="single" w:color="auto" w:sz="4" w:space="0"/>
            </w:tcBorders>
            <w:vAlign w:val="center"/>
          </w:tcPr>
          <w:p w14:paraId="712122EF">
            <w:pPr>
              <w:snapToGrid w:val="0"/>
              <w:jc w:val="center"/>
              <w:rPr>
                <w:rFonts w:ascii="Times New Roman" w:hAnsi="Times New Roman"/>
                <w:b/>
                <w:bCs/>
                <w:spacing w:val="-2"/>
                <w:kern w:val="0"/>
                <w:szCs w:val="21"/>
              </w:rPr>
            </w:pPr>
            <w:r>
              <w:rPr>
                <w:rFonts w:ascii="Times New Roman" w:hAnsi="Times New Roman"/>
                <w:b/>
                <w:bCs/>
                <w:spacing w:val="-2"/>
                <w:kern w:val="0"/>
                <w:szCs w:val="21"/>
              </w:rPr>
              <w:t>物料装卸总次数（次）</w:t>
            </w:r>
          </w:p>
        </w:tc>
        <w:tc>
          <w:tcPr>
            <w:tcW w:w="975" w:type="dxa"/>
            <w:tcBorders>
              <w:left w:val="single" w:color="auto" w:sz="4" w:space="0"/>
            </w:tcBorders>
            <w:vAlign w:val="center"/>
          </w:tcPr>
          <w:p w14:paraId="1F460F4E">
            <w:pPr>
              <w:snapToGrid w:val="0"/>
              <w:jc w:val="center"/>
              <w:rPr>
                <w:rFonts w:ascii="Times New Roman" w:hAnsi="Times New Roman"/>
                <w:b/>
                <w:bCs/>
                <w:spacing w:val="-2"/>
                <w:kern w:val="0"/>
                <w:szCs w:val="21"/>
              </w:rPr>
            </w:pPr>
            <w:r>
              <w:rPr>
                <w:rFonts w:ascii="Times New Roman" w:hAnsi="Times New Roman"/>
                <w:b/>
                <w:bCs/>
                <w:spacing w:val="-2"/>
                <w:kern w:val="0"/>
                <w:szCs w:val="21"/>
              </w:rPr>
              <w:t>物料</w:t>
            </w:r>
          </w:p>
          <w:p w14:paraId="5DC5ED24">
            <w:pPr>
              <w:snapToGrid w:val="0"/>
              <w:jc w:val="center"/>
              <w:rPr>
                <w:rFonts w:ascii="Times New Roman" w:hAnsi="Times New Roman"/>
                <w:b/>
                <w:bCs/>
                <w:spacing w:val="-2"/>
                <w:kern w:val="0"/>
                <w:szCs w:val="21"/>
              </w:rPr>
            </w:pPr>
            <w:r>
              <w:rPr>
                <w:rFonts w:ascii="Times New Roman" w:hAnsi="Times New Roman"/>
                <w:b/>
                <w:bCs/>
                <w:spacing w:val="-2"/>
                <w:kern w:val="0"/>
                <w:szCs w:val="21"/>
              </w:rPr>
              <w:t>含水率</w:t>
            </w:r>
          </w:p>
          <w:p w14:paraId="0D2754B3">
            <w:pPr>
              <w:snapToGrid w:val="0"/>
              <w:jc w:val="center"/>
              <w:rPr>
                <w:rFonts w:ascii="Times New Roman" w:hAnsi="Times New Roman"/>
                <w:b/>
                <w:bCs/>
                <w:spacing w:val="-2"/>
                <w:kern w:val="0"/>
                <w:szCs w:val="21"/>
              </w:rPr>
            </w:pPr>
            <w:r>
              <w:rPr>
                <w:rFonts w:ascii="Times New Roman" w:hAnsi="Times New Roman"/>
                <w:b/>
                <w:bCs/>
                <w:spacing w:val="-2"/>
                <w:kern w:val="0"/>
                <w:szCs w:val="21"/>
              </w:rPr>
              <w:t>（%）</w:t>
            </w:r>
          </w:p>
        </w:tc>
      </w:tr>
      <w:tr w14:paraId="7AF571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94" w:type="dxa"/>
            <w:tcBorders>
              <w:right w:val="single" w:color="auto" w:sz="4" w:space="0"/>
            </w:tcBorders>
            <w:vAlign w:val="center"/>
          </w:tcPr>
          <w:p w14:paraId="5F224A16">
            <w:pPr>
              <w:snapToGrid w:val="0"/>
              <w:jc w:val="center"/>
              <w:rPr>
                <w:rFonts w:ascii="Times New Roman" w:hAnsi="Times New Roman"/>
                <w:spacing w:val="-2"/>
                <w:kern w:val="0"/>
                <w:szCs w:val="21"/>
                <w:u w:val="single"/>
              </w:rPr>
            </w:pPr>
            <w:r>
              <w:rPr>
                <w:rFonts w:hint="eastAsia" w:ascii="Times New Roman" w:hAnsi="Times New Roman"/>
                <w:spacing w:val="-2"/>
                <w:kern w:val="0"/>
                <w:szCs w:val="21"/>
                <w:u w:val="single"/>
              </w:rPr>
              <w:t>G2</w:t>
            </w:r>
          </w:p>
        </w:tc>
        <w:tc>
          <w:tcPr>
            <w:tcW w:w="1701" w:type="dxa"/>
            <w:tcBorders>
              <w:left w:val="single" w:color="auto" w:sz="4" w:space="0"/>
            </w:tcBorders>
            <w:vAlign w:val="center"/>
          </w:tcPr>
          <w:p w14:paraId="5EBD796D">
            <w:pPr>
              <w:snapToGrid w:val="0"/>
              <w:jc w:val="center"/>
              <w:rPr>
                <w:rFonts w:ascii="Times New Roman" w:hAnsi="Times New Roman"/>
                <w:spacing w:val="-2"/>
                <w:kern w:val="0"/>
                <w:szCs w:val="21"/>
                <w:u w:val="single"/>
              </w:rPr>
            </w:pPr>
            <w:r>
              <w:rPr>
                <w:rFonts w:hint="eastAsia" w:ascii="Times New Roman" w:hAnsi="Times New Roman"/>
                <w:spacing w:val="-2"/>
                <w:kern w:val="0"/>
                <w:szCs w:val="21"/>
                <w:u w:val="single"/>
              </w:rPr>
              <w:t>毛矿进厂卸车</w:t>
            </w:r>
          </w:p>
        </w:tc>
        <w:tc>
          <w:tcPr>
            <w:tcW w:w="1134" w:type="dxa"/>
            <w:vAlign w:val="center"/>
          </w:tcPr>
          <w:p w14:paraId="41811279">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0.31</w:t>
            </w:r>
          </w:p>
        </w:tc>
        <w:tc>
          <w:tcPr>
            <w:tcW w:w="1134" w:type="dxa"/>
            <w:vAlign w:val="center"/>
          </w:tcPr>
          <w:p w14:paraId="0FAE75B1">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0.0013</w:t>
            </w:r>
          </w:p>
        </w:tc>
        <w:tc>
          <w:tcPr>
            <w:tcW w:w="1276" w:type="dxa"/>
            <w:vAlign w:val="center"/>
          </w:tcPr>
          <w:p w14:paraId="32E5B096">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240000</w:t>
            </w:r>
          </w:p>
        </w:tc>
        <w:tc>
          <w:tcPr>
            <w:tcW w:w="992" w:type="dxa"/>
            <w:vAlign w:val="center"/>
          </w:tcPr>
          <w:p w14:paraId="30B4478E">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1</w:t>
            </w:r>
          </w:p>
        </w:tc>
        <w:tc>
          <w:tcPr>
            <w:tcW w:w="1134" w:type="dxa"/>
            <w:tcBorders>
              <w:right w:val="single" w:color="auto" w:sz="4" w:space="0"/>
            </w:tcBorders>
            <w:vAlign w:val="center"/>
          </w:tcPr>
          <w:p w14:paraId="0F29DCFE">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240000</w:t>
            </w:r>
          </w:p>
        </w:tc>
        <w:tc>
          <w:tcPr>
            <w:tcW w:w="975" w:type="dxa"/>
            <w:tcBorders>
              <w:left w:val="single" w:color="auto" w:sz="4" w:space="0"/>
            </w:tcBorders>
            <w:vAlign w:val="center"/>
          </w:tcPr>
          <w:p w14:paraId="540FBDE9">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3.81</w:t>
            </w:r>
          </w:p>
        </w:tc>
      </w:tr>
      <w:tr w14:paraId="23CFB9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94" w:type="dxa"/>
            <w:tcBorders>
              <w:right w:val="single" w:color="auto" w:sz="4" w:space="0"/>
            </w:tcBorders>
            <w:vAlign w:val="center"/>
          </w:tcPr>
          <w:p w14:paraId="01BE098E">
            <w:pPr>
              <w:snapToGrid w:val="0"/>
              <w:jc w:val="center"/>
              <w:rPr>
                <w:rFonts w:ascii="Times New Roman" w:hAnsi="Times New Roman"/>
                <w:spacing w:val="-2"/>
                <w:kern w:val="0"/>
                <w:szCs w:val="21"/>
                <w:u w:val="single"/>
              </w:rPr>
            </w:pPr>
            <w:r>
              <w:rPr>
                <w:rFonts w:hint="eastAsia" w:ascii="Times New Roman" w:hAnsi="Times New Roman"/>
                <w:spacing w:val="-2"/>
                <w:kern w:val="0"/>
                <w:szCs w:val="21"/>
                <w:u w:val="single"/>
              </w:rPr>
              <w:t>G3</w:t>
            </w:r>
          </w:p>
        </w:tc>
        <w:tc>
          <w:tcPr>
            <w:tcW w:w="1701" w:type="dxa"/>
            <w:tcBorders>
              <w:left w:val="single" w:color="auto" w:sz="4" w:space="0"/>
            </w:tcBorders>
            <w:vAlign w:val="center"/>
          </w:tcPr>
          <w:p w14:paraId="48BF4D9E">
            <w:pPr>
              <w:snapToGrid w:val="0"/>
              <w:jc w:val="center"/>
              <w:rPr>
                <w:rFonts w:ascii="Times New Roman" w:hAnsi="Times New Roman"/>
                <w:spacing w:val="-2"/>
                <w:kern w:val="0"/>
                <w:szCs w:val="21"/>
                <w:u w:val="single"/>
              </w:rPr>
            </w:pPr>
            <w:r>
              <w:rPr>
                <w:rFonts w:hint="eastAsia" w:ascii="Times New Roman" w:hAnsi="Times New Roman"/>
                <w:spacing w:val="-2"/>
                <w:kern w:val="0"/>
                <w:szCs w:val="21"/>
                <w:u w:val="single"/>
              </w:rPr>
              <w:t>铲车转运至烘干</w:t>
            </w:r>
          </w:p>
        </w:tc>
        <w:tc>
          <w:tcPr>
            <w:tcW w:w="1134" w:type="dxa"/>
            <w:vAlign w:val="center"/>
          </w:tcPr>
          <w:p w14:paraId="728144C8">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0.31</w:t>
            </w:r>
          </w:p>
        </w:tc>
        <w:tc>
          <w:tcPr>
            <w:tcW w:w="1134" w:type="dxa"/>
            <w:vAlign w:val="center"/>
          </w:tcPr>
          <w:p w14:paraId="64388F56">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0.0013</w:t>
            </w:r>
          </w:p>
        </w:tc>
        <w:tc>
          <w:tcPr>
            <w:tcW w:w="1276" w:type="dxa"/>
            <w:vAlign w:val="center"/>
          </w:tcPr>
          <w:p w14:paraId="68DFCF8D">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239999.69</w:t>
            </w:r>
          </w:p>
        </w:tc>
        <w:tc>
          <w:tcPr>
            <w:tcW w:w="992" w:type="dxa"/>
            <w:vAlign w:val="center"/>
          </w:tcPr>
          <w:p w14:paraId="6D2A30FB">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1</w:t>
            </w:r>
          </w:p>
        </w:tc>
        <w:tc>
          <w:tcPr>
            <w:tcW w:w="1134" w:type="dxa"/>
            <w:tcBorders>
              <w:right w:val="single" w:color="auto" w:sz="4" w:space="0"/>
            </w:tcBorders>
            <w:vAlign w:val="center"/>
          </w:tcPr>
          <w:p w14:paraId="06A60872">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240000</w:t>
            </w:r>
          </w:p>
        </w:tc>
        <w:tc>
          <w:tcPr>
            <w:tcW w:w="975" w:type="dxa"/>
            <w:tcBorders>
              <w:left w:val="single" w:color="auto" w:sz="4" w:space="0"/>
            </w:tcBorders>
            <w:vAlign w:val="center"/>
          </w:tcPr>
          <w:p w14:paraId="2A9EA940">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3.81</w:t>
            </w:r>
          </w:p>
        </w:tc>
      </w:tr>
      <w:tr w14:paraId="16D09B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94" w:type="dxa"/>
            <w:tcBorders>
              <w:right w:val="single" w:color="auto" w:sz="4" w:space="0"/>
            </w:tcBorders>
            <w:vAlign w:val="center"/>
          </w:tcPr>
          <w:p w14:paraId="352277F6">
            <w:pPr>
              <w:snapToGrid w:val="0"/>
              <w:jc w:val="center"/>
              <w:rPr>
                <w:rFonts w:ascii="Times New Roman" w:hAnsi="Times New Roman"/>
                <w:spacing w:val="-2"/>
                <w:kern w:val="0"/>
                <w:szCs w:val="21"/>
                <w:u w:val="single"/>
              </w:rPr>
            </w:pPr>
            <w:r>
              <w:rPr>
                <w:rFonts w:hint="eastAsia" w:ascii="Times New Roman" w:hAnsi="Times New Roman"/>
                <w:spacing w:val="-2"/>
                <w:kern w:val="0"/>
                <w:szCs w:val="21"/>
                <w:u w:val="single"/>
              </w:rPr>
              <w:t>G4</w:t>
            </w:r>
          </w:p>
        </w:tc>
        <w:tc>
          <w:tcPr>
            <w:tcW w:w="1701" w:type="dxa"/>
            <w:tcBorders>
              <w:left w:val="single" w:color="auto" w:sz="4" w:space="0"/>
            </w:tcBorders>
            <w:vAlign w:val="center"/>
          </w:tcPr>
          <w:p w14:paraId="57DAF1AD">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烘干机进料</w:t>
            </w:r>
          </w:p>
        </w:tc>
        <w:tc>
          <w:tcPr>
            <w:tcW w:w="1134" w:type="dxa"/>
            <w:vAlign w:val="center"/>
          </w:tcPr>
          <w:p w14:paraId="0660E0D4">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0.31</w:t>
            </w:r>
          </w:p>
        </w:tc>
        <w:tc>
          <w:tcPr>
            <w:tcW w:w="1134" w:type="dxa"/>
            <w:vAlign w:val="center"/>
          </w:tcPr>
          <w:p w14:paraId="4D9DCAEE">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0.0013</w:t>
            </w:r>
          </w:p>
        </w:tc>
        <w:tc>
          <w:tcPr>
            <w:tcW w:w="1276" w:type="dxa"/>
            <w:vAlign w:val="center"/>
          </w:tcPr>
          <w:p w14:paraId="397EE2DB">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239999.38</w:t>
            </w:r>
          </w:p>
        </w:tc>
        <w:tc>
          <w:tcPr>
            <w:tcW w:w="992" w:type="dxa"/>
            <w:vAlign w:val="center"/>
          </w:tcPr>
          <w:p w14:paraId="53D1AF98">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1</w:t>
            </w:r>
          </w:p>
        </w:tc>
        <w:tc>
          <w:tcPr>
            <w:tcW w:w="1134" w:type="dxa"/>
            <w:tcBorders>
              <w:right w:val="single" w:color="auto" w:sz="4" w:space="0"/>
            </w:tcBorders>
            <w:vAlign w:val="center"/>
          </w:tcPr>
          <w:p w14:paraId="2E4A315D">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239999</w:t>
            </w:r>
          </w:p>
        </w:tc>
        <w:tc>
          <w:tcPr>
            <w:tcW w:w="975" w:type="dxa"/>
            <w:tcBorders>
              <w:left w:val="single" w:color="auto" w:sz="4" w:space="0"/>
            </w:tcBorders>
            <w:vAlign w:val="center"/>
          </w:tcPr>
          <w:p w14:paraId="6F5479C6">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3.81</w:t>
            </w:r>
          </w:p>
        </w:tc>
      </w:tr>
      <w:tr w14:paraId="323C0A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94" w:type="dxa"/>
            <w:tcBorders>
              <w:right w:val="single" w:color="auto" w:sz="4" w:space="0"/>
            </w:tcBorders>
            <w:vAlign w:val="center"/>
          </w:tcPr>
          <w:p w14:paraId="5BEDB0AB">
            <w:pPr>
              <w:snapToGrid w:val="0"/>
              <w:jc w:val="center"/>
              <w:rPr>
                <w:rFonts w:ascii="Times New Roman" w:hAnsi="Times New Roman"/>
                <w:spacing w:val="-2"/>
                <w:kern w:val="0"/>
                <w:szCs w:val="21"/>
                <w:u w:val="single"/>
              </w:rPr>
            </w:pPr>
            <w:r>
              <w:rPr>
                <w:rFonts w:hint="eastAsia" w:ascii="Times New Roman" w:hAnsi="Times New Roman"/>
                <w:spacing w:val="-2"/>
                <w:kern w:val="0"/>
                <w:szCs w:val="21"/>
                <w:u w:val="single"/>
              </w:rPr>
              <w:t>G5</w:t>
            </w:r>
          </w:p>
        </w:tc>
        <w:tc>
          <w:tcPr>
            <w:tcW w:w="1701" w:type="dxa"/>
            <w:tcBorders>
              <w:left w:val="single" w:color="auto" w:sz="4" w:space="0"/>
            </w:tcBorders>
            <w:vAlign w:val="center"/>
          </w:tcPr>
          <w:p w14:paraId="2350D4B2">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烘干机出料</w:t>
            </w:r>
          </w:p>
        </w:tc>
        <w:tc>
          <w:tcPr>
            <w:tcW w:w="1134" w:type="dxa"/>
            <w:vAlign w:val="center"/>
          </w:tcPr>
          <w:p w14:paraId="489F6E88">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0.57</w:t>
            </w:r>
          </w:p>
        </w:tc>
        <w:tc>
          <w:tcPr>
            <w:tcW w:w="1134" w:type="dxa"/>
            <w:vAlign w:val="center"/>
          </w:tcPr>
          <w:p w14:paraId="27602C27">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0.0024</w:t>
            </w:r>
          </w:p>
        </w:tc>
        <w:tc>
          <w:tcPr>
            <w:tcW w:w="1276" w:type="dxa"/>
            <w:vAlign w:val="center"/>
          </w:tcPr>
          <w:p w14:paraId="2F8A985B">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236774.46</w:t>
            </w:r>
          </w:p>
        </w:tc>
        <w:tc>
          <w:tcPr>
            <w:tcW w:w="992" w:type="dxa"/>
            <w:vAlign w:val="center"/>
          </w:tcPr>
          <w:p w14:paraId="730399C5">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1</w:t>
            </w:r>
          </w:p>
        </w:tc>
        <w:tc>
          <w:tcPr>
            <w:tcW w:w="1134" w:type="dxa"/>
            <w:tcBorders>
              <w:right w:val="single" w:color="auto" w:sz="4" w:space="0"/>
            </w:tcBorders>
            <w:vAlign w:val="center"/>
          </w:tcPr>
          <w:p w14:paraId="6C2F1C0A">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236774</w:t>
            </w:r>
          </w:p>
        </w:tc>
        <w:tc>
          <w:tcPr>
            <w:tcW w:w="975" w:type="dxa"/>
            <w:tcBorders>
              <w:left w:val="single" w:color="auto" w:sz="4" w:space="0"/>
            </w:tcBorders>
            <w:vAlign w:val="center"/>
          </w:tcPr>
          <w:p w14:paraId="6653A70A">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2.5</w:t>
            </w:r>
          </w:p>
        </w:tc>
      </w:tr>
      <w:tr w14:paraId="0983DE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94" w:type="dxa"/>
            <w:tcBorders>
              <w:right w:val="single" w:color="auto" w:sz="4" w:space="0"/>
            </w:tcBorders>
            <w:vAlign w:val="center"/>
          </w:tcPr>
          <w:p w14:paraId="069281B3">
            <w:pPr>
              <w:snapToGrid w:val="0"/>
              <w:jc w:val="center"/>
              <w:rPr>
                <w:rFonts w:ascii="Times New Roman" w:hAnsi="Times New Roman"/>
                <w:spacing w:val="-2"/>
                <w:kern w:val="0"/>
                <w:szCs w:val="21"/>
                <w:u w:val="single"/>
              </w:rPr>
            </w:pPr>
            <w:r>
              <w:rPr>
                <w:rFonts w:hint="eastAsia" w:ascii="Times New Roman" w:hAnsi="Times New Roman"/>
                <w:spacing w:val="-2"/>
                <w:kern w:val="0"/>
                <w:szCs w:val="21"/>
                <w:u w:val="single"/>
              </w:rPr>
              <w:t>G6</w:t>
            </w:r>
          </w:p>
        </w:tc>
        <w:tc>
          <w:tcPr>
            <w:tcW w:w="1701" w:type="dxa"/>
            <w:tcBorders>
              <w:left w:val="single" w:color="auto" w:sz="4" w:space="0"/>
            </w:tcBorders>
            <w:vAlign w:val="center"/>
          </w:tcPr>
          <w:p w14:paraId="241A3517">
            <w:pPr>
              <w:snapToGrid w:val="0"/>
              <w:jc w:val="center"/>
              <w:rPr>
                <w:rFonts w:ascii="Times New Roman" w:hAnsi="Times New Roman"/>
                <w:spacing w:val="-2"/>
                <w:kern w:val="0"/>
                <w:szCs w:val="21"/>
                <w:u w:val="single"/>
              </w:rPr>
            </w:pPr>
            <w:r>
              <w:rPr>
                <w:rFonts w:hint="eastAsia" w:ascii="Times New Roman" w:hAnsi="Times New Roman"/>
                <w:spacing w:val="-2"/>
                <w:kern w:val="0"/>
                <w:szCs w:val="21"/>
                <w:u w:val="single"/>
              </w:rPr>
              <w:t>铲车干料移堆</w:t>
            </w:r>
          </w:p>
        </w:tc>
        <w:tc>
          <w:tcPr>
            <w:tcW w:w="1134" w:type="dxa"/>
            <w:vAlign w:val="center"/>
          </w:tcPr>
          <w:p w14:paraId="3D866A9F">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0.57</w:t>
            </w:r>
          </w:p>
        </w:tc>
        <w:tc>
          <w:tcPr>
            <w:tcW w:w="1134" w:type="dxa"/>
            <w:vAlign w:val="center"/>
          </w:tcPr>
          <w:p w14:paraId="68B5313F">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0.0024</w:t>
            </w:r>
          </w:p>
        </w:tc>
        <w:tc>
          <w:tcPr>
            <w:tcW w:w="1276" w:type="dxa"/>
            <w:vAlign w:val="center"/>
          </w:tcPr>
          <w:p w14:paraId="0A2F35C7">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236773.89</w:t>
            </w:r>
          </w:p>
        </w:tc>
        <w:tc>
          <w:tcPr>
            <w:tcW w:w="992" w:type="dxa"/>
            <w:vAlign w:val="center"/>
          </w:tcPr>
          <w:p w14:paraId="502EB862">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1</w:t>
            </w:r>
          </w:p>
        </w:tc>
        <w:tc>
          <w:tcPr>
            <w:tcW w:w="1134" w:type="dxa"/>
            <w:tcBorders>
              <w:right w:val="single" w:color="auto" w:sz="4" w:space="0"/>
            </w:tcBorders>
            <w:vAlign w:val="center"/>
          </w:tcPr>
          <w:p w14:paraId="2B645E12">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236774</w:t>
            </w:r>
          </w:p>
        </w:tc>
        <w:tc>
          <w:tcPr>
            <w:tcW w:w="975" w:type="dxa"/>
            <w:tcBorders>
              <w:left w:val="single" w:color="auto" w:sz="4" w:space="0"/>
            </w:tcBorders>
            <w:vAlign w:val="center"/>
          </w:tcPr>
          <w:p w14:paraId="4479A38B">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2.5</w:t>
            </w:r>
          </w:p>
        </w:tc>
      </w:tr>
      <w:tr w14:paraId="696223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94" w:type="dxa"/>
            <w:tcBorders>
              <w:right w:val="single" w:color="auto" w:sz="4" w:space="0"/>
            </w:tcBorders>
            <w:vAlign w:val="center"/>
          </w:tcPr>
          <w:p w14:paraId="5F1E0F7E">
            <w:pPr>
              <w:snapToGrid w:val="0"/>
              <w:jc w:val="center"/>
              <w:rPr>
                <w:rFonts w:ascii="Times New Roman" w:hAnsi="Times New Roman"/>
                <w:spacing w:val="-2"/>
                <w:kern w:val="0"/>
                <w:szCs w:val="21"/>
                <w:u w:val="single"/>
              </w:rPr>
            </w:pPr>
            <w:r>
              <w:rPr>
                <w:rFonts w:hint="eastAsia" w:ascii="Times New Roman" w:hAnsi="Times New Roman"/>
                <w:spacing w:val="-2"/>
                <w:kern w:val="0"/>
                <w:szCs w:val="21"/>
                <w:u w:val="single"/>
              </w:rPr>
              <w:t>G7</w:t>
            </w:r>
          </w:p>
        </w:tc>
        <w:tc>
          <w:tcPr>
            <w:tcW w:w="1701" w:type="dxa"/>
            <w:tcBorders>
              <w:left w:val="single" w:color="auto" w:sz="4" w:space="0"/>
            </w:tcBorders>
            <w:vAlign w:val="center"/>
          </w:tcPr>
          <w:p w14:paraId="66984AB8">
            <w:pPr>
              <w:snapToGrid w:val="0"/>
              <w:jc w:val="center"/>
              <w:rPr>
                <w:rFonts w:ascii="Times New Roman" w:hAnsi="Times New Roman"/>
                <w:spacing w:val="-2"/>
                <w:kern w:val="0"/>
                <w:szCs w:val="21"/>
                <w:u w:val="single"/>
              </w:rPr>
            </w:pPr>
            <w:r>
              <w:rPr>
                <w:rFonts w:hint="eastAsia" w:ascii="Times New Roman" w:hAnsi="Times New Roman"/>
                <w:spacing w:val="-2"/>
                <w:kern w:val="0"/>
                <w:szCs w:val="21"/>
                <w:u w:val="single"/>
              </w:rPr>
              <w:t>铲车转运至磁选</w:t>
            </w:r>
          </w:p>
        </w:tc>
        <w:tc>
          <w:tcPr>
            <w:tcW w:w="1134" w:type="dxa"/>
            <w:vAlign w:val="center"/>
          </w:tcPr>
          <w:p w14:paraId="1F452F4B">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0.57</w:t>
            </w:r>
          </w:p>
        </w:tc>
        <w:tc>
          <w:tcPr>
            <w:tcW w:w="1134" w:type="dxa"/>
            <w:vAlign w:val="center"/>
          </w:tcPr>
          <w:p w14:paraId="3C34048C">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0.0024</w:t>
            </w:r>
          </w:p>
        </w:tc>
        <w:tc>
          <w:tcPr>
            <w:tcW w:w="1276" w:type="dxa"/>
            <w:vAlign w:val="center"/>
          </w:tcPr>
          <w:p w14:paraId="329F4075">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236773.32</w:t>
            </w:r>
          </w:p>
        </w:tc>
        <w:tc>
          <w:tcPr>
            <w:tcW w:w="992" w:type="dxa"/>
            <w:vAlign w:val="center"/>
          </w:tcPr>
          <w:p w14:paraId="22789AED">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1</w:t>
            </w:r>
          </w:p>
        </w:tc>
        <w:tc>
          <w:tcPr>
            <w:tcW w:w="1134" w:type="dxa"/>
            <w:tcBorders>
              <w:right w:val="single" w:color="auto" w:sz="4" w:space="0"/>
            </w:tcBorders>
            <w:vAlign w:val="center"/>
          </w:tcPr>
          <w:p w14:paraId="07DC4873">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236773</w:t>
            </w:r>
          </w:p>
        </w:tc>
        <w:tc>
          <w:tcPr>
            <w:tcW w:w="975" w:type="dxa"/>
            <w:tcBorders>
              <w:left w:val="single" w:color="auto" w:sz="4" w:space="0"/>
            </w:tcBorders>
            <w:vAlign w:val="center"/>
          </w:tcPr>
          <w:p w14:paraId="28D408CB">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2.5</w:t>
            </w:r>
          </w:p>
        </w:tc>
      </w:tr>
      <w:tr w14:paraId="5D1EF3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94" w:type="dxa"/>
            <w:tcBorders>
              <w:right w:val="single" w:color="auto" w:sz="4" w:space="0"/>
            </w:tcBorders>
            <w:vAlign w:val="center"/>
          </w:tcPr>
          <w:p w14:paraId="4475DCC4">
            <w:pPr>
              <w:snapToGrid w:val="0"/>
              <w:jc w:val="center"/>
              <w:rPr>
                <w:rFonts w:ascii="Times New Roman" w:hAnsi="Times New Roman"/>
                <w:spacing w:val="-2"/>
                <w:kern w:val="0"/>
                <w:szCs w:val="21"/>
                <w:u w:val="single"/>
              </w:rPr>
            </w:pPr>
            <w:r>
              <w:rPr>
                <w:rFonts w:hint="eastAsia" w:ascii="Times New Roman" w:hAnsi="Times New Roman"/>
                <w:spacing w:val="-2"/>
                <w:kern w:val="0"/>
                <w:szCs w:val="21"/>
                <w:u w:val="single"/>
              </w:rPr>
              <w:t>G8</w:t>
            </w:r>
          </w:p>
        </w:tc>
        <w:tc>
          <w:tcPr>
            <w:tcW w:w="1701" w:type="dxa"/>
            <w:tcBorders>
              <w:left w:val="single" w:color="auto" w:sz="4" w:space="0"/>
            </w:tcBorders>
            <w:vAlign w:val="center"/>
          </w:tcPr>
          <w:p w14:paraId="32C8BE08">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磁选机上料</w:t>
            </w:r>
          </w:p>
        </w:tc>
        <w:tc>
          <w:tcPr>
            <w:tcW w:w="1134" w:type="dxa"/>
            <w:vAlign w:val="center"/>
          </w:tcPr>
          <w:p w14:paraId="78A323B1">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0.57</w:t>
            </w:r>
          </w:p>
        </w:tc>
        <w:tc>
          <w:tcPr>
            <w:tcW w:w="1134" w:type="dxa"/>
            <w:vAlign w:val="center"/>
          </w:tcPr>
          <w:p w14:paraId="259D2AFF">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0.0024</w:t>
            </w:r>
          </w:p>
        </w:tc>
        <w:tc>
          <w:tcPr>
            <w:tcW w:w="1276" w:type="dxa"/>
            <w:vAlign w:val="center"/>
          </w:tcPr>
          <w:p w14:paraId="19874F7B">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236772.75</w:t>
            </w:r>
          </w:p>
        </w:tc>
        <w:tc>
          <w:tcPr>
            <w:tcW w:w="992" w:type="dxa"/>
            <w:vAlign w:val="center"/>
          </w:tcPr>
          <w:p w14:paraId="7700E92A">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1</w:t>
            </w:r>
          </w:p>
        </w:tc>
        <w:tc>
          <w:tcPr>
            <w:tcW w:w="1134" w:type="dxa"/>
            <w:tcBorders>
              <w:right w:val="single" w:color="auto" w:sz="4" w:space="0"/>
            </w:tcBorders>
            <w:vAlign w:val="center"/>
          </w:tcPr>
          <w:p w14:paraId="78FDD509">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236773</w:t>
            </w:r>
          </w:p>
        </w:tc>
        <w:tc>
          <w:tcPr>
            <w:tcW w:w="975" w:type="dxa"/>
            <w:tcBorders>
              <w:left w:val="single" w:color="auto" w:sz="4" w:space="0"/>
            </w:tcBorders>
            <w:vAlign w:val="center"/>
          </w:tcPr>
          <w:p w14:paraId="3CE29FF3">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2.5</w:t>
            </w:r>
          </w:p>
        </w:tc>
      </w:tr>
      <w:tr w14:paraId="6FE8F9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94" w:type="dxa"/>
            <w:tcBorders>
              <w:right w:val="single" w:color="auto" w:sz="4" w:space="0"/>
            </w:tcBorders>
            <w:vAlign w:val="center"/>
          </w:tcPr>
          <w:p w14:paraId="1A06FD37">
            <w:pPr>
              <w:snapToGrid w:val="0"/>
              <w:jc w:val="center"/>
              <w:rPr>
                <w:rFonts w:ascii="Times New Roman" w:hAnsi="Times New Roman"/>
                <w:spacing w:val="-2"/>
                <w:kern w:val="0"/>
                <w:szCs w:val="21"/>
                <w:u w:val="single"/>
              </w:rPr>
            </w:pPr>
            <w:r>
              <w:rPr>
                <w:rFonts w:hint="eastAsia" w:ascii="Times New Roman" w:hAnsi="Times New Roman"/>
                <w:spacing w:val="-2"/>
                <w:kern w:val="0"/>
                <w:szCs w:val="21"/>
                <w:u w:val="single"/>
              </w:rPr>
              <w:t>G9</w:t>
            </w:r>
          </w:p>
        </w:tc>
        <w:tc>
          <w:tcPr>
            <w:tcW w:w="1701" w:type="dxa"/>
            <w:tcBorders>
              <w:left w:val="single" w:color="auto" w:sz="4" w:space="0"/>
            </w:tcBorders>
            <w:vAlign w:val="center"/>
          </w:tcPr>
          <w:p w14:paraId="38867356">
            <w:pPr>
              <w:snapToGrid w:val="0"/>
              <w:jc w:val="center"/>
              <w:rPr>
                <w:rFonts w:ascii="Times New Roman" w:hAnsi="Times New Roman"/>
                <w:spacing w:val="-2"/>
                <w:kern w:val="0"/>
                <w:szCs w:val="21"/>
                <w:u w:val="single"/>
              </w:rPr>
            </w:pPr>
            <w:r>
              <w:rPr>
                <w:rFonts w:hint="eastAsia" w:ascii="Times New Roman" w:hAnsi="Times New Roman"/>
                <w:spacing w:val="-2"/>
                <w:kern w:val="0"/>
                <w:szCs w:val="21"/>
                <w:u w:val="single"/>
              </w:rPr>
              <w:t>磁选过程落料</w:t>
            </w:r>
          </w:p>
        </w:tc>
        <w:tc>
          <w:tcPr>
            <w:tcW w:w="1134" w:type="dxa"/>
            <w:vAlign w:val="center"/>
          </w:tcPr>
          <w:p w14:paraId="192CF73B">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0.57</w:t>
            </w:r>
          </w:p>
        </w:tc>
        <w:tc>
          <w:tcPr>
            <w:tcW w:w="1134" w:type="dxa"/>
            <w:vAlign w:val="center"/>
          </w:tcPr>
          <w:p w14:paraId="6D155A83">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0.0024</w:t>
            </w:r>
          </w:p>
        </w:tc>
        <w:tc>
          <w:tcPr>
            <w:tcW w:w="1276" w:type="dxa"/>
            <w:vAlign w:val="center"/>
          </w:tcPr>
          <w:p w14:paraId="673E49C0">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236772.18</w:t>
            </w:r>
          </w:p>
        </w:tc>
        <w:tc>
          <w:tcPr>
            <w:tcW w:w="992" w:type="dxa"/>
            <w:vAlign w:val="center"/>
          </w:tcPr>
          <w:p w14:paraId="5BA035D2">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1</w:t>
            </w:r>
          </w:p>
        </w:tc>
        <w:tc>
          <w:tcPr>
            <w:tcW w:w="1134" w:type="dxa"/>
            <w:tcBorders>
              <w:right w:val="single" w:color="auto" w:sz="4" w:space="0"/>
            </w:tcBorders>
            <w:vAlign w:val="center"/>
          </w:tcPr>
          <w:p w14:paraId="2C3DA8C9">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236772</w:t>
            </w:r>
          </w:p>
        </w:tc>
        <w:tc>
          <w:tcPr>
            <w:tcW w:w="975" w:type="dxa"/>
            <w:tcBorders>
              <w:left w:val="single" w:color="auto" w:sz="4" w:space="0"/>
            </w:tcBorders>
            <w:vAlign w:val="center"/>
          </w:tcPr>
          <w:p w14:paraId="5480E549">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2.5</w:t>
            </w:r>
          </w:p>
        </w:tc>
      </w:tr>
      <w:tr w14:paraId="58EA5F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94" w:type="dxa"/>
            <w:tcBorders>
              <w:right w:val="single" w:color="auto" w:sz="4" w:space="0"/>
            </w:tcBorders>
            <w:vAlign w:val="center"/>
          </w:tcPr>
          <w:p w14:paraId="076FBD75">
            <w:pPr>
              <w:snapToGrid w:val="0"/>
              <w:jc w:val="center"/>
              <w:rPr>
                <w:rFonts w:ascii="Times New Roman" w:hAnsi="Times New Roman"/>
                <w:spacing w:val="-2"/>
                <w:kern w:val="0"/>
                <w:szCs w:val="21"/>
                <w:u w:val="single"/>
              </w:rPr>
            </w:pPr>
            <w:r>
              <w:rPr>
                <w:rFonts w:hint="eastAsia" w:ascii="Times New Roman" w:hAnsi="Times New Roman"/>
                <w:spacing w:val="-2"/>
                <w:kern w:val="0"/>
                <w:szCs w:val="21"/>
                <w:u w:val="single"/>
              </w:rPr>
              <w:t>G10</w:t>
            </w:r>
          </w:p>
        </w:tc>
        <w:tc>
          <w:tcPr>
            <w:tcW w:w="1701" w:type="dxa"/>
            <w:tcBorders>
              <w:left w:val="single" w:color="auto" w:sz="4" w:space="0"/>
            </w:tcBorders>
            <w:vAlign w:val="center"/>
          </w:tcPr>
          <w:p w14:paraId="7164363D">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磁选机出料</w:t>
            </w:r>
          </w:p>
        </w:tc>
        <w:tc>
          <w:tcPr>
            <w:tcW w:w="1134" w:type="dxa"/>
            <w:vAlign w:val="center"/>
          </w:tcPr>
          <w:p w14:paraId="64C3EA13">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0.57</w:t>
            </w:r>
          </w:p>
        </w:tc>
        <w:tc>
          <w:tcPr>
            <w:tcW w:w="1134" w:type="dxa"/>
            <w:vAlign w:val="center"/>
          </w:tcPr>
          <w:p w14:paraId="4AF7BA10">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0.0024</w:t>
            </w:r>
          </w:p>
        </w:tc>
        <w:tc>
          <w:tcPr>
            <w:tcW w:w="1276" w:type="dxa"/>
            <w:vAlign w:val="center"/>
          </w:tcPr>
          <w:p w14:paraId="1CA9C584">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236771.61</w:t>
            </w:r>
          </w:p>
        </w:tc>
        <w:tc>
          <w:tcPr>
            <w:tcW w:w="992" w:type="dxa"/>
            <w:vAlign w:val="center"/>
          </w:tcPr>
          <w:p w14:paraId="380B1A4B">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1</w:t>
            </w:r>
          </w:p>
        </w:tc>
        <w:tc>
          <w:tcPr>
            <w:tcW w:w="1134" w:type="dxa"/>
            <w:tcBorders>
              <w:right w:val="single" w:color="auto" w:sz="4" w:space="0"/>
            </w:tcBorders>
            <w:vAlign w:val="center"/>
          </w:tcPr>
          <w:p w14:paraId="1CFC71B6">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236772</w:t>
            </w:r>
          </w:p>
        </w:tc>
        <w:tc>
          <w:tcPr>
            <w:tcW w:w="975" w:type="dxa"/>
            <w:tcBorders>
              <w:left w:val="single" w:color="auto" w:sz="4" w:space="0"/>
            </w:tcBorders>
            <w:vAlign w:val="center"/>
          </w:tcPr>
          <w:p w14:paraId="1BA30B04">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2.5</w:t>
            </w:r>
          </w:p>
        </w:tc>
      </w:tr>
      <w:tr w14:paraId="586B73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94" w:type="dxa"/>
            <w:tcBorders>
              <w:right w:val="single" w:color="auto" w:sz="4" w:space="0"/>
            </w:tcBorders>
            <w:vAlign w:val="center"/>
          </w:tcPr>
          <w:p w14:paraId="73D391EB">
            <w:pPr>
              <w:snapToGrid w:val="0"/>
              <w:jc w:val="center"/>
              <w:rPr>
                <w:rFonts w:ascii="Times New Roman" w:hAnsi="Times New Roman"/>
                <w:spacing w:val="-2"/>
                <w:kern w:val="0"/>
                <w:szCs w:val="21"/>
                <w:u w:val="single"/>
              </w:rPr>
            </w:pPr>
            <w:r>
              <w:rPr>
                <w:rFonts w:hint="eastAsia" w:ascii="Times New Roman" w:hAnsi="Times New Roman"/>
                <w:spacing w:val="-2"/>
                <w:kern w:val="0"/>
                <w:szCs w:val="21"/>
                <w:u w:val="single"/>
              </w:rPr>
              <w:t>G11</w:t>
            </w:r>
          </w:p>
        </w:tc>
        <w:tc>
          <w:tcPr>
            <w:tcW w:w="1701" w:type="dxa"/>
            <w:tcBorders>
              <w:left w:val="single" w:color="auto" w:sz="4" w:space="0"/>
            </w:tcBorders>
            <w:vAlign w:val="center"/>
          </w:tcPr>
          <w:p w14:paraId="10D6D1DD">
            <w:pPr>
              <w:snapToGrid w:val="0"/>
              <w:jc w:val="center"/>
              <w:rPr>
                <w:rFonts w:ascii="Times New Roman" w:hAnsi="Times New Roman"/>
                <w:spacing w:val="-2"/>
                <w:kern w:val="0"/>
                <w:szCs w:val="21"/>
                <w:u w:val="single"/>
              </w:rPr>
            </w:pPr>
            <w:r>
              <w:rPr>
                <w:rFonts w:hint="eastAsia" w:ascii="Times New Roman" w:hAnsi="Times New Roman"/>
                <w:spacing w:val="-2"/>
                <w:kern w:val="0"/>
                <w:szCs w:val="21"/>
                <w:u w:val="single"/>
              </w:rPr>
              <w:t>铲车产品移堆</w:t>
            </w:r>
          </w:p>
        </w:tc>
        <w:tc>
          <w:tcPr>
            <w:tcW w:w="1134" w:type="dxa"/>
            <w:vAlign w:val="center"/>
          </w:tcPr>
          <w:p w14:paraId="1691E793">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0.57</w:t>
            </w:r>
          </w:p>
        </w:tc>
        <w:tc>
          <w:tcPr>
            <w:tcW w:w="1134" w:type="dxa"/>
            <w:vAlign w:val="center"/>
          </w:tcPr>
          <w:p w14:paraId="766DA7F9">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0.0024</w:t>
            </w:r>
          </w:p>
        </w:tc>
        <w:tc>
          <w:tcPr>
            <w:tcW w:w="1276" w:type="dxa"/>
            <w:vAlign w:val="center"/>
          </w:tcPr>
          <w:p w14:paraId="67D1F6C9">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236771.04</w:t>
            </w:r>
          </w:p>
        </w:tc>
        <w:tc>
          <w:tcPr>
            <w:tcW w:w="992" w:type="dxa"/>
            <w:vAlign w:val="center"/>
          </w:tcPr>
          <w:p w14:paraId="7CF57C9E">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1</w:t>
            </w:r>
          </w:p>
        </w:tc>
        <w:tc>
          <w:tcPr>
            <w:tcW w:w="1134" w:type="dxa"/>
            <w:tcBorders>
              <w:right w:val="single" w:color="auto" w:sz="4" w:space="0"/>
            </w:tcBorders>
            <w:vAlign w:val="center"/>
          </w:tcPr>
          <w:p w14:paraId="70BAC669">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236771</w:t>
            </w:r>
          </w:p>
        </w:tc>
        <w:tc>
          <w:tcPr>
            <w:tcW w:w="975" w:type="dxa"/>
            <w:tcBorders>
              <w:left w:val="single" w:color="auto" w:sz="4" w:space="0"/>
            </w:tcBorders>
            <w:vAlign w:val="center"/>
          </w:tcPr>
          <w:p w14:paraId="485AA4A7">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2.5</w:t>
            </w:r>
          </w:p>
        </w:tc>
      </w:tr>
      <w:tr w14:paraId="4ED2EC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94" w:type="dxa"/>
            <w:tcBorders>
              <w:right w:val="single" w:color="auto" w:sz="4" w:space="0"/>
            </w:tcBorders>
            <w:vAlign w:val="center"/>
          </w:tcPr>
          <w:p w14:paraId="325559C5">
            <w:pPr>
              <w:snapToGrid w:val="0"/>
              <w:jc w:val="center"/>
              <w:rPr>
                <w:rFonts w:ascii="Times New Roman" w:hAnsi="Times New Roman"/>
                <w:spacing w:val="-2"/>
                <w:kern w:val="0"/>
                <w:szCs w:val="21"/>
                <w:u w:val="single"/>
              </w:rPr>
            </w:pPr>
            <w:r>
              <w:rPr>
                <w:rFonts w:hint="eastAsia" w:ascii="Times New Roman" w:hAnsi="Times New Roman"/>
                <w:spacing w:val="-2"/>
                <w:kern w:val="0"/>
                <w:szCs w:val="21"/>
                <w:u w:val="single"/>
              </w:rPr>
              <w:t>G12</w:t>
            </w:r>
          </w:p>
        </w:tc>
        <w:tc>
          <w:tcPr>
            <w:tcW w:w="1701" w:type="dxa"/>
            <w:tcBorders>
              <w:left w:val="single" w:color="auto" w:sz="4" w:space="0"/>
            </w:tcBorders>
            <w:vAlign w:val="center"/>
          </w:tcPr>
          <w:p w14:paraId="0ABD4AB4">
            <w:pPr>
              <w:snapToGrid w:val="0"/>
              <w:jc w:val="center"/>
              <w:rPr>
                <w:rFonts w:ascii="Times New Roman" w:hAnsi="Times New Roman"/>
                <w:spacing w:val="-2"/>
                <w:kern w:val="0"/>
                <w:szCs w:val="21"/>
                <w:u w:val="single"/>
              </w:rPr>
            </w:pPr>
            <w:r>
              <w:rPr>
                <w:rFonts w:hint="eastAsia" w:ascii="Times New Roman" w:hAnsi="Times New Roman"/>
                <w:spacing w:val="-2"/>
                <w:kern w:val="0"/>
                <w:szCs w:val="21"/>
                <w:u w:val="single"/>
              </w:rPr>
              <w:t>产品出厂装车</w:t>
            </w:r>
          </w:p>
        </w:tc>
        <w:tc>
          <w:tcPr>
            <w:tcW w:w="1134" w:type="dxa"/>
            <w:vAlign w:val="center"/>
          </w:tcPr>
          <w:p w14:paraId="0F619889">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0.57</w:t>
            </w:r>
          </w:p>
        </w:tc>
        <w:tc>
          <w:tcPr>
            <w:tcW w:w="1134" w:type="dxa"/>
            <w:vAlign w:val="center"/>
          </w:tcPr>
          <w:p w14:paraId="2E257B90">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0.0024</w:t>
            </w:r>
          </w:p>
        </w:tc>
        <w:tc>
          <w:tcPr>
            <w:tcW w:w="1276" w:type="dxa"/>
            <w:vAlign w:val="center"/>
          </w:tcPr>
          <w:p w14:paraId="6F021B33">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236770.47</w:t>
            </w:r>
          </w:p>
        </w:tc>
        <w:tc>
          <w:tcPr>
            <w:tcW w:w="992" w:type="dxa"/>
            <w:vAlign w:val="center"/>
          </w:tcPr>
          <w:p w14:paraId="3EDA7634">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1</w:t>
            </w:r>
          </w:p>
        </w:tc>
        <w:tc>
          <w:tcPr>
            <w:tcW w:w="1134" w:type="dxa"/>
            <w:tcBorders>
              <w:right w:val="single" w:color="auto" w:sz="4" w:space="0"/>
            </w:tcBorders>
            <w:vAlign w:val="center"/>
          </w:tcPr>
          <w:p w14:paraId="5DF57A56">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236770</w:t>
            </w:r>
          </w:p>
        </w:tc>
        <w:tc>
          <w:tcPr>
            <w:tcW w:w="975" w:type="dxa"/>
            <w:tcBorders>
              <w:left w:val="single" w:color="auto" w:sz="4" w:space="0"/>
            </w:tcBorders>
            <w:vAlign w:val="center"/>
          </w:tcPr>
          <w:p w14:paraId="2D632017">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2.5</w:t>
            </w:r>
          </w:p>
        </w:tc>
      </w:tr>
      <w:tr w14:paraId="244028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94" w:type="dxa"/>
            <w:tcBorders>
              <w:right w:val="single" w:color="auto" w:sz="4" w:space="0"/>
            </w:tcBorders>
            <w:vAlign w:val="center"/>
          </w:tcPr>
          <w:p w14:paraId="0CD8CA8C">
            <w:pPr>
              <w:snapToGrid w:val="0"/>
              <w:jc w:val="center"/>
              <w:rPr>
                <w:rFonts w:ascii="Times New Roman" w:hAnsi="Times New Roman"/>
                <w:spacing w:val="-2"/>
                <w:kern w:val="0"/>
                <w:szCs w:val="21"/>
                <w:u w:val="single"/>
              </w:rPr>
            </w:pPr>
          </w:p>
        </w:tc>
        <w:tc>
          <w:tcPr>
            <w:tcW w:w="1701" w:type="dxa"/>
            <w:tcBorders>
              <w:left w:val="single" w:color="auto" w:sz="4" w:space="0"/>
            </w:tcBorders>
            <w:vAlign w:val="center"/>
          </w:tcPr>
          <w:p w14:paraId="3E70403C">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合计</w:t>
            </w:r>
          </w:p>
        </w:tc>
        <w:tc>
          <w:tcPr>
            <w:tcW w:w="1134" w:type="dxa"/>
            <w:vAlign w:val="center"/>
          </w:tcPr>
          <w:p w14:paraId="73DF0D09">
            <w:pPr>
              <w:snapToGrid w:val="0"/>
              <w:jc w:val="center"/>
              <w:rPr>
                <w:rFonts w:ascii="Times New Roman" w:hAnsi="Times New Roman"/>
                <w:spacing w:val="-2"/>
                <w:kern w:val="0"/>
                <w:szCs w:val="21"/>
                <w:u w:val="single"/>
              </w:rPr>
            </w:pPr>
            <w:r>
              <w:rPr>
                <w:rFonts w:hint="eastAsia" w:ascii="Times New Roman" w:hAnsi="Times New Roman"/>
                <w:spacing w:val="-2"/>
                <w:kern w:val="0"/>
                <w:szCs w:val="21"/>
                <w:u w:val="single"/>
              </w:rPr>
              <w:t>5.49</w:t>
            </w:r>
          </w:p>
        </w:tc>
        <w:tc>
          <w:tcPr>
            <w:tcW w:w="1134" w:type="dxa"/>
            <w:vAlign w:val="center"/>
          </w:tcPr>
          <w:p w14:paraId="4F040A9B">
            <w:pPr>
              <w:snapToGrid w:val="0"/>
              <w:jc w:val="center"/>
              <w:rPr>
                <w:rFonts w:ascii="Times New Roman" w:hAnsi="Times New Roman"/>
                <w:spacing w:val="-2"/>
                <w:kern w:val="0"/>
                <w:szCs w:val="21"/>
              </w:rPr>
            </w:pPr>
          </w:p>
        </w:tc>
        <w:tc>
          <w:tcPr>
            <w:tcW w:w="1276" w:type="dxa"/>
            <w:vAlign w:val="center"/>
          </w:tcPr>
          <w:p w14:paraId="6917AB5B">
            <w:pPr>
              <w:snapToGrid w:val="0"/>
              <w:jc w:val="center"/>
              <w:rPr>
                <w:rFonts w:ascii="Times New Roman" w:hAnsi="Times New Roman"/>
                <w:spacing w:val="-2"/>
                <w:kern w:val="0"/>
                <w:szCs w:val="21"/>
              </w:rPr>
            </w:pPr>
          </w:p>
        </w:tc>
        <w:tc>
          <w:tcPr>
            <w:tcW w:w="992" w:type="dxa"/>
            <w:vAlign w:val="center"/>
          </w:tcPr>
          <w:p w14:paraId="4C15B419">
            <w:pPr>
              <w:snapToGrid w:val="0"/>
              <w:jc w:val="center"/>
              <w:rPr>
                <w:rFonts w:ascii="Times New Roman" w:hAnsi="Times New Roman"/>
                <w:spacing w:val="-2"/>
                <w:kern w:val="0"/>
                <w:szCs w:val="21"/>
              </w:rPr>
            </w:pPr>
          </w:p>
        </w:tc>
        <w:tc>
          <w:tcPr>
            <w:tcW w:w="1134" w:type="dxa"/>
            <w:tcBorders>
              <w:right w:val="single" w:color="auto" w:sz="4" w:space="0"/>
            </w:tcBorders>
            <w:vAlign w:val="center"/>
          </w:tcPr>
          <w:p w14:paraId="77AB0E74">
            <w:pPr>
              <w:snapToGrid w:val="0"/>
              <w:jc w:val="center"/>
              <w:rPr>
                <w:rFonts w:ascii="Times New Roman" w:hAnsi="Times New Roman"/>
                <w:spacing w:val="-2"/>
                <w:kern w:val="0"/>
                <w:szCs w:val="21"/>
              </w:rPr>
            </w:pPr>
          </w:p>
        </w:tc>
        <w:tc>
          <w:tcPr>
            <w:tcW w:w="975" w:type="dxa"/>
            <w:tcBorders>
              <w:left w:val="single" w:color="auto" w:sz="4" w:space="0"/>
            </w:tcBorders>
            <w:vAlign w:val="center"/>
          </w:tcPr>
          <w:p w14:paraId="78565D24">
            <w:pPr>
              <w:snapToGrid w:val="0"/>
              <w:jc w:val="center"/>
              <w:rPr>
                <w:rFonts w:ascii="Times New Roman" w:hAnsi="Times New Roman"/>
                <w:spacing w:val="-2"/>
                <w:kern w:val="0"/>
                <w:szCs w:val="21"/>
              </w:rPr>
            </w:pPr>
          </w:p>
        </w:tc>
      </w:tr>
    </w:tbl>
    <w:p w14:paraId="4C61DBBB">
      <w:pPr>
        <w:snapToGrid w:val="0"/>
        <w:spacing w:line="348" w:lineRule="auto"/>
        <w:ind w:firstLine="480"/>
        <w:rPr>
          <w:rFonts w:ascii="Times New Roman" w:hAnsi="Times New Roman"/>
          <w:spacing w:val="-2"/>
          <w:kern w:val="0"/>
          <w:sz w:val="24"/>
          <w:szCs w:val="24"/>
        </w:rPr>
      </w:pPr>
    </w:p>
    <w:p w14:paraId="61377B95">
      <w:pPr>
        <w:snapToGrid w:val="0"/>
        <w:spacing w:line="348" w:lineRule="auto"/>
        <w:ind w:firstLine="480"/>
        <w:rPr>
          <w:rFonts w:ascii="Times New Roman" w:hAnsi="Times New Roman"/>
          <w:spacing w:val="-2"/>
          <w:kern w:val="0"/>
          <w:sz w:val="24"/>
          <w:szCs w:val="24"/>
        </w:rPr>
      </w:pPr>
      <w:r>
        <w:rPr>
          <w:rFonts w:ascii="Times New Roman" w:hAnsi="Times New Roman"/>
          <w:spacing w:val="-2"/>
          <w:kern w:val="0"/>
          <w:sz w:val="24"/>
          <w:szCs w:val="24"/>
        </w:rPr>
        <w:t>项目在烘干机、磁选机进出料口等主要扬尘产生点配套安装集气罩，采用负压抽风进行收尘，收集后的粉尘采用袋式除尘工艺进行治理</w:t>
      </w:r>
      <w:r>
        <w:rPr>
          <w:rFonts w:hint="eastAsia" w:ascii="Times New Roman" w:hAnsi="Times New Roman"/>
          <w:spacing w:val="-2"/>
          <w:kern w:val="0"/>
          <w:sz w:val="24"/>
          <w:szCs w:val="24"/>
        </w:rPr>
        <w:t>，项目集气罩的扬尘捕集率保守按70%进行估算，</w:t>
      </w:r>
      <w:r>
        <w:rPr>
          <w:rFonts w:ascii="Times New Roman" w:hAnsi="Times New Roman"/>
          <w:spacing w:val="-2"/>
          <w:kern w:val="0"/>
          <w:sz w:val="24"/>
          <w:szCs w:val="24"/>
        </w:rPr>
        <w:t>袋式除尘器颗粒物脱除效率达到99</w:t>
      </w:r>
      <w:r>
        <w:rPr>
          <w:rFonts w:hint="eastAsia" w:ascii="Times New Roman" w:hAnsi="Times New Roman"/>
          <w:spacing w:val="-2"/>
          <w:kern w:val="0"/>
          <w:sz w:val="24"/>
          <w:szCs w:val="24"/>
          <w:lang w:eastAsia="zh-CN"/>
        </w:rPr>
        <w:t>%～</w:t>
      </w:r>
      <w:r>
        <w:rPr>
          <w:rFonts w:ascii="Times New Roman" w:hAnsi="Times New Roman"/>
          <w:spacing w:val="-2"/>
          <w:kern w:val="0"/>
          <w:sz w:val="24"/>
          <w:szCs w:val="24"/>
        </w:rPr>
        <w:t>99.99%，评价按保守99%计算。项目</w:t>
      </w:r>
      <w:r>
        <w:rPr>
          <w:rFonts w:hint="eastAsia" w:ascii="Times New Roman" w:hAnsi="Times New Roman"/>
          <w:spacing w:val="-2"/>
          <w:kern w:val="0"/>
          <w:sz w:val="24"/>
          <w:szCs w:val="24"/>
        </w:rPr>
        <w:t>分别在1#原料处理车间、2#分选车间各设置一套车间粉尘除尘系统，</w:t>
      </w:r>
      <w:r>
        <w:rPr>
          <w:rFonts w:hint="eastAsia" w:ascii="Times New Roman" w:hAnsi="Times New Roman"/>
          <w:spacing w:val="-2"/>
          <w:kern w:val="0"/>
          <w:sz w:val="24"/>
          <w:szCs w:val="24"/>
          <w:u w:val="single"/>
        </w:rPr>
        <w:t>各</w:t>
      </w:r>
      <w:r>
        <w:rPr>
          <w:rFonts w:ascii="Times New Roman" w:hAnsi="Times New Roman"/>
          <w:spacing w:val="-2"/>
          <w:kern w:val="0"/>
          <w:sz w:val="24"/>
          <w:szCs w:val="24"/>
          <w:u w:val="single"/>
        </w:rPr>
        <w:t>配套</w:t>
      </w:r>
      <w:r>
        <w:rPr>
          <w:rFonts w:hint="eastAsia" w:ascii="Times New Roman" w:hAnsi="Times New Roman"/>
          <w:spacing w:val="-2"/>
          <w:kern w:val="0"/>
          <w:sz w:val="24"/>
          <w:szCs w:val="24"/>
          <w:u w:val="single"/>
        </w:rPr>
        <w:t>一台</w:t>
      </w:r>
      <w:r>
        <w:rPr>
          <w:rFonts w:ascii="Times New Roman" w:hAnsi="Times New Roman"/>
          <w:spacing w:val="-2"/>
          <w:kern w:val="0"/>
          <w:sz w:val="24"/>
          <w:szCs w:val="24"/>
          <w:u w:val="single"/>
        </w:rPr>
        <w:t>风量为</w:t>
      </w:r>
      <w:r>
        <w:rPr>
          <w:rFonts w:hint="eastAsia" w:ascii="Times New Roman" w:hAnsi="Times New Roman"/>
          <w:spacing w:val="-2"/>
          <w:kern w:val="0"/>
          <w:sz w:val="24"/>
          <w:szCs w:val="24"/>
          <w:u w:val="single"/>
        </w:rPr>
        <w:t>8</w:t>
      </w:r>
      <w:r>
        <w:rPr>
          <w:rFonts w:ascii="Times New Roman" w:hAnsi="Times New Roman"/>
          <w:spacing w:val="-2"/>
          <w:kern w:val="0"/>
          <w:sz w:val="24"/>
          <w:szCs w:val="24"/>
          <w:u w:val="single"/>
        </w:rPr>
        <w:t>000m</w:t>
      </w:r>
      <w:r>
        <w:rPr>
          <w:rFonts w:ascii="Times New Roman" w:hAnsi="Times New Roman"/>
          <w:spacing w:val="-2"/>
          <w:kern w:val="0"/>
          <w:sz w:val="24"/>
          <w:szCs w:val="24"/>
          <w:u w:val="single"/>
          <w:vertAlign w:val="superscript"/>
        </w:rPr>
        <w:t>3</w:t>
      </w:r>
      <w:r>
        <w:rPr>
          <w:rFonts w:ascii="Times New Roman" w:hAnsi="Times New Roman"/>
          <w:spacing w:val="-2"/>
          <w:kern w:val="0"/>
          <w:sz w:val="24"/>
          <w:szCs w:val="24"/>
          <w:u w:val="single"/>
        </w:rPr>
        <w:t>/h风机，</w:t>
      </w:r>
      <w:r>
        <w:rPr>
          <w:rFonts w:hint="eastAsia" w:ascii="Times New Roman" w:hAnsi="Times New Roman"/>
          <w:spacing w:val="-2"/>
          <w:kern w:val="0"/>
          <w:sz w:val="24"/>
          <w:szCs w:val="24"/>
          <w:u w:val="single"/>
        </w:rPr>
        <w:t>每套除尘系统</w:t>
      </w:r>
      <w:r>
        <w:rPr>
          <w:rFonts w:ascii="Times New Roman" w:hAnsi="Times New Roman"/>
          <w:spacing w:val="-2"/>
          <w:kern w:val="0"/>
          <w:sz w:val="24"/>
          <w:szCs w:val="24"/>
          <w:u w:val="single"/>
        </w:rPr>
        <w:t>年排放废气量为</w:t>
      </w:r>
      <w:r>
        <w:rPr>
          <w:rFonts w:hint="eastAsia" w:ascii="Times New Roman" w:hAnsi="Times New Roman"/>
          <w:spacing w:val="-2"/>
          <w:kern w:val="0"/>
          <w:sz w:val="24"/>
          <w:szCs w:val="24"/>
          <w:u w:val="single"/>
        </w:rPr>
        <w:t>3840</w:t>
      </w:r>
      <w:r>
        <w:rPr>
          <w:rFonts w:ascii="Times New Roman" w:hAnsi="Times New Roman"/>
          <w:spacing w:val="-2"/>
          <w:kern w:val="0"/>
          <w:sz w:val="24"/>
          <w:szCs w:val="24"/>
          <w:u w:val="single"/>
        </w:rPr>
        <w:t>万m</w:t>
      </w:r>
      <w:r>
        <w:rPr>
          <w:rFonts w:ascii="Times New Roman" w:hAnsi="Times New Roman"/>
          <w:spacing w:val="-2"/>
          <w:kern w:val="0"/>
          <w:sz w:val="24"/>
          <w:szCs w:val="24"/>
          <w:u w:val="single"/>
          <w:vertAlign w:val="superscript"/>
        </w:rPr>
        <w:t>3</w:t>
      </w:r>
      <w:r>
        <w:rPr>
          <w:rFonts w:ascii="Times New Roman" w:hAnsi="Times New Roman"/>
          <w:spacing w:val="-2"/>
          <w:kern w:val="0"/>
          <w:sz w:val="24"/>
          <w:szCs w:val="24"/>
          <w:u w:val="single"/>
        </w:rPr>
        <w:t>/a，</w:t>
      </w:r>
      <w:r>
        <w:rPr>
          <w:rFonts w:ascii="Times New Roman" w:hAnsi="Times New Roman"/>
          <w:spacing w:val="-2"/>
          <w:kern w:val="0"/>
          <w:sz w:val="24"/>
          <w:szCs w:val="24"/>
        </w:rPr>
        <w:t>处理后的生产车间粉尘废气</w:t>
      </w:r>
      <w:r>
        <w:rPr>
          <w:rFonts w:hint="eastAsia" w:ascii="Times New Roman" w:hAnsi="Times New Roman"/>
          <w:spacing w:val="-2"/>
          <w:kern w:val="0"/>
          <w:sz w:val="24"/>
          <w:szCs w:val="24"/>
        </w:rPr>
        <w:t>分别</w:t>
      </w:r>
      <w:r>
        <w:rPr>
          <w:rFonts w:ascii="Times New Roman" w:hAnsi="Times New Roman"/>
          <w:spacing w:val="-2"/>
          <w:kern w:val="0"/>
          <w:sz w:val="24"/>
          <w:szCs w:val="24"/>
        </w:rPr>
        <w:t>通过</w:t>
      </w:r>
      <w:r>
        <w:rPr>
          <w:rFonts w:hint="eastAsia" w:ascii="Times New Roman" w:hAnsi="Times New Roman"/>
          <w:spacing w:val="-2"/>
          <w:kern w:val="0"/>
          <w:sz w:val="24"/>
          <w:szCs w:val="24"/>
        </w:rPr>
        <w:t>两根</w:t>
      </w:r>
      <w:r>
        <w:rPr>
          <w:rFonts w:ascii="Times New Roman" w:hAnsi="Times New Roman"/>
          <w:spacing w:val="-2"/>
          <w:kern w:val="0"/>
          <w:sz w:val="24"/>
          <w:szCs w:val="24"/>
        </w:rPr>
        <w:t>1</w:t>
      </w:r>
      <w:r>
        <w:rPr>
          <w:rFonts w:hint="eastAsia" w:ascii="Times New Roman" w:hAnsi="Times New Roman"/>
          <w:spacing w:val="-2"/>
          <w:kern w:val="0"/>
          <w:sz w:val="24"/>
          <w:szCs w:val="24"/>
        </w:rPr>
        <w:t>9</w:t>
      </w:r>
      <w:r>
        <w:rPr>
          <w:rFonts w:ascii="Times New Roman" w:hAnsi="Times New Roman"/>
          <w:spacing w:val="-2"/>
          <w:kern w:val="0"/>
          <w:sz w:val="24"/>
          <w:szCs w:val="24"/>
        </w:rPr>
        <w:t>m高、直径0.</w:t>
      </w:r>
      <w:r>
        <w:rPr>
          <w:rFonts w:hint="eastAsia" w:ascii="Times New Roman" w:hAnsi="Times New Roman"/>
          <w:spacing w:val="-2"/>
          <w:kern w:val="0"/>
          <w:sz w:val="24"/>
          <w:szCs w:val="24"/>
        </w:rPr>
        <w:t>3</w:t>
      </w:r>
      <w:r>
        <w:rPr>
          <w:rFonts w:ascii="Times New Roman" w:hAnsi="Times New Roman"/>
          <w:spacing w:val="-2"/>
          <w:kern w:val="0"/>
          <w:sz w:val="24"/>
          <w:szCs w:val="24"/>
        </w:rPr>
        <w:t>m的排气筒（DA002</w:t>
      </w:r>
      <w:r>
        <w:rPr>
          <w:rFonts w:hint="eastAsia" w:ascii="Times New Roman" w:hAnsi="Times New Roman"/>
          <w:spacing w:val="-2"/>
          <w:kern w:val="0"/>
          <w:sz w:val="24"/>
          <w:szCs w:val="24"/>
        </w:rPr>
        <w:t>、DA003</w:t>
      </w:r>
      <w:r>
        <w:rPr>
          <w:rFonts w:ascii="Times New Roman" w:hAnsi="Times New Roman"/>
          <w:spacing w:val="-2"/>
          <w:kern w:val="0"/>
          <w:sz w:val="24"/>
          <w:szCs w:val="24"/>
        </w:rPr>
        <w:t>）排放，排气筒位置</w:t>
      </w:r>
      <w:r>
        <w:rPr>
          <w:rFonts w:hint="eastAsia" w:ascii="Times New Roman" w:hAnsi="Times New Roman"/>
          <w:spacing w:val="-2"/>
          <w:kern w:val="0"/>
          <w:sz w:val="24"/>
          <w:szCs w:val="24"/>
        </w:rPr>
        <w:t>分别</w:t>
      </w:r>
      <w:r>
        <w:rPr>
          <w:rFonts w:ascii="Times New Roman" w:hAnsi="Times New Roman"/>
          <w:spacing w:val="-2"/>
          <w:kern w:val="0"/>
          <w:sz w:val="24"/>
          <w:szCs w:val="24"/>
        </w:rPr>
        <w:t>位于</w:t>
      </w:r>
      <w:r>
        <w:rPr>
          <w:rFonts w:hint="eastAsia" w:ascii="Times New Roman" w:hAnsi="Times New Roman"/>
          <w:spacing w:val="-2"/>
          <w:kern w:val="0"/>
          <w:sz w:val="24"/>
          <w:szCs w:val="24"/>
        </w:rPr>
        <w:t>1#原料处理车间、</w:t>
      </w:r>
      <w:r>
        <w:rPr>
          <w:rFonts w:ascii="Times New Roman" w:hAnsi="Times New Roman"/>
          <w:spacing w:val="-2"/>
          <w:kern w:val="0"/>
          <w:sz w:val="24"/>
          <w:szCs w:val="24"/>
        </w:rPr>
        <w:t>2#分选车间北侧厂房外。</w:t>
      </w:r>
    </w:p>
    <w:p w14:paraId="589037C8">
      <w:pPr>
        <w:snapToGrid w:val="0"/>
        <w:spacing w:line="348" w:lineRule="auto"/>
        <w:ind w:firstLine="480"/>
        <w:rPr>
          <w:rFonts w:ascii="Times New Roman" w:hAnsi="Times New Roman"/>
          <w:spacing w:val="-2"/>
          <w:kern w:val="0"/>
          <w:sz w:val="24"/>
          <w:szCs w:val="24"/>
        </w:rPr>
      </w:pPr>
      <w:r>
        <w:rPr>
          <w:rFonts w:hint="eastAsia" w:ascii="Times New Roman" w:hAnsi="Times New Roman"/>
          <w:spacing w:val="-2"/>
          <w:kern w:val="0"/>
          <w:sz w:val="24"/>
          <w:szCs w:val="24"/>
          <w:u w:val="single"/>
        </w:rPr>
        <w:t>项目原料毛矿进厂集装箱拆箱卸货、精矿及中矿产品装车出厂均要求在车间内进行，装卸过程中必须关闭车间门，在封闭车间内进行装卸作业，降低车间内扬尘逸散到外环境的几率。项目车间的内物料装卸采用铲车进行装卸，在毛矿进厂卸车、铲车转运至烘干、铲车转运至磁选、铲车产品移堆等铲车装卸区域安装水雾喷淋系统降尘；在磁选机组两侧安装水雾喷淋系统除尘；在车间出入口处安装水雾喷淋系统除尘。水雾喷淋系统降尘率保守按30%估算。</w:t>
      </w:r>
      <w:r>
        <w:rPr>
          <w:rFonts w:ascii="Times New Roman" w:hAnsi="Times New Roman"/>
          <w:spacing w:val="-2"/>
          <w:kern w:val="0"/>
          <w:sz w:val="24"/>
          <w:szCs w:val="24"/>
        </w:rPr>
        <w:t>除尘系统集气罩未收集到的车间扬尘主要飘散在车间内2～</w:t>
      </w:r>
      <w:r>
        <w:rPr>
          <w:rFonts w:hint="eastAsia" w:ascii="Times New Roman" w:hAnsi="Times New Roman"/>
          <w:spacing w:val="-2"/>
          <w:kern w:val="0"/>
          <w:sz w:val="24"/>
          <w:szCs w:val="24"/>
        </w:rPr>
        <w:t>4</w:t>
      </w:r>
      <w:r>
        <w:rPr>
          <w:rFonts w:ascii="Times New Roman" w:hAnsi="Times New Roman"/>
          <w:spacing w:val="-2"/>
          <w:kern w:val="0"/>
          <w:sz w:val="24"/>
          <w:szCs w:val="24"/>
        </w:rPr>
        <w:t>m高的区域，项目的物料主要为含金属矿砂，产生的含金属粉尘的比重较大，具有重力沉降速度较快的特点。飘散在车间内的大部分矿砂粉尘，在无风扰动的</w:t>
      </w:r>
      <w:r>
        <w:rPr>
          <w:rFonts w:hint="eastAsia" w:ascii="Times New Roman" w:hAnsi="Times New Roman"/>
          <w:spacing w:val="-2"/>
          <w:kern w:val="0"/>
          <w:sz w:val="24"/>
          <w:szCs w:val="24"/>
        </w:rPr>
        <w:t>封闭</w:t>
      </w:r>
      <w:r>
        <w:rPr>
          <w:rFonts w:ascii="Times New Roman" w:hAnsi="Times New Roman"/>
          <w:spacing w:val="-2"/>
          <w:kern w:val="0"/>
          <w:sz w:val="24"/>
          <w:szCs w:val="24"/>
        </w:rPr>
        <w:t>车间环境</w:t>
      </w:r>
      <w:r>
        <w:rPr>
          <w:rFonts w:hint="eastAsia" w:ascii="Times New Roman" w:hAnsi="Times New Roman"/>
          <w:spacing w:val="-2"/>
          <w:kern w:val="0"/>
          <w:sz w:val="24"/>
          <w:szCs w:val="24"/>
        </w:rPr>
        <w:t>大部分</w:t>
      </w:r>
      <w:r>
        <w:rPr>
          <w:rFonts w:ascii="Times New Roman" w:hAnsi="Times New Roman"/>
          <w:spacing w:val="-2"/>
          <w:kern w:val="0"/>
          <w:sz w:val="24"/>
          <w:szCs w:val="24"/>
        </w:rPr>
        <w:t>下沉降到地面，约10～15%的小粒径粉尘弥散至车间顶部换风口逸散到环境中，保守按15%的粉尘由车间换风口排放到环境，项目生产车间粉尘产排情况见表2.3-</w:t>
      </w:r>
      <w:r>
        <w:rPr>
          <w:rFonts w:hint="eastAsia" w:ascii="Times New Roman" w:hAnsi="Times New Roman"/>
          <w:spacing w:val="-2"/>
          <w:kern w:val="0"/>
          <w:sz w:val="24"/>
          <w:szCs w:val="24"/>
        </w:rPr>
        <w:t>6</w:t>
      </w:r>
      <w:r>
        <w:rPr>
          <w:rFonts w:ascii="Times New Roman" w:hAnsi="Times New Roman"/>
          <w:spacing w:val="-2"/>
          <w:kern w:val="0"/>
          <w:sz w:val="24"/>
          <w:szCs w:val="24"/>
        </w:rPr>
        <w:t>。</w:t>
      </w:r>
    </w:p>
    <w:p w14:paraId="2FB8CA59">
      <w:pPr>
        <w:pStyle w:val="8"/>
        <w:numPr>
          <w:ilvl w:val="4"/>
          <w:numId w:val="3"/>
        </w:numPr>
        <w:rPr>
          <w:sz w:val="24"/>
          <w:szCs w:val="24"/>
        </w:rPr>
      </w:pPr>
      <w:r>
        <w:rPr>
          <w:sz w:val="24"/>
          <w:szCs w:val="24"/>
        </w:rPr>
        <w:t>项目生产车间粉尘产生量估算结果表</w:t>
      </w:r>
    </w:p>
    <w:tbl>
      <w:tblPr>
        <w:tblStyle w:val="89"/>
        <w:tblW w:w="904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86"/>
        <w:gridCol w:w="993"/>
        <w:gridCol w:w="1060"/>
        <w:gridCol w:w="1060"/>
        <w:gridCol w:w="1060"/>
        <w:gridCol w:w="1060"/>
        <w:gridCol w:w="1060"/>
        <w:gridCol w:w="1061"/>
      </w:tblGrid>
      <w:tr w14:paraId="4CEC3D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1686" w:type="dxa"/>
            <w:vMerge w:val="restart"/>
            <w:vAlign w:val="center"/>
          </w:tcPr>
          <w:p w14:paraId="5F37983D">
            <w:pPr>
              <w:snapToGrid w:val="0"/>
              <w:jc w:val="center"/>
              <w:rPr>
                <w:rFonts w:ascii="Times New Roman" w:hAnsi="Times New Roman"/>
                <w:b/>
                <w:bCs/>
                <w:spacing w:val="-2"/>
                <w:kern w:val="0"/>
                <w:szCs w:val="21"/>
              </w:rPr>
            </w:pPr>
            <w:r>
              <w:rPr>
                <w:rFonts w:ascii="Times New Roman" w:hAnsi="Times New Roman"/>
                <w:b/>
                <w:bCs/>
                <w:spacing w:val="-2"/>
                <w:kern w:val="0"/>
                <w:szCs w:val="21"/>
              </w:rPr>
              <w:t>产尘工序</w:t>
            </w:r>
          </w:p>
        </w:tc>
        <w:tc>
          <w:tcPr>
            <w:tcW w:w="993" w:type="dxa"/>
            <w:vMerge w:val="restart"/>
            <w:vAlign w:val="center"/>
          </w:tcPr>
          <w:p w14:paraId="72D8492E">
            <w:pPr>
              <w:snapToGrid w:val="0"/>
              <w:jc w:val="center"/>
              <w:rPr>
                <w:rFonts w:ascii="Times New Roman" w:hAnsi="Times New Roman"/>
                <w:b/>
                <w:bCs/>
                <w:spacing w:val="-2"/>
                <w:kern w:val="0"/>
                <w:szCs w:val="21"/>
              </w:rPr>
            </w:pPr>
            <w:r>
              <w:rPr>
                <w:rFonts w:ascii="Times New Roman" w:hAnsi="Times New Roman"/>
                <w:b/>
                <w:bCs/>
                <w:spacing w:val="-2"/>
                <w:kern w:val="0"/>
                <w:szCs w:val="21"/>
              </w:rPr>
              <w:t>扬尘产生量（t/a）</w:t>
            </w:r>
          </w:p>
        </w:tc>
        <w:tc>
          <w:tcPr>
            <w:tcW w:w="3180" w:type="dxa"/>
            <w:gridSpan w:val="3"/>
            <w:vAlign w:val="center"/>
          </w:tcPr>
          <w:p w14:paraId="6E7C4E90">
            <w:pPr>
              <w:snapToGrid w:val="0"/>
              <w:jc w:val="center"/>
              <w:rPr>
                <w:rFonts w:ascii="Times New Roman" w:hAnsi="Times New Roman"/>
                <w:b/>
                <w:bCs/>
                <w:spacing w:val="-2"/>
                <w:kern w:val="0"/>
                <w:szCs w:val="21"/>
              </w:rPr>
            </w:pPr>
            <w:r>
              <w:rPr>
                <w:rFonts w:ascii="Times New Roman" w:hAnsi="Times New Roman"/>
                <w:b/>
                <w:bCs/>
                <w:spacing w:val="-2"/>
                <w:kern w:val="0"/>
                <w:szCs w:val="21"/>
              </w:rPr>
              <w:t>有组织排放情况（t/a）</w:t>
            </w:r>
          </w:p>
        </w:tc>
        <w:tc>
          <w:tcPr>
            <w:tcW w:w="3181" w:type="dxa"/>
            <w:gridSpan w:val="3"/>
            <w:vAlign w:val="center"/>
          </w:tcPr>
          <w:p w14:paraId="31DED709">
            <w:pPr>
              <w:snapToGrid w:val="0"/>
              <w:jc w:val="center"/>
              <w:rPr>
                <w:rFonts w:ascii="Times New Roman" w:hAnsi="Times New Roman"/>
                <w:b/>
                <w:bCs/>
                <w:spacing w:val="-2"/>
                <w:kern w:val="0"/>
                <w:szCs w:val="21"/>
              </w:rPr>
            </w:pPr>
            <w:r>
              <w:rPr>
                <w:rFonts w:ascii="Times New Roman" w:hAnsi="Times New Roman"/>
                <w:b/>
                <w:bCs/>
                <w:spacing w:val="-2"/>
                <w:kern w:val="0"/>
                <w:szCs w:val="21"/>
              </w:rPr>
              <w:t>无组织排放情况（t/a）</w:t>
            </w:r>
          </w:p>
        </w:tc>
      </w:tr>
      <w:tr w14:paraId="52B257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1686" w:type="dxa"/>
            <w:vMerge w:val="continue"/>
            <w:vAlign w:val="center"/>
          </w:tcPr>
          <w:p w14:paraId="1DF976D1">
            <w:pPr>
              <w:snapToGrid w:val="0"/>
              <w:jc w:val="center"/>
              <w:rPr>
                <w:rFonts w:ascii="Times New Roman" w:hAnsi="Times New Roman"/>
                <w:b/>
                <w:bCs/>
                <w:spacing w:val="-2"/>
                <w:kern w:val="0"/>
                <w:szCs w:val="21"/>
              </w:rPr>
            </w:pPr>
          </w:p>
        </w:tc>
        <w:tc>
          <w:tcPr>
            <w:tcW w:w="993" w:type="dxa"/>
            <w:vMerge w:val="continue"/>
            <w:vAlign w:val="center"/>
          </w:tcPr>
          <w:p w14:paraId="064FE55A">
            <w:pPr>
              <w:snapToGrid w:val="0"/>
              <w:jc w:val="center"/>
              <w:rPr>
                <w:rFonts w:ascii="Times New Roman" w:hAnsi="Times New Roman"/>
                <w:b/>
                <w:bCs/>
                <w:spacing w:val="-2"/>
                <w:kern w:val="0"/>
                <w:szCs w:val="21"/>
              </w:rPr>
            </w:pPr>
          </w:p>
        </w:tc>
        <w:tc>
          <w:tcPr>
            <w:tcW w:w="1060" w:type="dxa"/>
            <w:vAlign w:val="center"/>
          </w:tcPr>
          <w:p w14:paraId="421E74BA">
            <w:pPr>
              <w:snapToGrid w:val="0"/>
              <w:jc w:val="center"/>
              <w:rPr>
                <w:rFonts w:ascii="Times New Roman" w:hAnsi="Times New Roman"/>
                <w:b/>
                <w:bCs/>
                <w:spacing w:val="-2"/>
                <w:kern w:val="0"/>
                <w:szCs w:val="21"/>
              </w:rPr>
            </w:pPr>
            <w:r>
              <w:rPr>
                <w:rFonts w:ascii="Times New Roman" w:hAnsi="Times New Roman"/>
                <w:b/>
                <w:bCs/>
                <w:spacing w:val="-2"/>
                <w:kern w:val="0"/>
                <w:szCs w:val="21"/>
              </w:rPr>
              <w:t>集气罩</w:t>
            </w:r>
          </w:p>
          <w:p w14:paraId="2570E4E7">
            <w:pPr>
              <w:snapToGrid w:val="0"/>
              <w:jc w:val="center"/>
              <w:rPr>
                <w:rFonts w:ascii="Times New Roman" w:hAnsi="Times New Roman"/>
                <w:b/>
                <w:bCs/>
                <w:spacing w:val="-2"/>
                <w:kern w:val="0"/>
                <w:szCs w:val="21"/>
              </w:rPr>
            </w:pPr>
            <w:r>
              <w:rPr>
                <w:rFonts w:ascii="Times New Roman" w:hAnsi="Times New Roman"/>
                <w:b/>
                <w:bCs/>
                <w:spacing w:val="-2"/>
                <w:kern w:val="0"/>
                <w:szCs w:val="21"/>
              </w:rPr>
              <w:t>捕集扬尘</w:t>
            </w:r>
          </w:p>
        </w:tc>
        <w:tc>
          <w:tcPr>
            <w:tcW w:w="1060" w:type="dxa"/>
            <w:vAlign w:val="center"/>
          </w:tcPr>
          <w:p w14:paraId="770A49E1">
            <w:pPr>
              <w:snapToGrid w:val="0"/>
              <w:jc w:val="center"/>
              <w:rPr>
                <w:rFonts w:ascii="Times New Roman" w:hAnsi="Times New Roman"/>
                <w:b/>
                <w:bCs/>
                <w:spacing w:val="-2"/>
                <w:kern w:val="0"/>
                <w:szCs w:val="21"/>
              </w:rPr>
            </w:pPr>
            <w:r>
              <w:rPr>
                <w:rFonts w:ascii="Times New Roman" w:hAnsi="Times New Roman"/>
                <w:b/>
                <w:bCs/>
                <w:spacing w:val="-2"/>
                <w:kern w:val="0"/>
                <w:szCs w:val="21"/>
              </w:rPr>
              <w:t>布袋截获扬尘</w:t>
            </w:r>
          </w:p>
        </w:tc>
        <w:tc>
          <w:tcPr>
            <w:tcW w:w="1060" w:type="dxa"/>
            <w:vAlign w:val="center"/>
          </w:tcPr>
          <w:p w14:paraId="60C14661">
            <w:pPr>
              <w:snapToGrid w:val="0"/>
              <w:jc w:val="center"/>
              <w:rPr>
                <w:rFonts w:ascii="Times New Roman" w:hAnsi="Times New Roman"/>
                <w:b/>
                <w:bCs/>
                <w:spacing w:val="-2"/>
                <w:kern w:val="0"/>
                <w:szCs w:val="21"/>
              </w:rPr>
            </w:pPr>
            <w:r>
              <w:rPr>
                <w:rFonts w:ascii="Times New Roman" w:hAnsi="Times New Roman"/>
                <w:b/>
                <w:bCs/>
                <w:spacing w:val="-2"/>
                <w:kern w:val="0"/>
                <w:szCs w:val="21"/>
              </w:rPr>
              <w:t>除尘器排气筒排放粉尘</w:t>
            </w:r>
          </w:p>
        </w:tc>
        <w:tc>
          <w:tcPr>
            <w:tcW w:w="1060" w:type="dxa"/>
            <w:vAlign w:val="center"/>
          </w:tcPr>
          <w:p w14:paraId="71B5EB00">
            <w:pPr>
              <w:snapToGrid w:val="0"/>
              <w:jc w:val="center"/>
              <w:rPr>
                <w:rFonts w:ascii="Times New Roman" w:hAnsi="Times New Roman"/>
                <w:b/>
                <w:bCs/>
                <w:spacing w:val="-2"/>
                <w:kern w:val="0"/>
                <w:szCs w:val="21"/>
              </w:rPr>
            </w:pPr>
            <w:r>
              <w:rPr>
                <w:rFonts w:ascii="Times New Roman" w:hAnsi="Times New Roman"/>
                <w:b/>
                <w:bCs/>
                <w:spacing w:val="-2"/>
                <w:kern w:val="0"/>
                <w:szCs w:val="21"/>
              </w:rPr>
              <w:t>未铺集车间扬尘</w:t>
            </w:r>
          </w:p>
        </w:tc>
        <w:tc>
          <w:tcPr>
            <w:tcW w:w="1060" w:type="dxa"/>
            <w:vAlign w:val="center"/>
          </w:tcPr>
          <w:p w14:paraId="6B055130">
            <w:pPr>
              <w:snapToGrid w:val="0"/>
              <w:jc w:val="center"/>
              <w:rPr>
                <w:rFonts w:ascii="Times New Roman" w:hAnsi="Times New Roman"/>
                <w:b/>
                <w:bCs/>
                <w:spacing w:val="-2"/>
                <w:kern w:val="0"/>
                <w:szCs w:val="21"/>
              </w:rPr>
            </w:pPr>
            <w:r>
              <w:rPr>
                <w:rFonts w:ascii="Times New Roman" w:hAnsi="Times New Roman"/>
                <w:b/>
                <w:bCs/>
                <w:spacing w:val="-2"/>
                <w:kern w:val="0"/>
                <w:szCs w:val="21"/>
              </w:rPr>
              <w:t>沉降地面扬尘</w:t>
            </w:r>
          </w:p>
        </w:tc>
        <w:tc>
          <w:tcPr>
            <w:tcW w:w="1061" w:type="dxa"/>
            <w:vAlign w:val="center"/>
          </w:tcPr>
          <w:p w14:paraId="460897BF">
            <w:pPr>
              <w:snapToGrid w:val="0"/>
              <w:jc w:val="center"/>
              <w:rPr>
                <w:rFonts w:ascii="Times New Roman" w:hAnsi="Times New Roman"/>
                <w:b/>
                <w:bCs/>
                <w:spacing w:val="-2"/>
                <w:kern w:val="0"/>
                <w:szCs w:val="21"/>
              </w:rPr>
            </w:pPr>
            <w:r>
              <w:rPr>
                <w:rFonts w:ascii="Times New Roman" w:hAnsi="Times New Roman"/>
                <w:b/>
                <w:bCs/>
                <w:spacing w:val="-2"/>
                <w:kern w:val="0"/>
                <w:szCs w:val="21"/>
              </w:rPr>
              <w:t>无组织逸散到环境粉尘</w:t>
            </w:r>
          </w:p>
        </w:tc>
      </w:tr>
      <w:tr w14:paraId="65649D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1686" w:type="dxa"/>
            <w:vAlign w:val="center"/>
          </w:tcPr>
          <w:p w14:paraId="1EC90192">
            <w:pPr>
              <w:snapToGrid w:val="0"/>
              <w:jc w:val="center"/>
              <w:rPr>
                <w:rFonts w:ascii="Times New Roman" w:hAnsi="Times New Roman"/>
                <w:spacing w:val="-2"/>
                <w:kern w:val="0"/>
                <w:szCs w:val="21"/>
                <w:u w:val="single"/>
              </w:rPr>
            </w:pPr>
            <w:r>
              <w:rPr>
                <w:rFonts w:hint="eastAsia"/>
                <w:szCs w:val="21"/>
                <w:u w:val="single"/>
              </w:rPr>
              <w:t>毛矿进厂卸车</w:t>
            </w:r>
          </w:p>
        </w:tc>
        <w:tc>
          <w:tcPr>
            <w:tcW w:w="993" w:type="dxa"/>
            <w:vAlign w:val="center"/>
          </w:tcPr>
          <w:p w14:paraId="204E0C0B">
            <w:pPr>
              <w:snapToGrid w:val="0"/>
              <w:jc w:val="center"/>
              <w:rPr>
                <w:rFonts w:ascii="Times New Roman" w:hAnsi="Times New Roman"/>
                <w:spacing w:val="-2"/>
                <w:kern w:val="0"/>
                <w:szCs w:val="21"/>
                <w:u w:val="single"/>
              </w:rPr>
            </w:pPr>
            <w:r>
              <w:rPr>
                <w:rFonts w:ascii="Times New Roman" w:hAnsi="Times New Roman" w:eastAsia="等线"/>
                <w:szCs w:val="21"/>
                <w:u w:val="single"/>
              </w:rPr>
              <w:t>0.31</w:t>
            </w:r>
          </w:p>
        </w:tc>
        <w:tc>
          <w:tcPr>
            <w:tcW w:w="1060" w:type="dxa"/>
            <w:vAlign w:val="center"/>
          </w:tcPr>
          <w:p w14:paraId="6D30B8D7">
            <w:pPr>
              <w:snapToGrid w:val="0"/>
              <w:jc w:val="center"/>
              <w:rPr>
                <w:rFonts w:ascii="Times New Roman" w:hAnsi="Times New Roman"/>
                <w:spacing w:val="-2"/>
                <w:kern w:val="0"/>
                <w:szCs w:val="21"/>
                <w:u w:val="single"/>
              </w:rPr>
            </w:pPr>
            <w:r>
              <w:rPr>
                <w:rFonts w:ascii="Times New Roman" w:hAnsi="Times New Roman" w:eastAsia="等线"/>
                <w:szCs w:val="21"/>
                <w:u w:val="single"/>
              </w:rPr>
              <w:t>0</w:t>
            </w:r>
          </w:p>
        </w:tc>
        <w:tc>
          <w:tcPr>
            <w:tcW w:w="1060" w:type="dxa"/>
            <w:vAlign w:val="center"/>
          </w:tcPr>
          <w:p w14:paraId="01300ED0">
            <w:pPr>
              <w:snapToGrid w:val="0"/>
              <w:jc w:val="center"/>
              <w:rPr>
                <w:rFonts w:ascii="Times New Roman" w:hAnsi="Times New Roman"/>
                <w:spacing w:val="-2"/>
                <w:kern w:val="0"/>
                <w:szCs w:val="21"/>
                <w:u w:val="single"/>
              </w:rPr>
            </w:pPr>
            <w:r>
              <w:rPr>
                <w:rFonts w:ascii="Times New Roman" w:hAnsi="Times New Roman" w:eastAsia="等线"/>
                <w:szCs w:val="21"/>
                <w:u w:val="single"/>
              </w:rPr>
              <w:t>0</w:t>
            </w:r>
          </w:p>
        </w:tc>
        <w:tc>
          <w:tcPr>
            <w:tcW w:w="1060" w:type="dxa"/>
            <w:vAlign w:val="center"/>
          </w:tcPr>
          <w:p w14:paraId="2BB4FB09">
            <w:pPr>
              <w:snapToGrid w:val="0"/>
              <w:jc w:val="center"/>
              <w:rPr>
                <w:rFonts w:ascii="Times New Roman" w:hAnsi="Times New Roman"/>
                <w:spacing w:val="-2"/>
                <w:kern w:val="0"/>
                <w:szCs w:val="21"/>
                <w:u w:val="single"/>
              </w:rPr>
            </w:pPr>
            <w:r>
              <w:rPr>
                <w:rFonts w:ascii="Times New Roman" w:hAnsi="Times New Roman" w:eastAsia="等线"/>
                <w:szCs w:val="21"/>
                <w:u w:val="single"/>
              </w:rPr>
              <w:t>0</w:t>
            </w:r>
          </w:p>
        </w:tc>
        <w:tc>
          <w:tcPr>
            <w:tcW w:w="1060" w:type="dxa"/>
            <w:vAlign w:val="center"/>
          </w:tcPr>
          <w:p w14:paraId="590F47F5">
            <w:pPr>
              <w:snapToGrid w:val="0"/>
              <w:jc w:val="center"/>
              <w:rPr>
                <w:rFonts w:ascii="Times New Roman" w:hAnsi="Times New Roman"/>
                <w:spacing w:val="-2"/>
                <w:kern w:val="0"/>
                <w:szCs w:val="21"/>
                <w:u w:val="single"/>
              </w:rPr>
            </w:pPr>
            <w:r>
              <w:rPr>
                <w:rFonts w:ascii="Times New Roman" w:hAnsi="Times New Roman" w:eastAsia="等线"/>
                <w:szCs w:val="21"/>
                <w:u w:val="single"/>
              </w:rPr>
              <w:t>0.31</w:t>
            </w:r>
          </w:p>
        </w:tc>
        <w:tc>
          <w:tcPr>
            <w:tcW w:w="1060" w:type="dxa"/>
            <w:vAlign w:val="center"/>
          </w:tcPr>
          <w:p w14:paraId="3A48767B">
            <w:pPr>
              <w:snapToGrid w:val="0"/>
              <w:jc w:val="center"/>
              <w:rPr>
                <w:rFonts w:ascii="Times New Roman" w:hAnsi="Times New Roman"/>
                <w:spacing w:val="-2"/>
                <w:kern w:val="0"/>
                <w:szCs w:val="21"/>
                <w:u w:val="single"/>
              </w:rPr>
            </w:pPr>
            <w:r>
              <w:rPr>
                <w:rFonts w:ascii="Times New Roman" w:hAnsi="Times New Roman" w:eastAsia="等线"/>
                <w:szCs w:val="21"/>
                <w:u w:val="single"/>
              </w:rPr>
              <w:t>0.2775</w:t>
            </w:r>
          </w:p>
        </w:tc>
        <w:tc>
          <w:tcPr>
            <w:tcW w:w="1061" w:type="dxa"/>
            <w:vAlign w:val="center"/>
          </w:tcPr>
          <w:p w14:paraId="08F62135">
            <w:pPr>
              <w:snapToGrid w:val="0"/>
              <w:jc w:val="center"/>
              <w:rPr>
                <w:rFonts w:ascii="Times New Roman" w:hAnsi="Times New Roman"/>
                <w:spacing w:val="-2"/>
                <w:kern w:val="0"/>
                <w:szCs w:val="21"/>
                <w:u w:val="single"/>
              </w:rPr>
            </w:pPr>
            <w:r>
              <w:rPr>
                <w:rFonts w:ascii="Times New Roman" w:hAnsi="Times New Roman" w:eastAsia="等线"/>
                <w:szCs w:val="21"/>
                <w:u w:val="single"/>
              </w:rPr>
              <w:t>0.0325</w:t>
            </w:r>
          </w:p>
        </w:tc>
      </w:tr>
      <w:tr w14:paraId="7A7C9A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1686" w:type="dxa"/>
            <w:vAlign w:val="center"/>
          </w:tcPr>
          <w:p w14:paraId="5FFC5BD9">
            <w:pPr>
              <w:snapToGrid w:val="0"/>
              <w:jc w:val="center"/>
              <w:rPr>
                <w:rFonts w:ascii="Times New Roman" w:hAnsi="Times New Roman"/>
                <w:spacing w:val="-2"/>
                <w:kern w:val="0"/>
                <w:szCs w:val="21"/>
                <w:u w:val="single"/>
              </w:rPr>
            </w:pPr>
            <w:r>
              <w:rPr>
                <w:rFonts w:hint="eastAsia"/>
                <w:szCs w:val="21"/>
                <w:u w:val="single"/>
              </w:rPr>
              <w:t>铲车转运至烘干</w:t>
            </w:r>
          </w:p>
        </w:tc>
        <w:tc>
          <w:tcPr>
            <w:tcW w:w="993" w:type="dxa"/>
            <w:vAlign w:val="center"/>
          </w:tcPr>
          <w:p w14:paraId="6F5C6DD1">
            <w:pPr>
              <w:snapToGrid w:val="0"/>
              <w:jc w:val="center"/>
              <w:rPr>
                <w:rFonts w:ascii="Times New Roman" w:hAnsi="Times New Roman"/>
                <w:spacing w:val="-2"/>
                <w:kern w:val="0"/>
                <w:szCs w:val="21"/>
                <w:u w:val="single"/>
              </w:rPr>
            </w:pPr>
            <w:r>
              <w:rPr>
                <w:rFonts w:ascii="Times New Roman" w:hAnsi="Times New Roman" w:eastAsia="等线"/>
                <w:szCs w:val="21"/>
                <w:u w:val="single"/>
              </w:rPr>
              <w:t>0.31</w:t>
            </w:r>
          </w:p>
        </w:tc>
        <w:tc>
          <w:tcPr>
            <w:tcW w:w="1060" w:type="dxa"/>
            <w:vAlign w:val="center"/>
          </w:tcPr>
          <w:p w14:paraId="47EDF0E6">
            <w:pPr>
              <w:snapToGrid w:val="0"/>
              <w:jc w:val="center"/>
              <w:rPr>
                <w:rFonts w:ascii="Times New Roman" w:hAnsi="Times New Roman"/>
                <w:spacing w:val="-2"/>
                <w:kern w:val="0"/>
                <w:szCs w:val="21"/>
                <w:u w:val="single"/>
              </w:rPr>
            </w:pPr>
            <w:r>
              <w:rPr>
                <w:rFonts w:ascii="Times New Roman" w:hAnsi="Times New Roman" w:eastAsia="等线"/>
                <w:szCs w:val="21"/>
                <w:u w:val="single"/>
              </w:rPr>
              <w:t>0</w:t>
            </w:r>
          </w:p>
        </w:tc>
        <w:tc>
          <w:tcPr>
            <w:tcW w:w="1060" w:type="dxa"/>
            <w:vAlign w:val="center"/>
          </w:tcPr>
          <w:p w14:paraId="0E3F78B5">
            <w:pPr>
              <w:snapToGrid w:val="0"/>
              <w:jc w:val="center"/>
              <w:rPr>
                <w:rFonts w:ascii="Times New Roman" w:hAnsi="Times New Roman"/>
                <w:spacing w:val="-2"/>
                <w:kern w:val="0"/>
                <w:szCs w:val="21"/>
                <w:u w:val="single"/>
              </w:rPr>
            </w:pPr>
            <w:r>
              <w:rPr>
                <w:rFonts w:ascii="Times New Roman" w:hAnsi="Times New Roman" w:eastAsia="等线"/>
                <w:szCs w:val="21"/>
                <w:u w:val="single"/>
              </w:rPr>
              <w:t>0</w:t>
            </w:r>
          </w:p>
        </w:tc>
        <w:tc>
          <w:tcPr>
            <w:tcW w:w="1060" w:type="dxa"/>
            <w:vAlign w:val="center"/>
          </w:tcPr>
          <w:p w14:paraId="3406605E">
            <w:pPr>
              <w:snapToGrid w:val="0"/>
              <w:jc w:val="center"/>
              <w:rPr>
                <w:rFonts w:ascii="Times New Roman" w:hAnsi="Times New Roman"/>
                <w:spacing w:val="-2"/>
                <w:kern w:val="0"/>
                <w:szCs w:val="21"/>
                <w:u w:val="single"/>
              </w:rPr>
            </w:pPr>
            <w:r>
              <w:rPr>
                <w:rFonts w:ascii="Times New Roman" w:hAnsi="Times New Roman" w:eastAsia="等线"/>
                <w:szCs w:val="21"/>
                <w:u w:val="single"/>
              </w:rPr>
              <w:t>0</w:t>
            </w:r>
          </w:p>
        </w:tc>
        <w:tc>
          <w:tcPr>
            <w:tcW w:w="1060" w:type="dxa"/>
            <w:vAlign w:val="center"/>
          </w:tcPr>
          <w:p w14:paraId="73ABBADB">
            <w:pPr>
              <w:snapToGrid w:val="0"/>
              <w:jc w:val="center"/>
              <w:rPr>
                <w:rFonts w:ascii="Times New Roman" w:hAnsi="Times New Roman"/>
                <w:spacing w:val="-2"/>
                <w:kern w:val="0"/>
                <w:szCs w:val="21"/>
                <w:u w:val="single"/>
              </w:rPr>
            </w:pPr>
            <w:r>
              <w:rPr>
                <w:rFonts w:ascii="Times New Roman" w:hAnsi="Times New Roman" w:eastAsia="等线"/>
                <w:szCs w:val="21"/>
                <w:u w:val="single"/>
              </w:rPr>
              <w:t>0.31</w:t>
            </w:r>
          </w:p>
        </w:tc>
        <w:tc>
          <w:tcPr>
            <w:tcW w:w="1060" w:type="dxa"/>
            <w:vAlign w:val="center"/>
          </w:tcPr>
          <w:p w14:paraId="1E2C530E">
            <w:pPr>
              <w:snapToGrid w:val="0"/>
              <w:jc w:val="center"/>
              <w:rPr>
                <w:rFonts w:ascii="Times New Roman" w:hAnsi="Times New Roman"/>
                <w:spacing w:val="-2"/>
                <w:kern w:val="0"/>
                <w:szCs w:val="21"/>
                <w:u w:val="single"/>
              </w:rPr>
            </w:pPr>
            <w:r>
              <w:rPr>
                <w:rFonts w:ascii="Times New Roman" w:hAnsi="Times New Roman" w:eastAsia="等线"/>
                <w:szCs w:val="21"/>
                <w:u w:val="single"/>
              </w:rPr>
              <w:t>0.2775</w:t>
            </w:r>
          </w:p>
        </w:tc>
        <w:tc>
          <w:tcPr>
            <w:tcW w:w="1061" w:type="dxa"/>
            <w:vAlign w:val="center"/>
          </w:tcPr>
          <w:p w14:paraId="257AFE5A">
            <w:pPr>
              <w:snapToGrid w:val="0"/>
              <w:jc w:val="center"/>
              <w:rPr>
                <w:rFonts w:ascii="Times New Roman" w:hAnsi="Times New Roman"/>
                <w:spacing w:val="-2"/>
                <w:kern w:val="0"/>
                <w:szCs w:val="21"/>
                <w:u w:val="single"/>
              </w:rPr>
            </w:pPr>
            <w:r>
              <w:rPr>
                <w:rFonts w:ascii="Times New Roman" w:hAnsi="Times New Roman" w:eastAsia="等线"/>
                <w:szCs w:val="21"/>
                <w:u w:val="single"/>
              </w:rPr>
              <w:t>0.0325</w:t>
            </w:r>
          </w:p>
        </w:tc>
      </w:tr>
      <w:tr w14:paraId="486DF8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1686" w:type="dxa"/>
            <w:vAlign w:val="center"/>
          </w:tcPr>
          <w:p w14:paraId="0E2E2E20">
            <w:pPr>
              <w:snapToGrid w:val="0"/>
              <w:jc w:val="center"/>
              <w:rPr>
                <w:rFonts w:ascii="Times New Roman" w:hAnsi="Times New Roman"/>
                <w:spacing w:val="-2"/>
                <w:kern w:val="0"/>
                <w:szCs w:val="21"/>
                <w:u w:val="single"/>
              </w:rPr>
            </w:pPr>
            <w:r>
              <w:rPr>
                <w:rFonts w:hint="eastAsia"/>
                <w:szCs w:val="21"/>
                <w:u w:val="single"/>
              </w:rPr>
              <w:t>烘干机进料</w:t>
            </w:r>
          </w:p>
        </w:tc>
        <w:tc>
          <w:tcPr>
            <w:tcW w:w="993" w:type="dxa"/>
            <w:vAlign w:val="center"/>
          </w:tcPr>
          <w:p w14:paraId="1CAC279E">
            <w:pPr>
              <w:snapToGrid w:val="0"/>
              <w:jc w:val="center"/>
              <w:rPr>
                <w:rFonts w:ascii="Times New Roman" w:hAnsi="Times New Roman"/>
                <w:spacing w:val="-2"/>
                <w:kern w:val="0"/>
                <w:szCs w:val="21"/>
                <w:u w:val="single"/>
              </w:rPr>
            </w:pPr>
            <w:r>
              <w:rPr>
                <w:rFonts w:ascii="Times New Roman" w:hAnsi="Times New Roman" w:eastAsia="等线"/>
                <w:szCs w:val="21"/>
                <w:u w:val="single"/>
              </w:rPr>
              <w:t>0.31</w:t>
            </w:r>
          </w:p>
        </w:tc>
        <w:tc>
          <w:tcPr>
            <w:tcW w:w="1060" w:type="dxa"/>
            <w:vAlign w:val="center"/>
          </w:tcPr>
          <w:p w14:paraId="13788F66">
            <w:pPr>
              <w:snapToGrid w:val="0"/>
              <w:jc w:val="center"/>
              <w:rPr>
                <w:rFonts w:ascii="Times New Roman" w:hAnsi="Times New Roman"/>
                <w:spacing w:val="-2"/>
                <w:kern w:val="0"/>
                <w:szCs w:val="21"/>
                <w:u w:val="single"/>
              </w:rPr>
            </w:pPr>
            <w:r>
              <w:rPr>
                <w:rFonts w:ascii="Times New Roman" w:hAnsi="Times New Roman" w:eastAsia="等线"/>
                <w:szCs w:val="21"/>
                <w:u w:val="single"/>
              </w:rPr>
              <w:t>0.217</w:t>
            </w:r>
          </w:p>
        </w:tc>
        <w:tc>
          <w:tcPr>
            <w:tcW w:w="1060" w:type="dxa"/>
            <w:vAlign w:val="center"/>
          </w:tcPr>
          <w:p w14:paraId="1321FBF9">
            <w:pPr>
              <w:snapToGrid w:val="0"/>
              <w:jc w:val="center"/>
              <w:rPr>
                <w:rFonts w:ascii="Times New Roman" w:hAnsi="Times New Roman"/>
                <w:spacing w:val="-2"/>
                <w:kern w:val="0"/>
                <w:szCs w:val="21"/>
                <w:u w:val="single"/>
              </w:rPr>
            </w:pPr>
            <w:r>
              <w:rPr>
                <w:rFonts w:ascii="Times New Roman" w:hAnsi="Times New Roman" w:eastAsia="等线"/>
                <w:szCs w:val="21"/>
                <w:u w:val="single"/>
              </w:rPr>
              <w:t>0.2148</w:t>
            </w:r>
          </w:p>
        </w:tc>
        <w:tc>
          <w:tcPr>
            <w:tcW w:w="1060" w:type="dxa"/>
            <w:vAlign w:val="center"/>
          </w:tcPr>
          <w:p w14:paraId="19CC309D">
            <w:pPr>
              <w:snapToGrid w:val="0"/>
              <w:jc w:val="center"/>
              <w:rPr>
                <w:rFonts w:ascii="Times New Roman" w:hAnsi="Times New Roman"/>
                <w:spacing w:val="-2"/>
                <w:kern w:val="0"/>
                <w:szCs w:val="21"/>
                <w:u w:val="single"/>
              </w:rPr>
            </w:pPr>
            <w:r>
              <w:rPr>
                <w:rFonts w:ascii="Times New Roman" w:hAnsi="Times New Roman" w:eastAsia="等线"/>
                <w:szCs w:val="21"/>
                <w:u w:val="single"/>
              </w:rPr>
              <w:t>0.0022</w:t>
            </w:r>
          </w:p>
        </w:tc>
        <w:tc>
          <w:tcPr>
            <w:tcW w:w="1060" w:type="dxa"/>
            <w:vAlign w:val="center"/>
          </w:tcPr>
          <w:p w14:paraId="4971B081">
            <w:pPr>
              <w:snapToGrid w:val="0"/>
              <w:jc w:val="center"/>
              <w:rPr>
                <w:rFonts w:ascii="Times New Roman" w:hAnsi="Times New Roman"/>
                <w:spacing w:val="-2"/>
                <w:kern w:val="0"/>
                <w:szCs w:val="21"/>
                <w:u w:val="single"/>
              </w:rPr>
            </w:pPr>
            <w:r>
              <w:rPr>
                <w:rFonts w:ascii="Times New Roman" w:hAnsi="Times New Roman" w:eastAsia="等线"/>
                <w:szCs w:val="21"/>
                <w:u w:val="single"/>
              </w:rPr>
              <w:t>0.093</w:t>
            </w:r>
          </w:p>
        </w:tc>
        <w:tc>
          <w:tcPr>
            <w:tcW w:w="1060" w:type="dxa"/>
            <w:vAlign w:val="center"/>
          </w:tcPr>
          <w:p w14:paraId="298D2AEB">
            <w:pPr>
              <w:snapToGrid w:val="0"/>
              <w:jc w:val="center"/>
              <w:rPr>
                <w:rFonts w:ascii="Times New Roman" w:hAnsi="Times New Roman"/>
                <w:spacing w:val="-2"/>
                <w:kern w:val="0"/>
                <w:szCs w:val="21"/>
                <w:u w:val="single"/>
              </w:rPr>
            </w:pPr>
            <w:r>
              <w:rPr>
                <w:rFonts w:ascii="Times New Roman" w:hAnsi="Times New Roman" w:eastAsia="等线"/>
                <w:szCs w:val="21"/>
                <w:u w:val="single"/>
              </w:rPr>
              <w:t>0.0791</w:t>
            </w:r>
          </w:p>
        </w:tc>
        <w:tc>
          <w:tcPr>
            <w:tcW w:w="1061" w:type="dxa"/>
            <w:vAlign w:val="center"/>
          </w:tcPr>
          <w:p w14:paraId="27B43BFC">
            <w:pPr>
              <w:snapToGrid w:val="0"/>
              <w:jc w:val="center"/>
              <w:rPr>
                <w:rFonts w:ascii="Times New Roman" w:hAnsi="Times New Roman"/>
                <w:spacing w:val="-2"/>
                <w:kern w:val="0"/>
                <w:szCs w:val="21"/>
                <w:u w:val="single"/>
              </w:rPr>
            </w:pPr>
            <w:r>
              <w:rPr>
                <w:rFonts w:ascii="Times New Roman" w:hAnsi="Times New Roman" w:eastAsia="等线"/>
                <w:szCs w:val="21"/>
                <w:u w:val="single"/>
              </w:rPr>
              <w:t>0.0139</w:t>
            </w:r>
          </w:p>
        </w:tc>
      </w:tr>
      <w:tr w14:paraId="6BA4AD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1686" w:type="dxa"/>
            <w:vAlign w:val="center"/>
          </w:tcPr>
          <w:p w14:paraId="5CAD018B">
            <w:pPr>
              <w:snapToGrid w:val="0"/>
              <w:jc w:val="center"/>
              <w:rPr>
                <w:rFonts w:ascii="Times New Roman" w:hAnsi="Times New Roman"/>
                <w:spacing w:val="-2"/>
                <w:kern w:val="0"/>
                <w:szCs w:val="21"/>
                <w:u w:val="single"/>
              </w:rPr>
            </w:pPr>
            <w:r>
              <w:rPr>
                <w:rFonts w:hint="eastAsia"/>
                <w:szCs w:val="21"/>
                <w:u w:val="single"/>
              </w:rPr>
              <w:t>烘干机出料</w:t>
            </w:r>
          </w:p>
        </w:tc>
        <w:tc>
          <w:tcPr>
            <w:tcW w:w="993" w:type="dxa"/>
            <w:vAlign w:val="center"/>
          </w:tcPr>
          <w:p w14:paraId="74212C00">
            <w:pPr>
              <w:snapToGrid w:val="0"/>
              <w:jc w:val="center"/>
              <w:rPr>
                <w:rFonts w:ascii="Times New Roman" w:hAnsi="Times New Roman"/>
                <w:spacing w:val="-2"/>
                <w:kern w:val="0"/>
                <w:szCs w:val="21"/>
                <w:u w:val="single"/>
              </w:rPr>
            </w:pPr>
            <w:r>
              <w:rPr>
                <w:rFonts w:ascii="Times New Roman" w:hAnsi="Times New Roman" w:eastAsia="等线"/>
                <w:szCs w:val="21"/>
                <w:u w:val="single"/>
              </w:rPr>
              <w:t>0.57</w:t>
            </w:r>
          </w:p>
        </w:tc>
        <w:tc>
          <w:tcPr>
            <w:tcW w:w="1060" w:type="dxa"/>
            <w:vAlign w:val="center"/>
          </w:tcPr>
          <w:p w14:paraId="37A1FB87">
            <w:pPr>
              <w:snapToGrid w:val="0"/>
              <w:jc w:val="center"/>
              <w:rPr>
                <w:rFonts w:ascii="Times New Roman" w:hAnsi="Times New Roman"/>
                <w:spacing w:val="-2"/>
                <w:kern w:val="0"/>
                <w:szCs w:val="21"/>
                <w:u w:val="single"/>
              </w:rPr>
            </w:pPr>
            <w:r>
              <w:rPr>
                <w:rFonts w:ascii="Times New Roman" w:hAnsi="Times New Roman" w:eastAsia="等线"/>
                <w:szCs w:val="21"/>
                <w:u w:val="single"/>
              </w:rPr>
              <w:t>0.399</w:t>
            </w:r>
          </w:p>
        </w:tc>
        <w:tc>
          <w:tcPr>
            <w:tcW w:w="1060" w:type="dxa"/>
            <w:vAlign w:val="center"/>
          </w:tcPr>
          <w:p w14:paraId="5C3B49E0">
            <w:pPr>
              <w:snapToGrid w:val="0"/>
              <w:jc w:val="center"/>
              <w:rPr>
                <w:rFonts w:ascii="Times New Roman" w:hAnsi="Times New Roman"/>
                <w:spacing w:val="-2"/>
                <w:kern w:val="0"/>
                <w:szCs w:val="21"/>
                <w:u w:val="single"/>
              </w:rPr>
            </w:pPr>
            <w:r>
              <w:rPr>
                <w:rFonts w:ascii="Times New Roman" w:hAnsi="Times New Roman" w:eastAsia="等线"/>
                <w:szCs w:val="21"/>
                <w:u w:val="single"/>
              </w:rPr>
              <w:t>0.395</w:t>
            </w:r>
          </w:p>
        </w:tc>
        <w:tc>
          <w:tcPr>
            <w:tcW w:w="1060" w:type="dxa"/>
            <w:vAlign w:val="center"/>
          </w:tcPr>
          <w:p w14:paraId="698DFC6D">
            <w:pPr>
              <w:snapToGrid w:val="0"/>
              <w:jc w:val="center"/>
              <w:rPr>
                <w:rFonts w:ascii="Times New Roman" w:hAnsi="Times New Roman"/>
                <w:spacing w:val="-2"/>
                <w:kern w:val="0"/>
                <w:szCs w:val="21"/>
                <w:u w:val="single"/>
              </w:rPr>
            </w:pPr>
            <w:r>
              <w:rPr>
                <w:rFonts w:ascii="Times New Roman" w:hAnsi="Times New Roman" w:eastAsia="等线"/>
                <w:szCs w:val="21"/>
                <w:u w:val="single"/>
              </w:rPr>
              <w:t>0.004</w:t>
            </w:r>
          </w:p>
        </w:tc>
        <w:tc>
          <w:tcPr>
            <w:tcW w:w="1060" w:type="dxa"/>
            <w:vAlign w:val="center"/>
          </w:tcPr>
          <w:p w14:paraId="0719CA93">
            <w:pPr>
              <w:snapToGrid w:val="0"/>
              <w:jc w:val="center"/>
              <w:rPr>
                <w:rFonts w:ascii="Times New Roman" w:hAnsi="Times New Roman"/>
                <w:spacing w:val="-2"/>
                <w:kern w:val="0"/>
                <w:szCs w:val="21"/>
                <w:u w:val="single"/>
              </w:rPr>
            </w:pPr>
            <w:r>
              <w:rPr>
                <w:rFonts w:ascii="Times New Roman" w:hAnsi="Times New Roman" w:eastAsia="等线"/>
                <w:szCs w:val="21"/>
                <w:u w:val="single"/>
              </w:rPr>
              <w:t>0.171</w:t>
            </w:r>
          </w:p>
        </w:tc>
        <w:tc>
          <w:tcPr>
            <w:tcW w:w="1060" w:type="dxa"/>
            <w:vAlign w:val="center"/>
          </w:tcPr>
          <w:p w14:paraId="037D2F3D">
            <w:pPr>
              <w:snapToGrid w:val="0"/>
              <w:jc w:val="center"/>
              <w:rPr>
                <w:rFonts w:ascii="Times New Roman" w:hAnsi="Times New Roman"/>
                <w:spacing w:val="-2"/>
                <w:kern w:val="0"/>
                <w:szCs w:val="21"/>
                <w:u w:val="single"/>
              </w:rPr>
            </w:pPr>
            <w:r>
              <w:rPr>
                <w:rFonts w:ascii="Times New Roman" w:hAnsi="Times New Roman" w:eastAsia="等线"/>
                <w:szCs w:val="21"/>
                <w:u w:val="single"/>
              </w:rPr>
              <w:t>0.1454</w:t>
            </w:r>
          </w:p>
        </w:tc>
        <w:tc>
          <w:tcPr>
            <w:tcW w:w="1061" w:type="dxa"/>
            <w:vAlign w:val="center"/>
          </w:tcPr>
          <w:p w14:paraId="7489F5B9">
            <w:pPr>
              <w:snapToGrid w:val="0"/>
              <w:jc w:val="center"/>
              <w:rPr>
                <w:rFonts w:ascii="Times New Roman" w:hAnsi="Times New Roman"/>
                <w:spacing w:val="-2"/>
                <w:kern w:val="0"/>
                <w:szCs w:val="21"/>
                <w:u w:val="single"/>
              </w:rPr>
            </w:pPr>
            <w:r>
              <w:rPr>
                <w:rFonts w:ascii="Times New Roman" w:hAnsi="Times New Roman" w:eastAsia="等线"/>
                <w:szCs w:val="21"/>
                <w:u w:val="single"/>
              </w:rPr>
              <w:t>0.0256</w:t>
            </w:r>
          </w:p>
        </w:tc>
      </w:tr>
      <w:tr w14:paraId="7104F9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1686" w:type="dxa"/>
            <w:vAlign w:val="center"/>
          </w:tcPr>
          <w:p w14:paraId="6B6CFBC6">
            <w:pPr>
              <w:snapToGrid w:val="0"/>
              <w:jc w:val="center"/>
              <w:rPr>
                <w:rFonts w:ascii="Times New Roman" w:hAnsi="Times New Roman"/>
                <w:spacing w:val="-2"/>
                <w:kern w:val="0"/>
                <w:szCs w:val="21"/>
                <w:u w:val="single"/>
              </w:rPr>
            </w:pPr>
            <w:r>
              <w:rPr>
                <w:rFonts w:hint="eastAsia"/>
                <w:szCs w:val="21"/>
                <w:u w:val="single"/>
              </w:rPr>
              <w:t>铲车干料移堆</w:t>
            </w:r>
          </w:p>
        </w:tc>
        <w:tc>
          <w:tcPr>
            <w:tcW w:w="993" w:type="dxa"/>
            <w:vAlign w:val="center"/>
          </w:tcPr>
          <w:p w14:paraId="4F03D789">
            <w:pPr>
              <w:snapToGrid w:val="0"/>
              <w:jc w:val="center"/>
              <w:rPr>
                <w:rFonts w:ascii="Times New Roman" w:hAnsi="Times New Roman"/>
                <w:spacing w:val="-2"/>
                <w:kern w:val="0"/>
                <w:szCs w:val="21"/>
                <w:u w:val="single"/>
              </w:rPr>
            </w:pPr>
            <w:r>
              <w:rPr>
                <w:rFonts w:ascii="Times New Roman" w:hAnsi="Times New Roman" w:eastAsia="等线"/>
                <w:szCs w:val="21"/>
                <w:u w:val="single"/>
              </w:rPr>
              <w:t>0.57</w:t>
            </w:r>
          </w:p>
        </w:tc>
        <w:tc>
          <w:tcPr>
            <w:tcW w:w="1060" w:type="dxa"/>
            <w:vAlign w:val="center"/>
          </w:tcPr>
          <w:p w14:paraId="61707F4E">
            <w:pPr>
              <w:snapToGrid w:val="0"/>
              <w:jc w:val="center"/>
              <w:rPr>
                <w:rFonts w:ascii="Times New Roman" w:hAnsi="Times New Roman"/>
                <w:spacing w:val="-2"/>
                <w:kern w:val="0"/>
                <w:szCs w:val="21"/>
                <w:u w:val="single"/>
              </w:rPr>
            </w:pPr>
            <w:r>
              <w:rPr>
                <w:rFonts w:ascii="Times New Roman" w:hAnsi="Times New Roman" w:eastAsia="等线"/>
                <w:szCs w:val="21"/>
                <w:u w:val="single"/>
              </w:rPr>
              <w:t>0</w:t>
            </w:r>
          </w:p>
        </w:tc>
        <w:tc>
          <w:tcPr>
            <w:tcW w:w="1060" w:type="dxa"/>
            <w:vAlign w:val="center"/>
          </w:tcPr>
          <w:p w14:paraId="33D0B9B0">
            <w:pPr>
              <w:snapToGrid w:val="0"/>
              <w:jc w:val="center"/>
              <w:rPr>
                <w:rFonts w:ascii="Times New Roman" w:hAnsi="Times New Roman"/>
                <w:spacing w:val="-2"/>
                <w:kern w:val="0"/>
                <w:szCs w:val="21"/>
                <w:u w:val="single"/>
              </w:rPr>
            </w:pPr>
            <w:r>
              <w:rPr>
                <w:rFonts w:ascii="Times New Roman" w:hAnsi="Times New Roman" w:eastAsia="等线"/>
                <w:szCs w:val="21"/>
                <w:u w:val="single"/>
              </w:rPr>
              <w:t>0</w:t>
            </w:r>
          </w:p>
        </w:tc>
        <w:tc>
          <w:tcPr>
            <w:tcW w:w="1060" w:type="dxa"/>
            <w:vAlign w:val="center"/>
          </w:tcPr>
          <w:p w14:paraId="6970736B">
            <w:pPr>
              <w:snapToGrid w:val="0"/>
              <w:jc w:val="center"/>
              <w:rPr>
                <w:rFonts w:ascii="Times New Roman" w:hAnsi="Times New Roman"/>
                <w:spacing w:val="-2"/>
                <w:kern w:val="0"/>
                <w:szCs w:val="21"/>
                <w:u w:val="single"/>
              </w:rPr>
            </w:pPr>
            <w:r>
              <w:rPr>
                <w:rFonts w:ascii="Times New Roman" w:hAnsi="Times New Roman" w:eastAsia="等线"/>
                <w:szCs w:val="21"/>
                <w:u w:val="single"/>
              </w:rPr>
              <w:t>0</w:t>
            </w:r>
          </w:p>
        </w:tc>
        <w:tc>
          <w:tcPr>
            <w:tcW w:w="1060" w:type="dxa"/>
            <w:vAlign w:val="center"/>
          </w:tcPr>
          <w:p w14:paraId="1A08D1F3">
            <w:pPr>
              <w:snapToGrid w:val="0"/>
              <w:jc w:val="center"/>
              <w:rPr>
                <w:rFonts w:ascii="Times New Roman" w:hAnsi="Times New Roman"/>
                <w:spacing w:val="-2"/>
                <w:kern w:val="0"/>
                <w:szCs w:val="21"/>
                <w:u w:val="single"/>
              </w:rPr>
            </w:pPr>
            <w:r>
              <w:rPr>
                <w:rFonts w:ascii="Times New Roman" w:hAnsi="Times New Roman" w:eastAsia="等线"/>
                <w:szCs w:val="21"/>
                <w:u w:val="single"/>
              </w:rPr>
              <w:t>0.57</w:t>
            </w:r>
          </w:p>
        </w:tc>
        <w:tc>
          <w:tcPr>
            <w:tcW w:w="1060" w:type="dxa"/>
            <w:vAlign w:val="center"/>
          </w:tcPr>
          <w:p w14:paraId="5F6B1757">
            <w:pPr>
              <w:snapToGrid w:val="0"/>
              <w:jc w:val="center"/>
              <w:rPr>
                <w:rFonts w:ascii="Times New Roman" w:hAnsi="Times New Roman"/>
                <w:spacing w:val="-2"/>
                <w:kern w:val="0"/>
                <w:szCs w:val="21"/>
                <w:u w:val="single"/>
              </w:rPr>
            </w:pPr>
            <w:r>
              <w:rPr>
                <w:rFonts w:ascii="Times New Roman" w:hAnsi="Times New Roman" w:eastAsia="等线"/>
                <w:szCs w:val="21"/>
                <w:u w:val="single"/>
              </w:rPr>
              <w:t>0.4845</w:t>
            </w:r>
          </w:p>
        </w:tc>
        <w:tc>
          <w:tcPr>
            <w:tcW w:w="1061" w:type="dxa"/>
            <w:vAlign w:val="center"/>
          </w:tcPr>
          <w:p w14:paraId="2A6B4A0F">
            <w:pPr>
              <w:snapToGrid w:val="0"/>
              <w:jc w:val="center"/>
              <w:rPr>
                <w:rFonts w:ascii="Times New Roman" w:hAnsi="Times New Roman"/>
                <w:spacing w:val="-2"/>
                <w:kern w:val="0"/>
                <w:szCs w:val="21"/>
                <w:u w:val="single"/>
              </w:rPr>
            </w:pPr>
            <w:r>
              <w:rPr>
                <w:rFonts w:ascii="Times New Roman" w:hAnsi="Times New Roman" w:eastAsia="等线"/>
                <w:szCs w:val="21"/>
                <w:u w:val="single"/>
              </w:rPr>
              <w:t>0.0855</w:t>
            </w:r>
          </w:p>
        </w:tc>
      </w:tr>
      <w:tr w14:paraId="56B49E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1686" w:type="dxa"/>
            <w:vAlign w:val="center"/>
          </w:tcPr>
          <w:p w14:paraId="193AA932">
            <w:pPr>
              <w:snapToGrid w:val="0"/>
              <w:jc w:val="center"/>
              <w:rPr>
                <w:rFonts w:ascii="Times New Roman" w:hAnsi="Times New Roman"/>
                <w:spacing w:val="-2"/>
                <w:kern w:val="0"/>
                <w:szCs w:val="21"/>
                <w:u w:val="single"/>
              </w:rPr>
            </w:pPr>
            <w:r>
              <w:rPr>
                <w:rFonts w:hint="eastAsia"/>
                <w:szCs w:val="21"/>
                <w:u w:val="single"/>
              </w:rPr>
              <w:t>铲车转运至磁选</w:t>
            </w:r>
          </w:p>
        </w:tc>
        <w:tc>
          <w:tcPr>
            <w:tcW w:w="993" w:type="dxa"/>
            <w:vAlign w:val="center"/>
          </w:tcPr>
          <w:p w14:paraId="7A799AAF">
            <w:pPr>
              <w:snapToGrid w:val="0"/>
              <w:jc w:val="center"/>
              <w:rPr>
                <w:rFonts w:ascii="Times New Roman" w:hAnsi="Times New Roman"/>
                <w:spacing w:val="-2"/>
                <w:kern w:val="0"/>
                <w:szCs w:val="21"/>
                <w:u w:val="single"/>
              </w:rPr>
            </w:pPr>
            <w:r>
              <w:rPr>
                <w:rFonts w:ascii="Times New Roman" w:hAnsi="Times New Roman" w:eastAsia="等线"/>
                <w:szCs w:val="21"/>
                <w:u w:val="single"/>
              </w:rPr>
              <w:t>0.57</w:t>
            </w:r>
          </w:p>
        </w:tc>
        <w:tc>
          <w:tcPr>
            <w:tcW w:w="1060" w:type="dxa"/>
            <w:vAlign w:val="center"/>
          </w:tcPr>
          <w:p w14:paraId="26301C45">
            <w:pPr>
              <w:snapToGrid w:val="0"/>
              <w:jc w:val="center"/>
              <w:rPr>
                <w:rFonts w:ascii="Times New Roman" w:hAnsi="Times New Roman"/>
                <w:spacing w:val="-2"/>
                <w:kern w:val="0"/>
                <w:szCs w:val="21"/>
                <w:u w:val="single"/>
              </w:rPr>
            </w:pPr>
            <w:r>
              <w:rPr>
                <w:rFonts w:ascii="Times New Roman" w:hAnsi="Times New Roman" w:eastAsia="等线"/>
                <w:szCs w:val="21"/>
                <w:u w:val="single"/>
              </w:rPr>
              <w:t>0</w:t>
            </w:r>
          </w:p>
        </w:tc>
        <w:tc>
          <w:tcPr>
            <w:tcW w:w="1060" w:type="dxa"/>
            <w:vAlign w:val="center"/>
          </w:tcPr>
          <w:p w14:paraId="1EB93DBD">
            <w:pPr>
              <w:snapToGrid w:val="0"/>
              <w:jc w:val="center"/>
              <w:rPr>
                <w:rFonts w:ascii="Times New Roman" w:hAnsi="Times New Roman"/>
                <w:spacing w:val="-2"/>
                <w:kern w:val="0"/>
                <w:szCs w:val="21"/>
                <w:u w:val="single"/>
              </w:rPr>
            </w:pPr>
            <w:r>
              <w:rPr>
                <w:rFonts w:ascii="Times New Roman" w:hAnsi="Times New Roman" w:eastAsia="等线"/>
                <w:szCs w:val="21"/>
                <w:u w:val="single"/>
              </w:rPr>
              <w:t>0</w:t>
            </w:r>
          </w:p>
        </w:tc>
        <w:tc>
          <w:tcPr>
            <w:tcW w:w="1060" w:type="dxa"/>
            <w:vAlign w:val="center"/>
          </w:tcPr>
          <w:p w14:paraId="438237C1">
            <w:pPr>
              <w:snapToGrid w:val="0"/>
              <w:jc w:val="center"/>
              <w:rPr>
                <w:rFonts w:ascii="Times New Roman" w:hAnsi="Times New Roman"/>
                <w:spacing w:val="-2"/>
                <w:kern w:val="0"/>
                <w:szCs w:val="21"/>
                <w:u w:val="single"/>
              </w:rPr>
            </w:pPr>
            <w:r>
              <w:rPr>
                <w:rFonts w:ascii="Times New Roman" w:hAnsi="Times New Roman" w:eastAsia="等线"/>
                <w:szCs w:val="21"/>
                <w:u w:val="single"/>
              </w:rPr>
              <w:t>0</w:t>
            </w:r>
          </w:p>
        </w:tc>
        <w:tc>
          <w:tcPr>
            <w:tcW w:w="1060" w:type="dxa"/>
            <w:vAlign w:val="center"/>
          </w:tcPr>
          <w:p w14:paraId="75A1B483">
            <w:pPr>
              <w:snapToGrid w:val="0"/>
              <w:jc w:val="center"/>
              <w:rPr>
                <w:rFonts w:ascii="Times New Roman" w:hAnsi="Times New Roman"/>
                <w:spacing w:val="-2"/>
                <w:kern w:val="0"/>
                <w:szCs w:val="21"/>
                <w:u w:val="single"/>
              </w:rPr>
            </w:pPr>
            <w:r>
              <w:rPr>
                <w:rFonts w:ascii="Times New Roman" w:hAnsi="Times New Roman" w:eastAsia="等线"/>
                <w:szCs w:val="21"/>
                <w:u w:val="single"/>
              </w:rPr>
              <w:t>0.57</w:t>
            </w:r>
          </w:p>
        </w:tc>
        <w:tc>
          <w:tcPr>
            <w:tcW w:w="1060" w:type="dxa"/>
            <w:vAlign w:val="center"/>
          </w:tcPr>
          <w:p w14:paraId="5796F7C8">
            <w:pPr>
              <w:snapToGrid w:val="0"/>
              <w:jc w:val="center"/>
              <w:rPr>
                <w:rFonts w:ascii="Times New Roman" w:hAnsi="Times New Roman"/>
                <w:spacing w:val="-2"/>
                <w:kern w:val="0"/>
                <w:szCs w:val="21"/>
                <w:u w:val="single"/>
              </w:rPr>
            </w:pPr>
            <w:r>
              <w:rPr>
                <w:rFonts w:ascii="Times New Roman" w:hAnsi="Times New Roman" w:eastAsia="等线"/>
                <w:szCs w:val="21"/>
                <w:u w:val="single"/>
              </w:rPr>
              <w:t>0.4845</w:t>
            </w:r>
          </w:p>
        </w:tc>
        <w:tc>
          <w:tcPr>
            <w:tcW w:w="1061" w:type="dxa"/>
            <w:vAlign w:val="center"/>
          </w:tcPr>
          <w:p w14:paraId="55AC869A">
            <w:pPr>
              <w:snapToGrid w:val="0"/>
              <w:jc w:val="center"/>
              <w:rPr>
                <w:rFonts w:ascii="Times New Roman" w:hAnsi="Times New Roman"/>
                <w:spacing w:val="-2"/>
                <w:kern w:val="0"/>
                <w:szCs w:val="21"/>
                <w:u w:val="single"/>
              </w:rPr>
            </w:pPr>
            <w:r>
              <w:rPr>
                <w:rFonts w:ascii="Times New Roman" w:hAnsi="Times New Roman" w:eastAsia="等线"/>
                <w:szCs w:val="21"/>
                <w:u w:val="single"/>
              </w:rPr>
              <w:t>0.0855</w:t>
            </w:r>
          </w:p>
        </w:tc>
      </w:tr>
      <w:tr w14:paraId="0DEE93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1686" w:type="dxa"/>
            <w:vAlign w:val="center"/>
          </w:tcPr>
          <w:p w14:paraId="6A395AA5">
            <w:pPr>
              <w:snapToGrid w:val="0"/>
              <w:jc w:val="center"/>
              <w:rPr>
                <w:rFonts w:ascii="Times New Roman" w:hAnsi="Times New Roman"/>
                <w:b/>
                <w:bCs/>
                <w:spacing w:val="-2"/>
                <w:kern w:val="0"/>
                <w:szCs w:val="21"/>
                <w:u w:val="single"/>
              </w:rPr>
            </w:pPr>
            <w:r>
              <w:rPr>
                <w:rFonts w:hint="eastAsia" w:ascii="Times New Roman" w:hAnsi="Times New Roman"/>
                <w:b/>
                <w:bCs/>
                <w:spacing w:val="-2"/>
                <w:kern w:val="0"/>
                <w:szCs w:val="21"/>
                <w:u w:val="single"/>
              </w:rPr>
              <w:t>1#车间合计</w:t>
            </w:r>
          </w:p>
        </w:tc>
        <w:tc>
          <w:tcPr>
            <w:tcW w:w="993" w:type="dxa"/>
            <w:vAlign w:val="center"/>
          </w:tcPr>
          <w:p w14:paraId="3557646D">
            <w:pPr>
              <w:snapToGrid w:val="0"/>
              <w:jc w:val="center"/>
              <w:rPr>
                <w:rFonts w:ascii="Times New Roman" w:hAnsi="Times New Roman"/>
                <w:b/>
                <w:bCs/>
                <w:spacing w:val="-2"/>
                <w:kern w:val="0"/>
                <w:szCs w:val="21"/>
                <w:u w:val="single"/>
              </w:rPr>
            </w:pPr>
            <w:r>
              <w:rPr>
                <w:rFonts w:hint="eastAsia" w:ascii="Times New Roman" w:hAnsi="Times New Roman"/>
                <w:b/>
                <w:bCs/>
                <w:spacing w:val="-2"/>
                <w:kern w:val="0"/>
                <w:szCs w:val="21"/>
                <w:u w:val="single"/>
              </w:rPr>
              <w:t>2.64</w:t>
            </w:r>
          </w:p>
        </w:tc>
        <w:tc>
          <w:tcPr>
            <w:tcW w:w="1060" w:type="dxa"/>
            <w:vAlign w:val="center"/>
          </w:tcPr>
          <w:p w14:paraId="74B4866E">
            <w:pPr>
              <w:snapToGrid w:val="0"/>
              <w:jc w:val="center"/>
              <w:rPr>
                <w:rFonts w:ascii="Times New Roman" w:hAnsi="Times New Roman"/>
                <w:b/>
                <w:bCs/>
                <w:spacing w:val="-2"/>
                <w:kern w:val="0"/>
                <w:szCs w:val="21"/>
                <w:u w:val="single"/>
              </w:rPr>
            </w:pPr>
            <w:r>
              <w:rPr>
                <w:rFonts w:ascii="Times New Roman" w:hAnsi="Times New Roman"/>
                <w:b/>
                <w:bCs/>
                <w:spacing w:val="-2"/>
                <w:kern w:val="0"/>
                <w:szCs w:val="21"/>
                <w:u w:val="single"/>
              </w:rPr>
              <w:t>/</w:t>
            </w:r>
          </w:p>
        </w:tc>
        <w:tc>
          <w:tcPr>
            <w:tcW w:w="1060" w:type="dxa"/>
            <w:vAlign w:val="center"/>
          </w:tcPr>
          <w:p w14:paraId="4C962C30">
            <w:pPr>
              <w:snapToGrid w:val="0"/>
              <w:jc w:val="center"/>
              <w:rPr>
                <w:rFonts w:ascii="Times New Roman" w:hAnsi="Times New Roman"/>
                <w:b/>
                <w:bCs/>
                <w:spacing w:val="-2"/>
                <w:kern w:val="0"/>
                <w:szCs w:val="21"/>
                <w:u w:val="single"/>
              </w:rPr>
            </w:pPr>
            <w:r>
              <w:rPr>
                <w:rFonts w:ascii="Times New Roman" w:hAnsi="Times New Roman"/>
                <w:b/>
                <w:bCs/>
                <w:spacing w:val="-2"/>
                <w:kern w:val="0"/>
                <w:szCs w:val="21"/>
                <w:u w:val="single"/>
              </w:rPr>
              <w:t>/</w:t>
            </w:r>
          </w:p>
        </w:tc>
        <w:tc>
          <w:tcPr>
            <w:tcW w:w="1060" w:type="dxa"/>
            <w:vAlign w:val="center"/>
          </w:tcPr>
          <w:p w14:paraId="3829FB97">
            <w:pPr>
              <w:snapToGrid w:val="0"/>
              <w:jc w:val="center"/>
              <w:rPr>
                <w:rFonts w:ascii="Times New Roman" w:hAnsi="Times New Roman"/>
                <w:b/>
                <w:bCs/>
                <w:spacing w:val="-2"/>
                <w:kern w:val="0"/>
                <w:szCs w:val="21"/>
                <w:u w:val="single"/>
              </w:rPr>
            </w:pPr>
            <w:r>
              <w:rPr>
                <w:rFonts w:ascii="Times New Roman" w:hAnsi="Times New Roman"/>
                <w:b/>
                <w:bCs/>
                <w:spacing w:val="-2"/>
                <w:kern w:val="0"/>
                <w:szCs w:val="21"/>
                <w:u w:val="single"/>
              </w:rPr>
              <w:t>0.00</w:t>
            </w:r>
            <w:r>
              <w:rPr>
                <w:rFonts w:hint="eastAsia" w:ascii="Times New Roman" w:hAnsi="Times New Roman"/>
                <w:b/>
                <w:bCs/>
                <w:spacing w:val="-2"/>
                <w:kern w:val="0"/>
                <w:szCs w:val="21"/>
                <w:u w:val="single"/>
              </w:rPr>
              <w:t>62</w:t>
            </w:r>
          </w:p>
        </w:tc>
        <w:tc>
          <w:tcPr>
            <w:tcW w:w="1060" w:type="dxa"/>
            <w:vAlign w:val="center"/>
          </w:tcPr>
          <w:p w14:paraId="3DA594A4">
            <w:pPr>
              <w:snapToGrid w:val="0"/>
              <w:jc w:val="center"/>
              <w:rPr>
                <w:rFonts w:ascii="Times New Roman" w:hAnsi="Times New Roman"/>
                <w:b/>
                <w:bCs/>
                <w:spacing w:val="-2"/>
                <w:kern w:val="0"/>
                <w:szCs w:val="21"/>
                <w:u w:val="single"/>
              </w:rPr>
            </w:pPr>
            <w:r>
              <w:rPr>
                <w:rFonts w:ascii="Times New Roman" w:hAnsi="Times New Roman" w:eastAsia="等线"/>
                <w:b/>
                <w:bCs/>
                <w:szCs w:val="21"/>
                <w:u w:val="single"/>
              </w:rPr>
              <w:t>/</w:t>
            </w:r>
          </w:p>
        </w:tc>
        <w:tc>
          <w:tcPr>
            <w:tcW w:w="1060" w:type="dxa"/>
            <w:vAlign w:val="center"/>
          </w:tcPr>
          <w:p w14:paraId="144427AE">
            <w:pPr>
              <w:snapToGrid w:val="0"/>
              <w:jc w:val="center"/>
              <w:rPr>
                <w:rFonts w:ascii="Times New Roman" w:hAnsi="Times New Roman"/>
                <w:b/>
                <w:bCs/>
                <w:spacing w:val="-2"/>
                <w:kern w:val="0"/>
                <w:szCs w:val="21"/>
                <w:u w:val="single"/>
              </w:rPr>
            </w:pPr>
            <w:r>
              <w:rPr>
                <w:rFonts w:ascii="Times New Roman" w:hAnsi="Times New Roman" w:eastAsia="等线"/>
                <w:b/>
                <w:bCs/>
                <w:szCs w:val="21"/>
                <w:u w:val="single"/>
              </w:rPr>
              <w:t>1.7485</w:t>
            </w:r>
          </w:p>
        </w:tc>
        <w:tc>
          <w:tcPr>
            <w:tcW w:w="1061" w:type="dxa"/>
            <w:vAlign w:val="center"/>
          </w:tcPr>
          <w:p w14:paraId="15B2F85C">
            <w:pPr>
              <w:snapToGrid w:val="0"/>
              <w:jc w:val="center"/>
              <w:rPr>
                <w:rFonts w:ascii="Times New Roman" w:hAnsi="Times New Roman"/>
                <w:b/>
                <w:bCs/>
                <w:spacing w:val="-2"/>
                <w:kern w:val="0"/>
                <w:szCs w:val="21"/>
                <w:u w:val="single"/>
              </w:rPr>
            </w:pPr>
            <w:r>
              <w:rPr>
                <w:rFonts w:ascii="Times New Roman" w:hAnsi="Times New Roman" w:eastAsia="等线"/>
                <w:b/>
                <w:bCs/>
                <w:szCs w:val="21"/>
                <w:u w:val="single"/>
              </w:rPr>
              <w:t>0.2755</w:t>
            </w:r>
          </w:p>
        </w:tc>
      </w:tr>
      <w:tr w14:paraId="166ACD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1686" w:type="dxa"/>
            <w:vAlign w:val="center"/>
          </w:tcPr>
          <w:p w14:paraId="148E1055">
            <w:pPr>
              <w:snapToGrid w:val="0"/>
              <w:jc w:val="center"/>
              <w:rPr>
                <w:rFonts w:ascii="Times New Roman" w:hAnsi="Times New Roman"/>
                <w:spacing w:val="-2"/>
                <w:kern w:val="0"/>
                <w:szCs w:val="21"/>
                <w:u w:val="single"/>
              </w:rPr>
            </w:pPr>
            <w:r>
              <w:rPr>
                <w:rFonts w:hint="eastAsia"/>
                <w:szCs w:val="21"/>
                <w:u w:val="single"/>
              </w:rPr>
              <w:t>磁选机上料</w:t>
            </w:r>
          </w:p>
        </w:tc>
        <w:tc>
          <w:tcPr>
            <w:tcW w:w="993" w:type="dxa"/>
            <w:vAlign w:val="center"/>
          </w:tcPr>
          <w:p w14:paraId="29155616">
            <w:pPr>
              <w:snapToGrid w:val="0"/>
              <w:jc w:val="center"/>
              <w:rPr>
                <w:rFonts w:ascii="Times New Roman" w:hAnsi="Times New Roman"/>
                <w:spacing w:val="-2"/>
                <w:kern w:val="0"/>
                <w:szCs w:val="21"/>
                <w:u w:val="single"/>
              </w:rPr>
            </w:pPr>
            <w:r>
              <w:rPr>
                <w:rFonts w:ascii="Times New Roman" w:hAnsi="Times New Roman" w:eastAsia="等线"/>
                <w:szCs w:val="21"/>
                <w:u w:val="single"/>
              </w:rPr>
              <w:t>0.57</w:t>
            </w:r>
          </w:p>
        </w:tc>
        <w:tc>
          <w:tcPr>
            <w:tcW w:w="1060" w:type="dxa"/>
            <w:vAlign w:val="center"/>
          </w:tcPr>
          <w:p w14:paraId="32944F3A">
            <w:pPr>
              <w:snapToGrid w:val="0"/>
              <w:jc w:val="center"/>
              <w:rPr>
                <w:rFonts w:ascii="Times New Roman" w:hAnsi="Times New Roman"/>
                <w:spacing w:val="-2"/>
                <w:kern w:val="0"/>
                <w:szCs w:val="21"/>
                <w:u w:val="single"/>
              </w:rPr>
            </w:pPr>
            <w:r>
              <w:rPr>
                <w:rFonts w:ascii="Times New Roman" w:hAnsi="Times New Roman" w:eastAsia="等线"/>
                <w:szCs w:val="21"/>
                <w:u w:val="single"/>
              </w:rPr>
              <w:t>0.399</w:t>
            </w:r>
          </w:p>
        </w:tc>
        <w:tc>
          <w:tcPr>
            <w:tcW w:w="1060" w:type="dxa"/>
            <w:vAlign w:val="center"/>
          </w:tcPr>
          <w:p w14:paraId="7EB0379D">
            <w:pPr>
              <w:snapToGrid w:val="0"/>
              <w:jc w:val="center"/>
              <w:rPr>
                <w:rFonts w:ascii="Times New Roman" w:hAnsi="Times New Roman"/>
                <w:spacing w:val="-2"/>
                <w:kern w:val="0"/>
                <w:szCs w:val="21"/>
                <w:u w:val="single"/>
              </w:rPr>
            </w:pPr>
            <w:r>
              <w:rPr>
                <w:rFonts w:ascii="Times New Roman" w:hAnsi="Times New Roman" w:eastAsia="等线"/>
                <w:szCs w:val="21"/>
                <w:u w:val="single"/>
              </w:rPr>
              <w:t>0.395</w:t>
            </w:r>
          </w:p>
        </w:tc>
        <w:tc>
          <w:tcPr>
            <w:tcW w:w="1060" w:type="dxa"/>
            <w:vAlign w:val="center"/>
          </w:tcPr>
          <w:p w14:paraId="4952702E">
            <w:pPr>
              <w:snapToGrid w:val="0"/>
              <w:jc w:val="center"/>
              <w:rPr>
                <w:rFonts w:ascii="Times New Roman" w:hAnsi="Times New Roman"/>
                <w:spacing w:val="-2"/>
                <w:kern w:val="0"/>
                <w:szCs w:val="21"/>
                <w:u w:val="single"/>
              </w:rPr>
            </w:pPr>
            <w:r>
              <w:rPr>
                <w:rFonts w:ascii="Times New Roman" w:hAnsi="Times New Roman" w:eastAsia="等线"/>
                <w:szCs w:val="21"/>
                <w:u w:val="single"/>
              </w:rPr>
              <w:t>0.004</w:t>
            </w:r>
          </w:p>
        </w:tc>
        <w:tc>
          <w:tcPr>
            <w:tcW w:w="1060" w:type="dxa"/>
            <w:vAlign w:val="center"/>
          </w:tcPr>
          <w:p w14:paraId="7AA66F25">
            <w:pPr>
              <w:snapToGrid w:val="0"/>
              <w:jc w:val="center"/>
              <w:rPr>
                <w:rFonts w:ascii="Times New Roman" w:hAnsi="Times New Roman"/>
                <w:spacing w:val="-2"/>
                <w:kern w:val="0"/>
                <w:szCs w:val="21"/>
                <w:u w:val="single"/>
              </w:rPr>
            </w:pPr>
            <w:r>
              <w:rPr>
                <w:rFonts w:ascii="Times New Roman" w:hAnsi="Times New Roman" w:eastAsia="等线"/>
                <w:szCs w:val="21"/>
                <w:u w:val="single"/>
              </w:rPr>
              <w:t>0.171</w:t>
            </w:r>
          </w:p>
        </w:tc>
        <w:tc>
          <w:tcPr>
            <w:tcW w:w="1060" w:type="dxa"/>
            <w:vAlign w:val="center"/>
          </w:tcPr>
          <w:p w14:paraId="5E02E7DC">
            <w:pPr>
              <w:snapToGrid w:val="0"/>
              <w:jc w:val="center"/>
              <w:rPr>
                <w:rFonts w:ascii="Times New Roman" w:hAnsi="Times New Roman"/>
                <w:spacing w:val="-2"/>
                <w:kern w:val="0"/>
                <w:szCs w:val="21"/>
                <w:u w:val="single"/>
              </w:rPr>
            </w:pPr>
            <w:r>
              <w:rPr>
                <w:rFonts w:ascii="Times New Roman" w:hAnsi="Times New Roman" w:eastAsia="等线"/>
                <w:szCs w:val="21"/>
                <w:u w:val="single"/>
              </w:rPr>
              <w:t>0.1454</w:t>
            </w:r>
          </w:p>
        </w:tc>
        <w:tc>
          <w:tcPr>
            <w:tcW w:w="1061" w:type="dxa"/>
            <w:vAlign w:val="center"/>
          </w:tcPr>
          <w:p w14:paraId="3085C1DB">
            <w:pPr>
              <w:snapToGrid w:val="0"/>
              <w:jc w:val="center"/>
              <w:rPr>
                <w:rFonts w:ascii="Times New Roman" w:hAnsi="Times New Roman"/>
                <w:spacing w:val="-2"/>
                <w:kern w:val="0"/>
                <w:szCs w:val="21"/>
                <w:u w:val="single"/>
              </w:rPr>
            </w:pPr>
            <w:r>
              <w:rPr>
                <w:rFonts w:ascii="Times New Roman" w:hAnsi="Times New Roman" w:eastAsia="等线"/>
                <w:szCs w:val="21"/>
                <w:u w:val="single"/>
              </w:rPr>
              <w:t>0.0256</w:t>
            </w:r>
          </w:p>
        </w:tc>
      </w:tr>
      <w:tr w14:paraId="28A7AD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1686" w:type="dxa"/>
            <w:vAlign w:val="center"/>
          </w:tcPr>
          <w:p w14:paraId="5A77E614">
            <w:pPr>
              <w:snapToGrid w:val="0"/>
              <w:jc w:val="center"/>
              <w:rPr>
                <w:rFonts w:ascii="Times New Roman" w:hAnsi="Times New Roman"/>
                <w:spacing w:val="-2"/>
                <w:kern w:val="0"/>
                <w:szCs w:val="21"/>
                <w:u w:val="single"/>
              </w:rPr>
            </w:pPr>
            <w:r>
              <w:rPr>
                <w:rFonts w:hint="eastAsia"/>
                <w:szCs w:val="21"/>
                <w:u w:val="single"/>
              </w:rPr>
              <w:t>磁选过程落料</w:t>
            </w:r>
          </w:p>
        </w:tc>
        <w:tc>
          <w:tcPr>
            <w:tcW w:w="993" w:type="dxa"/>
            <w:vAlign w:val="center"/>
          </w:tcPr>
          <w:p w14:paraId="44C283CD">
            <w:pPr>
              <w:snapToGrid w:val="0"/>
              <w:jc w:val="center"/>
              <w:rPr>
                <w:rFonts w:ascii="Times New Roman" w:hAnsi="Times New Roman"/>
                <w:spacing w:val="-2"/>
                <w:kern w:val="0"/>
                <w:szCs w:val="21"/>
                <w:u w:val="single"/>
              </w:rPr>
            </w:pPr>
            <w:r>
              <w:rPr>
                <w:rFonts w:ascii="Times New Roman" w:hAnsi="Times New Roman" w:eastAsia="等线"/>
                <w:szCs w:val="21"/>
                <w:u w:val="single"/>
              </w:rPr>
              <w:t>0.57</w:t>
            </w:r>
          </w:p>
        </w:tc>
        <w:tc>
          <w:tcPr>
            <w:tcW w:w="1060" w:type="dxa"/>
            <w:vAlign w:val="center"/>
          </w:tcPr>
          <w:p w14:paraId="754736F2">
            <w:pPr>
              <w:snapToGrid w:val="0"/>
              <w:jc w:val="center"/>
              <w:rPr>
                <w:rFonts w:ascii="Times New Roman" w:hAnsi="Times New Roman"/>
                <w:spacing w:val="-2"/>
                <w:kern w:val="0"/>
                <w:szCs w:val="21"/>
                <w:u w:val="single"/>
              </w:rPr>
            </w:pPr>
            <w:r>
              <w:rPr>
                <w:rFonts w:ascii="Times New Roman" w:hAnsi="Times New Roman" w:eastAsia="等线"/>
                <w:szCs w:val="21"/>
                <w:u w:val="single"/>
              </w:rPr>
              <w:t>0</w:t>
            </w:r>
          </w:p>
        </w:tc>
        <w:tc>
          <w:tcPr>
            <w:tcW w:w="1060" w:type="dxa"/>
            <w:vAlign w:val="center"/>
          </w:tcPr>
          <w:p w14:paraId="4813DC32">
            <w:pPr>
              <w:snapToGrid w:val="0"/>
              <w:jc w:val="center"/>
              <w:rPr>
                <w:rFonts w:ascii="Times New Roman" w:hAnsi="Times New Roman"/>
                <w:spacing w:val="-2"/>
                <w:kern w:val="0"/>
                <w:szCs w:val="21"/>
                <w:u w:val="single"/>
              </w:rPr>
            </w:pPr>
            <w:r>
              <w:rPr>
                <w:rFonts w:ascii="Times New Roman" w:hAnsi="Times New Roman" w:eastAsia="等线"/>
                <w:szCs w:val="21"/>
                <w:u w:val="single"/>
              </w:rPr>
              <w:t>0</w:t>
            </w:r>
          </w:p>
        </w:tc>
        <w:tc>
          <w:tcPr>
            <w:tcW w:w="1060" w:type="dxa"/>
            <w:vAlign w:val="center"/>
          </w:tcPr>
          <w:p w14:paraId="3CF354CA">
            <w:pPr>
              <w:snapToGrid w:val="0"/>
              <w:jc w:val="center"/>
              <w:rPr>
                <w:rFonts w:ascii="Times New Roman" w:hAnsi="Times New Roman"/>
                <w:spacing w:val="-2"/>
                <w:kern w:val="0"/>
                <w:szCs w:val="21"/>
                <w:u w:val="single"/>
              </w:rPr>
            </w:pPr>
            <w:r>
              <w:rPr>
                <w:rFonts w:ascii="Times New Roman" w:hAnsi="Times New Roman" w:eastAsia="等线"/>
                <w:szCs w:val="21"/>
                <w:u w:val="single"/>
              </w:rPr>
              <w:t>0</w:t>
            </w:r>
          </w:p>
        </w:tc>
        <w:tc>
          <w:tcPr>
            <w:tcW w:w="1060" w:type="dxa"/>
            <w:vAlign w:val="center"/>
          </w:tcPr>
          <w:p w14:paraId="5E088F11">
            <w:pPr>
              <w:snapToGrid w:val="0"/>
              <w:jc w:val="center"/>
              <w:rPr>
                <w:rFonts w:ascii="Times New Roman" w:hAnsi="Times New Roman"/>
                <w:spacing w:val="-2"/>
                <w:kern w:val="0"/>
                <w:szCs w:val="21"/>
                <w:u w:val="single"/>
              </w:rPr>
            </w:pPr>
            <w:r>
              <w:rPr>
                <w:rFonts w:ascii="Times New Roman" w:hAnsi="Times New Roman" w:eastAsia="等线"/>
                <w:szCs w:val="21"/>
                <w:u w:val="single"/>
              </w:rPr>
              <w:t>0.57</w:t>
            </w:r>
          </w:p>
        </w:tc>
        <w:tc>
          <w:tcPr>
            <w:tcW w:w="1060" w:type="dxa"/>
            <w:vAlign w:val="center"/>
          </w:tcPr>
          <w:p w14:paraId="0965562C">
            <w:pPr>
              <w:snapToGrid w:val="0"/>
              <w:jc w:val="center"/>
              <w:rPr>
                <w:rFonts w:ascii="Times New Roman" w:hAnsi="Times New Roman"/>
                <w:spacing w:val="-2"/>
                <w:kern w:val="0"/>
                <w:szCs w:val="21"/>
                <w:u w:val="single"/>
              </w:rPr>
            </w:pPr>
            <w:r>
              <w:rPr>
                <w:rFonts w:ascii="Times New Roman" w:hAnsi="Times New Roman" w:eastAsia="等线"/>
                <w:szCs w:val="21"/>
                <w:u w:val="single"/>
              </w:rPr>
              <w:t>0.5102</w:t>
            </w:r>
          </w:p>
        </w:tc>
        <w:tc>
          <w:tcPr>
            <w:tcW w:w="1061" w:type="dxa"/>
            <w:vAlign w:val="center"/>
          </w:tcPr>
          <w:p w14:paraId="0FA7850B">
            <w:pPr>
              <w:snapToGrid w:val="0"/>
              <w:jc w:val="center"/>
              <w:rPr>
                <w:rFonts w:ascii="Times New Roman" w:hAnsi="Times New Roman"/>
                <w:spacing w:val="-2"/>
                <w:kern w:val="0"/>
                <w:szCs w:val="21"/>
                <w:u w:val="single"/>
              </w:rPr>
            </w:pPr>
            <w:r>
              <w:rPr>
                <w:rFonts w:ascii="Times New Roman" w:hAnsi="Times New Roman" w:eastAsia="等线"/>
                <w:szCs w:val="21"/>
                <w:u w:val="single"/>
              </w:rPr>
              <w:t>0.0598</w:t>
            </w:r>
          </w:p>
        </w:tc>
      </w:tr>
      <w:tr w14:paraId="27B542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1686" w:type="dxa"/>
            <w:vAlign w:val="center"/>
          </w:tcPr>
          <w:p w14:paraId="3F102ADF">
            <w:pPr>
              <w:snapToGrid w:val="0"/>
              <w:jc w:val="center"/>
              <w:rPr>
                <w:rFonts w:ascii="Times New Roman" w:hAnsi="Times New Roman"/>
                <w:spacing w:val="-2"/>
                <w:kern w:val="0"/>
                <w:szCs w:val="21"/>
                <w:u w:val="single"/>
              </w:rPr>
            </w:pPr>
            <w:r>
              <w:rPr>
                <w:rFonts w:hint="eastAsia"/>
                <w:szCs w:val="21"/>
                <w:u w:val="single"/>
              </w:rPr>
              <w:t>磁选机出料</w:t>
            </w:r>
          </w:p>
        </w:tc>
        <w:tc>
          <w:tcPr>
            <w:tcW w:w="993" w:type="dxa"/>
            <w:vAlign w:val="center"/>
          </w:tcPr>
          <w:p w14:paraId="6A4995AF">
            <w:pPr>
              <w:snapToGrid w:val="0"/>
              <w:jc w:val="center"/>
              <w:rPr>
                <w:rFonts w:ascii="Times New Roman" w:hAnsi="Times New Roman"/>
                <w:spacing w:val="-2"/>
                <w:kern w:val="0"/>
                <w:szCs w:val="21"/>
                <w:u w:val="single"/>
              </w:rPr>
            </w:pPr>
            <w:r>
              <w:rPr>
                <w:rFonts w:ascii="Times New Roman" w:hAnsi="Times New Roman" w:eastAsia="等线"/>
                <w:szCs w:val="21"/>
                <w:u w:val="single"/>
              </w:rPr>
              <w:t>0.57</w:t>
            </w:r>
          </w:p>
        </w:tc>
        <w:tc>
          <w:tcPr>
            <w:tcW w:w="1060" w:type="dxa"/>
            <w:vAlign w:val="center"/>
          </w:tcPr>
          <w:p w14:paraId="24005143">
            <w:pPr>
              <w:snapToGrid w:val="0"/>
              <w:jc w:val="center"/>
              <w:rPr>
                <w:rFonts w:ascii="Times New Roman" w:hAnsi="Times New Roman"/>
                <w:spacing w:val="-2"/>
                <w:kern w:val="0"/>
                <w:szCs w:val="21"/>
                <w:u w:val="single"/>
              </w:rPr>
            </w:pPr>
            <w:r>
              <w:rPr>
                <w:rFonts w:ascii="Times New Roman" w:hAnsi="Times New Roman" w:eastAsia="等线"/>
                <w:szCs w:val="21"/>
                <w:u w:val="single"/>
              </w:rPr>
              <w:t>0.399</w:t>
            </w:r>
          </w:p>
        </w:tc>
        <w:tc>
          <w:tcPr>
            <w:tcW w:w="1060" w:type="dxa"/>
            <w:vAlign w:val="center"/>
          </w:tcPr>
          <w:p w14:paraId="3B3A4664">
            <w:pPr>
              <w:snapToGrid w:val="0"/>
              <w:jc w:val="center"/>
              <w:rPr>
                <w:rFonts w:ascii="Times New Roman" w:hAnsi="Times New Roman"/>
                <w:spacing w:val="-2"/>
                <w:kern w:val="0"/>
                <w:szCs w:val="21"/>
                <w:u w:val="single"/>
              </w:rPr>
            </w:pPr>
            <w:r>
              <w:rPr>
                <w:rFonts w:ascii="Times New Roman" w:hAnsi="Times New Roman" w:eastAsia="等线"/>
                <w:szCs w:val="21"/>
                <w:u w:val="single"/>
              </w:rPr>
              <w:t>0.395</w:t>
            </w:r>
          </w:p>
        </w:tc>
        <w:tc>
          <w:tcPr>
            <w:tcW w:w="1060" w:type="dxa"/>
            <w:vAlign w:val="center"/>
          </w:tcPr>
          <w:p w14:paraId="45AB3601">
            <w:pPr>
              <w:snapToGrid w:val="0"/>
              <w:jc w:val="center"/>
              <w:rPr>
                <w:rFonts w:ascii="Times New Roman" w:hAnsi="Times New Roman"/>
                <w:spacing w:val="-2"/>
                <w:kern w:val="0"/>
                <w:szCs w:val="21"/>
                <w:u w:val="single"/>
              </w:rPr>
            </w:pPr>
            <w:r>
              <w:rPr>
                <w:rFonts w:ascii="Times New Roman" w:hAnsi="Times New Roman" w:eastAsia="等线"/>
                <w:szCs w:val="21"/>
                <w:u w:val="single"/>
              </w:rPr>
              <w:t>0.004</w:t>
            </w:r>
          </w:p>
        </w:tc>
        <w:tc>
          <w:tcPr>
            <w:tcW w:w="1060" w:type="dxa"/>
            <w:vAlign w:val="center"/>
          </w:tcPr>
          <w:p w14:paraId="5443AFBC">
            <w:pPr>
              <w:snapToGrid w:val="0"/>
              <w:jc w:val="center"/>
              <w:rPr>
                <w:rFonts w:ascii="Times New Roman" w:hAnsi="Times New Roman"/>
                <w:spacing w:val="-2"/>
                <w:kern w:val="0"/>
                <w:szCs w:val="21"/>
                <w:u w:val="single"/>
              </w:rPr>
            </w:pPr>
            <w:r>
              <w:rPr>
                <w:rFonts w:ascii="Times New Roman" w:hAnsi="Times New Roman" w:eastAsia="等线"/>
                <w:szCs w:val="21"/>
                <w:u w:val="single"/>
              </w:rPr>
              <w:t>0.171</w:t>
            </w:r>
          </w:p>
        </w:tc>
        <w:tc>
          <w:tcPr>
            <w:tcW w:w="1060" w:type="dxa"/>
            <w:vAlign w:val="center"/>
          </w:tcPr>
          <w:p w14:paraId="43B9A44D">
            <w:pPr>
              <w:snapToGrid w:val="0"/>
              <w:jc w:val="center"/>
              <w:rPr>
                <w:rFonts w:ascii="Times New Roman" w:hAnsi="Times New Roman"/>
                <w:spacing w:val="-2"/>
                <w:kern w:val="0"/>
                <w:szCs w:val="21"/>
                <w:u w:val="single"/>
              </w:rPr>
            </w:pPr>
            <w:r>
              <w:rPr>
                <w:rFonts w:ascii="Times New Roman" w:hAnsi="Times New Roman" w:eastAsia="等线"/>
                <w:szCs w:val="21"/>
                <w:u w:val="single"/>
              </w:rPr>
              <w:t>0.1454</w:t>
            </w:r>
          </w:p>
        </w:tc>
        <w:tc>
          <w:tcPr>
            <w:tcW w:w="1061" w:type="dxa"/>
            <w:vAlign w:val="center"/>
          </w:tcPr>
          <w:p w14:paraId="43E0F21E">
            <w:pPr>
              <w:snapToGrid w:val="0"/>
              <w:jc w:val="center"/>
              <w:rPr>
                <w:rFonts w:ascii="Times New Roman" w:hAnsi="Times New Roman"/>
                <w:spacing w:val="-2"/>
                <w:kern w:val="0"/>
                <w:szCs w:val="21"/>
                <w:u w:val="single"/>
              </w:rPr>
            </w:pPr>
            <w:r>
              <w:rPr>
                <w:rFonts w:ascii="Times New Roman" w:hAnsi="Times New Roman" w:eastAsia="等线"/>
                <w:szCs w:val="21"/>
                <w:u w:val="single"/>
              </w:rPr>
              <w:t>0.0256</w:t>
            </w:r>
          </w:p>
        </w:tc>
      </w:tr>
      <w:tr w14:paraId="181674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1686" w:type="dxa"/>
            <w:vAlign w:val="center"/>
          </w:tcPr>
          <w:p w14:paraId="1A62D98C">
            <w:pPr>
              <w:snapToGrid w:val="0"/>
              <w:jc w:val="center"/>
              <w:rPr>
                <w:rFonts w:ascii="Times New Roman" w:hAnsi="Times New Roman"/>
                <w:spacing w:val="-2"/>
                <w:kern w:val="0"/>
                <w:szCs w:val="21"/>
                <w:u w:val="single"/>
              </w:rPr>
            </w:pPr>
            <w:r>
              <w:rPr>
                <w:rFonts w:hint="eastAsia"/>
                <w:szCs w:val="21"/>
                <w:u w:val="single"/>
              </w:rPr>
              <w:t>铲车产品移堆</w:t>
            </w:r>
          </w:p>
        </w:tc>
        <w:tc>
          <w:tcPr>
            <w:tcW w:w="993" w:type="dxa"/>
            <w:vAlign w:val="center"/>
          </w:tcPr>
          <w:p w14:paraId="5D409132">
            <w:pPr>
              <w:snapToGrid w:val="0"/>
              <w:jc w:val="center"/>
              <w:rPr>
                <w:rFonts w:ascii="Times New Roman" w:hAnsi="Times New Roman"/>
                <w:spacing w:val="-2"/>
                <w:kern w:val="0"/>
                <w:szCs w:val="21"/>
                <w:u w:val="single"/>
              </w:rPr>
            </w:pPr>
            <w:r>
              <w:rPr>
                <w:rFonts w:ascii="Times New Roman" w:hAnsi="Times New Roman" w:eastAsia="等线"/>
                <w:szCs w:val="21"/>
                <w:u w:val="single"/>
              </w:rPr>
              <w:t>0.57</w:t>
            </w:r>
          </w:p>
        </w:tc>
        <w:tc>
          <w:tcPr>
            <w:tcW w:w="1060" w:type="dxa"/>
            <w:vAlign w:val="center"/>
          </w:tcPr>
          <w:p w14:paraId="110F13FE">
            <w:pPr>
              <w:snapToGrid w:val="0"/>
              <w:jc w:val="center"/>
              <w:rPr>
                <w:rFonts w:ascii="Times New Roman" w:hAnsi="Times New Roman"/>
                <w:spacing w:val="-2"/>
                <w:kern w:val="0"/>
                <w:szCs w:val="21"/>
                <w:u w:val="single"/>
              </w:rPr>
            </w:pPr>
            <w:r>
              <w:rPr>
                <w:rFonts w:ascii="Times New Roman" w:hAnsi="Times New Roman" w:eastAsia="等线"/>
                <w:szCs w:val="21"/>
                <w:u w:val="single"/>
              </w:rPr>
              <w:t>0</w:t>
            </w:r>
          </w:p>
        </w:tc>
        <w:tc>
          <w:tcPr>
            <w:tcW w:w="1060" w:type="dxa"/>
            <w:vAlign w:val="center"/>
          </w:tcPr>
          <w:p w14:paraId="0A7EAF2C">
            <w:pPr>
              <w:snapToGrid w:val="0"/>
              <w:jc w:val="center"/>
              <w:rPr>
                <w:rFonts w:ascii="Times New Roman" w:hAnsi="Times New Roman"/>
                <w:spacing w:val="-2"/>
                <w:kern w:val="0"/>
                <w:szCs w:val="21"/>
                <w:u w:val="single"/>
              </w:rPr>
            </w:pPr>
            <w:r>
              <w:rPr>
                <w:rFonts w:ascii="Times New Roman" w:hAnsi="Times New Roman" w:eastAsia="等线"/>
                <w:szCs w:val="21"/>
                <w:u w:val="single"/>
              </w:rPr>
              <w:t>0</w:t>
            </w:r>
          </w:p>
        </w:tc>
        <w:tc>
          <w:tcPr>
            <w:tcW w:w="1060" w:type="dxa"/>
            <w:vAlign w:val="center"/>
          </w:tcPr>
          <w:p w14:paraId="3912F1CB">
            <w:pPr>
              <w:snapToGrid w:val="0"/>
              <w:jc w:val="center"/>
              <w:rPr>
                <w:rFonts w:ascii="Times New Roman" w:hAnsi="Times New Roman"/>
                <w:spacing w:val="-2"/>
                <w:kern w:val="0"/>
                <w:szCs w:val="21"/>
                <w:u w:val="single"/>
              </w:rPr>
            </w:pPr>
            <w:r>
              <w:rPr>
                <w:rFonts w:ascii="Times New Roman" w:hAnsi="Times New Roman" w:eastAsia="等线"/>
                <w:szCs w:val="21"/>
                <w:u w:val="single"/>
              </w:rPr>
              <w:t>0</w:t>
            </w:r>
          </w:p>
        </w:tc>
        <w:tc>
          <w:tcPr>
            <w:tcW w:w="1060" w:type="dxa"/>
            <w:vAlign w:val="center"/>
          </w:tcPr>
          <w:p w14:paraId="26D2C52D">
            <w:pPr>
              <w:snapToGrid w:val="0"/>
              <w:jc w:val="center"/>
              <w:rPr>
                <w:rFonts w:ascii="Times New Roman" w:hAnsi="Times New Roman"/>
                <w:spacing w:val="-2"/>
                <w:kern w:val="0"/>
                <w:szCs w:val="21"/>
                <w:u w:val="single"/>
              </w:rPr>
            </w:pPr>
            <w:r>
              <w:rPr>
                <w:rFonts w:ascii="Times New Roman" w:hAnsi="Times New Roman" w:eastAsia="等线"/>
                <w:szCs w:val="21"/>
                <w:u w:val="single"/>
              </w:rPr>
              <w:t>0.57</w:t>
            </w:r>
          </w:p>
        </w:tc>
        <w:tc>
          <w:tcPr>
            <w:tcW w:w="1060" w:type="dxa"/>
            <w:vAlign w:val="center"/>
          </w:tcPr>
          <w:p w14:paraId="7EE30D4F">
            <w:pPr>
              <w:snapToGrid w:val="0"/>
              <w:jc w:val="center"/>
              <w:rPr>
                <w:rFonts w:ascii="Times New Roman" w:hAnsi="Times New Roman"/>
                <w:spacing w:val="-2"/>
                <w:kern w:val="0"/>
                <w:szCs w:val="21"/>
                <w:u w:val="single"/>
              </w:rPr>
            </w:pPr>
            <w:r>
              <w:rPr>
                <w:rFonts w:ascii="Times New Roman" w:hAnsi="Times New Roman" w:eastAsia="等线"/>
                <w:szCs w:val="21"/>
                <w:u w:val="single"/>
              </w:rPr>
              <w:t>0.5102</w:t>
            </w:r>
          </w:p>
        </w:tc>
        <w:tc>
          <w:tcPr>
            <w:tcW w:w="1061" w:type="dxa"/>
            <w:vAlign w:val="center"/>
          </w:tcPr>
          <w:p w14:paraId="67829837">
            <w:pPr>
              <w:snapToGrid w:val="0"/>
              <w:jc w:val="center"/>
              <w:rPr>
                <w:rFonts w:ascii="Times New Roman" w:hAnsi="Times New Roman"/>
                <w:spacing w:val="-2"/>
                <w:kern w:val="0"/>
                <w:szCs w:val="21"/>
                <w:u w:val="single"/>
              </w:rPr>
            </w:pPr>
            <w:r>
              <w:rPr>
                <w:rFonts w:ascii="Times New Roman" w:hAnsi="Times New Roman" w:eastAsia="等线"/>
                <w:szCs w:val="21"/>
                <w:u w:val="single"/>
              </w:rPr>
              <w:t>0.0598</w:t>
            </w:r>
          </w:p>
        </w:tc>
      </w:tr>
      <w:tr w14:paraId="1F8466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1686" w:type="dxa"/>
            <w:vAlign w:val="center"/>
          </w:tcPr>
          <w:p w14:paraId="307BBDDA">
            <w:pPr>
              <w:snapToGrid w:val="0"/>
              <w:jc w:val="center"/>
              <w:rPr>
                <w:rFonts w:ascii="Times New Roman" w:hAnsi="Times New Roman"/>
                <w:spacing w:val="-2"/>
                <w:kern w:val="0"/>
                <w:szCs w:val="21"/>
                <w:u w:val="single"/>
              </w:rPr>
            </w:pPr>
            <w:r>
              <w:rPr>
                <w:rFonts w:hint="eastAsia"/>
                <w:szCs w:val="21"/>
                <w:u w:val="single"/>
              </w:rPr>
              <w:t>产品出厂装车</w:t>
            </w:r>
          </w:p>
        </w:tc>
        <w:tc>
          <w:tcPr>
            <w:tcW w:w="993" w:type="dxa"/>
            <w:vAlign w:val="center"/>
          </w:tcPr>
          <w:p w14:paraId="162F1D67">
            <w:pPr>
              <w:snapToGrid w:val="0"/>
              <w:jc w:val="center"/>
              <w:rPr>
                <w:rFonts w:ascii="Times New Roman" w:hAnsi="Times New Roman"/>
                <w:spacing w:val="-2"/>
                <w:kern w:val="0"/>
                <w:szCs w:val="21"/>
                <w:u w:val="single"/>
              </w:rPr>
            </w:pPr>
            <w:r>
              <w:rPr>
                <w:rFonts w:ascii="Times New Roman" w:hAnsi="Times New Roman" w:eastAsia="等线"/>
                <w:szCs w:val="21"/>
                <w:u w:val="single"/>
              </w:rPr>
              <w:t>0.57</w:t>
            </w:r>
          </w:p>
        </w:tc>
        <w:tc>
          <w:tcPr>
            <w:tcW w:w="1060" w:type="dxa"/>
            <w:vAlign w:val="center"/>
          </w:tcPr>
          <w:p w14:paraId="2887BDA7">
            <w:pPr>
              <w:snapToGrid w:val="0"/>
              <w:jc w:val="center"/>
              <w:rPr>
                <w:rFonts w:ascii="Times New Roman" w:hAnsi="Times New Roman"/>
                <w:spacing w:val="-2"/>
                <w:kern w:val="0"/>
                <w:szCs w:val="21"/>
                <w:u w:val="single"/>
              </w:rPr>
            </w:pPr>
            <w:r>
              <w:rPr>
                <w:rFonts w:ascii="Times New Roman" w:hAnsi="Times New Roman" w:eastAsia="等线"/>
                <w:szCs w:val="21"/>
                <w:u w:val="single"/>
              </w:rPr>
              <w:t>0</w:t>
            </w:r>
          </w:p>
        </w:tc>
        <w:tc>
          <w:tcPr>
            <w:tcW w:w="1060" w:type="dxa"/>
            <w:vAlign w:val="center"/>
          </w:tcPr>
          <w:p w14:paraId="7A838336">
            <w:pPr>
              <w:snapToGrid w:val="0"/>
              <w:jc w:val="center"/>
              <w:rPr>
                <w:rFonts w:ascii="Times New Roman" w:hAnsi="Times New Roman"/>
                <w:spacing w:val="-2"/>
                <w:kern w:val="0"/>
                <w:szCs w:val="21"/>
                <w:u w:val="single"/>
              </w:rPr>
            </w:pPr>
            <w:r>
              <w:rPr>
                <w:rFonts w:ascii="Times New Roman" w:hAnsi="Times New Roman" w:eastAsia="等线"/>
                <w:szCs w:val="21"/>
                <w:u w:val="single"/>
              </w:rPr>
              <w:t>0</w:t>
            </w:r>
          </w:p>
        </w:tc>
        <w:tc>
          <w:tcPr>
            <w:tcW w:w="1060" w:type="dxa"/>
            <w:vAlign w:val="center"/>
          </w:tcPr>
          <w:p w14:paraId="224D9CC4">
            <w:pPr>
              <w:snapToGrid w:val="0"/>
              <w:jc w:val="center"/>
              <w:rPr>
                <w:rFonts w:ascii="Times New Roman" w:hAnsi="Times New Roman"/>
                <w:spacing w:val="-2"/>
                <w:kern w:val="0"/>
                <w:szCs w:val="21"/>
                <w:u w:val="single"/>
              </w:rPr>
            </w:pPr>
            <w:r>
              <w:rPr>
                <w:rFonts w:ascii="Times New Roman" w:hAnsi="Times New Roman" w:eastAsia="等线"/>
                <w:szCs w:val="21"/>
                <w:u w:val="single"/>
              </w:rPr>
              <w:t>0</w:t>
            </w:r>
          </w:p>
        </w:tc>
        <w:tc>
          <w:tcPr>
            <w:tcW w:w="1060" w:type="dxa"/>
            <w:vAlign w:val="center"/>
          </w:tcPr>
          <w:p w14:paraId="1683BF48">
            <w:pPr>
              <w:snapToGrid w:val="0"/>
              <w:jc w:val="center"/>
              <w:rPr>
                <w:rFonts w:ascii="Times New Roman" w:hAnsi="Times New Roman"/>
                <w:spacing w:val="-2"/>
                <w:kern w:val="0"/>
                <w:szCs w:val="21"/>
                <w:u w:val="single"/>
              </w:rPr>
            </w:pPr>
            <w:r>
              <w:rPr>
                <w:rFonts w:ascii="Times New Roman" w:hAnsi="Times New Roman" w:eastAsia="等线"/>
                <w:szCs w:val="21"/>
                <w:u w:val="single"/>
              </w:rPr>
              <w:t>0.57</w:t>
            </w:r>
          </w:p>
        </w:tc>
        <w:tc>
          <w:tcPr>
            <w:tcW w:w="1060" w:type="dxa"/>
            <w:vAlign w:val="center"/>
          </w:tcPr>
          <w:p w14:paraId="574DE9D9">
            <w:pPr>
              <w:snapToGrid w:val="0"/>
              <w:jc w:val="center"/>
              <w:rPr>
                <w:rFonts w:ascii="Times New Roman" w:hAnsi="Times New Roman"/>
                <w:spacing w:val="-2"/>
                <w:kern w:val="0"/>
                <w:szCs w:val="21"/>
                <w:u w:val="single"/>
              </w:rPr>
            </w:pPr>
            <w:r>
              <w:rPr>
                <w:rFonts w:ascii="Times New Roman" w:hAnsi="Times New Roman" w:eastAsia="等线"/>
                <w:szCs w:val="21"/>
                <w:u w:val="single"/>
              </w:rPr>
              <w:t>0.5102</w:t>
            </w:r>
          </w:p>
        </w:tc>
        <w:tc>
          <w:tcPr>
            <w:tcW w:w="1061" w:type="dxa"/>
            <w:vAlign w:val="center"/>
          </w:tcPr>
          <w:p w14:paraId="6311089D">
            <w:pPr>
              <w:snapToGrid w:val="0"/>
              <w:jc w:val="center"/>
              <w:rPr>
                <w:rFonts w:ascii="Times New Roman" w:hAnsi="Times New Roman"/>
                <w:spacing w:val="-2"/>
                <w:kern w:val="0"/>
                <w:szCs w:val="21"/>
                <w:u w:val="single"/>
              </w:rPr>
            </w:pPr>
            <w:r>
              <w:rPr>
                <w:rFonts w:ascii="Times New Roman" w:hAnsi="Times New Roman" w:eastAsia="等线"/>
                <w:szCs w:val="21"/>
                <w:u w:val="single"/>
              </w:rPr>
              <w:t>0.0598</w:t>
            </w:r>
          </w:p>
        </w:tc>
      </w:tr>
      <w:tr w14:paraId="5F3B71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1686" w:type="dxa"/>
            <w:vAlign w:val="center"/>
          </w:tcPr>
          <w:p w14:paraId="3561B7B5">
            <w:pPr>
              <w:snapToGrid w:val="0"/>
              <w:jc w:val="center"/>
              <w:rPr>
                <w:rFonts w:ascii="Times New Roman" w:hAnsi="Times New Roman"/>
                <w:b/>
                <w:bCs/>
                <w:spacing w:val="-2"/>
                <w:kern w:val="0"/>
                <w:szCs w:val="21"/>
                <w:u w:val="single"/>
              </w:rPr>
            </w:pPr>
            <w:r>
              <w:rPr>
                <w:rFonts w:hint="eastAsia" w:ascii="Times New Roman" w:hAnsi="Times New Roman"/>
                <w:b/>
                <w:bCs/>
                <w:spacing w:val="-2"/>
                <w:kern w:val="0"/>
                <w:szCs w:val="21"/>
                <w:u w:val="single"/>
              </w:rPr>
              <w:t>2#车间合计</w:t>
            </w:r>
          </w:p>
        </w:tc>
        <w:tc>
          <w:tcPr>
            <w:tcW w:w="993" w:type="dxa"/>
            <w:vAlign w:val="center"/>
          </w:tcPr>
          <w:p w14:paraId="00D15B59">
            <w:pPr>
              <w:snapToGrid w:val="0"/>
              <w:jc w:val="center"/>
              <w:rPr>
                <w:rFonts w:ascii="Times New Roman" w:hAnsi="Times New Roman"/>
                <w:b/>
                <w:bCs/>
                <w:spacing w:val="-2"/>
                <w:kern w:val="0"/>
                <w:szCs w:val="21"/>
                <w:u w:val="single"/>
              </w:rPr>
            </w:pPr>
            <w:r>
              <w:rPr>
                <w:rFonts w:hint="eastAsia" w:ascii="Times New Roman" w:hAnsi="Times New Roman"/>
                <w:b/>
                <w:bCs/>
                <w:spacing w:val="-2"/>
                <w:kern w:val="0"/>
                <w:szCs w:val="21"/>
                <w:u w:val="single"/>
              </w:rPr>
              <w:t>2.85</w:t>
            </w:r>
          </w:p>
        </w:tc>
        <w:tc>
          <w:tcPr>
            <w:tcW w:w="1060" w:type="dxa"/>
            <w:vAlign w:val="center"/>
          </w:tcPr>
          <w:p w14:paraId="7AAA0878">
            <w:pPr>
              <w:snapToGrid w:val="0"/>
              <w:jc w:val="center"/>
              <w:rPr>
                <w:rFonts w:ascii="Times New Roman" w:hAnsi="Times New Roman"/>
                <w:b/>
                <w:bCs/>
                <w:spacing w:val="-2"/>
                <w:kern w:val="0"/>
                <w:szCs w:val="21"/>
                <w:u w:val="single"/>
              </w:rPr>
            </w:pPr>
            <w:r>
              <w:rPr>
                <w:rFonts w:ascii="Times New Roman" w:hAnsi="Times New Roman"/>
                <w:b/>
                <w:bCs/>
                <w:spacing w:val="-2"/>
                <w:kern w:val="0"/>
                <w:szCs w:val="21"/>
                <w:u w:val="single"/>
              </w:rPr>
              <w:t>/</w:t>
            </w:r>
          </w:p>
        </w:tc>
        <w:tc>
          <w:tcPr>
            <w:tcW w:w="1060" w:type="dxa"/>
            <w:vAlign w:val="center"/>
          </w:tcPr>
          <w:p w14:paraId="6813EB10">
            <w:pPr>
              <w:snapToGrid w:val="0"/>
              <w:jc w:val="center"/>
              <w:rPr>
                <w:rFonts w:ascii="Times New Roman" w:hAnsi="Times New Roman"/>
                <w:b/>
                <w:bCs/>
                <w:spacing w:val="-2"/>
                <w:kern w:val="0"/>
                <w:szCs w:val="21"/>
                <w:u w:val="single"/>
              </w:rPr>
            </w:pPr>
            <w:r>
              <w:rPr>
                <w:rFonts w:ascii="Times New Roman" w:hAnsi="Times New Roman"/>
                <w:b/>
                <w:bCs/>
                <w:spacing w:val="-2"/>
                <w:kern w:val="0"/>
                <w:szCs w:val="21"/>
                <w:u w:val="single"/>
              </w:rPr>
              <w:t>/</w:t>
            </w:r>
          </w:p>
        </w:tc>
        <w:tc>
          <w:tcPr>
            <w:tcW w:w="1060" w:type="dxa"/>
            <w:vAlign w:val="center"/>
          </w:tcPr>
          <w:p w14:paraId="5F2DB9C6">
            <w:pPr>
              <w:snapToGrid w:val="0"/>
              <w:jc w:val="center"/>
              <w:rPr>
                <w:rFonts w:ascii="Times New Roman" w:hAnsi="Times New Roman"/>
                <w:b/>
                <w:bCs/>
                <w:spacing w:val="-2"/>
                <w:kern w:val="0"/>
                <w:szCs w:val="21"/>
                <w:u w:val="single"/>
              </w:rPr>
            </w:pPr>
            <w:r>
              <w:rPr>
                <w:rFonts w:ascii="Times New Roman" w:hAnsi="Times New Roman"/>
                <w:b/>
                <w:bCs/>
                <w:spacing w:val="-2"/>
                <w:kern w:val="0"/>
                <w:szCs w:val="21"/>
                <w:u w:val="single"/>
              </w:rPr>
              <w:t>0.0</w:t>
            </w:r>
            <w:r>
              <w:rPr>
                <w:rFonts w:hint="eastAsia" w:ascii="Times New Roman" w:hAnsi="Times New Roman"/>
                <w:b/>
                <w:bCs/>
                <w:spacing w:val="-2"/>
                <w:kern w:val="0"/>
                <w:szCs w:val="21"/>
                <w:u w:val="single"/>
              </w:rPr>
              <w:t>080</w:t>
            </w:r>
          </w:p>
        </w:tc>
        <w:tc>
          <w:tcPr>
            <w:tcW w:w="1060" w:type="dxa"/>
            <w:vAlign w:val="center"/>
          </w:tcPr>
          <w:p w14:paraId="783CCF85">
            <w:pPr>
              <w:snapToGrid w:val="0"/>
              <w:jc w:val="center"/>
              <w:rPr>
                <w:rFonts w:ascii="Times New Roman" w:hAnsi="Times New Roman"/>
                <w:b/>
                <w:bCs/>
                <w:spacing w:val="-2"/>
                <w:kern w:val="0"/>
                <w:szCs w:val="21"/>
                <w:u w:val="single"/>
              </w:rPr>
            </w:pPr>
            <w:r>
              <w:rPr>
                <w:rFonts w:ascii="Times New Roman" w:hAnsi="Times New Roman" w:eastAsia="等线"/>
                <w:b/>
                <w:bCs/>
                <w:szCs w:val="21"/>
                <w:u w:val="single"/>
              </w:rPr>
              <w:t>/</w:t>
            </w:r>
          </w:p>
        </w:tc>
        <w:tc>
          <w:tcPr>
            <w:tcW w:w="1060" w:type="dxa"/>
            <w:vAlign w:val="center"/>
          </w:tcPr>
          <w:p w14:paraId="4FF2256A">
            <w:pPr>
              <w:snapToGrid w:val="0"/>
              <w:jc w:val="center"/>
              <w:rPr>
                <w:rFonts w:ascii="Times New Roman" w:hAnsi="Times New Roman"/>
                <w:b/>
                <w:bCs/>
                <w:spacing w:val="-2"/>
                <w:kern w:val="0"/>
                <w:szCs w:val="21"/>
                <w:u w:val="single"/>
              </w:rPr>
            </w:pPr>
            <w:r>
              <w:rPr>
                <w:rFonts w:ascii="Times New Roman" w:hAnsi="Times New Roman" w:eastAsia="等线"/>
                <w:b/>
                <w:bCs/>
                <w:szCs w:val="21"/>
                <w:u w:val="single"/>
              </w:rPr>
              <w:t>1.8214</w:t>
            </w:r>
          </w:p>
        </w:tc>
        <w:tc>
          <w:tcPr>
            <w:tcW w:w="1061" w:type="dxa"/>
            <w:vAlign w:val="center"/>
          </w:tcPr>
          <w:p w14:paraId="17923657">
            <w:pPr>
              <w:snapToGrid w:val="0"/>
              <w:jc w:val="center"/>
              <w:rPr>
                <w:rFonts w:ascii="Times New Roman" w:hAnsi="Times New Roman"/>
                <w:b/>
                <w:bCs/>
                <w:spacing w:val="-2"/>
                <w:kern w:val="0"/>
                <w:szCs w:val="21"/>
                <w:u w:val="single"/>
              </w:rPr>
            </w:pPr>
            <w:r>
              <w:rPr>
                <w:rFonts w:ascii="Times New Roman" w:hAnsi="Times New Roman" w:eastAsia="等线"/>
                <w:b/>
                <w:bCs/>
                <w:szCs w:val="21"/>
                <w:u w:val="single"/>
              </w:rPr>
              <w:t>0.2306</w:t>
            </w:r>
          </w:p>
        </w:tc>
      </w:tr>
      <w:tr w14:paraId="1E5BB1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1686" w:type="dxa"/>
            <w:vAlign w:val="center"/>
          </w:tcPr>
          <w:p w14:paraId="067D7FA3">
            <w:pPr>
              <w:snapToGrid w:val="0"/>
              <w:jc w:val="center"/>
              <w:rPr>
                <w:rFonts w:ascii="Times New Roman" w:hAnsi="Times New Roman"/>
                <w:b/>
                <w:bCs/>
                <w:spacing w:val="-2"/>
                <w:kern w:val="0"/>
                <w:szCs w:val="21"/>
                <w:u w:val="single"/>
              </w:rPr>
            </w:pPr>
            <w:r>
              <w:rPr>
                <w:rFonts w:hint="eastAsia" w:ascii="Times New Roman" w:hAnsi="Times New Roman"/>
                <w:b/>
                <w:bCs/>
                <w:spacing w:val="-2"/>
                <w:kern w:val="0"/>
                <w:szCs w:val="21"/>
                <w:u w:val="single"/>
              </w:rPr>
              <w:t>全厂总</w:t>
            </w:r>
            <w:r>
              <w:rPr>
                <w:rFonts w:ascii="Times New Roman" w:hAnsi="Times New Roman"/>
                <w:b/>
                <w:bCs/>
                <w:spacing w:val="-2"/>
                <w:kern w:val="0"/>
                <w:szCs w:val="21"/>
                <w:u w:val="single"/>
              </w:rPr>
              <w:t>计</w:t>
            </w:r>
          </w:p>
        </w:tc>
        <w:tc>
          <w:tcPr>
            <w:tcW w:w="993" w:type="dxa"/>
            <w:vAlign w:val="center"/>
          </w:tcPr>
          <w:p w14:paraId="17963EAC">
            <w:pPr>
              <w:snapToGrid w:val="0"/>
              <w:jc w:val="center"/>
              <w:rPr>
                <w:rFonts w:ascii="Times New Roman" w:hAnsi="Times New Roman"/>
                <w:b/>
                <w:bCs/>
                <w:spacing w:val="-2"/>
                <w:kern w:val="0"/>
                <w:szCs w:val="21"/>
                <w:u w:val="single"/>
              </w:rPr>
            </w:pPr>
            <w:r>
              <w:rPr>
                <w:rFonts w:hint="eastAsia" w:ascii="Times New Roman" w:hAnsi="Times New Roman"/>
                <w:b/>
                <w:bCs/>
                <w:spacing w:val="-2"/>
                <w:kern w:val="0"/>
                <w:szCs w:val="21"/>
                <w:u w:val="single"/>
              </w:rPr>
              <w:t>5.49</w:t>
            </w:r>
          </w:p>
        </w:tc>
        <w:tc>
          <w:tcPr>
            <w:tcW w:w="1060" w:type="dxa"/>
            <w:vAlign w:val="center"/>
          </w:tcPr>
          <w:p w14:paraId="79EF17A2">
            <w:pPr>
              <w:snapToGrid w:val="0"/>
              <w:jc w:val="center"/>
              <w:rPr>
                <w:rFonts w:ascii="Times New Roman" w:hAnsi="Times New Roman"/>
                <w:b/>
                <w:bCs/>
                <w:spacing w:val="-2"/>
                <w:kern w:val="0"/>
                <w:szCs w:val="21"/>
                <w:u w:val="single"/>
              </w:rPr>
            </w:pPr>
            <w:r>
              <w:rPr>
                <w:rFonts w:ascii="Times New Roman" w:hAnsi="Times New Roman" w:eastAsia="等线"/>
                <w:b/>
                <w:bCs/>
                <w:szCs w:val="21"/>
                <w:u w:val="single"/>
              </w:rPr>
              <w:t>1.414</w:t>
            </w:r>
          </w:p>
        </w:tc>
        <w:tc>
          <w:tcPr>
            <w:tcW w:w="1060" w:type="dxa"/>
            <w:vAlign w:val="center"/>
          </w:tcPr>
          <w:p w14:paraId="646AA92C">
            <w:pPr>
              <w:snapToGrid w:val="0"/>
              <w:jc w:val="center"/>
              <w:rPr>
                <w:rFonts w:ascii="Times New Roman" w:hAnsi="Times New Roman"/>
                <w:b/>
                <w:bCs/>
                <w:spacing w:val="-2"/>
                <w:kern w:val="0"/>
                <w:szCs w:val="21"/>
                <w:u w:val="single"/>
              </w:rPr>
            </w:pPr>
            <w:r>
              <w:rPr>
                <w:rFonts w:ascii="Times New Roman" w:hAnsi="Times New Roman" w:eastAsia="等线"/>
                <w:b/>
                <w:bCs/>
                <w:szCs w:val="21"/>
                <w:u w:val="single"/>
              </w:rPr>
              <w:t>1.3998</w:t>
            </w:r>
          </w:p>
        </w:tc>
        <w:tc>
          <w:tcPr>
            <w:tcW w:w="1060" w:type="dxa"/>
            <w:vAlign w:val="center"/>
          </w:tcPr>
          <w:p w14:paraId="6AE8D89F">
            <w:pPr>
              <w:snapToGrid w:val="0"/>
              <w:jc w:val="center"/>
              <w:rPr>
                <w:rFonts w:ascii="Times New Roman" w:hAnsi="Times New Roman"/>
                <w:b/>
                <w:bCs/>
                <w:spacing w:val="-2"/>
                <w:kern w:val="0"/>
                <w:szCs w:val="21"/>
                <w:u w:val="single"/>
              </w:rPr>
            </w:pPr>
            <w:r>
              <w:rPr>
                <w:rFonts w:ascii="Times New Roman" w:hAnsi="Times New Roman" w:eastAsia="等线"/>
                <w:b/>
                <w:bCs/>
                <w:szCs w:val="21"/>
                <w:u w:val="single"/>
              </w:rPr>
              <w:t xml:space="preserve">0.0142 </w:t>
            </w:r>
          </w:p>
        </w:tc>
        <w:tc>
          <w:tcPr>
            <w:tcW w:w="1060" w:type="dxa"/>
            <w:vAlign w:val="center"/>
          </w:tcPr>
          <w:p w14:paraId="01CB2B39">
            <w:pPr>
              <w:snapToGrid w:val="0"/>
              <w:jc w:val="center"/>
              <w:rPr>
                <w:rFonts w:ascii="Times New Roman" w:hAnsi="Times New Roman"/>
                <w:b/>
                <w:bCs/>
                <w:spacing w:val="-2"/>
                <w:kern w:val="0"/>
                <w:szCs w:val="21"/>
                <w:u w:val="single"/>
              </w:rPr>
            </w:pPr>
            <w:r>
              <w:rPr>
                <w:rFonts w:ascii="Times New Roman" w:hAnsi="Times New Roman" w:eastAsia="等线"/>
                <w:b/>
                <w:bCs/>
                <w:szCs w:val="21"/>
                <w:u w:val="single"/>
              </w:rPr>
              <w:t>4.076</w:t>
            </w:r>
          </w:p>
        </w:tc>
        <w:tc>
          <w:tcPr>
            <w:tcW w:w="1060" w:type="dxa"/>
            <w:vAlign w:val="center"/>
          </w:tcPr>
          <w:p w14:paraId="6A45ED11">
            <w:pPr>
              <w:snapToGrid w:val="0"/>
              <w:jc w:val="center"/>
              <w:rPr>
                <w:rFonts w:ascii="Times New Roman" w:hAnsi="Times New Roman"/>
                <w:b/>
                <w:bCs/>
                <w:spacing w:val="-2"/>
                <w:kern w:val="0"/>
                <w:szCs w:val="21"/>
                <w:u w:val="single"/>
              </w:rPr>
            </w:pPr>
            <w:r>
              <w:rPr>
                <w:rFonts w:ascii="Times New Roman" w:hAnsi="Times New Roman" w:eastAsia="等线"/>
                <w:b/>
                <w:bCs/>
                <w:szCs w:val="21"/>
                <w:u w:val="single"/>
              </w:rPr>
              <w:t xml:space="preserve">3.5699 </w:t>
            </w:r>
          </w:p>
        </w:tc>
        <w:tc>
          <w:tcPr>
            <w:tcW w:w="1061" w:type="dxa"/>
            <w:vAlign w:val="center"/>
          </w:tcPr>
          <w:p w14:paraId="17A48A56">
            <w:pPr>
              <w:snapToGrid w:val="0"/>
              <w:jc w:val="center"/>
              <w:rPr>
                <w:rFonts w:ascii="Times New Roman" w:hAnsi="Times New Roman"/>
                <w:b/>
                <w:bCs/>
                <w:spacing w:val="-2"/>
                <w:kern w:val="0"/>
                <w:szCs w:val="21"/>
                <w:u w:val="single"/>
              </w:rPr>
            </w:pPr>
            <w:r>
              <w:rPr>
                <w:rFonts w:ascii="Times New Roman" w:hAnsi="Times New Roman" w:eastAsia="等线"/>
                <w:b/>
                <w:bCs/>
                <w:szCs w:val="21"/>
                <w:u w:val="single"/>
              </w:rPr>
              <w:t xml:space="preserve">0.5061 </w:t>
            </w:r>
          </w:p>
        </w:tc>
      </w:tr>
    </w:tbl>
    <w:p w14:paraId="3EB928CD">
      <w:pPr>
        <w:snapToGrid w:val="0"/>
        <w:spacing w:line="348" w:lineRule="auto"/>
        <w:ind w:firstLine="480"/>
        <w:rPr>
          <w:rFonts w:ascii="Times New Roman" w:hAnsi="Times New Roman"/>
          <w:spacing w:val="-2"/>
          <w:kern w:val="0"/>
          <w:sz w:val="24"/>
          <w:szCs w:val="24"/>
        </w:rPr>
      </w:pPr>
    </w:p>
    <w:p w14:paraId="55F24097">
      <w:pPr>
        <w:snapToGrid w:val="0"/>
        <w:spacing w:line="348" w:lineRule="auto"/>
        <w:ind w:firstLine="480"/>
        <w:rPr>
          <w:rFonts w:ascii="Times New Roman" w:hAnsi="Times New Roman"/>
          <w:spacing w:val="-2"/>
          <w:kern w:val="0"/>
          <w:sz w:val="24"/>
          <w:szCs w:val="24"/>
          <w:u w:val="single"/>
        </w:rPr>
      </w:pPr>
      <w:r>
        <w:rPr>
          <w:rFonts w:ascii="Times New Roman" w:hAnsi="Times New Roman"/>
          <w:spacing w:val="-2"/>
          <w:kern w:val="0"/>
          <w:sz w:val="24"/>
          <w:szCs w:val="24"/>
          <w:u w:val="single"/>
        </w:rPr>
        <w:t>由表2.3-</w:t>
      </w:r>
      <w:r>
        <w:rPr>
          <w:rFonts w:hint="eastAsia" w:ascii="Times New Roman" w:hAnsi="Times New Roman"/>
          <w:spacing w:val="-2"/>
          <w:kern w:val="0"/>
          <w:sz w:val="24"/>
          <w:szCs w:val="24"/>
          <w:u w:val="single"/>
        </w:rPr>
        <w:t>6</w:t>
      </w:r>
      <w:r>
        <w:rPr>
          <w:rFonts w:ascii="Times New Roman" w:hAnsi="Times New Roman"/>
          <w:spacing w:val="-2"/>
          <w:kern w:val="0"/>
          <w:sz w:val="24"/>
          <w:szCs w:val="24"/>
          <w:u w:val="single"/>
        </w:rPr>
        <w:t>的计算结果可知</w:t>
      </w:r>
      <w:r>
        <w:rPr>
          <w:rFonts w:hint="eastAsia" w:ascii="Times New Roman" w:hAnsi="Times New Roman"/>
          <w:spacing w:val="-2"/>
          <w:kern w:val="0"/>
          <w:sz w:val="24"/>
          <w:szCs w:val="24"/>
          <w:u w:val="single"/>
        </w:rPr>
        <w:t>：</w:t>
      </w:r>
    </w:p>
    <w:p w14:paraId="33E90BFF">
      <w:pPr>
        <w:snapToGrid w:val="0"/>
        <w:spacing w:line="348" w:lineRule="auto"/>
        <w:ind w:firstLine="480"/>
        <w:rPr>
          <w:rFonts w:ascii="Times New Roman" w:hAnsi="Times New Roman"/>
          <w:spacing w:val="-2"/>
          <w:kern w:val="0"/>
          <w:sz w:val="24"/>
          <w:szCs w:val="24"/>
          <w:u w:val="single"/>
        </w:rPr>
      </w:pPr>
      <w:r>
        <w:rPr>
          <w:rFonts w:hint="eastAsia" w:ascii="Times New Roman" w:hAnsi="Times New Roman"/>
          <w:spacing w:val="-2"/>
          <w:kern w:val="0"/>
          <w:sz w:val="24"/>
          <w:szCs w:val="24"/>
          <w:u w:val="single"/>
        </w:rPr>
        <w:t>1#原料处理车间产生的扬尘G2~G7中，G4、G5烘干机进料、出料口采用</w:t>
      </w:r>
      <w:r>
        <w:rPr>
          <w:rFonts w:ascii="Times New Roman" w:hAnsi="Times New Roman"/>
          <w:spacing w:val="-2"/>
          <w:kern w:val="0"/>
          <w:sz w:val="24"/>
          <w:szCs w:val="24"/>
          <w:u w:val="single"/>
        </w:rPr>
        <w:t>集气罩收集，再经过袋式除尘系统处理</w:t>
      </w:r>
      <w:r>
        <w:rPr>
          <w:rFonts w:hint="eastAsia" w:ascii="Times New Roman" w:hAnsi="Times New Roman"/>
          <w:spacing w:val="-2"/>
          <w:kern w:val="0"/>
          <w:sz w:val="24"/>
          <w:szCs w:val="24"/>
          <w:u w:val="single"/>
        </w:rPr>
        <w:t>，处理后的车间粉尘通过1#原料处理车间粉尘排气筒（DA002）</w:t>
      </w:r>
      <w:r>
        <w:rPr>
          <w:rFonts w:ascii="Times New Roman" w:hAnsi="Times New Roman"/>
          <w:spacing w:val="-2"/>
          <w:kern w:val="0"/>
          <w:sz w:val="24"/>
          <w:szCs w:val="24"/>
          <w:u w:val="single"/>
        </w:rPr>
        <w:t>有组织排放粉尘量为</w:t>
      </w:r>
      <w:r>
        <w:rPr>
          <w:rFonts w:hint="eastAsia" w:ascii="Times New Roman" w:hAnsi="Times New Roman"/>
          <w:spacing w:val="-2"/>
          <w:kern w:val="0"/>
          <w:sz w:val="24"/>
          <w:szCs w:val="24"/>
          <w:u w:val="single"/>
        </w:rPr>
        <w:t>0.0062</w:t>
      </w:r>
      <w:r>
        <w:rPr>
          <w:rFonts w:ascii="Times New Roman" w:hAnsi="Times New Roman"/>
          <w:spacing w:val="-2"/>
          <w:kern w:val="0"/>
          <w:sz w:val="24"/>
          <w:szCs w:val="24"/>
          <w:u w:val="single"/>
        </w:rPr>
        <w:t>t/a，排放速率为0.0</w:t>
      </w:r>
      <w:r>
        <w:rPr>
          <w:rFonts w:hint="eastAsia" w:ascii="Times New Roman" w:hAnsi="Times New Roman"/>
          <w:spacing w:val="-2"/>
          <w:kern w:val="0"/>
          <w:sz w:val="24"/>
          <w:szCs w:val="24"/>
          <w:u w:val="single"/>
        </w:rPr>
        <w:t>013</w:t>
      </w:r>
      <w:r>
        <w:rPr>
          <w:rFonts w:ascii="Times New Roman" w:hAnsi="Times New Roman"/>
          <w:spacing w:val="-2"/>
          <w:kern w:val="0"/>
          <w:sz w:val="24"/>
          <w:szCs w:val="24"/>
          <w:u w:val="single"/>
        </w:rPr>
        <w:t>kg/h；</w:t>
      </w:r>
      <w:r>
        <w:rPr>
          <w:rFonts w:hint="eastAsia" w:ascii="Times New Roman" w:hAnsi="Times New Roman"/>
          <w:spacing w:val="-2"/>
          <w:kern w:val="0"/>
          <w:sz w:val="24"/>
          <w:szCs w:val="24"/>
          <w:u w:val="single"/>
        </w:rPr>
        <w:t>G2、G3在物料装卸区域设置水雾喷淋系统进行降尘，G4、G5产尘处因需要保持烘干物料干燥不适宜设置水雾喷淋，且扬尘产生在车间中部，距离车间进出口较远，经过降尘措施处理及金属矿尘沉降后，1#原料处理车间无组织排放的粉尘量0.2755</w:t>
      </w:r>
      <w:r>
        <w:rPr>
          <w:rFonts w:ascii="Times New Roman" w:hAnsi="Times New Roman"/>
          <w:spacing w:val="-2"/>
          <w:kern w:val="0"/>
          <w:sz w:val="24"/>
          <w:szCs w:val="24"/>
          <w:u w:val="single"/>
        </w:rPr>
        <w:t>t/a。</w:t>
      </w:r>
    </w:p>
    <w:p w14:paraId="73F91924">
      <w:pPr>
        <w:snapToGrid w:val="0"/>
        <w:spacing w:line="348" w:lineRule="auto"/>
        <w:ind w:firstLine="480"/>
        <w:rPr>
          <w:rFonts w:ascii="Times New Roman" w:hAnsi="Times New Roman"/>
          <w:spacing w:val="-2"/>
          <w:kern w:val="0"/>
          <w:sz w:val="24"/>
          <w:szCs w:val="24"/>
          <w:u w:val="single"/>
        </w:rPr>
      </w:pPr>
      <w:r>
        <w:rPr>
          <w:rFonts w:hint="eastAsia" w:ascii="Times New Roman" w:hAnsi="Times New Roman"/>
          <w:spacing w:val="-2"/>
          <w:kern w:val="0"/>
          <w:sz w:val="24"/>
          <w:szCs w:val="24"/>
          <w:u w:val="single"/>
        </w:rPr>
        <w:t>2#分选车间产生的扬尘G8~G12中，G8、G10磁选机进料、出料口采用</w:t>
      </w:r>
      <w:r>
        <w:rPr>
          <w:rFonts w:ascii="Times New Roman" w:hAnsi="Times New Roman"/>
          <w:spacing w:val="-2"/>
          <w:kern w:val="0"/>
          <w:sz w:val="24"/>
          <w:szCs w:val="24"/>
          <w:u w:val="single"/>
        </w:rPr>
        <w:t>集气罩收集，再经过袋式除尘系统处理</w:t>
      </w:r>
      <w:r>
        <w:rPr>
          <w:rFonts w:hint="eastAsia" w:ascii="Times New Roman" w:hAnsi="Times New Roman"/>
          <w:spacing w:val="-2"/>
          <w:kern w:val="0"/>
          <w:sz w:val="24"/>
          <w:szCs w:val="24"/>
          <w:u w:val="single"/>
        </w:rPr>
        <w:t>，处理后的车间粉尘通过2#分选车间粉尘排气筒（DA003）</w:t>
      </w:r>
      <w:r>
        <w:rPr>
          <w:rFonts w:ascii="Times New Roman" w:hAnsi="Times New Roman"/>
          <w:spacing w:val="-2"/>
          <w:kern w:val="0"/>
          <w:sz w:val="24"/>
          <w:szCs w:val="24"/>
          <w:u w:val="single"/>
        </w:rPr>
        <w:t>有组织排放粉尘量为</w:t>
      </w:r>
      <w:r>
        <w:rPr>
          <w:rFonts w:hint="eastAsia" w:ascii="Times New Roman" w:hAnsi="Times New Roman"/>
          <w:spacing w:val="-2"/>
          <w:kern w:val="0"/>
          <w:sz w:val="24"/>
          <w:szCs w:val="24"/>
          <w:u w:val="single"/>
        </w:rPr>
        <w:t>0.0080</w:t>
      </w:r>
      <w:r>
        <w:rPr>
          <w:rFonts w:ascii="Times New Roman" w:hAnsi="Times New Roman"/>
          <w:spacing w:val="-2"/>
          <w:kern w:val="0"/>
          <w:sz w:val="24"/>
          <w:szCs w:val="24"/>
          <w:u w:val="single"/>
        </w:rPr>
        <w:t>t/a，排放速率为0.0</w:t>
      </w:r>
      <w:r>
        <w:rPr>
          <w:rFonts w:hint="eastAsia" w:ascii="Times New Roman" w:hAnsi="Times New Roman"/>
          <w:spacing w:val="-2"/>
          <w:kern w:val="0"/>
          <w:sz w:val="24"/>
          <w:szCs w:val="24"/>
          <w:u w:val="single"/>
        </w:rPr>
        <w:t>017</w:t>
      </w:r>
      <w:r>
        <w:rPr>
          <w:rFonts w:ascii="Times New Roman" w:hAnsi="Times New Roman"/>
          <w:spacing w:val="-2"/>
          <w:kern w:val="0"/>
          <w:sz w:val="24"/>
          <w:szCs w:val="24"/>
          <w:u w:val="single"/>
        </w:rPr>
        <w:t>kg/h；</w:t>
      </w:r>
      <w:r>
        <w:rPr>
          <w:rFonts w:hint="eastAsia" w:ascii="Times New Roman" w:hAnsi="Times New Roman"/>
          <w:spacing w:val="-2"/>
          <w:kern w:val="0"/>
          <w:sz w:val="24"/>
          <w:szCs w:val="24"/>
          <w:u w:val="single"/>
        </w:rPr>
        <w:t>G9、G11、G12在物料装卸区域设置水雾喷淋系统进行降尘，经过降尘措施处理及金属矿尘沉降后，1#原料处理车间无组织排放的粉尘量0.2306</w:t>
      </w:r>
      <w:r>
        <w:rPr>
          <w:rFonts w:ascii="Times New Roman" w:hAnsi="Times New Roman"/>
          <w:spacing w:val="-2"/>
          <w:kern w:val="0"/>
          <w:sz w:val="24"/>
          <w:szCs w:val="24"/>
          <w:u w:val="single"/>
        </w:rPr>
        <w:t>t/a。</w:t>
      </w:r>
    </w:p>
    <w:p w14:paraId="605F21BA">
      <w:pPr>
        <w:snapToGrid w:val="0"/>
        <w:spacing w:line="348" w:lineRule="auto"/>
        <w:ind w:firstLine="480"/>
        <w:rPr>
          <w:rFonts w:ascii="Times New Roman" w:hAnsi="Times New Roman"/>
          <w:spacing w:val="-2"/>
          <w:kern w:val="0"/>
          <w:sz w:val="24"/>
          <w:szCs w:val="24"/>
          <w:u w:val="single"/>
        </w:rPr>
      </w:pPr>
      <w:r>
        <w:rPr>
          <w:rFonts w:hint="eastAsia" w:ascii="Times New Roman" w:hAnsi="Times New Roman"/>
          <w:spacing w:val="-2"/>
          <w:kern w:val="0"/>
          <w:sz w:val="24"/>
          <w:szCs w:val="24"/>
          <w:u w:val="single"/>
        </w:rPr>
        <w:t>通过</w:t>
      </w:r>
      <w:r>
        <w:rPr>
          <w:rFonts w:ascii="Times New Roman" w:hAnsi="Times New Roman"/>
          <w:spacing w:val="-2"/>
          <w:kern w:val="0"/>
          <w:sz w:val="24"/>
          <w:szCs w:val="24"/>
          <w:u w:val="single"/>
        </w:rPr>
        <w:t>车间换风口无组织排放到环境的粉尘量为</w:t>
      </w:r>
      <w:r>
        <w:rPr>
          <w:rFonts w:hint="eastAsia" w:ascii="Times New Roman" w:hAnsi="Times New Roman"/>
          <w:spacing w:val="-2"/>
          <w:kern w:val="0"/>
          <w:sz w:val="24"/>
          <w:szCs w:val="24"/>
          <w:u w:val="single"/>
        </w:rPr>
        <w:t>0.5061</w:t>
      </w:r>
      <w:r>
        <w:rPr>
          <w:rFonts w:ascii="Times New Roman" w:hAnsi="Times New Roman"/>
          <w:spacing w:val="-2"/>
          <w:kern w:val="0"/>
          <w:sz w:val="24"/>
          <w:szCs w:val="24"/>
          <w:u w:val="single"/>
        </w:rPr>
        <w:t>t/a，排放速率为</w:t>
      </w:r>
      <w:r>
        <w:rPr>
          <w:rFonts w:hint="eastAsia" w:ascii="Times New Roman" w:hAnsi="Times New Roman"/>
          <w:spacing w:val="-2"/>
          <w:kern w:val="0"/>
          <w:sz w:val="24"/>
          <w:szCs w:val="24"/>
          <w:u w:val="single"/>
        </w:rPr>
        <w:t>0.1054</w:t>
      </w:r>
      <w:r>
        <w:rPr>
          <w:rFonts w:ascii="Times New Roman" w:hAnsi="Times New Roman"/>
          <w:spacing w:val="-2"/>
          <w:kern w:val="0"/>
          <w:sz w:val="24"/>
          <w:szCs w:val="24"/>
          <w:u w:val="single"/>
        </w:rPr>
        <w:t>kg/h。</w:t>
      </w:r>
      <w:r>
        <w:rPr>
          <w:rFonts w:hint="eastAsia" w:ascii="Times New Roman" w:hAnsi="Times New Roman"/>
          <w:spacing w:val="-2"/>
          <w:kern w:val="0"/>
          <w:sz w:val="24"/>
          <w:szCs w:val="24"/>
          <w:u w:val="single"/>
        </w:rPr>
        <w:t>两套</w:t>
      </w:r>
      <w:r>
        <w:rPr>
          <w:rFonts w:ascii="Times New Roman" w:hAnsi="Times New Roman"/>
          <w:spacing w:val="-2"/>
          <w:kern w:val="0"/>
          <w:sz w:val="24"/>
          <w:szCs w:val="24"/>
          <w:u w:val="single"/>
        </w:rPr>
        <w:t>袋式除尘</w:t>
      </w:r>
      <w:r>
        <w:rPr>
          <w:rFonts w:hint="eastAsia" w:ascii="Times New Roman" w:hAnsi="Times New Roman"/>
          <w:spacing w:val="-2"/>
          <w:kern w:val="0"/>
          <w:sz w:val="24"/>
          <w:szCs w:val="24"/>
          <w:u w:val="single"/>
        </w:rPr>
        <w:t>系统共</w:t>
      </w:r>
      <w:r>
        <w:rPr>
          <w:rFonts w:ascii="Times New Roman" w:hAnsi="Times New Roman"/>
          <w:spacing w:val="-2"/>
          <w:kern w:val="0"/>
          <w:sz w:val="24"/>
          <w:szCs w:val="24"/>
          <w:u w:val="single"/>
        </w:rPr>
        <w:t>截获粉尘</w:t>
      </w:r>
      <w:r>
        <w:rPr>
          <w:rFonts w:hint="eastAsia" w:ascii="Times New Roman" w:hAnsi="Times New Roman"/>
          <w:spacing w:val="-2"/>
          <w:kern w:val="0"/>
          <w:sz w:val="24"/>
          <w:szCs w:val="24"/>
          <w:u w:val="single"/>
        </w:rPr>
        <w:t>1.3998</w:t>
      </w:r>
      <w:r>
        <w:rPr>
          <w:rFonts w:ascii="Times New Roman" w:hAnsi="Times New Roman"/>
          <w:spacing w:val="-2"/>
          <w:kern w:val="0"/>
          <w:sz w:val="24"/>
          <w:szCs w:val="24"/>
          <w:u w:val="single"/>
        </w:rPr>
        <w:t>t/a，地面清扫粉尘</w:t>
      </w:r>
      <w:r>
        <w:rPr>
          <w:rFonts w:hint="eastAsia" w:ascii="Times New Roman" w:hAnsi="Times New Roman"/>
          <w:spacing w:val="-2"/>
          <w:kern w:val="0"/>
          <w:sz w:val="24"/>
          <w:szCs w:val="24"/>
          <w:u w:val="single"/>
        </w:rPr>
        <w:t>3.5699</w:t>
      </w:r>
      <w:r>
        <w:rPr>
          <w:rFonts w:ascii="Times New Roman" w:hAnsi="Times New Roman"/>
          <w:spacing w:val="-2"/>
          <w:kern w:val="0"/>
          <w:sz w:val="24"/>
          <w:szCs w:val="24"/>
          <w:u w:val="single"/>
        </w:rPr>
        <w:t>t/a，袋式除尘器及地面收集的矿尘共</w:t>
      </w:r>
      <w:r>
        <w:rPr>
          <w:rFonts w:hint="eastAsia" w:ascii="Times New Roman" w:hAnsi="Times New Roman"/>
          <w:spacing w:val="-2"/>
          <w:kern w:val="0"/>
          <w:sz w:val="24"/>
          <w:szCs w:val="24"/>
          <w:u w:val="single"/>
        </w:rPr>
        <w:t>4.9697</w:t>
      </w:r>
      <w:r>
        <w:rPr>
          <w:rFonts w:ascii="Times New Roman" w:hAnsi="Times New Roman"/>
          <w:spacing w:val="-2"/>
          <w:kern w:val="0"/>
          <w:sz w:val="24"/>
          <w:szCs w:val="24"/>
          <w:u w:val="single"/>
        </w:rPr>
        <w:t>t/a，收集后均掺入</w:t>
      </w:r>
      <w:r>
        <w:rPr>
          <w:rFonts w:hint="eastAsia" w:ascii="Times New Roman" w:hAnsi="Times New Roman"/>
          <w:spacing w:val="-2"/>
          <w:kern w:val="0"/>
          <w:sz w:val="24"/>
          <w:szCs w:val="24"/>
          <w:u w:val="single"/>
        </w:rPr>
        <w:t>锆中矿</w:t>
      </w:r>
      <w:r>
        <w:rPr>
          <w:rFonts w:ascii="Times New Roman" w:hAnsi="Times New Roman"/>
          <w:spacing w:val="-2"/>
          <w:kern w:val="0"/>
          <w:sz w:val="24"/>
          <w:szCs w:val="24"/>
          <w:u w:val="single"/>
        </w:rPr>
        <w:t>外售。</w:t>
      </w:r>
    </w:p>
    <w:p w14:paraId="3C9DD3EE">
      <w:pPr>
        <w:snapToGrid w:val="0"/>
        <w:spacing w:line="348" w:lineRule="auto"/>
        <w:ind w:firstLine="480"/>
        <w:rPr>
          <w:rFonts w:ascii="Times New Roman" w:hAnsi="Times New Roman"/>
          <w:spacing w:val="-2"/>
          <w:kern w:val="0"/>
          <w:sz w:val="24"/>
          <w:szCs w:val="24"/>
        </w:rPr>
      </w:pPr>
      <w:r>
        <w:rPr>
          <w:rFonts w:ascii="Times New Roman" w:hAnsi="Times New Roman"/>
          <w:spacing w:val="-2"/>
          <w:kern w:val="0"/>
          <w:sz w:val="24"/>
          <w:szCs w:val="24"/>
        </w:rPr>
        <w:t>项目车间粉尘排气筒排放浓度达标情况见表2.3-</w:t>
      </w:r>
      <w:r>
        <w:rPr>
          <w:rFonts w:hint="eastAsia" w:ascii="Times New Roman" w:hAnsi="Times New Roman"/>
          <w:spacing w:val="-2"/>
          <w:kern w:val="0"/>
          <w:sz w:val="24"/>
          <w:szCs w:val="24"/>
        </w:rPr>
        <w:t>7</w:t>
      </w:r>
      <w:r>
        <w:rPr>
          <w:rFonts w:ascii="Times New Roman" w:hAnsi="Times New Roman"/>
          <w:spacing w:val="-2"/>
          <w:kern w:val="0"/>
          <w:sz w:val="24"/>
          <w:szCs w:val="24"/>
        </w:rPr>
        <w:t>。</w:t>
      </w:r>
    </w:p>
    <w:p w14:paraId="0DD838DE">
      <w:pPr>
        <w:pStyle w:val="8"/>
        <w:numPr>
          <w:ilvl w:val="4"/>
          <w:numId w:val="3"/>
        </w:numPr>
        <w:rPr>
          <w:sz w:val="24"/>
          <w:szCs w:val="24"/>
        </w:rPr>
      </w:pPr>
      <w:r>
        <w:rPr>
          <w:sz w:val="24"/>
          <w:szCs w:val="24"/>
        </w:rPr>
        <w:t>项目生产车间粉尘有组织排放浓度达标情况</w:t>
      </w:r>
    </w:p>
    <w:tbl>
      <w:tblPr>
        <w:tblStyle w:val="88"/>
        <w:tblW w:w="9067"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03"/>
        <w:gridCol w:w="1134"/>
        <w:gridCol w:w="1276"/>
        <w:gridCol w:w="1275"/>
        <w:gridCol w:w="1276"/>
        <w:gridCol w:w="1985"/>
        <w:gridCol w:w="718"/>
      </w:tblGrid>
      <w:tr w14:paraId="7A6CBA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403" w:type="dxa"/>
            <w:shd w:val="clear" w:color="auto" w:fill="auto"/>
            <w:noWrap/>
            <w:vAlign w:val="center"/>
          </w:tcPr>
          <w:p w14:paraId="3B0A433D">
            <w:pPr>
              <w:widowControl/>
              <w:jc w:val="center"/>
              <w:rPr>
                <w:rFonts w:ascii="Times New Roman" w:hAnsi="Times New Roman"/>
                <w:b/>
                <w:bCs/>
                <w:kern w:val="0"/>
                <w:szCs w:val="21"/>
              </w:rPr>
            </w:pPr>
            <w:r>
              <w:rPr>
                <w:rFonts w:hint="eastAsia" w:ascii="Times New Roman" w:hAnsi="Times New Roman"/>
                <w:b/>
                <w:bCs/>
                <w:kern w:val="0"/>
                <w:szCs w:val="21"/>
              </w:rPr>
              <w:t>污染源名称</w:t>
            </w:r>
          </w:p>
        </w:tc>
        <w:tc>
          <w:tcPr>
            <w:tcW w:w="1134" w:type="dxa"/>
            <w:shd w:val="clear" w:color="auto" w:fill="auto"/>
            <w:vAlign w:val="center"/>
          </w:tcPr>
          <w:p w14:paraId="13C2438B">
            <w:pPr>
              <w:jc w:val="center"/>
              <w:rPr>
                <w:rFonts w:ascii="Times New Roman" w:hAnsi="Times New Roman"/>
                <w:b/>
                <w:bCs/>
                <w:kern w:val="0"/>
                <w:szCs w:val="21"/>
              </w:rPr>
            </w:pPr>
            <w:r>
              <w:rPr>
                <w:rFonts w:ascii="Times New Roman" w:hAnsi="Times New Roman"/>
                <w:b/>
                <w:bCs/>
                <w:kern w:val="0"/>
                <w:szCs w:val="21"/>
              </w:rPr>
              <w:t>污染物</w:t>
            </w:r>
          </w:p>
        </w:tc>
        <w:tc>
          <w:tcPr>
            <w:tcW w:w="1276" w:type="dxa"/>
            <w:shd w:val="clear" w:color="auto" w:fill="auto"/>
            <w:noWrap/>
            <w:vAlign w:val="center"/>
          </w:tcPr>
          <w:p w14:paraId="1EA5F0CF">
            <w:pPr>
              <w:widowControl/>
              <w:jc w:val="center"/>
              <w:rPr>
                <w:rFonts w:ascii="Times New Roman" w:hAnsi="Times New Roman"/>
                <w:b/>
                <w:bCs/>
                <w:kern w:val="0"/>
                <w:szCs w:val="21"/>
              </w:rPr>
            </w:pPr>
            <w:r>
              <w:rPr>
                <w:rFonts w:ascii="Times New Roman" w:hAnsi="Times New Roman"/>
                <w:b/>
                <w:bCs/>
                <w:kern w:val="0"/>
                <w:szCs w:val="21"/>
              </w:rPr>
              <w:t>项目</w:t>
            </w:r>
          </w:p>
          <w:p w14:paraId="5F13E959">
            <w:pPr>
              <w:widowControl/>
              <w:jc w:val="center"/>
              <w:rPr>
                <w:rFonts w:ascii="Times New Roman" w:hAnsi="Times New Roman"/>
                <w:b/>
                <w:bCs/>
                <w:kern w:val="0"/>
                <w:szCs w:val="21"/>
              </w:rPr>
            </w:pPr>
            <w:r>
              <w:rPr>
                <w:rFonts w:ascii="Times New Roman" w:hAnsi="Times New Roman"/>
                <w:b/>
                <w:bCs/>
                <w:kern w:val="0"/>
                <w:szCs w:val="21"/>
              </w:rPr>
              <w:t>产生浓度（mg/m</w:t>
            </w:r>
            <w:r>
              <w:rPr>
                <w:rFonts w:ascii="Times New Roman" w:hAnsi="Times New Roman"/>
                <w:b/>
                <w:bCs/>
                <w:kern w:val="0"/>
                <w:szCs w:val="21"/>
                <w:vertAlign w:val="superscript"/>
              </w:rPr>
              <w:t>3</w:t>
            </w:r>
            <w:r>
              <w:rPr>
                <w:rFonts w:ascii="Times New Roman" w:hAnsi="Times New Roman"/>
                <w:b/>
                <w:bCs/>
                <w:kern w:val="0"/>
                <w:szCs w:val="21"/>
              </w:rPr>
              <w:t>）</w:t>
            </w:r>
          </w:p>
        </w:tc>
        <w:tc>
          <w:tcPr>
            <w:tcW w:w="1275" w:type="dxa"/>
            <w:shd w:val="clear" w:color="auto" w:fill="auto"/>
            <w:noWrap/>
            <w:vAlign w:val="center"/>
          </w:tcPr>
          <w:p w14:paraId="19EBE55C">
            <w:pPr>
              <w:widowControl/>
              <w:jc w:val="center"/>
              <w:rPr>
                <w:rFonts w:ascii="Times New Roman" w:hAnsi="Times New Roman"/>
                <w:b/>
                <w:bCs/>
                <w:kern w:val="0"/>
                <w:szCs w:val="21"/>
              </w:rPr>
            </w:pPr>
            <w:r>
              <w:rPr>
                <w:rFonts w:ascii="Times New Roman" w:hAnsi="Times New Roman"/>
                <w:b/>
                <w:bCs/>
                <w:kern w:val="0"/>
                <w:szCs w:val="21"/>
              </w:rPr>
              <w:t>项目</w:t>
            </w:r>
          </w:p>
          <w:p w14:paraId="09CAAEBA">
            <w:pPr>
              <w:widowControl/>
              <w:jc w:val="center"/>
              <w:rPr>
                <w:rFonts w:ascii="Times New Roman" w:hAnsi="Times New Roman"/>
                <w:b/>
                <w:bCs/>
                <w:kern w:val="0"/>
                <w:szCs w:val="21"/>
              </w:rPr>
            </w:pPr>
            <w:r>
              <w:rPr>
                <w:rFonts w:ascii="Times New Roman" w:hAnsi="Times New Roman"/>
                <w:b/>
                <w:bCs/>
                <w:kern w:val="0"/>
                <w:szCs w:val="21"/>
              </w:rPr>
              <w:t>排放浓度（mg/m</w:t>
            </w:r>
            <w:r>
              <w:rPr>
                <w:rFonts w:ascii="Times New Roman" w:hAnsi="Times New Roman"/>
                <w:b/>
                <w:bCs/>
                <w:kern w:val="0"/>
                <w:szCs w:val="21"/>
                <w:vertAlign w:val="superscript"/>
              </w:rPr>
              <w:t>3</w:t>
            </w:r>
            <w:r>
              <w:rPr>
                <w:rFonts w:ascii="Times New Roman" w:hAnsi="Times New Roman"/>
                <w:b/>
                <w:bCs/>
                <w:kern w:val="0"/>
                <w:szCs w:val="21"/>
              </w:rPr>
              <w:t>）</w:t>
            </w:r>
          </w:p>
        </w:tc>
        <w:tc>
          <w:tcPr>
            <w:tcW w:w="1276" w:type="dxa"/>
            <w:shd w:val="clear" w:color="auto" w:fill="auto"/>
            <w:noWrap/>
            <w:vAlign w:val="center"/>
          </w:tcPr>
          <w:p w14:paraId="3F9DC0CE">
            <w:pPr>
              <w:widowControl/>
              <w:jc w:val="center"/>
              <w:rPr>
                <w:rFonts w:ascii="Times New Roman" w:hAnsi="Times New Roman"/>
                <w:b/>
                <w:bCs/>
                <w:kern w:val="0"/>
                <w:szCs w:val="21"/>
              </w:rPr>
            </w:pPr>
            <w:r>
              <w:rPr>
                <w:rFonts w:ascii="Times New Roman" w:hAnsi="Times New Roman"/>
                <w:b/>
                <w:bCs/>
                <w:kern w:val="0"/>
                <w:szCs w:val="21"/>
              </w:rPr>
              <w:t>标准浓度</w:t>
            </w:r>
          </w:p>
          <w:p w14:paraId="21FA7142">
            <w:pPr>
              <w:widowControl/>
              <w:jc w:val="center"/>
              <w:rPr>
                <w:rFonts w:ascii="Times New Roman" w:hAnsi="Times New Roman"/>
                <w:b/>
                <w:bCs/>
                <w:kern w:val="0"/>
                <w:szCs w:val="21"/>
              </w:rPr>
            </w:pPr>
            <w:r>
              <w:rPr>
                <w:rFonts w:ascii="Times New Roman" w:hAnsi="Times New Roman"/>
                <w:b/>
                <w:bCs/>
                <w:kern w:val="0"/>
                <w:szCs w:val="21"/>
              </w:rPr>
              <w:t>排放限值（mg/m</w:t>
            </w:r>
            <w:r>
              <w:rPr>
                <w:rFonts w:ascii="Times New Roman" w:hAnsi="Times New Roman"/>
                <w:b/>
                <w:bCs/>
                <w:kern w:val="0"/>
                <w:szCs w:val="21"/>
                <w:vertAlign w:val="superscript"/>
              </w:rPr>
              <w:t>3</w:t>
            </w:r>
            <w:r>
              <w:rPr>
                <w:rFonts w:ascii="Times New Roman" w:hAnsi="Times New Roman"/>
                <w:b/>
                <w:bCs/>
                <w:kern w:val="0"/>
                <w:szCs w:val="21"/>
              </w:rPr>
              <w:t>）</w:t>
            </w:r>
          </w:p>
        </w:tc>
        <w:tc>
          <w:tcPr>
            <w:tcW w:w="1985" w:type="dxa"/>
            <w:shd w:val="clear" w:color="auto" w:fill="auto"/>
            <w:noWrap/>
            <w:vAlign w:val="center"/>
          </w:tcPr>
          <w:p w14:paraId="1FD7C353">
            <w:pPr>
              <w:widowControl/>
              <w:jc w:val="center"/>
              <w:rPr>
                <w:rFonts w:ascii="Times New Roman" w:hAnsi="Times New Roman"/>
                <w:b/>
                <w:bCs/>
                <w:kern w:val="0"/>
                <w:szCs w:val="21"/>
              </w:rPr>
            </w:pPr>
            <w:r>
              <w:rPr>
                <w:rFonts w:ascii="Times New Roman" w:hAnsi="Times New Roman"/>
                <w:b/>
                <w:bCs/>
                <w:kern w:val="0"/>
                <w:szCs w:val="21"/>
              </w:rPr>
              <w:t>执行标准</w:t>
            </w:r>
          </w:p>
        </w:tc>
        <w:tc>
          <w:tcPr>
            <w:tcW w:w="718" w:type="dxa"/>
            <w:shd w:val="clear" w:color="auto" w:fill="auto"/>
            <w:noWrap/>
            <w:vAlign w:val="center"/>
          </w:tcPr>
          <w:p w14:paraId="336D1288">
            <w:pPr>
              <w:widowControl/>
              <w:jc w:val="center"/>
              <w:rPr>
                <w:rFonts w:ascii="Times New Roman" w:hAnsi="Times New Roman"/>
                <w:b/>
                <w:bCs/>
                <w:kern w:val="0"/>
                <w:szCs w:val="21"/>
              </w:rPr>
            </w:pPr>
            <w:r>
              <w:rPr>
                <w:rFonts w:ascii="Times New Roman" w:hAnsi="Times New Roman"/>
                <w:b/>
                <w:bCs/>
                <w:kern w:val="0"/>
                <w:szCs w:val="21"/>
              </w:rPr>
              <w:t>达标情况</w:t>
            </w:r>
          </w:p>
        </w:tc>
      </w:tr>
      <w:tr w14:paraId="3645D3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03" w:type="dxa"/>
            <w:shd w:val="clear" w:color="auto" w:fill="auto"/>
            <w:noWrap/>
            <w:vAlign w:val="center"/>
          </w:tcPr>
          <w:p w14:paraId="384B2568">
            <w:pPr>
              <w:widowControl/>
              <w:jc w:val="center"/>
              <w:rPr>
                <w:rFonts w:ascii="Times New Roman" w:hAnsi="Times New Roman"/>
                <w:kern w:val="0"/>
                <w:szCs w:val="21"/>
              </w:rPr>
            </w:pPr>
            <w:r>
              <w:rPr>
                <w:rFonts w:hint="eastAsia" w:ascii="Times New Roman" w:hAnsi="Times New Roman"/>
                <w:kern w:val="0"/>
                <w:szCs w:val="21"/>
              </w:rPr>
              <w:t>1#</w:t>
            </w:r>
            <w:r>
              <w:rPr>
                <w:rFonts w:ascii="Times New Roman" w:hAnsi="Times New Roman"/>
                <w:kern w:val="0"/>
                <w:szCs w:val="21"/>
              </w:rPr>
              <w:t>车间</w:t>
            </w:r>
            <w:r>
              <w:rPr>
                <w:rFonts w:hint="eastAsia" w:ascii="Times New Roman" w:hAnsi="Times New Roman"/>
                <w:kern w:val="0"/>
                <w:szCs w:val="21"/>
              </w:rPr>
              <w:t>（DA002）</w:t>
            </w:r>
          </w:p>
        </w:tc>
        <w:tc>
          <w:tcPr>
            <w:tcW w:w="1134" w:type="dxa"/>
            <w:shd w:val="clear" w:color="auto" w:fill="auto"/>
            <w:vAlign w:val="center"/>
          </w:tcPr>
          <w:p w14:paraId="35E6D96E">
            <w:pPr>
              <w:jc w:val="center"/>
              <w:rPr>
                <w:rFonts w:ascii="Times New Roman" w:hAnsi="Times New Roman"/>
                <w:kern w:val="0"/>
                <w:szCs w:val="21"/>
              </w:rPr>
            </w:pPr>
            <w:r>
              <w:rPr>
                <w:rFonts w:ascii="Times New Roman" w:hAnsi="Times New Roman"/>
                <w:kern w:val="0"/>
                <w:szCs w:val="21"/>
              </w:rPr>
              <w:t>颗粒物</w:t>
            </w:r>
          </w:p>
        </w:tc>
        <w:tc>
          <w:tcPr>
            <w:tcW w:w="1276" w:type="dxa"/>
            <w:shd w:val="clear" w:color="auto" w:fill="auto"/>
            <w:noWrap/>
            <w:vAlign w:val="center"/>
          </w:tcPr>
          <w:p w14:paraId="743011D9">
            <w:pPr>
              <w:widowControl/>
              <w:jc w:val="center"/>
              <w:rPr>
                <w:rFonts w:ascii="Times New Roman" w:hAnsi="Times New Roman"/>
                <w:kern w:val="0"/>
                <w:szCs w:val="21"/>
                <w:u w:val="single"/>
              </w:rPr>
            </w:pPr>
            <w:r>
              <w:rPr>
                <w:rFonts w:ascii="Times New Roman" w:hAnsi="Times New Roman" w:eastAsia="等线"/>
                <w:szCs w:val="21"/>
                <w:u w:val="single"/>
              </w:rPr>
              <w:t>16.04</w:t>
            </w:r>
          </w:p>
        </w:tc>
        <w:tc>
          <w:tcPr>
            <w:tcW w:w="1275" w:type="dxa"/>
            <w:shd w:val="clear" w:color="auto" w:fill="auto"/>
            <w:noWrap/>
            <w:vAlign w:val="center"/>
          </w:tcPr>
          <w:p w14:paraId="73299735">
            <w:pPr>
              <w:widowControl/>
              <w:jc w:val="center"/>
              <w:rPr>
                <w:rFonts w:ascii="Times New Roman" w:hAnsi="Times New Roman"/>
                <w:kern w:val="0"/>
                <w:szCs w:val="21"/>
                <w:u w:val="single"/>
              </w:rPr>
            </w:pPr>
            <w:r>
              <w:rPr>
                <w:rFonts w:ascii="Times New Roman" w:hAnsi="Times New Roman" w:eastAsia="等线"/>
                <w:szCs w:val="21"/>
                <w:u w:val="single"/>
              </w:rPr>
              <w:t>0.16</w:t>
            </w:r>
          </w:p>
        </w:tc>
        <w:tc>
          <w:tcPr>
            <w:tcW w:w="1276" w:type="dxa"/>
            <w:shd w:val="clear" w:color="auto" w:fill="auto"/>
            <w:noWrap/>
            <w:vAlign w:val="center"/>
          </w:tcPr>
          <w:p w14:paraId="1D9AC351">
            <w:pPr>
              <w:widowControl/>
              <w:jc w:val="center"/>
              <w:rPr>
                <w:rFonts w:ascii="Times New Roman" w:hAnsi="Times New Roman"/>
                <w:kern w:val="0"/>
                <w:szCs w:val="21"/>
                <w:u w:val="single"/>
              </w:rPr>
            </w:pPr>
            <w:r>
              <w:rPr>
                <w:rFonts w:hint="eastAsia" w:ascii="Times New Roman" w:hAnsi="Times New Roman"/>
                <w:kern w:val="0"/>
                <w:szCs w:val="21"/>
                <w:u w:val="single"/>
              </w:rPr>
              <w:t>120</w:t>
            </w:r>
          </w:p>
        </w:tc>
        <w:tc>
          <w:tcPr>
            <w:tcW w:w="1985" w:type="dxa"/>
            <w:vMerge w:val="restart"/>
            <w:shd w:val="clear" w:color="auto" w:fill="auto"/>
            <w:noWrap/>
            <w:vAlign w:val="center"/>
          </w:tcPr>
          <w:p w14:paraId="5543C607">
            <w:pPr>
              <w:widowControl/>
              <w:jc w:val="center"/>
              <w:rPr>
                <w:rFonts w:ascii="Times New Roman" w:hAnsi="Times New Roman"/>
                <w:spacing w:val="-2"/>
                <w:kern w:val="0"/>
                <w:szCs w:val="21"/>
                <w:u w:val="single"/>
              </w:rPr>
            </w:pPr>
            <w:r>
              <w:rPr>
                <w:rFonts w:hint="eastAsia" w:ascii="Times New Roman" w:hAnsi="Times New Roman"/>
                <w:spacing w:val="-2"/>
                <w:kern w:val="0"/>
                <w:szCs w:val="21"/>
                <w:u w:val="single"/>
              </w:rPr>
              <w:t>《大气污染物综合排放标准》（GB16297-1996）</w:t>
            </w:r>
          </w:p>
        </w:tc>
        <w:tc>
          <w:tcPr>
            <w:tcW w:w="718" w:type="dxa"/>
            <w:shd w:val="clear" w:color="auto" w:fill="auto"/>
            <w:noWrap/>
            <w:vAlign w:val="center"/>
          </w:tcPr>
          <w:p w14:paraId="2410DEF3">
            <w:pPr>
              <w:widowControl/>
              <w:jc w:val="center"/>
              <w:rPr>
                <w:rFonts w:ascii="Times New Roman" w:hAnsi="Times New Roman"/>
                <w:kern w:val="0"/>
                <w:szCs w:val="21"/>
              </w:rPr>
            </w:pPr>
            <w:r>
              <w:rPr>
                <w:rFonts w:ascii="Times New Roman" w:hAnsi="Times New Roman"/>
                <w:kern w:val="0"/>
                <w:szCs w:val="21"/>
              </w:rPr>
              <w:t>达标</w:t>
            </w:r>
          </w:p>
        </w:tc>
      </w:tr>
      <w:tr w14:paraId="478227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03" w:type="dxa"/>
            <w:shd w:val="clear" w:color="auto" w:fill="auto"/>
            <w:noWrap/>
            <w:vAlign w:val="center"/>
          </w:tcPr>
          <w:p w14:paraId="2FBDFA67">
            <w:pPr>
              <w:widowControl/>
              <w:jc w:val="center"/>
              <w:rPr>
                <w:rFonts w:ascii="Times New Roman" w:hAnsi="Times New Roman"/>
                <w:kern w:val="0"/>
                <w:szCs w:val="21"/>
              </w:rPr>
            </w:pPr>
            <w:r>
              <w:rPr>
                <w:rFonts w:hint="eastAsia" w:ascii="Times New Roman" w:hAnsi="Times New Roman"/>
                <w:kern w:val="0"/>
                <w:szCs w:val="21"/>
              </w:rPr>
              <w:t>2#</w:t>
            </w:r>
            <w:r>
              <w:rPr>
                <w:rFonts w:ascii="Times New Roman" w:hAnsi="Times New Roman"/>
                <w:kern w:val="0"/>
                <w:szCs w:val="21"/>
              </w:rPr>
              <w:t>车间</w:t>
            </w:r>
            <w:r>
              <w:rPr>
                <w:rFonts w:hint="eastAsia" w:ascii="Times New Roman" w:hAnsi="Times New Roman"/>
                <w:kern w:val="0"/>
                <w:szCs w:val="21"/>
              </w:rPr>
              <w:t>（DA003）</w:t>
            </w:r>
          </w:p>
        </w:tc>
        <w:tc>
          <w:tcPr>
            <w:tcW w:w="1134" w:type="dxa"/>
            <w:shd w:val="clear" w:color="auto" w:fill="auto"/>
            <w:vAlign w:val="center"/>
          </w:tcPr>
          <w:p w14:paraId="263C1E1B">
            <w:pPr>
              <w:widowControl/>
              <w:jc w:val="center"/>
              <w:rPr>
                <w:rFonts w:ascii="Times New Roman" w:hAnsi="Times New Roman"/>
                <w:kern w:val="0"/>
                <w:szCs w:val="21"/>
              </w:rPr>
            </w:pPr>
            <w:r>
              <w:rPr>
                <w:rFonts w:ascii="Times New Roman" w:hAnsi="Times New Roman"/>
                <w:kern w:val="0"/>
                <w:szCs w:val="21"/>
              </w:rPr>
              <w:t>颗粒物</w:t>
            </w:r>
          </w:p>
        </w:tc>
        <w:tc>
          <w:tcPr>
            <w:tcW w:w="1276" w:type="dxa"/>
            <w:shd w:val="clear" w:color="auto" w:fill="auto"/>
            <w:noWrap/>
            <w:vAlign w:val="center"/>
          </w:tcPr>
          <w:p w14:paraId="6B5BBFBB">
            <w:pPr>
              <w:widowControl/>
              <w:jc w:val="center"/>
              <w:rPr>
                <w:rFonts w:ascii="Times New Roman" w:hAnsi="Times New Roman"/>
                <w:kern w:val="0"/>
                <w:szCs w:val="21"/>
                <w:u w:val="single"/>
              </w:rPr>
            </w:pPr>
            <w:r>
              <w:rPr>
                <w:rFonts w:ascii="Times New Roman" w:hAnsi="Times New Roman" w:eastAsia="等线"/>
                <w:szCs w:val="21"/>
                <w:u w:val="single"/>
              </w:rPr>
              <w:t>20.78</w:t>
            </w:r>
          </w:p>
        </w:tc>
        <w:tc>
          <w:tcPr>
            <w:tcW w:w="1275" w:type="dxa"/>
            <w:shd w:val="clear" w:color="auto" w:fill="auto"/>
            <w:noWrap/>
            <w:vAlign w:val="center"/>
          </w:tcPr>
          <w:p w14:paraId="39D7658A">
            <w:pPr>
              <w:widowControl/>
              <w:jc w:val="center"/>
              <w:rPr>
                <w:rFonts w:ascii="Times New Roman" w:hAnsi="Times New Roman"/>
                <w:kern w:val="0"/>
                <w:szCs w:val="21"/>
                <w:u w:val="single"/>
              </w:rPr>
            </w:pPr>
            <w:r>
              <w:rPr>
                <w:rFonts w:ascii="Times New Roman" w:hAnsi="Times New Roman" w:eastAsia="等线"/>
                <w:szCs w:val="21"/>
                <w:u w:val="single"/>
              </w:rPr>
              <w:t>0.21</w:t>
            </w:r>
          </w:p>
        </w:tc>
        <w:tc>
          <w:tcPr>
            <w:tcW w:w="1276" w:type="dxa"/>
            <w:shd w:val="clear" w:color="auto" w:fill="auto"/>
            <w:noWrap/>
            <w:vAlign w:val="center"/>
          </w:tcPr>
          <w:p w14:paraId="175F3BAC">
            <w:pPr>
              <w:widowControl/>
              <w:jc w:val="center"/>
              <w:rPr>
                <w:rFonts w:ascii="Times New Roman" w:hAnsi="Times New Roman"/>
                <w:kern w:val="0"/>
                <w:szCs w:val="21"/>
                <w:u w:val="single"/>
              </w:rPr>
            </w:pPr>
            <w:r>
              <w:rPr>
                <w:rFonts w:hint="eastAsia" w:ascii="Times New Roman" w:hAnsi="Times New Roman"/>
                <w:kern w:val="0"/>
                <w:szCs w:val="21"/>
                <w:u w:val="single"/>
              </w:rPr>
              <w:t>120</w:t>
            </w:r>
          </w:p>
        </w:tc>
        <w:tc>
          <w:tcPr>
            <w:tcW w:w="1985" w:type="dxa"/>
            <w:vMerge w:val="continue"/>
            <w:shd w:val="clear" w:color="auto" w:fill="auto"/>
            <w:noWrap/>
            <w:vAlign w:val="center"/>
          </w:tcPr>
          <w:p w14:paraId="3B80F579">
            <w:pPr>
              <w:widowControl/>
              <w:jc w:val="center"/>
              <w:rPr>
                <w:rFonts w:ascii="Times New Roman" w:hAnsi="Times New Roman"/>
                <w:spacing w:val="-2"/>
                <w:kern w:val="0"/>
                <w:szCs w:val="21"/>
              </w:rPr>
            </w:pPr>
          </w:p>
        </w:tc>
        <w:tc>
          <w:tcPr>
            <w:tcW w:w="718" w:type="dxa"/>
            <w:shd w:val="clear" w:color="auto" w:fill="auto"/>
            <w:noWrap/>
            <w:vAlign w:val="center"/>
          </w:tcPr>
          <w:p w14:paraId="5D560171">
            <w:pPr>
              <w:widowControl/>
              <w:jc w:val="center"/>
              <w:rPr>
                <w:rFonts w:ascii="Times New Roman" w:hAnsi="Times New Roman"/>
                <w:kern w:val="0"/>
                <w:szCs w:val="21"/>
              </w:rPr>
            </w:pPr>
            <w:r>
              <w:rPr>
                <w:rFonts w:ascii="Times New Roman" w:hAnsi="Times New Roman"/>
                <w:kern w:val="0"/>
                <w:szCs w:val="21"/>
              </w:rPr>
              <w:t>达标</w:t>
            </w:r>
          </w:p>
        </w:tc>
      </w:tr>
    </w:tbl>
    <w:p w14:paraId="673C4A44">
      <w:pPr>
        <w:snapToGrid w:val="0"/>
        <w:spacing w:line="348" w:lineRule="auto"/>
        <w:ind w:firstLine="480"/>
        <w:rPr>
          <w:rFonts w:ascii="Times New Roman" w:hAnsi="Times New Roman"/>
          <w:spacing w:val="-2"/>
          <w:kern w:val="0"/>
          <w:sz w:val="24"/>
          <w:szCs w:val="24"/>
        </w:rPr>
      </w:pPr>
    </w:p>
    <w:p w14:paraId="26B1EE20">
      <w:pPr>
        <w:snapToGrid w:val="0"/>
        <w:spacing w:line="348" w:lineRule="auto"/>
        <w:ind w:firstLine="480"/>
        <w:rPr>
          <w:rFonts w:ascii="Times New Roman" w:hAnsi="Times New Roman"/>
          <w:spacing w:val="-2"/>
          <w:kern w:val="0"/>
          <w:sz w:val="24"/>
          <w:szCs w:val="24"/>
          <w:u w:val="single"/>
        </w:rPr>
      </w:pPr>
      <w:r>
        <w:rPr>
          <w:rFonts w:hint="eastAsia" w:ascii="Times New Roman" w:hAnsi="Times New Roman"/>
          <w:sz w:val="24"/>
          <w:szCs w:val="24"/>
        </w:rPr>
        <w:t>项目周边200m半径范围内的最高建筑为东北面的钦州港冷链保税交易中心厂房，高度为14m。</w:t>
      </w:r>
      <w:r>
        <w:rPr>
          <w:rFonts w:hint="eastAsia" w:ascii="Times New Roman" w:hAnsi="Times New Roman"/>
          <w:sz w:val="24"/>
          <w:szCs w:val="24"/>
          <w:u w:val="single"/>
        </w:rPr>
        <w:t>项目两根</w:t>
      </w:r>
      <w:r>
        <w:rPr>
          <w:rFonts w:ascii="Times New Roman" w:hAnsi="Times New Roman"/>
          <w:spacing w:val="-2"/>
          <w:kern w:val="0"/>
          <w:sz w:val="24"/>
          <w:szCs w:val="24"/>
          <w:u w:val="single"/>
        </w:rPr>
        <w:t>生产车间粉尘</w:t>
      </w:r>
      <w:r>
        <w:rPr>
          <w:rFonts w:hint="eastAsia" w:ascii="Times New Roman" w:hAnsi="Times New Roman"/>
          <w:spacing w:val="-2"/>
          <w:kern w:val="0"/>
          <w:sz w:val="24"/>
          <w:szCs w:val="24"/>
          <w:u w:val="single"/>
        </w:rPr>
        <w:t>排气筒高度均为</w:t>
      </w:r>
      <w:r>
        <w:rPr>
          <w:rFonts w:ascii="Times New Roman" w:hAnsi="Times New Roman"/>
          <w:spacing w:val="-2"/>
          <w:kern w:val="0"/>
          <w:sz w:val="24"/>
          <w:szCs w:val="24"/>
          <w:u w:val="single"/>
        </w:rPr>
        <w:t>1</w:t>
      </w:r>
      <w:r>
        <w:rPr>
          <w:rFonts w:hint="eastAsia" w:ascii="Times New Roman" w:hAnsi="Times New Roman"/>
          <w:spacing w:val="-2"/>
          <w:kern w:val="0"/>
          <w:sz w:val="24"/>
          <w:szCs w:val="24"/>
          <w:u w:val="single"/>
        </w:rPr>
        <w:t>9</w:t>
      </w:r>
      <w:r>
        <w:rPr>
          <w:rFonts w:ascii="Times New Roman" w:hAnsi="Times New Roman"/>
          <w:spacing w:val="-2"/>
          <w:kern w:val="0"/>
          <w:sz w:val="24"/>
          <w:szCs w:val="24"/>
          <w:u w:val="single"/>
        </w:rPr>
        <w:t>m</w:t>
      </w:r>
      <w:r>
        <w:rPr>
          <w:rFonts w:hint="eastAsia" w:ascii="Times New Roman" w:hAnsi="Times New Roman"/>
          <w:spacing w:val="-2"/>
          <w:kern w:val="0"/>
          <w:sz w:val="24"/>
          <w:szCs w:val="24"/>
          <w:u w:val="single"/>
        </w:rPr>
        <w:t>，满足</w:t>
      </w:r>
      <w:r>
        <w:rPr>
          <w:rFonts w:hint="eastAsia" w:ascii="Times New Roman" w:hAnsi="Times New Roman"/>
          <w:sz w:val="24"/>
          <w:szCs w:val="24"/>
          <w:u w:val="single"/>
        </w:rPr>
        <w:t>《大气污染物综合排放标准》（GB16297-1996）要求的“新污染源的排气筒一般不低于15m，排气筒高度应高出周围200m半径范围的建筑5m以上</w:t>
      </w:r>
      <w:r>
        <w:rPr>
          <w:rFonts w:hint="eastAsia" w:ascii="Times New Roman" w:hAnsi="Times New Roman"/>
          <w:spacing w:val="-2"/>
          <w:kern w:val="0"/>
          <w:sz w:val="24"/>
          <w:szCs w:val="24"/>
          <w:u w:val="single"/>
        </w:rPr>
        <w:t>的要求。</w:t>
      </w:r>
      <w:r>
        <w:rPr>
          <w:rFonts w:ascii="Times New Roman" w:hAnsi="Times New Roman"/>
          <w:spacing w:val="-2"/>
          <w:kern w:val="0"/>
          <w:sz w:val="24"/>
          <w:szCs w:val="24"/>
          <w:u w:val="single"/>
        </w:rPr>
        <w:t>项目生产车间粉尘经袋式除尘器处理后，</w:t>
      </w:r>
      <w:r>
        <w:rPr>
          <w:rFonts w:hint="eastAsia" w:ascii="Times New Roman" w:hAnsi="Times New Roman"/>
          <w:spacing w:val="-2"/>
          <w:kern w:val="0"/>
          <w:sz w:val="24"/>
          <w:szCs w:val="24"/>
          <w:u w:val="single"/>
        </w:rPr>
        <w:t>两个车间</w:t>
      </w:r>
      <w:r>
        <w:rPr>
          <w:rFonts w:ascii="Times New Roman" w:hAnsi="Times New Roman"/>
          <w:spacing w:val="-2"/>
          <w:kern w:val="0"/>
          <w:sz w:val="24"/>
          <w:szCs w:val="24"/>
          <w:u w:val="single"/>
        </w:rPr>
        <w:t>有组织排放的颗粒物浓度</w:t>
      </w:r>
      <w:r>
        <w:rPr>
          <w:rFonts w:hint="eastAsia" w:ascii="Times New Roman" w:hAnsi="Times New Roman"/>
          <w:spacing w:val="-2"/>
          <w:kern w:val="0"/>
          <w:sz w:val="24"/>
          <w:szCs w:val="24"/>
          <w:u w:val="single"/>
        </w:rPr>
        <w:t>均能</w:t>
      </w:r>
      <w:r>
        <w:rPr>
          <w:rFonts w:ascii="Times New Roman" w:hAnsi="Times New Roman"/>
          <w:spacing w:val="-2"/>
          <w:kern w:val="0"/>
          <w:sz w:val="24"/>
          <w:szCs w:val="24"/>
          <w:u w:val="single"/>
        </w:rPr>
        <w:t>达到《大气污染物综合排放标准（GB16297-1996）》二级标准浓度限值</w:t>
      </w:r>
      <w:r>
        <w:rPr>
          <w:rFonts w:hint="eastAsia" w:ascii="Times New Roman" w:hAnsi="Times New Roman"/>
          <w:spacing w:val="-2"/>
          <w:kern w:val="0"/>
          <w:sz w:val="24"/>
          <w:szCs w:val="24"/>
          <w:u w:val="single"/>
        </w:rPr>
        <w:t>要求</w:t>
      </w:r>
      <w:r>
        <w:rPr>
          <w:rFonts w:ascii="Times New Roman" w:hAnsi="Times New Roman"/>
          <w:spacing w:val="-2"/>
          <w:kern w:val="0"/>
          <w:sz w:val="24"/>
          <w:szCs w:val="24"/>
          <w:u w:val="single"/>
        </w:rPr>
        <w:t>。</w:t>
      </w:r>
    </w:p>
    <w:p w14:paraId="4536BBF6">
      <w:pPr>
        <w:snapToGrid w:val="0"/>
        <w:spacing w:line="348" w:lineRule="auto"/>
        <w:ind w:firstLine="480"/>
        <w:rPr>
          <w:rFonts w:ascii="Times New Roman" w:hAnsi="Times New Roman"/>
          <w:spacing w:val="-2"/>
          <w:kern w:val="0"/>
          <w:sz w:val="24"/>
          <w:szCs w:val="24"/>
        </w:rPr>
      </w:pPr>
      <w:r>
        <w:rPr>
          <w:rFonts w:ascii="Times New Roman" w:hAnsi="Times New Roman"/>
          <w:spacing w:val="-2"/>
          <w:kern w:val="0"/>
          <w:sz w:val="24"/>
          <w:szCs w:val="24"/>
        </w:rPr>
        <w:t>项目生产车间粉尘点源排放参数见表2.3-</w:t>
      </w:r>
      <w:r>
        <w:rPr>
          <w:rFonts w:hint="eastAsia" w:ascii="Times New Roman" w:hAnsi="Times New Roman"/>
          <w:spacing w:val="-2"/>
          <w:kern w:val="0"/>
          <w:sz w:val="24"/>
          <w:szCs w:val="24"/>
        </w:rPr>
        <w:t>8</w:t>
      </w:r>
      <w:r>
        <w:rPr>
          <w:rFonts w:ascii="Times New Roman" w:hAnsi="Times New Roman"/>
          <w:spacing w:val="-2"/>
          <w:kern w:val="0"/>
          <w:sz w:val="24"/>
          <w:szCs w:val="24"/>
        </w:rPr>
        <w:t>，面源排放参数见表2.3-</w:t>
      </w:r>
      <w:r>
        <w:rPr>
          <w:rFonts w:hint="eastAsia" w:ascii="Times New Roman" w:hAnsi="Times New Roman"/>
          <w:spacing w:val="-2"/>
          <w:kern w:val="0"/>
          <w:sz w:val="24"/>
          <w:szCs w:val="24"/>
        </w:rPr>
        <w:t>9</w:t>
      </w:r>
      <w:r>
        <w:rPr>
          <w:rFonts w:ascii="Times New Roman" w:hAnsi="Times New Roman"/>
          <w:spacing w:val="-2"/>
          <w:kern w:val="0"/>
          <w:sz w:val="24"/>
          <w:szCs w:val="24"/>
        </w:rPr>
        <w:t>。</w:t>
      </w:r>
    </w:p>
    <w:p w14:paraId="5BA101BE">
      <w:pPr>
        <w:pStyle w:val="8"/>
        <w:numPr>
          <w:ilvl w:val="4"/>
          <w:numId w:val="3"/>
        </w:numPr>
        <w:rPr>
          <w:sz w:val="24"/>
          <w:szCs w:val="24"/>
        </w:rPr>
      </w:pPr>
      <w:r>
        <w:rPr>
          <w:sz w:val="24"/>
          <w:szCs w:val="24"/>
        </w:rPr>
        <w:t>项目车间粉尘点源排放参数清单</w:t>
      </w:r>
    </w:p>
    <w:tbl>
      <w:tblPr>
        <w:tblStyle w:val="88"/>
        <w:tblpPr w:leftFromText="180" w:rightFromText="180" w:vertAnchor="text" w:tblpY="1"/>
        <w:tblOverlap w:val="never"/>
        <w:tblW w:w="904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02"/>
        <w:gridCol w:w="1276"/>
        <w:gridCol w:w="1134"/>
        <w:gridCol w:w="850"/>
        <w:gridCol w:w="709"/>
        <w:gridCol w:w="709"/>
        <w:gridCol w:w="709"/>
        <w:gridCol w:w="853"/>
        <w:gridCol w:w="1398"/>
      </w:tblGrid>
      <w:tr w14:paraId="1DE72A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1402" w:type="dxa"/>
            <w:vMerge w:val="restart"/>
            <w:shd w:val="clear" w:color="auto" w:fill="auto"/>
            <w:vAlign w:val="center"/>
          </w:tcPr>
          <w:p w14:paraId="4ACCBF5F">
            <w:pPr>
              <w:widowControl/>
              <w:jc w:val="center"/>
              <w:rPr>
                <w:rFonts w:ascii="Times New Roman" w:hAnsi="Times New Roman"/>
                <w:b/>
                <w:bCs/>
                <w:kern w:val="0"/>
                <w:szCs w:val="21"/>
              </w:rPr>
            </w:pPr>
            <w:r>
              <w:rPr>
                <w:rFonts w:hint="eastAsia" w:ascii="Times New Roman" w:hAnsi="Times New Roman"/>
                <w:b/>
                <w:bCs/>
                <w:kern w:val="0"/>
                <w:szCs w:val="21"/>
              </w:rPr>
              <w:t>污染源名称</w:t>
            </w:r>
          </w:p>
        </w:tc>
        <w:tc>
          <w:tcPr>
            <w:tcW w:w="2410" w:type="dxa"/>
            <w:gridSpan w:val="2"/>
            <w:shd w:val="clear" w:color="auto" w:fill="auto"/>
            <w:vAlign w:val="center"/>
          </w:tcPr>
          <w:p w14:paraId="2BD68830">
            <w:pPr>
              <w:widowControl/>
              <w:jc w:val="center"/>
              <w:rPr>
                <w:rFonts w:ascii="Times New Roman" w:hAnsi="Times New Roman"/>
                <w:b/>
                <w:bCs/>
                <w:kern w:val="0"/>
                <w:szCs w:val="21"/>
              </w:rPr>
            </w:pPr>
            <w:r>
              <w:rPr>
                <w:rFonts w:ascii="Times New Roman" w:hAnsi="Times New Roman"/>
                <w:b/>
                <w:bCs/>
                <w:kern w:val="0"/>
                <w:szCs w:val="21"/>
              </w:rPr>
              <w:t>排气筒底部中心坐标(°)</w:t>
            </w:r>
          </w:p>
        </w:tc>
        <w:tc>
          <w:tcPr>
            <w:tcW w:w="850" w:type="dxa"/>
            <w:vMerge w:val="restart"/>
            <w:shd w:val="clear" w:color="auto" w:fill="auto"/>
            <w:vAlign w:val="center"/>
          </w:tcPr>
          <w:p w14:paraId="603369C2">
            <w:pPr>
              <w:widowControl/>
              <w:jc w:val="center"/>
              <w:rPr>
                <w:rFonts w:ascii="Times New Roman" w:hAnsi="Times New Roman"/>
                <w:b/>
                <w:bCs/>
                <w:kern w:val="0"/>
                <w:szCs w:val="21"/>
              </w:rPr>
            </w:pPr>
            <w:r>
              <w:rPr>
                <w:rFonts w:ascii="Times New Roman" w:hAnsi="Times New Roman"/>
                <w:b/>
                <w:bCs/>
                <w:kern w:val="0"/>
                <w:szCs w:val="21"/>
              </w:rPr>
              <w:t>排气筒底部海拔高度(m)</w:t>
            </w:r>
          </w:p>
        </w:tc>
        <w:tc>
          <w:tcPr>
            <w:tcW w:w="2980" w:type="dxa"/>
            <w:gridSpan w:val="4"/>
            <w:shd w:val="clear" w:color="auto" w:fill="auto"/>
            <w:vAlign w:val="center"/>
          </w:tcPr>
          <w:p w14:paraId="2F6D2CE4">
            <w:pPr>
              <w:widowControl/>
              <w:jc w:val="center"/>
              <w:rPr>
                <w:rFonts w:ascii="Times New Roman" w:hAnsi="Times New Roman"/>
                <w:b/>
                <w:bCs/>
                <w:kern w:val="0"/>
                <w:szCs w:val="21"/>
              </w:rPr>
            </w:pPr>
            <w:r>
              <w:rPr>
                <w:rFonts w:ascii="Times New Roman" w:hAnsi="Times New Roman"/>
                <w:b/>
                <w:bCs/>
                <w:kern w:val="0"/>
                <w:szCs w:val="21"/>
              </w:rPr>
              <w:t>排气筒参数</w:t>
            </w:r>
          </w:p>
        </w:tc>
        <w:tc>
          <w:tcPr>
            <w:tcW w:w="1398" w:type="dxa"/>
            <w:shd w:val="clear" w:color="auto" w:fill="auto"/>
            <w:vAlign w:val="center"/>
          </w:tcPr>
          <w:p w14:paraId="0A5FF282">
            <w:pPr>
              <w:widowControl/>
              <w:jc w:val="center"/>
              <w:rPr>
                <w:rFonts w:ascii="Times New Roman" w:hAnsi="Times New Roman"/>
                <w:b/>
                <w:bCs/>
                <w:kern w:val="0"/>
                <w:szCs w:val="21"/>
              </w:rPr>
            </w:pPr>
            <w:r>
              <w:rPr>
                <w:rFonts w:ascii="Times New Roman" w:hAnsi="Times New Roman"/>
                <w:b/>
                <w:bCs/>
                <w:kern w:val="0"/>
                <w:szCs w:val="21"/>
              </w:rPr>
              <w:t>污染物排放速率(kg/h)</w:t>
            </w:r>
          </w:p>
        </w:tc>
      </w:tr>
      <w:tr w14:paraId="2BFAF4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1402" w:type="dxa"/>
            <w:vMerge w:val="continue"/>
            <w:vAlign w:val="center"/>
          </w:tcPr>
          <w:p w14:paraId="484C24CD">
            <w:pPr>
              <w:widowControl/>
              <w:jc w:val="left"/>
              <w:rPr>
                <w:rFonts w:ascii="Times New Roman" w:hAnsi="Times New Roman"/>
                <w:b/>
                <w:bCs/>
                <w:kern w:val="0"/>
                <w:szCs w:val="21"/>
              </w:rPr>
            </w:pPr>
          </w:p>
        </w:tc>
        <w:tc>
          <w:tcPr>
            <w:tcW w:w="1276" w:type="dxa"/>
            <w:shd w:val="clear" w:color="auto" w:fill="auto"/>
            <w:vAlign w:val="center"/>
          </w:tcPr>
          <w:p w14:paraId="2C2CA09E">
            <w:pPr>
              <w:widowControl/>
              <w:jc w:val="center"/>
              <w:rPr>
                <w:rFonts w:ascii="Times New Roman" w:hAnsi="Times New Roman"/>
                <w:b/>
                <w:bCs/>
                <w:kern w:val="0"/>
                <w:szCs w:val="21"/>
              </w:rPr>
            </w:pPr>
            <w:r>
              <w:rPr>
                <w:rFonts w:ascii="Times New Roman" w:hAnsi="Times New Roman"/>
                <w:b/>
                <w:bCs/>
                <w:kern w:val="0"/>
                <w:szCs w:val="21"/>
              </w:rPr>
              <w:t>经度</w:t>
            </w:r>
          </w:p>
        </w:tc>
        <w:tc>
          <w:tcPr>
            <w:tcW w:w="1134" w:type="dxa"/>
            <w:shd w:val="clear" w:color="auto" w:fill="auto"/>
            <w:vAlign w:val="center"/>
          </w:tcPr>
          <w:p w14:paraId="471AA690">
            <w:pPr>
              <w:widowControl/>
              <w:jc w:val="center"/>
              <w:rPr>
                <w:rFonts w:ascii="Times New Roman" w:hAnsi="Times New Roman"/>
                <w:b/>
                <w:bCs/>
                <w:kern w:val="0"/>
                <w:szCs w:val="21"/>
              </w:rPr>
            </w:pPr>
            <w:r>
              <w:rPr>
                <w:rFonts w:ascii="Times New Roman" w:hAnsi="Times New Roman"/>
                <w:b/>
                <w:bCs/>
                <w:kern w:val="0"/>
                <w:szCs w:val="21"/>
              </w:rPr>
              <w:t>纬度</w:t>
            </w:r>
          </w:p>
        </w:tc>
        <w:tc>
          <w:tcPr>
            <w:tcW w:w="850" w:type="dxa"/>
            <w:vMerge w:val="continue"/>
            <w:vAlign w:val="center"/>
          </w:tcPr>
          <w:p w14:paraId="6474C1FE">
            <w:pPr>
              <w:widowControl/>
              <w:jc w:val="left"/>
              <w:rPr>
                <w:rFonts w:ascii="Times New Roman" w:hAnsi="Times New Roman"/>
                <w:b/>
                <w:bCs/>
                <w:kern w:val="0"/>
                <w:szCs w:val="21"/>
              </w:rPr>
            </w:pPr>
          </w:p>
        </w:tc>
        <w:tc>
          <w:tcPr>
            <w:tcW w:w="709" w:type="dxa"/>
            <w:shd w:val="clear" w:color="auto" w:fill="auto"/>
            <w:vAlign w:val="center"/>
          </w:tcPr>
          <w:p w14:paraId="6E432BC0">
            <w:pPr>
              <w:widowControl/>
              <w:jc w:val="center"/>
              <w:rPr>
                <w:rFonts w:ascii="Times New Roman" w:hAnsi="Times New Roman"/>
                <w:b/>
                <w:bCs/>
                <w:kern w:val="0"/>
                <w:szCs w:val="21"/>
              </w:rPr>
            </w:pPr>
            <w:r>
              <w:rPr>
                <w:rFonts w:ascii="Times New Roman" w:hAnsi="Times New Roman"/>
                <w:b/>
                <w:bCs/>
                <w:kern w:val="0"/>
                <w:szCs w:val="21"/>
              </w:rPr>
              <w:t>高度(m)</w:t>
            </w:r>
          </w:p>
        </w:tc>
        <w:tc>
          <w:tcPr>
            <w:tcW w:w="709" w:type="dxa"/>
            <w:shd w:val="clear" w:color="auto" w:fill="auto"/>
            <w:vAlign w:val="center"/>
          </w:tcPr>
          <w:p w14:paraId="21F255F8">
            <w:pPr>
              <w:widowControl/>
              <w:jc w:val="center"/>
              <w:rPr>
                <w:rFonts w:ascii="Times New Roman" w:hAnsi="Times New Roman"/>
                <w:b/>
                <w:bCs/>
                <w:kern w:val="0"/>
                <w:szCs w:val="21"/>
              </w:rPr>
            </w:pPr>
            <w:r>
              <w:rPr>
                <w:rFonts w:ascii="Times New Roman" w:hAnsi="Times New Roman"/>
                <w:b/>
                <w:bCs/>
                <w:kern w:val="0"/>
                <w:szCs w:val="21"/>
              </w:rPr>
              <w:t>内径(m)</w:t>
            </w:r>
          </w:p>
        </w:tc>
        <w:tc>
          <w:tcPr>
            <w:tcW w:w="709" w:type="dxa"/>
            <w:shd w:val="clear" w:color="auto" w:fill="auto"/>
            <w:vAlign w:val="center"/>
          </w:tcPr>
          <w:p w14:paraId="68D8D040">
            <w:pPr>
              <w:widowControl/>
              <w:jc w:val="center"/>
              <w:rPr>
                <w:rFonts w:ascii="Times New Roman" w:hAnsi="Times New Roman"/>
                <w:b/>
                <w:bCs/>
                <w:kern w:val="0"/>
                <w:szCs w:val="21"/>
              </w:rPr>
            </w:pPr>
            <w:r>
              <w:rPr>
                <w:rFonts w:ascii="Times New Roman" w:hAnsi="Times New Roman"/>
                <w:b/>
                <w:bCs/>
                <w:kern w:val="0"/>
                <w:szCs w:val="21"/>
              </w:rPr>
              <w:t>温度(℃)</w:t>
            </w:r>
          </w:p>
        </w:tc>
        <w:tc>
          <w:tcPr>
            <w:tcW w:w="853" w:type="dxa"/>
            <w:shd w:val="clear" w:color="auto" w:fill="auto"/>
            <w:vAlign w:val="center"/>
          </w:tcPr>
          <w:p w14:paraId="60BA1A30">
            <w:pPr>
              <w:widowControl/>
              <w:jc w:val="center"/>
              <w:rPr>
                <w:rFonts w:ascii="Times New Roman" w:hAnsi="Times New Roman"/>
                <w:b/>
                <w:bCs/>
                <w:kern w:val="0"/>
                <w:szCs w:val="21"/>
              </w:rPr>
            </w:pPr>
            <w:r>
              <w:rPr>
                <w:rFonts w:ascii="Times New Roman" w:hAnsi="Times New Roman"/>
                <w:b/>
                <w:bCs/>
                <w:kern w:val="0"/>
                <w:szCs w:val="21"/>
              </w:rPr>
              <w:t>流速(m/s)</w:t>
            </w:r>
          </w:p>
        </w:tc>
        <w:tc>
          <w:tcPr>
            <w:tcW w:w="1398" w:type="dxa"/>
            <w:shd w:val="clear" w:color="auto" w:fill="auto"/>
            <w:vAlign w:val="center"/>
          </w:tcPr>
          <w:p w14:paraId="5E8B95B4">
            <w:pPr>
              <w:widowControl/>
              <w:jc w:val="center"/>
              <w:rPr>
                <w:rFonts w:ascii="Times New Roman" w:hAnsi="Times New Roman"/>
                <w:b/>
                <w:bCs/>
                <w:kern w:val="0"/>
                <w:szCs w:val="21"/>
              </w:rPr>
            </w:pPr>
            <w:r>
              <w:rPr>
                <w:rFonts w:ascii="Times New Roman" w:hAnsi="Times New Roman"/>
                <w:b/>
                <w:bCs/>
                <w:kern w:val="0"/>
                <w:szCs w:val="21"/>
              </w:rPr>
              <w:t>PM</w:t>
            </w:r>
            <w:r>
              <w:rPr>
                <w:rFonts w:ascii="Times New Roman" w:hAnsi="Times New Roman"/>
                <w:b/>
                <w:bCs/>
                <w:kern w:val="0"/>
                <w:szCs w:val="21"/>
                <w:vertAlign w:val="subscript"/>
              </w:rPr>
              <w:t>10</w:t>
            </w:r>
          </w:p>
        </w:tc>
      </w:tr>
      <w:tr w14:paraId="6EB591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02" w:type="dxa"/>
            <w:shd w:val="clear" w:color="auto" w:fill="auto"/>
            <w:vAlign w:val="center"/>
          </w:tcPr>
          <w:p w14:paraId="557B2CFA">
            <w:pPr>
              <w:widowControl/>
              <w:jc w:val="center"/>
              <w:rPr>
                <w:rFonts w:ascii="Times New Roman" w:hAnsi="Times New Roman"/>
                <w:kern w:val="0"/>
                <w:szCs w:val="21"/>
              </w:rPr>
            </w:pPr>
            <w:r>
              <w:rPr>
                <w:rFonts w:hint="eastAsia" w:ascii="Times New Roman" w:hAnsi="Times New Roman"/>
                <w:kern w:val="0"/>
                <w:szCs w:val="21"/>
              </w:rPr>
              <w:t>1#</w:t>
            </w:r>
            <w:r>
              <w:rPr>
                <w:rFonts w:ascii="Times New Roman" w:hAnsi="Times New Roman"/>
                <w:kern w:val="0"/>
                <w:szCs w:val="21"/>
              </w:rPr>
              <w:t>车间</w:t>
            </w:r>
            <w:r>
              <w:rPr>
                <w:rFonts w:hint="eastAsia" w:ascii="Times New Roman" w:hAnsi="Times New Roman"/>
                <w:kern w:val="0"/>
                <w:szCs w:val="21"/>
              </w:rPr>
              <w:t>（DA002）</w:t>
            </w:r>
          </w:p>
        </w:tc>
        <w:tc>
          <w:tcPr>
            <w:tcW w:w="1276" w:type="dxa"/>
            <w:shd w:val="clear" w:color="auto" w:fill="auto"/>
            <w:vAlign w:val="center"/>
          </w:tcPr>
          <w:p w14:paraId="71794816">
            <w:pPr>
              <w:widowControl/>
              <w:jc w:val="center"/>
              <w:rPr>
                <w:rFonts w:ascii="Times New Roman" w:hAnsi="Times New Roman"/>
                <w:kern w:val="0"/>
                <w:szCs w:val="21"/>
              </w:rPr>
            </w:pPr>
            <w:r>
              <w:rPr>
                <w:rFonts w:ascii="Times New Roman" w:hAnsi="Times New Roman"/>
                <w:szCs w:val="21"/>
              </w:rPr>
              <w:t>108.66769</w:t>
            </w:r>
            <w:r>
              <w:rPr>
                <w:rFonts w:hint="eastAsia" w:ascii="Times New Roman" w:hAnsi="Times New Roman"/>
                <w:szCs w:val="21"/>
              </w:rPr>
              <w:t>6</w:t>
            </w:r>
          </w:p>
        </w:tc>
        <w:tc>
          <w:tcPr>
            <w:tcW w:w="1134" w:type="dxa"/>
            <w:shd w:val="clear" w:color="auto" w:fill="auto"/>
            <w:vAlign w:val="center"/>
          </w:tcPr>
          <w:p w14:paraId="54CF68F4">
            <w:pPr>
              <w:widowControl/>
              <w:jc w:val="center"/>
              <w:rPr>
                <w:rFonts w:ascii="Times New Roman" w:hAnsi="Times New Roman"/>
                <w:kern w:val="0"/>
                <w:szCs w:val="21"/>
              </w:rPr>
            </w:pPr>
            <w:r>
              <w:rPr>
                <w:rFonts w:ascii="Times New Roman" w:hAnsi="Times New Roman"/>
                <w:szCs w:val="21"/>
              </w:rPr>
              <w:t>21.672580</w:t>
            </w:r>
          </w:p>
        </w:tc>
        <w:tc>
          <w:tcPr>
            <w:tcW w:w="850" w:type="dxa"/>
            <w:shd w:val="clear" w:color="auto" w:fill="auto"/>
            <w:vAlign w:val="center"/>
          </w:tcPr>
          <w:p w14:paraId="33FA4750">
            <w:pPr>
              <w:widowControl/>
              <w:jc w:val="center"/>
              <w:rPr>
                <w:rFonts w:ascii="Times New Roman" w:hAnsi="Times New Roman"/>
                <w:kern w:val="0"/>
                <w:szCs w:val="21"/>
              </w:rPr>
            </w:pPr>
            <w:r>
              <w:rPr>
                <w:rFonts w:ascii="Times New Roman" w:hAnsi="Times New Roman"/>
                <w:szCs w:val="21"/>
              </w:rPr>
              <w:t>0</w:t>
            </w:r>
          </w:p>
        </w:tc>
        <w:tc>
          <w:tcPr>
            <w:tcW w:w="709" w:type="dxa"/>
            <w:shd w:val="clear" w:color="auto" w:fill="auto"/>
            <w:vAlign w:val="center"/>
          </w:tcPr>
          <w:p w14:paraId="238E8668">
            <w:pPr>
              <w:widowControl/>
              <w:jc w:val="center"/>
              <w:rPr>
                <w:rFonts w:ascii="Times New Roman" w:hAnsi="Times New Roman"/>
                <w:kern w:val="0"/>
                <w:szCs w:val="21"/>
                <w:u w:val="single"/>
              </w:rPr>
            </w:pPr>
            <w:r>
              <w:rPr>
                <w:rFonts w:hint="eastAsia" w:ascii="Times New Roman" w:hAnsi="Times New Roman"/>
                <w:szCs w:val="21"/>
                <w:u w:val="single"/>
              </w:rPr>
              <w:t>19</w:t>
            </w:r>
          </w:p>
        </w:tc>
        <w:tc>
          <w:tcPr>
            <w:tcW w:w="709" w:type="dxa"/>
            <w:shd w:val="clear" w:color="auto" w:fill="auto"/>
            <w:vAlign w:val="center"/>
          </w:tcPr>
          <w:p w14:paraId="2DC6FC0E">
            <w:pPr>
              <w:widowControl/>
              <w:jc w:val="center"/>
              <w:rPr>
                <w:rFonts w:ascii="Times New Roman" w:hAnsi="Times New Roman"/>
                <w:kern w:val="0"/>
                <w:szCs w:val="21"/>
                <w:u w:val="single"/>
              </w:rPr>
            </w:pPr>
            <w:r>
              <w:rPr>
                <w:rFonts w:ascii="Times New Roman" w:hAnsi="Times New Roman"/>
                <w:szCs w:val="21"/>
                <w:u w:val="single"/>
              </w:rPr>
              <w:t>0.</w:t>
            </w:r>
            <w:r>
              <w:rPr>
                <w:rFonts w:hint="eastAsia" w:ascii="Times New Roman" w:hAnsi="Times New Roman"/>
                <w:szCs w:val="21"/>
                <w:u w:val="single"/>
              </w:rPr>
              <w:t>4</w:t>
            </w:r>
          </w:p>
        </w:tc>
        <w:tc>
          <w:tcPr>
            <w:tcW w:w="709" w:type="dxa"/>
            <w:shd w:val="clear" w:color="auto" w:fill="auto"/>
            <w:vAlign w:val="center"/>
          </w:tcPr>
          <w:p w14:paraId="45C0685F">
            <w:pPr>
              <w:widowControl/>
              <w:jc w:val="center"/>
              <w:rPr>
                <w:rFonts w:ascii="Times New Roman" w:hAnsi="Times New Roman"/>
                <w:kern w:val="0"/>
                <w:szCs w:val="21"/>
              </w:rPr>
            </w:pPr>
            <w:r>
              <w:rPr>
                <w:rFonts w:ascii="Times New Roman" w:hAnsi="Times New Roman"/>
                <w:szCs w:val="21"/>
              </w:rPr>
              <w:t>25</w:t>
            </w:r>
          </w:p>
        </w:tc>
        <w:tc>
          <w:tcPr>
            <w:tcW w:w="853" w:type="dxa"/>
            <w:shd w:val="clear" w:color="auto" w:fill="auto"/>
            <w:vAlign w:val="center"/>
          </w:tcPr>
          <w:p w14:paraId="0170E2B3">
            <w:pPr>
              <w:widowControl/>
              <w:jc w:val="center"/>
              <w:rPr>
                <w:rFonts w:ascii="Times New Roman" w:hAnsi="Times New Roman"/>
                <w:kern w:val="0"/>
                <w:szCs w:val="21"/>
                <w:u w:val="single"/>
              </w:rPr>
            </w:pPr>
            <w:r>
              <w:rPr>
                <w:rFonts w:hint="eastAsia" w:ascii="Times New Roman" w:hAnsi="Times New Roman"/>
                <w:szCs w:val="21"/>
                <w:u w:val="single"/>
              </w:rPr>
              <w:t>17.68</w:t>
            </w:r>
          </w:p>
        </w:tc>
        <w:tc>
          <w:tcPr>
            <w:tcW w:w="1398" w:type="dxa"/>
            <w:shd w:val="clear" w:color="auto" w:fill="auto"/>
            <w:vAlign w:val="center"/>
          </w:tcPr>
          <w:p w14:paraId="62B5ACDD">
            <w:pPr>
              <w:widowControl/>
              <w:jc w:val="center"/>
              <w:rPr>
                <w:rFonts w:ascii="Times New Roman" w:hAnsi="Times New Roman"/>
                <w:kern w:val="0"/>
                <w:szCs w:val="21"/>
                <w:u w:val="single"/>
              </w:rPr>
            </w:pPr>
            <w:r>
              <w:rPr>
                <w:rFonts w:hint="eastAsia" w:ascii="Times New Roman" w:hAnsi="Times New Roman"/>
                <w:kern w:val="0"/>
                <w:szCs w:val="21"/>
                <w:u w:val="single"/>
              </w:rPr>
              <w:t>0.0013</w:t>
            </w:r>
          </w:p>
        </w:tc>
      </w:tr>
      <w:tr w14:paraId="45D74C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02" w:type="dxa"/>
            <w:shd w:val="clear" w:color="auto" w:fill="auto"/>
            <w:vAlign w:val="center"/>
          </w:tcPr>
          <w:p w14:paraId="46901A95">
            <w:pPr>
              <w:widowControl/>
              <w:jc w:val="center"/>
              <w:rPr>
                <w:rFonts w:ascii="Times New Roman" w:hAnsi="Times New Roman"/>
                <w:szCs w:val="21"/>
              </w:rPr>
            </w:pPr>
            <w:r>
              <w:rPr>
                <w:rFonts w:hint="eastAsia" w:ascii="Times New Roman" w:hAnsi="Times New Roman"/>
                <w:kern w:val="0"/>
                <w:szCs w:val="21"/>
              </w:rPr>
              <w:t>2#</w:t>
            </w:r>
            <w:r>
              <w:rPr>
                <w:rFonts w:ascii="Times New Roman" w:hAnsi="Times New Roman"/>
                <w:kern w:val="0"/>
                <w:szCs w:val="21"/>
              </w:rPr>
              <w:t>车间</w:t>
            </w:r>
            <w:r>
              <w:rPr>
                <w:rFonts w:hint="eastAsia" w:ascii="Times New Roman" w:hAnsi="Times New Roman"/>
                <w:kern w:val="0"/>
                <w:szCs w:val="21"/>
              </w:rPr>
              <w:t>（DA003）</w:t>
            </w:r>
          </w:p>
        </w:tc>
        <w:tc>
          <w:tcPr>
            <w:tcW w:w="1276" w:type="dxa"/>
            <w:shd w:val="clear" w:color="auto" w:fill="auto"/>
            <w:vAlign w:val="center"/>
          </w:tcPr>
          <w:p w14:paraId="2158A3DE">
            <w:pPr>
              <w:widowControl/>
              <w:jc w:val="center"/>
              <w:rPr>
                <w:rFonts w:ascii="Times New Roman" w:hAnsi="Times New Roman"/>
                <w:szCs w:val="21"/>
              </w:rPr>
            </w:pPr>
            <w:r>
              <w:rPr>
                <w:rFonts w:ascii="Times New Roman" w:hAnsi="Times New Roman"/>
                <w:szCs w:val="21"/>
              </w:rPr>
              <w:t>108.667904</w:t>
            </w:r>
          </w:p>
        </w:tc>
        <w:tc>
          <w:tcPr>
            <w:tcW w:w="1134" w:type="dxa"/>
            <w:shd w:val="clear" w:color="auto" w:fill="auto"/>
            <w:vAlign w:val="center"/>
          </w:tcPr>
          <w:p w14:paraId="6093380A">
            <w:pPr>
              <w:widowControl/>
              <w:jc w:val="center"/>
              <w:rPr>
                <w:rFonts w:ascii="Times New Roman" w:hAnsi="Times New Roman"/>
                <w:szCs w:val="21"/>
              </w:rPr>
            </w:pPr>
            <w:r>
              <w:rPr>
                <w:rFonts w:ascii="Times New Roman" w:hAnsi="Times New Roman"/>
                <w:szCs w:val="21"/>
              </w:rPr>
              <w:t>21.672726</w:t>
            </w:r>
          </w:p>
        </w:tc>
        <w:tc>
          <w:tcPr>
            <w:tcW w:w="850" w:type="dxa"/>
            <w:shd w:val="clear" w:color="auto" w:fill="auto"/>
            <w:vAlign w:val="center"/>
          </w:tcPr>
          <w:p w14:paraId="0AD9C0E9">
            <w:pPr>
              <w:widowControl/>
              <w:jc w:val="center"/>
              <w:rPr>
                <w:rFonts w:ascii="Times New Roman" w:hAnsi="Times New Roman"/>
                <w:szCs w:val="21"/>
              </w:rPr>
            </w:pPr>
            <w:r>
              <w:rPr>
                <w:rFonts w:hint="eastAsia" w:ascii="Times New Roman" w:hAnsi="Times New Roman"/>
                <w:szCs w:val="21"/>
              </w:rPr>
              <w:t>0</w:t>
            </w:r>
          </w:p>
        </w:tc>
        <w:tc>
          <w:tcPr>
            <w:tcW w:w="709" w:type="dxa"/>
            <w:shd w:val="clear" w:color="auto" w:fill="auto"/>
            <w:vAlign w:val="center"/>
          </w:tcPr>
          <w:p w14:paraId="5ECA65FC">
            <w:pPr>
              <w:widowControl/>
              <w:jc w:val="center"/>
              <w:rPr>
                <w:rFonts w:ascii="Times New Roman" w:hAnsi="Times New Roman"/>
                <w:szCs w:val="21"/>
                <w:u w:val="single"/>
              </w:rPr>
            </w:pPr>
            <w:r>
              <w:rPr>
                <w:rFonts w:hint="eastAsia" w:ascii="Times New Roman" w:hAnsi="Times New Roman"/>
                <w:szCs w:val="21"/>
                <w:u w:val="single"/>
              </w:rPr>
              <w:t>19</w:t>
            </w:r>
          </w:p>
        </w:tc>
        <w:tc>
          <w:tcPr>
            <w:tcW w:w="709" w:type="dxa"/>
            <w:shd w:val="clear" w:color="auto" w:fill="auto"/>
            <w:vAlign w:val="center"/>
          </w:tcPr>
          <w:p w14:paraId="15B76F5B">
            <w:pPr>
              <w:widowControl/>
              <w:jc w:val="center"/>
              <w:rPr>
                <w:rFonts w:ascii="Times New Roman" w:hAnsi="Times New Roman"/>
                <w:szCs w:val="21"/>
                <w:u w:val="single"/>
              </w:rPr>
            </w:pPr>
            <w:r>
              <w:rPr>
                <w:rFonts w:ascii="Times New Roman" w:hAnsi="Times New Roman"/>
                <w:szCs w:val="21"/>
                <w:u w:val="single"/>
              </w:rPr>
              <w:t>0.</w:t>
            </w:r>
            <w:r>
              <w:rPr>
                <w:rFonts w:hint="eastAsia" w:ascii="Times New Roman" w:hAnsi="Times New Roman"/>
                <w:szCs w:val="21"/>
                <w:u w:val="single"/>
              </w:rPr>
              <w:t>4</w:t>
            </w:r>
          </w:p>
        </w:tc>
        <w:tc>
          <w:tcPr>
            <w:tcW w:w="709" w:type="dxa"/>
            <w:shd w:val="clear" w:color="auto" w:fill="auto"/>
            <w:vAlign w:val="center"/>
          </w:tcPr>
          <w:p w14:paraId="3937C4BC">
            <w:pPr>
              <w:widowControl/>
              <w:jc w:val="center"/>
              <w:rPr>
                <w:rFonts w:ascii="Times New Roman" w:hAnsi="Times New Roman"/>
                <w:szCs w:val="21"/>
              </w:rPr>
            </w:pPr>
            <w:r>
              <w:rPr>
                <w:rFonts w:ascii="Times New Roman" w:hAnsi="Times New Roman"/>
                <w:szCs w:val="21"/>
              </w:rPr>
              <w:t>25</w:t>
            </w:r>
          </w:p>
        </w:tc>
        <w:tc>
          <w:tcPr>
            <w:tcW w:w="853" w:type="dxa"/>
            <w:shd w:val="clear" w:color="auto" w:fill="auto"/>
            <w:vAlign w:val="center"/>
          </w:tcPr>
          <w:p w14:paraId="2B832F7F">
            <w:pPr>
              <w:widowControl/>
              <w:jc w:val="center"/>
              <w:rPr>
                <w:rFonts w:ascii="Times New Roman" w:hAnsi="Times New Roman"/>
                <w:szCs w:val="21"/>
                <w:u w:val="single"/>
              </w:rPr>
            </w:pPr>
            <w:r>
              <w:rPr>
                <w:rFonts w:hint="eastAsia" w:ascii="Times New Roman" w:hAnsi="Times New Roman"/>
                <w:szCs w:val="21"/>
                <w:u w:val="single"/>
              </w:rPr>
              <w:t>17.68</w:t>
            </w:r>
          </w:p>
        </w:tc>
        <w:tc>
          <w:tcPr>
            <w:tcW w:w="1398" w:type="dxa"/>
            <w:shd w:val="clear" w:color="auto" w:fill="auto"/>
            <w:vAlign w:val="center"/>
          </w:tcPr>
          <w:p w14:paraId="62C1F4C0">
            <w:pPr>
              <w:widowControl/>
              <w:jc w:val="center"/>
              <w:rPr>
                <w:rFonts w:ascii="Times New Roman" w:hAnsi="Times New Roman"/>
                <w:kern w:val="0"/>
                <w:szCs w:val="21"/>
                <w:u w:val="single"/>
              </w:rPr>
            </w:pPr>
            <w:r>
              <w:rPr>
                <w:rFonts w:hint="eastAsia" w:ascii="Times New Roman" w:hAnsi="Times New Roman"/>
                <w:kern w:val="0"/>
                <w:szCs w:val="21"/>
                <w:u w:val="single"/>
              </w:rPr>
              <w:t>0.0017</w:t>
            </w:r>
          </w:p>
        </w:tc>
      </w:tr>
    </w:tbl>
    <w:p w14:paraId="6FAD397D">
      <w:pPr>
        <w:snapToGrid w:val="0"/>
        <w:spacing w:line="348" w:lineRule="auto"/>
        <w:ind w:firstLine="480"/>
        <w:rPr>
          <w:rFonts w:ascii="Times New Roman" w:hAnsi="Times New Roman"/>
          <w:spacing w:val="-2"/>
          <w:kern w:val="0"/>
          <w:sz w:val="24"/>
          <w:szCs w:val="24"/>
        </w:rPr>
      </w:pPr>
    </w:p>
    <w:p w14:paraId="638363DF">
      <w:pPr>
        <w:pStyle w:val="8"/>
        <w:numPr>
          <w:ilvl w:val="4"/>
          <w:numId w:val="3"/>
        </w:numPr>
        <w:spacing w:line="348" w:lineRule="auto"/>
        <w:ind w:firstLine="480"/>
        <w:rPr>
          <w:spacing w:val="-2"/>
          <w:kern w:val="0"/>
          <w:sz w:val="24"/>
          <w:szCs w:val="24"/>
        </w:rPr>
      </w:pPr>
      <w:r>
        <w:rPr>
          <w:sz w:val="24"/>
          <w:szCs w:val="24"/>
        </w:rPr>
        <w:t>项目车间粉尘面源排放参数清单</w:t>
      </w:r>
    </w:p>
    <w:tbl>
      <w:tblPr>
        <w:tblStyle w:val="88"/>
        <w:tblpPr w:leftFromText="180" w:rightFromText="180" w:vertAnchor="text" w:tblpXSpec="center" w:tblpY="1"/>
        <w:tblOverlap w:val="never"/>
        <w:tblW w:w="904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07"/>
        <w:gridCol w:w="1273"/>
        <w:gridCol w:w="1139"/>
        <w:gridCol w:w="1275"/>
        <w:gridCol w:w="1276"/>
        <w:gridCol w:w="1276"/>
        <w:gridCol w:w="1394"/>
      </w:tblGrid>
      <w:tr w14:paraId="29A7A8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07" w:type="dxa"/>
            <w:vMerge w:val="restart"/>
            <w:vAlign w:val="center"/>
          </w:tcPr>
          <w:p w14:paraId="429B5EC4">
            <w:pPr>
              <w:widowControl/>
              <w:jc w:val="center"/>
              <w:rPr>
                <w:rFonts w:ascii="Times New Roman" w:hAnsi="Times New Roman"/>
                <w:b/>
                <w:bCs/>
                <w:szCs w:val="21"/>
              </w:rPr>
            </w:pPr>
            <w:r>
              <w:rPr>
                <w:rFonts w:hint="eastAsia" w:ascii="Times New Roman" w:hAnsi="Times New Roman"/>
                <w:b/>
                <w:bCs/>
                <w:kern w:val="0"/>
                <w:szCs w:val="21"/>
              </w:rPr>
              <w:t>污染源名称</w:t>
            </w:r>
          </w:p>
        </w:tc>
        <w:tc>
          <w:tcPr>
            <w:tcW w:w="2412" w:type="dxa"/>
            <w:gridSpan w:val="2"/>
            <w:shd w:val="clear" w:color="auto" w:fill="auto"/>
            <w:noWrap/>
            <w:vAlign w:val="center"/>
          </w:tcPr>
          <w:p w14:paraId="5D8F6F9A">
            <w:pPr>
              <w:widowControl/>
              <w:jc w:val="center"/>
              <w:rPr>
                <w:rFonts w:ascii="Times New Roman" w:hAnsi="Times New Roman"/>
                <w:b/>
                <w:bCs/>
                <w:szCs w:val="21"/>
              </w:rPr>
            </w:pPr>
            <w:r>
              <w:rPr>
                <w:rFonts w:ascii="Times New Roman" w:hAnsi="Times New Roman"/>
                <w:b/>
                <w:bCs/>
                <w:szCs w:val="21"/>
              </w:rPr>
              <w:t>坐标</w:t>
            </w:r>
            <w:r>
              <w:rPr>
                <w:rFonts w:ascii="Times New Roman" w:hAnsi="Times New Roman"/>
                <w:b/>
                <w:bCs/>
                <w:kern w:val="0"/>
                <w:szCs w:val="21"/>
              </w:rPr>
              <w:t>(°)</w:t>
            </w:r>
          </w:p>
        </w:tc>
        <w:tc>
          <w:tcPr>
            <w:tcW w:w="1275" w:type="dxa"/>
            <w:vMerge w:val="restart"/>
            <w:shd w:val="clear" w:color="auto" w:fill="auto"/>
            <w:noWrap/>
            <w:vAlign w:val="center"/>
          </w:tcPr>
          <w:p w14:paraId="62B93E16">
            <w:pPr>
              <w:widowControl/>
              <w:jc w:val="center"/>
              <w:rPr>
                <w:rFonts w:ascii="Times New Roman" w:hAnsi="Times New Roman"/>
                <w:b/>
                <w:bCs/>
                <w:szCs w:val="21"/>
              </w:rPr>
            </w:pPr>
            <w:r>
              <w:rPr>
                <w:rFonts w:ascii="Times New Roman" w:hAnsi="Times New Roman"/>
                <w:b/>
                <w:bCs/>
                <w:szCs w:val="21"/>
              </w:rPr>
              <w:t>面源长度(m)</w:t>
            </w:r>
          </w:p>
        </w:tc>
        <w:tc>
          <w:tcPr>
            <w:tcW w:w="1276" w:type="dxa"/>
            <w:vMerge w:val="restart"/>
            <w:shd w:val="clear" w:color="auto" w:fill="auto"/>
            <w:noWrap/>
            <w:vAlign w:val="center"/>
          </w:tcPr>
          <w:p w14:paraId="778FB558">
            <w:pPr>
              <w:widowControl/>
              <w:jc w:val="center"/>
              <w:rPr>
                <w:rFonts w:ascii="Times New Roman" w:hAnsi="Times New Roman"/>
                <w:b/>
                <w:bCs/>
                <w:szCs w:val="21"/>
              </w:rPr>
            </w:pPr>
            <w:r>
              <w:rPr>
                <w:rFonts w:ascii="Times New Roman" w:hAnsi="Times New Roman"/>
                <w:b/>
                <w:bCs/>
                <w:szCs w:val="21"/>
              </w:rPr>
              <w:t>面源宽度（m）</w:t>
            </w:r>
          </w:p>
        </w:tc>
        <w:tc>
          <w:tcPr>
            <w:tcW w:w="1276" w:type="dxa"/>
            <w:vMerge w:val="restart"/>
            <w:shd w:val="clear" w:color="auto" w:fill="auto"/>
            <w:noWrap/>
            <w:vAlign w:val="center"/>
          </w:tcPr>
          <w:p w14:paraId="5F2CEBA0">
            <w:pPr>
              <w:widowControl/>
              <w:jc w:val="center"/>
              <w:rPr>
                <w:rFonts w:ascii="Times New Roman" w:hAnsi="Times New Roman"/>
                <w:b/>
                <w:bCs/>
                <w:szCs w:val="21"/>
              </w:rPr>
            </w:pPr>
            <w:r>
              <w:rPr>
                <w:rFonts w:ascii="Times New Roman" w:hAnsi="Times New Roman"/>
                <w:b/>
                <w:bCs/>
                <w:szCs w:val="21"/>
              </w:rPr>
              <w:t>源高（m）</w:t>
            </w:r>
          </w:p>
        </w:tc>
        <w:tc>
          <w:tcPr>
            <w:tcW w:w="1394" w:type="dxa"/>
            <w:shd w:val="clear" w:color="auto" w:fill="auto"/>
            <w:vAlign w:val="center"/>
          </w:tcPr>
          <w:p w14:paraId="5958404D">
            <w:pPr>
              <w:widowControl/>
              <w:jc w:val="center"/>
              <w:rPr>
                <w:rFonts w:ascii="Times New Roman" w:hAnsi="Times New Roman"/>
                <w:szCs w:val="21"/>
              </w:rPr>
            </w:pPr>
            <w:r>
              <w:rPr>
                <w:rFonts w:ascii="Times New Roman" w:hAnsi="Times New Roman"/>
                <w:b/>
                <w:bCs/>
                <w:kern w:val="0"/>
                <w:szCs w:val="21"/>
              </w:rPr>
              <w:t>污染物排放速率(kg/h)</w:t>
            </w:r>
          </w:p>
        </w:tc>
      </w:tr>
      <w:tr w14:paraId="0428CB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07" w:type="dxa"/>
            <w:vMerge w:val="continue"/>
            <w:vAlign w:val="center"/>
          </w:tcPr>
          <w:p w14:paraId="1FF38C59">
            <w:pPr>
              <w:widowControl/>
              <w:jc w:val="center"/>
              <w:rPr>
                <w:rFonts w:ascii="Times New Roman" w:hAnsi="Times New Roman"/>
                <w:b/>
                <w:bCs/>
                <w:szCs w:val="21"/>
              </w:rPr>
            </w:pPr>
          </w:p>
        </w:tc>
        <w:tc>
          <w:tcPr>
            <w:tcW w:w="1273" w:type="dxa"/>
            <w:shd w:val="clear" w:color="auto" w:fill="auto"/>
            <w:vAlign w:val="center"/>
          </w:tcPr>
          <w:p w14:paraId="5D5BF684">
            <w:pPr>
              <w:widowControl/>
              <w:jc w:val="center"/>
              <w:rPr>
                <w:rFonts w:ascii="Times New Roman" w:hAnsi="Times New Roman"/>
                <w:b/>
                <w:bCs/>
                <w:szCs w:val="21"/>
              </w:rPr>
            </w:pPr>
            <w:r>
              <w:rPr>
                <w:rFonts w:ascii="Times New Roman" w:hAnsi="Times New Roman"/>
                <w:b/>
                <w:bCs/>
                <w:kern w:val="0"/>
                <w:szCs w:val="21"/>
              </w:rPr>
              <w:t>经度</w:t>
            </w:r>
          </w:p>
        </w:tc>
        <w:tc>
          <w:tcPr>
            <w:tcW w:w="1139" w:type="dxa"/>
            <w:vAlign w:val="center"/>
          </w:tcPr>
          <w:p w14:paraId="2C0D0B08">
            <w:pPr>
              <w:widowControl/>
              <w:jc w:val="center"/>
              <w:rPr>
                <w:rFonts w:ascii="Times New Roman" w:hAnsi="Times New Roman"/>
                <w:b/>
                <w:bCs/>
                <w:szCs w:val="21"/>
              </w:rPr>
            </w:pPr>
            <w:r>
              <w:rPr>
                <w:rFonts w:ascii="Times New Roman" w:hAnsi="Times New Roman"/>
                <w:b/>
                <w:bCs/>
                <w:kern w:val="0"/>
                <w:szCs w:val="21"/>
              </w:rPr>
              <w:t>纬度</w:t>
            </w:r>
          </w:p>
        </w:tc>
        <w:tc>
          <w:tcPr>
            <w:tcW w:w="1275" w:type="dxa"/>
            <w:vMerge w:val="continue"/>
            <w:vAlign w:val="center"/>
          </w:tcPr>
          <w:p w14:paraId="0B6D0D06">
            <w:pPr>
              <w:widowControl/>
              <w:jc w:val="center"/>
              <w:rPr>
                <w:rFonts w:ascii="Times New Roman" w:hAnsi="Times New Roman"/>
                <w:szCs w:val="21"/>
              </w:rPr>
            </w:pPr>
          </w:p>
        </w:tc>
        <w:tc>
          <w:tcPr>
            <w:tcW w:w="1276" w:type="dxa"/>
            <w:vMerge w:val="continue"/>
            <w:vAlign w:val="center"/>
          </w:tcPr>
          <w:p w14:paraId="71994DDB">
            <w:pPr>
              <w:widowControl/>
              <w:jc w:val="center"/>
              <w:rPr>
                <w:rFonts w:ascii="Times New Roman" w:hAnsi="Times New Roman"/>
                <w:szCs w:val="21"/>
              </w:rPr>
            </w:pPr>
          </w:p>
        </w:tc>
        <w:tc>
          <w:tcPr>
            <w:tcW w:w="1276" w:type="dxa"/>
            <w:vMerge w:val="continue"/>
            <w:vAlign w:val="center"/>
          </w:tcPr>
          <w:p w14:paraId="214CD0FB">
            <w:pPr>
              <w:widowControl/>
              <w:jc w:val="center"/>
              <w:rPr>
                <w:rFonts w:ascii="Times New Roman" w:hAnsi="Times New Roman"/>
                <w:szCs w:val="21"/>
              </w:rPr>
            </w:pPr>
          </w:p>
        </w:tc>
        <w:tc>
          <w:tcPr>
            <w:tcW w:w="1394" w:type="dxa"/>
            <w:shd w:val="clear" w:color="auto" w:fill="auto"/>
            <w:vAlign w:val="center"/>
          </w:tcPr>
          <w:p w14:paraId="1AFA01EE">
            <w:pPr>
              <w:widowControl/>
              <w:jc w:val="center"/>
              <w:rPr>
                <w:rFonts w:ascii="Times New Roman" w:hAnsi="Times New Roman"/>
                <w:szCs w:val="21"/>
              </w:rPr>
            </w:pPr>
            <w:r>
              <w:rPr>
                <w:rFonts w:hint="eastAsia" w:ascii="Times New Roman" w:hAnsi="Times New Roman"/>
                <w:b/>
                <w:bCs/>
                <w:kern w:val="0"/>
                <w:szCs w:val="21"/>
              </w:rPr>
              <w:t>TSP</w:t>
            </w:r>
          </w:p>
        </w:tc>
      </w:tr>
      <w:tr w14:paraId="3657A2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07" w:type="dxa"/>
            <w:vAlign w:val="center"/>
          </w:tcPr>
          <w:p w14:paraId="2C195E05">
            <w:pPr>
              <w:widowControl/>
              <w:jc w:val="center"/>
              <w:rPr>
                <w:rFonts w:ascii="Times New Roman" w:hAnsi="Times New Roman"/>
                <w:szCs w:val="21"/>
              </w:rPr>
            </w:pPr>
            <w:bookmarkStart w:id="115" w:name="_Hlk185789703"/>
            <w:r>
              <w:rPr>
                <w:rFonts w:ascii="Times New Roman" w:hAnsi="Times New Roman"/>
                <w:szCs w:val="21"/>
              </w:rPr>
              <w:t>车间粉尘无组织排放</w:t>
            </w:r>
          </w:p>
        </w:tc>
        <w:tc>
          <w:tcPr>
            <w:tcW w:w="1273" w:type="dxa"/>
            <w:shd w:val="clear" w:color="auto" w:fill="auto"/>
            <w:vAlign w:val="center"/>
          </w:tcPr>
          <w:p w14:paraId="6438C0ED">
            <w:pPr>
              <w:widowControl/>
              <w:jc w:val="center"/>
              <w:rPr>
                <w:rFonts w:ascii="Times New Roman" w:hAnsi="Times New Roman"/>
                <w:szCs w:val="21"/>
              </w:rPr>
            </w:pPr>
            <w:r>
              <w:rPr>
                <w:rFonts w:ascii="Times New Roman" w:hAnsi="Times New Roman"/>
                <w:szCs w:val="21"/>
              </w:rPr>
              <w:t>108.667912</w:t>
            </w:r>
          </w:p>
        </w:tc>
        <w:tc>
          <w:tcPr>
            <w:tcW w:w="1139" w:type="dxa"/>
            <w:vAlign w:val="center"/>
          </w:tcPr>
          <w:p w14:paraId="704E3F80">
            <w:pPr>
              <w:widowControl/>
              <w:jc w:val="center"/>
              <w:rPr>
                <w:rFonts w:ascii="Times New Roman" w:hAnsi="Times New Roman"/>
                <w:szCs w:val="21"/>
              </w:rPr>
            </w:pPr>
            <w:r>
              <w:rPr>
                <w:rFonts w:ascii="Times New Roman" w:hAnsi="Times New Roman"/>
                <w:szCs w:val="21"/>
              </w:rPr>
              <w:t>21.672484</w:t>
            </w:r>
          </w:p>
        </w:tc>
        <w:tc>
          <w:tcPr>
            <w:tcW w:w="1275" w:type="dxa"/>
            <w:shd w:val="clear" w:color="auto" w:fill="auto"/>
            <w:noWrap/>
            <w:vAlign w:val="center"/>
          </w:tcPr>
          <w:p w14:paraId="04E717ED">
            <w:pPr>
              <w:widowControl/>
              <w:jc w:val="center"/>
              <w:rPr>
                <w:rFonts w:ascii="Times New Roman" w:hAnsi="Times New Roman"/>
                <w:szCs w:val="21"/>
              </w:rPr>
            </w:pPr>
            <w:r>
              <w:rPr>
                <w:rFonts w:hint="eastAsia" w:ascii="Times New Roman" w:hAnsi="Times New Roman"/>
                <w:szCs w:val="21"/>
              </w:rPr>
              <w:t>109.21</w:t>
            </w:r>
          </w:p>
        </w:tc>
        <w:tc>
          <w:tcPr>
            <w:tcW w:w="1276" w:type="dxa"/>
            <w:shd w:val="clear" w:color="auto" w:fill="auto"/>
            <w:noWrap/>
            <w:vAlign w:val="center"/>
          </w:tcPr>
          <w:p w14:paraId="308D8D7B">
            <w:pPr>
              <w:widowControl/>
              <w:jc w:val="center"/>
              <w:rPr>
                <w:rFonts w:ascii="Times New Roman" w:hAnsi="Times New Roman"/>
                <w:szCs w:val="21"/>
              </w:rPr>
            </w:pPr>
            <w:r>
              <w:rPr>
                <w:rFonts w:hint="eastAsia" w:ascii="Times New Roman" w:hAnsi="Times New Roman"/>
                <w:szCs w:val="21"/>
              </w:rPr>
              <w:t>21.6</w:t>
            </w:r>
          </w:p>
        </w:tc>
        <w:tc>
          <w:tcPr>
            <w:tcW w:w="1276" w:type="dxa"/>
            <w:shd w:val="clear" w:color="auto" w:fill="auto"/>
            <w:noWrap/>
            <w:vAlign w:val="center"/>
          </w:tcPr>
          <w:p w14:paraId="41796BDE">
            <w:pPr>
              <w:widowControl/>
              <w:jc w:val="center"/>
              <w:rPr>
                <w:rFonts w:ascii="Times New Roman" w:hAnsi="Times New Roman"/>
                <w:szCs w:val="21"/>
              </w:rPr>
            </w:pPr>
            <w:r>
              <w:rPr>
                <w:rFonts w:hint="eastAsia" w:ascii="Times New Roman" w:hAnsi="Times New Roman"/>
                <w:szCs w:val="21"/>
              </w:rPr>
              <w:t>9</w:t>
            </w:r>
          </w:p>
        </w:tc>
        <w:tc>
          <w:tcPr>
            <w:tcW w:w="1394" w:type="dxa"/>
            <w:shd w:val="clear" w:color="auto" w:fill="auto"/>
            <w:noWrap/>
            <w:vAlign w:val="center"/>
          </w:tcPr>
          <w:p w14:paraId="6A2C08B9">
            <w:pPr>
              <w:widowControl/>
              <w:jc w:val="center"/>
              <w:rPr>
                <w:rFonts w:ascii="Times New Roman" w:hAnsi="Times New Roman"/>
                <w:szCs w:val="21"/>
                <w:u w:val="single"/>
              </w:rPr>
            </w:pPr>
            <w:r>
              <w:rPr>
                <w:rFonts w:hint="eastAsia" w:ascii="Times New Roman" w:hAnsi="Times New Roman"/>
                <w:szCs w:val="21"/>
                <w:u w:val="single"/>
              </w:rPr>
              <w:t>0.1054</w:t>
            </w:r>
          </w:p>
        </w:tc>
      </w:tr>
      <w:bookmarkEnd w:id="115"/>
    </w:tbl>
    <w:p w14:paraId="5B08E89E">
      <w:pPr>
        <w:snapToGrid w:val="0"/>
        <w:spacing w:line="348" w:lineRule="auto"/>
        <w:ind w:firstLine="480"/>
        <w:rPr>
          <w:rFonts w:ascii="Times New Roman" w:hAnsi="Times New Roman"/>
          <w:spacing w:val="-2"/>
          <w:kern w:val="0"/>
          <w:sz w:val="24"/>
          <w:szCs w:val="24"/>
        </w:rPr>
      </w:pPr>
    </w:p>
    <w:p w14:paraId="7FD0D574">
      <w:pPr>
        <w:pStyle w:val="7"/>
        <w:numPr>
          <w:ilvl w:val="3"/>
          <w:numId w:val="3"/>
        </w:numPr>
      </w:pPr>
      <w:r>
        <w:t>物料运输扬尘</w:t>
      </w:r>
    </w:p>
    <w:p w14:paraId="0999BE1A">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物料运输扬尘主要是原料毛矿运输进场、产品及副产品等运输出厂过程中，车辆在场地行驶、运输车辆行驶过程中矿料洒落路面、运输车辆的车轮夹带泥土污染场地附近路面而产生扬尘。项目对物料运输进行严格管理，装载物料装载车辆采用篷布覆盖，在物料装载汽车运输期间定期道路洒水方式降尘。</w:t>
      </w:r>
    </w:p>
    <w:p w14:paraId="6A1EA1C4">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项目物料运输扬尘根据《扬尘源颗粒物排放清单编制技术指南》（环境保护部 公告 2014年 第92号）中道路扬尘源颗粒物排放量计算公式进行估算，项目位于广西钦州保税区创大冷链物流公司进口汽车仓储物流园内，园区内的道路均已铺装硬化，项目物料运输的扬尘排放量计算公式如下：</w:t>
      </w:r>
    </w:p>
    <w:p w14:paraId="3430D07E">
      <w:pPr>
        <w:spacing w:line="360" w:lineRule="auto"/>
        <w:ind w:firstLine="480" w:firstLineChars="200"/>
        <w:jc w:val="center"/>
        <w:rPr>
          <w:rFonts w:ascii="Times New Roman" w:hAnsi="Times New Roman"/>
          <w:sz w:val="24"/>
          <w:szCs w:val="24"/>
        </w:rPr>
      </w:pPr>
      <m:oMathPara>
        <m:oMath>
          <m:sSub>
            <m:sSubPr>
              <m:ctrlPr>
                <w:rPr>
                  <w:rFonts w:ascii="Cambria Math" w:hAnsi="Cambria Math"/>
                  <w:i/>
                  <w:sz w:val="24"/>
                  <w:szCs w:val="24"/>
                </w:rPr>
              </m:ctrlPr>
            </m:sSubPr>
            <m:e>
              <m:r>
                <m:rPr/>
                <w:rPr>
                  <w:rFonts w:ascii="Cambria Math" w:hAnsi="Cambria Math"/>
                  <w:sz w:val="24"/>
                  <w:szCs w:val="24"/>
                </w:rPr>
                <m:t>W</m:t>
              </m:r>
              <m:ctrlPr>
                <w:rPr>
                  <w:rFonts w:ascii="Cambria Math" w:hAnsi="Cambria Math"/>
                  <w:i/>
                  <w:sz w:val="24"/>
                  <w:szCs w:val="24"/>
                </w:rPr>
              </m:ctrlPr>
            </m:e>
            <m:sub>
              <m:r>
                <m:rPr/>
                <w:rPr>
                  <w:rFonts w:ascii="Cambria Math" w:hAnsi="Cambria Math"/>
                  <w:sz w:val="24"/>
                  <w:szCs w:val="24"/>
                </w:rPr>
                <m:t>Ri</m:t>
              </m:r>
              <m:ctrlPr>
                <w:rPr>
                  <w:rFonts w:ascii="Cambria Math" w:hAnsi="Cambria Math"/>
                  <w:i/>
                  <w:sz w:val="24"/>
                  <w:szCs w:val="24"/>
                </w:rPr>
              </m:ctrlPr>
            </m:sub>
          </m:sSub>
          <m:r>
            <m:rPr/>
            <w:rPr>
              <w:rFonts w:ascii="Cambria Math" w:hAnsi="Cambria Math"/>
              <w:sz w:val="24"/>
              <w:szCs w:val="24"/>
            </w:rPr>
            <m:t>=</m:t>
          </m:r>
          <m:sSub>
            <m:sSubPr>
              <m:ctrlPr>
                <w:rPr>
                  <w:rFonts w:ascii="Cambria Math" w:hAnsi="Cambria Math"/>
                  <w:i/>
                  <w:sz w:val="24"/>
                  <w:szCs w:val="24"/>
                </w:rPr>
              </m:ctrlPr>
            </m:sSubPr>
            <m:e>
              <m:r>
                <m:rPr/>
                <w:rPr>
                  <w:rFonts w:ascii="Cambria Math" w:hAnsi="Cambria Math"/>
                  <w:sz w:val="24"/>
                  <w:szCs w:val="24"/>
                </w:rPr>
                <m:t>E</m:t>
              </m:r>
              <m:ctrlPr>
                <w:rPr>
                  <w:rFonts w:ascii="Cambria Math" w:hAnsi="Cambria Math"/>
                  <w:i/>
                  <w:sz w:val="24"/>
                  <w:szCs w:val="24"/>
                </w:rPr>
              </m:ctrlPr>
            </m:e>
            <m:sub>
              <m:r>
                <m:rPr/>
                <w:rPr>
                  <w:rFonts w:ascii="Cambria Math" w:hAnsi="Cambria Math"/>
                  <w:sz w:val="24"/>
                  <w:szCs w:val="24"/>
                </w:rPr>
                <m:t>Ri</m:t>
              </m:r>
              <m:ctrlPr>
                <w:rPr>
                  <w:rFonts w:ascii="Cambria Math" w:hAnsi="Cambria Math"/>
                  <w:i/>
                  <w:sz w:val="24"/>
                  <w:szCs w:val="24"/>
                </w:rPr>
              </m:ctrlPr>
            </m:sub>
          </m:sSub>
          <m:r>
            <m:rPr/>
            <w:rPr>
              <w:rFonts w:ascii="Cambria Math" w:hAnsi="Cambria Math"/>
              <w:sz w:val="24"/>
              <w:szCs w:val="24"/>
            </w:rPr>
            <m:t>×</m:t>
          </m:r>
          <m:sSub>
            <m:sSubPr>
              <m:ctrlPr>
                <w:rPr>
                  <w:rFonts w:ascii="Cambria Math" w:hAnsi="Cambria Math"/>
                  <w:i/>
                  <w:sz w:val="24"/>
                  <w:szCs w:val="24"/>
                </w:rPr>
              </m:ctrlPr>
            </m:sSubPr>
            <m:e>
              <m:r>
                <m:rPr/>
                <w:rPr>
                  <w:rFonts w:ascii="Cambria Math" w:hAnsi="Cambria Math"/>
                  <w:sz w:val="24"/>
                  <w:szCs w:val="24"/>
                </w:rPr>
                <m:t>L</m:t>
              </m:r>
              <m:ctrlPr>
                <w:rPr>
                  <w:rFonts w:ascii="Cambria Math" w:hAnsi="Cambria Math"/>
                  <w:i/>
                  <w:sz w:val="24"/>
                  <w:szCs w:val="24"/>
                </w:rPr>
              </m:ctrlPr>
            </m:e>
            <m:sub>
              <m:r>
                <m:rPr/>
                <w:rPr>
                  <w:rFonts w:ascii="Cambria Math" w:hAnsi="Cambria Math"/>
                  <w:sz w:val="24"/>
                  <w:szCs w:val="24"/>
                </w:rPr>
                <m:t>R</m:t>
              </m:r>
              <m:ctrlPr>
                <w:rPr>
                  <w:rFonts w:ascii="Cambria Math" w:hAnsi="Cambria Math"/>
                  <w:i/>
                  <w:sz w:val="24"/>
                  <w:szCs w:val="24"/>
                </w:rPr>
              </m:ctrlPr>
            </m:sub>
          </m:sSub>
          <m:r>
            <m:rPr/>
            <w:rPr>
              <w:rFonts w:ascii="Cambria Math" w:hAnsi="Cambria Math"/>
              <w:sz w:val="24"/>
              <w:szCs w:val="24"/>
            </w:rPr>
            <m:t>×</m:t>
          </m:r>
          <m:sSub>
            <m:sSubPr>
              <m:ctrlPr>
                <w:rPr>
                  <w:rFonts w:ascii="Cambria Math" w:hAnsi="Cambria Math"/>
                  <w:i/>
                  <w:sz w:val="24"/>
                  <w:szCs w:val="24"/>
                </w:rPr>
              </m:ctrlPr>
            </m:sSubPr>
            <m:e>
              <m:r>
                <m:rPr/>
                <w:rPr>
                  <w:rFonts w:ascii="Cambria Math" w:hAnsi="Cambria Math"/>
                  <w:sz w:val="24"/>
                  <w:szCs w:val="24"/>
                </w:rPr>
                <m:t>N</m:t>
              </m:r>
              <m:ctrlPr>
                <w:rPr>
                  <w:rFonts w:ascii="Cambria Math" w:hAnsi="Cambria Math"/>
                  <w:i/>
                  <w:sz w:val="24"/>
                  <w:szCs w:val="24"/>
                </w:rPr>
              </m:ctrlPr>
            </m:e>
            <m:sub>
              <m:r>
                <m:rPr/>
                <w:rPr>
                  <w:rFonts w:ascii="Cambria Math" w:hAnsi="Cambria Math"/>
                  <w:sz w:val="24"/>
                  <w:szCs w:val="24"/>
                </w:rPr>
                <m:t>R</m:t>
              </m:r>
              <m:ctrlPr>
                <w:rPr>
                  <w:rFonts w:ascii="Cambria Math" w:hAnsi="Cambria Math"/>
                  <w:i/>
                  <w:sz w:val="24"/>
                  <w:szCs w:val="24"/>
                </w:rPr>
              </m:ctrlPr>
            </m:sub>
          </m:sSub>
          <m:r>
            <m:rPr/>
            <w:rPr>
              <w:rFonts w:ascii="Cambria Math" w:hAnsi="Cambria Math"/>
              <w:sz w:val="24"/>
              <w:szCs w:val="24"/>
            </w:rPr>
            <m:t>×</m:t>
          </m:r>
          <m:d>
            <m:dPr>
              <m:ctrlPr>
                <w:rPr>
                  <w:rFonts w:ascii="Cambria Math" w:hAnsi="Cambria Math"/>
                  <w:i/>
                  <w:sz w:val="24"/>
                  <w:szCs w:val="24"/>
                </w:rPr>
              </m:ctrlPr>
            </m:dPr>
            <m:e>
              <m:r>
                <m:rPr/>
                <w:rPr>
                  <w:rFonts w:ascii="Cambria Math" w:hAnsi="Cambria Math"/>
                  <w:sz w:val="24"/>
                  <w:szCs w:val="24"/>
                </w:rPr>
                <m:t>1−</m:t>
              </m:r>
              <m:f>
                <m:fPr>
                  <m:ctrlPr>
                    <w:rPr>
                      <w:rFonts w:ascii="Cambria Math" w:hAnsi="Cambria Math"/>
                      <w:i/>
                      <w:sz w:val="24"/>
                      <w:szCs w:val="24"/>
                    </w:rPr>
                  </m:ctrlPr>
                </m:fPr>
                <m:num>
                  <m:sSub>
                    <m:sSubPr>
                      <m:ctrlPr>
                        <w:rPr>
                          <w:rFonts w:ascii="Cambria Math" w:hAnsi="Cambria Math"/>
                          <w:i/>
                          <w:sz w:val="24"/>
                          <w:szCs w:val="24"/>
                        </w:rPr>
                      </m:ctrlPr>
                    </m:sSubPr>
                    <m:e>
                      <m:r>
                        <m:rPr/>
                        <w:rPr>
                          <w:rFonts w:ascii="Cambria Math" w:hAnsi="Cambria Math"/>
                          <w:sz w:val="24"/>
                          <w:szCs w:val="24"/>
                        </w:rPr>
                        <m:t>n</m:t>
                      </m:r>
                      <m:ctrlPr>
                        <w:rPr>
                          <w:rFonts w:ascii="Cambria Math" w:hAnsi="Cambria Math"/>
                          <w:i/>
                          <w:sz w:val="24"/>
                          <w:szCs w:val="24"/>
                        </w:rPr>
                      </m:ctrlPr>
                    </m:e>
                    <m:sub>
                      <m:r>
                        <m:rPr/>
                        <w:rPr>
                          <w:rFonts w:ascii="Cambria Math" w:hAnsi="Cambria Math"/>
                          <w:sz w:val="24"/>
                          <w:szCs w:val="24"/>
                        </w:rPr>
                        <m:t>r</m:t>
                      </m:r>
                      <m:ctrlPr>
                        <w:rPr>
                          <w:rFonts w:ascii="Cambria Math" w:hAnsi="Cambria Math"/>
                          <w:i/>
                          <w:sz w:val="24"/>
                          <w:szCs w:val="24"/>
                        </w:rPr>
                      </m:ctrlPr>
                    </m:sub>
                  </m:sSub>
                  <m:ctrlPr>
                    <w:rPr>
                      <w:rFonts w:ascii="Cambria Math" w:hAnsi="Cambria Math"/>
                      <w:i/>
                      <w:sz w:val="24"/>
                      <w:szCs w:val="24"/>
                    </w:rPr>
                  </m:ctrlPr>
                </m:num>
                <m:den>
                  <m:r>
                    <m:rPr/>
                    <w:rPr>
                      <w:rFonts w:ascii="Cambria Math" w:hAnsi="Cambria Math"/>
                      <w:sz w:val="24"/>
                      <w:szCs w:val="24"/>
                    </w:rPr>
                    <m:t>365</m:t>
                  </m:r>
                  <m:ctrlPr>
                    <w:rPr>
                      <w:rFonts w:ascii="Cambria Math" w:hAnsi="Cambria Math"/>
                      <w:i/>
                      <w:sz w:val="24"/>
                      <w:szCs w:val="24"/>
                    </w:rPr>
                  </m:ctrlPr>
                </m:den>
              </m:f>
              <m:ctrlPr>
                <w:rPr>
                  <w:rFonts w:ascii="Cambria Math" w:hAnsi="Cambria Math"/>
                  <w:i/>
                  <w:sz w:val="24"/>
                  <w:szCs w:val="24"/>
                </w:rPr>
              </m:ctrlPr>
            </m:e>
          </m:d>
          <m:r>
            <m:rPr/>
            <w:rPr>
              <w:rFonts w:ascii="Cambria Math" w:hAnsi="Cambria Math"/>
              <w:sz w:val="24"/>
              <w:szCs w:val="24"/>
            </w:rPr>
            <m:t>×</m:t>
          </m:r>
          <m:sSup>
            <m:sSupPr>
              <m:ctrlPr>
                <w:rPr>
                  <w:rFonts w:ascii="Cambria Math" w:hAnsi="Cambria Math"/>
                  <w:i/>
                  <w:sz w:val="24"/>
                  <w:szCs w:val="24"/>
                </w:rPr>
              </m:ctrlPr>
            </m:sSupPr>
            <m:e>
              <m:r>
                <m:rPr/>
                <w:rPr>
                  <w:rFonts w:ascii="Cambria Math" w:hAnsi="Cambria Math"/>
                  <w:sz w:val="24"/>
                  <w:szCs w:val="24"/>
                </w:rPr>
                <m:t>10</m:t>
              </m:r>
              <m:ctrlPr>
                <w:rPr>
                  <w:rFonts w:ascii="Cambria Math" w:hAnsi="Cambria Math"/>
                  <w:i/>
                  <w:sz w:val="24"/>
                  <w:szCs w:val="24"/>
                </w:rPr>
              </m:ctrlPr>
            </m:e>
            <m:sup>
              <m:r>
                <m:rPr/>
                <w:rPr>
                  <w:rFonts w:ascii="Cambria Math" w:hAnsi="Cambria Math"/>
                  <w:sz w:val="24"/>
                  <w:szCs w:val="24"/>
                </w:rPr>
                <m:t>−6</m:t>
              </m:r>
              <m:ctrlPr>
                <w:rPr>
                  <w:rFonts w:ascii="Cambria Math" w:hAnsi="Cambria Math"/>
                  <w:i/>
                  <w:sz w:val="24"/>
                  <w:szCs w:val="24"/>
                </w:rPr>
              </m:ctrlPr>
            </m:sup>
          </m:sSup>
        </m:oMath>
      </m:oMathPara>
    </w:p>
    <w:p w14:paraId="4FBB4804">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式中：</w:t>
      </w:r>
    </w:p>
    <w:p w14:paraId="5EC69DEA">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W</w:t>
      </w:r>
      <w:r>
        <w:rPr>
          <w:rFonts w:ascii="Times New Roman" w:hAnsi="Times New Roman"/>
          <w:spacing w:val="-2"/>
          <w:kern w:val="0"/>
          <w:sz w:val="24"/>
          <w:szCs w:val="24"/>
          <w:vertAlign w:val="subscript"/>
        </w:rPr>
        <w:t>Ri</w:t>
      </w:r>
      <w:r>
        <w:rPr>
          <w:rFonts w:ascii="Times New Roman" w:hAnsi="Times New Roman"/>
          <w:sz w:val="24"/>
          <w:szCs w:val="24"/>
        </w:rPr>
        <w:t>——</w:t>
      </w:r>
      <w:r>
        <w:rPr>
          <w:rFonts w:ascii="Times New Roman" w:hAnsi="Times New Roman"/>
          <w:spacing w:val="-2"/>
          <w:kern w:val="0"/>
          <w:sz w:val="24"/>
          <w:szCs w:val="24"/>
        </w:rPr>
        <w:t>道路扬尘源中颗粒物PM</w:t>
      </w:r>
      <w:r>
        <w:rPr>
          <w:rFonts w:ascii="Times New Roman" w:hAnsi="Times New Roman"/>
          <w:spacing w:val="-2"/>
          <w:kern w:val="0"/>
          <w:sz w:val="24"/>
          <w:szCs w:val="24"/>
          <w:vertAlign w:val="subscript"/>
        </w:rPr>
        <w:t>i</w:t>
      </w:r>
      <w:r>
        <w:rPr>
          <w:rFonts w:ascii="Times New Roman" w:hAnsi="Times New Roman"/>
          <w:spacing w:val="-2"/>
          <w:kern w:val="0"/>
          <w:sz w:val="24"/>
          <w:szCs w:val="24"/>
        </w:rPr>
        <w:t>的总排放量，t/a；</w:t>
      </w:r>
    </w:p>
    <w:p w14:paraId="04A4F965">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E</w:t>
      </w:r>
      <w:r>
        <w:rPr>
          <w:rFonts w:ascii="Times New Roman" w:hAnsi="Times New Roman"/>
          <w:spacing w:val="-2"/>
          <w:kern w:val="0"/>
          <w:sz w:val="24"/>
          <w:szCs w:val="24"/>
          <w:vertAlign w:val="subscript"/>
        </w:rPr>
        <w:t>Ri</w:t>
      </w:r>
      <w:r>
        <w:rPr>
          <w:rFonts w:ascii="Times New Roman" w:hAnsi="Times New Roman"/>
          <w:sz w:val="24"/>
          <w:szCs w:val="24"/>
        </w:rPr>
        <w:t>——</w:t>
      </w:r>
      <w:r>
        <w:rPr>
          <w:rFonts w:ascii="Times New Roman" w:hAnsi="Times New Roman"/>
          <w:spacing w:val="-2"/>
          <w:kern w:val="0"/>
          <w:sz w:val="24"/>
          <w:szCs w:val="24"/>
        </w:rPr>
        <w:t>道路扬尘源中PM</w:t>
      </w:r>
      <w:r>
        <w:rPr>
          <w:rFonts w:ascii="Times New Roman" w:hAnsi="Times New Roman"/>
          <w:spacing w:val="-2"/>
          <w:kern w:val="0"/>
          <w:sz w:val="24"/>
          <w:szCs w:val="24"/>
          <w:vertAlign w:val="subscript"/>
        </w:rPr>
        <w:t>i</w:t>
      </w:r>
      <w:r>
        <w:rPr>
          <w:rFonts w:ascii="Times New Roman" w:hAnsi="Times New Roman"/>
          <w:spacing w:val="-2"/>
          <w:kern w:val="0"/>
          <w:sz w:val="24"/>
          <w:szCs w:val="24"/>
        </w:rPr>
        <w:t>平均排放系数，g/</w:t>
      </w:r>
      <w:r>
        <w:rPr>
          <w:rFonts w:hint="eastAsia" w:ascii="Times New Roman" w:hAnsi="Times New Roman"/>
          <w:spacing w:val="-2"/>
          <w:kern w:val="0"/>
          <w:sz w:val="24"/>
          <w:szCs w:val="24"/>
        </w:rPr>
        <w:t>（</w:t>
      </w:r>
      <w:r>
        <w:rPr>
          <w:rFonts w:ascii="Times New Roman" w:hAnsi="Times New Roman"/>
          <w:spacing w:val="-2"/>
          <w:kern w:val="0"/>
          <w:sz w:val="24"/>
          <w:szCs w:val="24"/>
        </w:rPr>
        <w:t>km•辆</w:t>
      </w:r>
      <w:r>
        <w:rPr>
          <w:rFonts w:hint="eastAsia" w:ascii="Times New Roman" w:hAnsi="Times New Roman"/>
          <w:spacing w:val="-2"/>
          <w:kern w:val="0"/>
          <w:sz w:val="24"/>
          <w:szCs w:val="24"/>
        </w:rPr>
        <w:t>）</w:t>
      </w:r>
      <w:r>
        <w:rPr>
          <w:rFonts w:ascii="Times New Roman" w:hAnsi="Times New Roman"/>
          <w:spacing w:val="-2"/>
          <w:kern w:val="0"/>
          <w:sz w:val="24"/>
          <w:szCs w:val="24"/>
        </w:rPr>
        <w:t>；</w:t>
      </w:r>
    </w:p>
    <w:p w14:paraId="480053EF">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L</w:t>
      </w:r>
      <w:r>
        <w:rPr>
          <w:rFonts w:ascii="Times New Roman" w:hAnsi="Times New Roman"/>
          <w:spacing w:val="-2"/>
          <w:kern w:val="0"/>
          <w:sz w:val="24"/>
          <w:szCs w:val="24"/>
          <w:vertAlign w:val="subscript"/>
        </w:rPr>
        <w:t>R</w:t>
      </w:r>
      <w:r>
        <w:rPr>
          <w:rFonts w:ascii="Times New Roman" w:hAnsi="Times New Roman"/>
          <w:sz w:val="24"/>
          <w:szCs w:val="24"/>
        </w:rPr>
        <w:t>——</w:t>
      </w:r>
      <w:r>
        <w:rPr>
          <w:rFonts w:ascii="Times New Roman" w:hAnsi="Times New Roman"/>
          <w:spacing w:val="-2"/>
          <w:kern w:val="0"/>
          <w:sz w:val="24"/>
          <w:szCs w:val="24"/>
        </w:rPr>
        <w:t>道路长度，km；厂区内物料运输平均距离为0.2km。</w:t>
      </w:r>
    </w:p>
    <w:p w14:paraId="4FA0D329">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N</w:t>
      </w:r>
      <w:r>
        <w:rPr>
          <w:rFonts w:ascii="Times New Roman" w:hAnsi="Times New Roman"/>
          <w:spacing w:val="-2"/>
          <w:kern w:val="0"/>
          <w:sz w:val="24"/>
          <w:szCs w:val="24"/>
          <w:vertAlign w:val="subscript"/>
        </w:rPr>
        <w:t>R</w:t>
      </w:r>
      <w:r>
        <w:rPr>
          <w:rFonts w:ascii="Times New Roman" w:hAnsi="Times New Roman"/>
          <w:sz w:val="24"/>
          <w:szCs w:val="24"/>
        </w:rPr>
        <w:t>——</w:t>
      </w:r>
      <w:r>
        <w:rPr>
          <w:rFonts w:ascii="Times New Roman" w:hAnsi="Times New Roman"/>
          <w:spacing w:val="-2"/>
          <w:kern w:val="0"/>
          <w:sz w:val="24"/>
          <w:szCs w:val="24"/>
        </w:rPr>
        <w:t>一定时期内车辆在该段道路上的平均车流量，辆/a；</w:t>
      </w:r>
    </w:p>
    <w:p w14:paraId="67D1B5D7">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n</w:t>
      </w:r>
      <w:r>
        <w:rPr>
          <w:rFonts w:ascii="Times New Roman" w:hAnsi="Times New Roman"/>
          <w:spacing w:val="-2"/>
          <w:kern w:val="0"/>
          <w:sz w:val="24"/>
          <w:szCs w:val="24"/>
          <w:vertAlign w:val="subscript"/>
        </w:rPr>
        <w:t>r</w:t>
      </w:r>
      <w:r>
        <w:rPr>
          <w:rFonts w:ascii="Times New Roman" w:hAnsi="Times New Roman"/>
          <w:sz w:val="24"/>
          <w:szCs w:val="24"/>
        </w:rPr>
        <w:t>——</w:t>
      </w:r>
      <w:r>
        <w:rPr>
          <w:rFonts w:ascii="Times New Roman" w:hAnsi="Times New Roman"/>
          <w:spacing w:val="-2"/>
          <w:kern w:val="0"/>
          <w:sz w:val="24"/>
          <w:szCs w:val="24"/>
        </w:rPr>
        <w:t>不起尘天数，通过统计降水造成的路面潮湿的天数得到；根据区域平均降雨天数取值99天。</w:t>
      </w:r>
    </w:p>
    <w:p w14:paraId="7339F329">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对于铺装道路，道路扬尘源排放系数计算公式：</w:t>
      </w:r>
    </w:p>
    <w:p w14:paraId="113267FB">
      <w:pPr>
        <w:spacing w:line="360" w:lineRule="auto"/>
        <w:ind w:firstLine="480" w:firstLineChars="200"/>
        <w:jc w:val="center"/>
        <w:rPr>
          <w:rFonts w:ascii="Times New Roman" w:hAnsi="Times New Roman"/>
          <w:sz w:val="24"/>
          <w:szCs w:val="24"/>
        </w:rPr>
      </w:pPr>
      <m:oMathPara>
        <m:oMath>
          <m:sSub>
            <m:sSubPr>
              <m:ctrlPr>
                <w:rPr>
                  <w:rFonts w:ascii="Cambria Math" w:hAnsi="Cambria Math"/>
                  <w:i/>
                  <w:sz w:val="24"/>
                  <w:szCs w:val="24"/>
                </w:rPr>
              </m:ctrlPr>
            </m:sSubPr>
            <m:e>
              <m:r>
                <m:rPr/>
                <w:rPr>
                  <w:rFonts w:ascii="Cambria Math" w:hAnsi="Cambria Math"/>
                  <w:sz w:val="24"/>
                  <w:szCs w:val="24"/>
                </w:rPr>
                <m:t>E</m:t>
              </m:r>
              <m:ctrlPr>
                <w:rPr>
                  <w:rFonts w:ascii="Cambria Math" w:hAnsi="Cambria Math"/>
                  <w:i/>
                  <w:sz w:val="24"/>
                  <w:szCs w:val="24"/>
                </w:rPr>
              </m:ctrlPr>
            </m:e>
            <m:sub>
              <m:r>
                <m:rPr/>
                <w:rPr>
                  <w:rFonts w:ascii="Cambria Math" w:hAnsi="Cambria Math"/>
                  <w:sz w:val="24"/>
                  <w:szCs w:val="24"/>
                </w:rPr>
                <m:t>Pi</m:t>
              </m:r>
              <m:ctrlPr>
                <w:rPr>
                  <w:rFonts w:ascii="Cambria Math" w:hAnsi="Cambria Math"/>
                  <w:i/>
                  <w:sz w:val="24"/>
                  <w:szCs w:val="24"/>
                </w:rPr>
              </m:ctrlPr>
            </m:sub>
          </m:sSub>
          <m:r>
            <m:rPr/>
            <w:rPr>
              <w:rFonts w:ascii="Cambria Math" w:hAnsi="Cambria Math"/>
              <w:sz w:val="24"/>
              <w:szCs w:val="24"/>
            </w:rPr>
            <m:t>=</m:t>
          </m:r>
          <m:sSub>
            <m:sSubPr>
              <m:ctrlPr>
                <w:rPr>
                  <w:rFonts w:ascii="Cambria Math" w:hAnsi="Cambria Math"/>
                  <w:i/>
                  <w:sz w:val="24"/>
                  <w:szCs w:val="24"/>
                </w:rPr>
              </m:ctrlPr>
            </m:sSubPr>
            <m:e>
              <m:r>
                <m:rPr/>
                <w:rPr>
                  <w:rFonts w:ascii="Cambria Math" w:hAnsi="Cambria Math"/>
                  <w:sz w:val="24"/>
                  <w:szCs w:val="24"/>
                </w:rPr>
                <m:t>k</m:t>
              </m:r>
              <m:ctrlPr>
                <w:rPr>
                  <w:rFonts w:ascii="Cambria Math" w:hAnsi="Cambria Math"/>
                  <w:i/>
                  <w:sz w:val="24"/>
                  <w:szCs w:val="24"/>
                </w:rPr>
              </m:ctrlPr>
            </m:e>
            <m:sub>
              <m:r>
                <m:rPr/>
                <w:rPr>
                  <w:rFonts w:ascii="Cambria Math" w:hAnsi="Cambria Math"/>
                  <w:sz w:val="24"/>
                  <w:szCs w:val="24"/>
                </w:rPr>
                <m:t>i</m:t>
              </m:r>
              <m:ctrlPr>
                <w:rPr>
                  <w:rFonts w:ascii="Cambria Math" w:hAnsi="Cambria Math"/>
                  <w:i/>
                  <w:sz w:val="24"/>
                  <w:szCs w:val="24"/>
                </w:rPr>
              </m:ctrlPr>
            </m:sub>
          </m:sSub>
          <m:r>
            <m:rP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r>
                    <m:rPr/>
                    <w:rPr>
                      <w:rFonts w:ascii="Cambria Math" w:hAnsi="Cambria Math"/>
                      <w:sz w:val="24"/>
                      <w:szCs w:val="24"/>
                    </w:rPr>
                    <m:t>sL</m:t>
                  </m:r>
                  <m:ctrlPr>
                    <w:rPr>
                      <w:rFonts w:ascii="Cambria Math" w:hAnsi="Cambria Math"/>
                      <w:i/>
                      <w:sz w:val="24"/>
                      <w:szCs w:val="24"/>
                    </w:rPr>
                  </m:ctrlPr>
                </m:e>
              </m:d>
              <m:ctrlPr>
                <w:rPr>
                  <w:rFonts w:ascii="Cambria Math" w:hAnsi="Cambria Math"/>
                  <w:i/>
                  <w:sz w:val="24"/>
                  <w:szCs w:val="24"/>
                </w:rPr>
              </m:ctrlPr>
            </m:e>
            <m:sup>
              <m:r>
                <m:rPr/>
                <w:rPr>
                  <w:rFonts w:ascii="Cambria Math" w:hAnsi="Cambria Math"/>
                  <w:sz w:val="24"/>
                  <w:szCs w:val="24"/>
                </w:rPr>
                <m:t>0.91</m:t>
              </m:r>
              <m:ctrlPr>
                <w:rPr>
                  <w:rFonts w:ascii="Cambria Math" w:hAnsi="Cambria Math"/>
                  <w:i/>
                  <w:sz w:val="24"/>
                  <w:szCs w:val="24"/>
                </w:rPr>
              </m:ctrlPr>
            </m:sup>
          </m:sSup>
          <m:r>
            <m:rP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r>
                    <m:rPr/>
                    <w:rPr>
                      <w:rFonts w:ascii="Cambria Math" w:hAnsi="Cambria Math"/>
                      <w:sz w:val="24"/>
                      <w:szCs w:val="24"/>
                    </w:rPr>
                    <m:t>W</m:t>
                  </m:r>
                  <m:ctrlPr>
                    <w:rPr>
                      <w:rFonts w:ascii="Cambria Math" w:hAnsi="Cambria Math"/>
                      <w:i/>
                      <w:sz w:val="24"/>
                      <w:szCs w:val="24"/>
                    </w:rPr>
                  </m:ctrlPr>
                </m:e>
              </m:d>
              <m:ctrlPr>
                <w:rPr>
                  <w:rFonts w:ascii="Cambria Math" w:hAnsi="Cambria Math"/>
                  <w:i/>
                  <w:sz w:val="24"/>
                  <w:szCs w:val="24"/>
                </w:rPr>
              </m:ctrlPr>
            </m:e>
            <m:sup>
              <m:r>
                <m:rPr/>
                <w:rPr>
                  <w:rFonts w:ascii="Cambria Math" w:hAnsi="Cambria Math"/>
                  <w:sz w:val="24"/>
                  <w:szCs w:val="24"/>
                </w:rPr>
                <m:t>1.02</m:t>
              </m:r>
              <m:ctrlPr>
                <w:rPr>
                  <w:rFonts w:ascii="Cambria Math" w:hAnsi="Cambria Math"/>
                  <w:i/>
                  <w:sz w:val="24"/>
                  <w:szCs w:val="24"/>
                </w:rPr>
              </m:ctrlPr>
            </m:sup>
          </m:sSup>
          <m:r>
            <m:rPr/>
            <w:rPr>
              <w:rFonts w:ascii="Cambria Math" w:hAnsi="Cambria Math"/>
              <w:sz w:val="24"/>
              <w:szCs w:val="24"/>
            </w:rPr>
            <m:t>×</m:t>
          </m:r>
          <m:d>
            <m:dPr>
              <m:ctrlPr>
                <w:rPr>
                  <w:rFonts w:ascii="Cambria Math" w:hAnsi="Cambria Math"/>
                  <w:i/>
                  <w:sz w:val="24"/>
                  <w:szCs w:val="24"/>
                </w:rPr>
              </m:ctrlPr>
            </m:dPr>
            <m:e>
              <m:r>
                <m:rPr/>
                <w:rPr>
                  <w:rFonts w:ascii="Cambria Math" w:hAnsi="Cambria Math"/>
                  <w:sz w:val="24"/>
                  <w:szCs w:val="24"/>
                </w:rPr>
                <m:t>1−η</m:t>
              </m:r>
              <m:ctrlPr>
                <w:rPr>
                  <w:rFonts w:ascii="Cambria Math" w:hAnsi="Cambria Math"/>
                  <w:i/>
                  <w:sz w:val="24"/>
                  <w:szCs w:val="24"/>
                </w:rPr>
              </m:ctrlPr>
            </m:e>
          </m:d>
        </m:oMath>
      </m:oMathPara>
    </w:p>
    <w:p w14:paraId="55CBB3DE">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式中：</w:t>
      </w:r>
    </w:p>
    <w:p w14:paraId="02C02185">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E</w:t>
      </w:r>
      <w:r>
        <w:rPr>
          <w:rFonts w:ascii="Times New Roman" w:hAnsi="Times New Roman"/>
          <w:spacing w:val="-2"/>
          <w:kern w:val="0"/>
          <w:sz w:val="24"/>
          <w:szCs w:val="24"/>
          <w:vertAlign w:val="subscript"/>
        </w:rPr>
        <w:t>Pi</w:t>
      </w:r>
      <w:r>
        <w:rPr>
          <w:rFonts w:ascii="Times New Roman" w:hAnsi="Times New Roman"/>
          <w:spacing w:val="-2"/>
          <w:kern w:val="0"/>
          <w:sz w:val="24"/>
          <w:szCs w:val="24"/>
        </w:rPr>
        <w:t xml:space="preserve"> </w:t>
      </w:r>
      <w:r>
        <w:rPr>
          <w:rFonts w:ascii="Times New Roman" w:hAnsi="Times New Roman"/>
          <w:sz w:val="24"/>
          <w:szCs w:val="24"/>
        </w:rPr>
        <w:t>——</w:t>
      </w:r>
      <w:r>
        <w:rPr>
          <w:rFonts w:ascii="Times New Roman" w:hAnsi="Times New Roman"/>
          <w:spacing w:val="-2"/>
          <w:kern w:val="0"/>
          <w:sz w:val="24"/>
          <w:szCs w:val="24"/>
        </w:rPr>
        <w:t>铺装道路的扬尘中PM</w:t>
      </w:r>
      <w:r>
        <w:rPr>
          <w:rFonts w:ascii="Times New Roman" w:hAnsi="Times New Roman"/>
          <w:spacing w:val="-2"/>
          <w:kern w:val="0"/>
          <w:sz w:val="24"/>
          <w:szCs w:val="24"/>
          <w:vertAlign w:val="subscript"/>
        </w:rPr>
        <w:t>i</w:t>
      </w:r>
      <w:r>
        <w:rPr>
          <w:rFonts w:ascii="Times New Roman" w:hAnsi="Times New Roman"/>
          <w:spacing w:val="-2"/>
          <w:kern w:val="0"/>
          <w:sz w:val="24"/>
          <w:szCs w:val="24"/>
        </w:rPr>
        <w:t>排放系数，g/km（机动车行驶1千米产生的道路扬尘质量）；</w:t>
      </w:r>
    </w:p>
    <w:p w14:paraId="1FD2A4F0">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k</w:t>
      </w:r>
      <w:r>
        <w:rPr>
          <w:rFonts w:ascii="Times New Roman" w:hAnsi="Times New Roman"/>
          <w:spacing w:val="-2"/>
          <w:kern w:val="0"/>
          <w:sz w:val="24"/>
          <w:szCs w:val="24"/>
          <w:vertAlign w:val="subscript"/>
        </w:rPr>
        <w:t>i</w:t>
      </w:r>
      <w:r>
        <w:rPr>
          <w:rFonts w:ascii="Times New Roman" w:hAnsi="Times New Roman"/>
          <w:sz w:val="24"/>
          <w:szCs w:val="24"/>
        </w:rPr>
        <w:t>——</w:t>
      </w:r>
      <w:r>
        <w:rPr>
          <w:rFonts w:ascii="Times New Roman" w:hAnsi="Times New Roman"/>
          <w:spacing w:val="-2"/>
          <w:kern w:val="0"/>
          <w:sz w:val="24"/>
          <w:szCs w:val="24"/>
        </w:rPr>
        <w:t>产生的扬尘中PM</w:t>
      </w:r>
      <w:r>
        <w:rPr>
          <w:rFonts w:ascii="Times New Roman" w:hAnsi="Times New Roman"/>
          <w:spacing w:val="-2"/>
          <w:kern w:val="0"/>
          <w:sz w:val="24"/>
          <w:szCs w:val="24"/>
          <w:vertAlign w:val="subscript"/>
        </w:rPr>
        <w:t>i</w:t>
      </w:r>
      <w:r>
        <w:rPr>
          <w:rFonts w:ascii="Times New Roman" w:hAnsi="Times New Roman"/>
          <w:spacing w:val="-2"/>
          <w:kern w:val="0"/>
          <w:sz w:val="24"/>
          <w:szCs w:val="24"/>
        </w:rPr>
        <w:t>的粒度乘数，TSP取3.23；</w:t>
      </w:r>
    </w:p>
    <w:p w14:paraId="6F0E58D0">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sL</w:t>
      </w:r>
      <w:r>
        <w:rPr>
          <w:rFonts w:ascii="Times New Roman" w:hAnsi="Times New Roman"/>
          <w:sz w:val="24"/>
          <w:szCs w:val="24"/>
        </w:rPr>
        <w:t>——</w:t>
      </w:r>
      <w:r>
        <w:rPr>
          <w:rFonts w:ascii="Times New Roman" w:hAnsi="Times New Roman"/>
          <w:spacing w:val="-2"/>
          <w:kern w:val="0"/>
          <w:sz w:val="24"/>
          <w:szCs w:val="24"/>
        </w:rPr>
        <w:t>道路积尘负荷，g/m</w:t>
      </w:r>
      <w:r>
        <w:rPr>
          <w:rFonts w:ascii="Times New Roman" w:hAnsi="Times New Roman"/>
          <w:spacing w:val="-2"/>
          <w:kern w:val="0"/>
          <w:sz w:val="24"/>
          <w:szCs w:val="24"/>
          <w:vertAlign w:val="superscript"/>
        </w:rPr>
        <w:t>2</w:t>
      </w:r>
      <w:r>
        <w:rPr>
          <w:rFonts w:ascii="Times New Roman" w:hAnsi="Times New Roman"/>
          <w:spacing w:val="-2"/>
          <w:kern w:val="0"/>
          <w:sz w:val="24"/>
          <w:szCs w:val="24"/>
        </w:rPr>
        <w:t>；参考《防治城市扬尘污染技术规范》（HJ/T 393-2007）附录C中道路集尘负荷限定标准参考值，等级良的支路最小值取值4.0；</w:t>
      </w:r>
    </w:p>
    <w:p w14:paraId="14721B4D">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W</w:t>
      </w:r>
      <w:r>
        <w:rPr>
          <w:rFonts w:ascii="Times New Roman" w:hAnsi="Times New Roman"/>
          <w:sz w:val="24"/>
          <w:szCs w:val="24"/>
        </w:rPr>
        <w:t>——</w:t>
      </w:r>
      <w:r>
        <w:rPr>
          <w:rFonts w:ascii="Times New Roman" w:hAnsi="Times New Roman"/>
          <w:spacing w:val="-2"/>
          <w:kern w:val="0"/>
          <w:sz w:val="24"/>
          <w:szCs w:val="24"/>
        </w:rPr>
        <w:t>平均车重，t；项目物料进出场平均车重为20t；</w:t>
      </w:r>
    </w:p>
    <w:p w14:paraId="788E16A3">
      <w:pPr>
        <w:spacing w:line="360" w:lineRule="auto"/>
        <w:ind w:firstLine="480" w:firstLineChars="200"/>
        <w:rPr>
          <w:rFonts w:ascii="Times New Roman" w:hAnsi="Times New Roman"/>
          <w:spacing w:val="-2"/>
          <w:kern w:val="0"/>
          <w:sz w:val="24"/>
          <w:szCs w:val="24"/>
        </w:rPr>
      </w:pPr>
      <w:r>
        <w:rPr>
          <w:rFonts w:ascii="Times New Roman" w:hAnsi="Times New Roman"/>
          <w:sz w:val="24"/>
          <w:szCs w:val="24"/>
        </w:rPr>
        <w:t>η——</w:t>
      </w:r>
      <w:r>
        <w:rPr>
          <w:rFonts w:ascii="Times New Roman" w:hAnsi="Times New Roman"/>
          <w:spacing w:val="-2"/>
          <w:kern w:val="0"/>
          <w:sz w:val="24"/>
          <w:szCs w:val="24"/>
        </w:rPr>
        <w:t>污染控制技术对扬尘的去除效率，%；铺装道路定期洒水2次/天的扬尘去除率取值66%。</w:t>
      </w:r>
    </w:p>
    <w:p w14:paraId="7E0757DB">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u w:val="single"/>
        </w:rPr>
        <w:t>项目年分选毛矿</w:t>
      </w:r>
      <w:r>
        <w:rPr>
          <w:rFonts w:hint="eastAsia" w:ascii="Times New Roman" w:hAnsi="Times New Roman"/>
          <w:spacing w:val="-2"/>
          <w:kern w:val="0"/>
          <w:sz w:val="24"/>
          <w:szCs w:val="24"/>
          <w:u w:val="single"/>
        </w:rPr>
        <w:t>24</w:t>
      </w:r>
      <w:r>
        <w:rPr>
          <w:rFonts w:ascii="Times New Roman" w:hAnsi="Times New Roman"/>
          <w:spacing w:val="-2"/>
          <w:kern w:val="0"/>
          <w:sz w:val="24"/>
          <w:szCs w:val="24"/>
          <w:u w:val="single"/>
        </w:rPr>
        <w:t>0000吨，运输载具主要为规格</w:t>
      </w:r>
      <w:r>
        <w:rPr>
          <w:rFonts w:hint="eastAsia" w:ascii="Times New Roman" w:hAnsi="Times New Roman"/>
          <w:spacing w:val="-2"/>
          <w:kern w:val="0"/>
          <w:sz w:val="24"/>
          <w:szCs w:val="24"/>
          <w:u w:val="single"/>
        </w:rPr>
        <w:t>26</w:t>
      </w:r>
      <w:r>
        <w:rPr>
          <w:rFonts w:ascii="Times New Roman" w:hAnsi="Times New Roman"/>
          <w:spacing w:val="-2"/>
          <w:kern w:val="0"/>
          <w:sz w:val="24"/>
          <w:szCs w:val="24"/>
          <w:u w:val="single"/>
        </w:rPr>
        <w:t>t重的装载汽车，年物流车流量约</w:t>
      </w:r>
      <w:r>
        <w:rPr>
          <w:rFonts w:hint="eastAsia" w:ascii="Times New Roman" w:hAnsi="Times New Roman"/>
          <w:spacing w:val="-2"/>
          <w:kern w:val="0"/>
          <w:sz w:val="24"/>
          <w:szCs w:val="24"/>
          <w:u w:val="single"/>
        </w:rPr>
        <w:t>9231</w:t>
      </w:r>
      <w:r>
        <w:rPr>
          <w:rFonts w:ascii="Times New Roman" w:hAnsi="Times New Roman"/>
          <w:spacing w:val="-2"/>
          <w:kern w:val="0"/>
          <w:sz w:val="24"/>
          <w:szCs w:val="24"/>
          <w:u w:val="single"/>
        </w:rPr>
        <w:t>辆</w:t>
      </w:r>
      <w:r>
        <w:rPr>
          <w:rFonts w:hint="eastAsia" w:ascii="Times New Roman" w:hAnsi="Times New Roman"/>
          <w:spacing w:val="-2"/>
          <w:kern w:val="0"/>
          <w:sz w:val="24"/>
          <w:szCs w:val="24"/>
          <w:u w:val="single"/>
        </w:rPr>
        <w:t>；根据物料平衡，项目钛铁精矿、锆中矿年出厂运输量约236775吨，产品运输车辆规格8t重小型货车，年车流量约29597辆</w:t>
      </w:r>
      <w:r>
        <w:rPr>
          <w:rFonts w:ascii="Times New Roman" w:hAnsi="Times New Roman"/>
          <w:spacing w:val="-2"/>
          <w:kern w:val="0"/>
          <w:sz w:val="24"/>
          <w:szCs w:val="24"/>
          <w:u w:val="single"/>
        </w:rPr>
        <w:t>。</w:t>
      </w:r>
      <w:r>
        <w:rPr>
          <w:rFonts w:ascii="Times New Roman" w:hAnsi="Times New Roman"/>
          <w:spacing w:val="-2"/>
          <w:kern w:val="0"/>
          <w:sz w:val="24"/>
          <w:szCs w:val="24"/>
        </w:rPr>
        <w:t>项目原料入口在厂房西侧大门，载重车运输原料在园区内行驶距离约0.15km；项目产品出口在厂房东侧大门，载重车产品运输在园区内的行驶距离约0.05km，项目原料及产品一次周转在园区内的总行驶距离约0.2km。根据《扬尘源颗粒物排放清单编制技术指南》中道路扬尘源颗粒物排放量计算公式，项目物料运输扬尘排放情况见表2.3-1</w:t>
      </w:r>
      <w:r>
        <w:rPr>
          <w:rFonts w:hint="eastAsia" w:ascii="Times New Roman" w:hAnsi="Times New Roman"/>
          <w:spacing w:val="-2"/>
          <w:kern w:val="0"/>
          <w:sz w:val="24"/>
          <w:szCs w:val="24"/>
        </w:rPr>
        <w:t>0</w:t>
      </w:r>
      <w:r>
        <w:rPr>
          <w:rFonts w:ascii="Times New Roman" w:hAnsi="Times New Roman"/>
          <w:spacing w:val="-2"/>
          <w:kern w:val="0"/>
          <w:sz w:val="24"/>
          <w:szCs w:val="24"/>
        </w:rPr>
        <w:t>。</w:t>
      </w:r>
    </w:p>
    <w:p w14:paraId="7AC27B72">
      <w:pPr>
        <w:pStyle w:val="8"/>
        <w:numPr>
          <w:ilvl w:val="4"/>
          <w:numId w:val="3"/>
        </w:numPr>
        <w:spacing w:line="348" w:lineRule="auto"/>
        <w:ind w:firstLine="480"/>
        <w:rPr>
          <w:spacing w:val="-2"/>
          <w:kern w:val="0"/>
          <w:sz w:val="24"/>
          <w:szCs w:val="24"/>
        </w:rPr>
      </w:pPr>
      <w:r>
        <w:rPr>
          <w:sz w:val="24"/>
          <w:szCs w:val="24"/>
        </w:rPr>
        <w:t>项目物料运输扬尘产排情况</w:t>
      </w:r>
    </w:p>
    <w:tbl>
      <w:tblPr>
        <w:tblStyle w:val="88"/>
        <w:tblW w:w="904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94"/>
        <w:gridCol w:w="1843"/>
        <w:gridCol w:w="1625"/>
        <w:gridCol w:w="1626"/>
        <w:gridCol w:w="1626"/>
        <w:gridCol w:w="1626"/>
      </w:tblGrid>
      <w:tr w14:paraId="51C956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4" w:type="dxa"/>
            <w:tcBorders>
              <w:right w:val="single" w:color="auto" w:sz="4" w:space="0"/>
            </w:tcBorders>
            <w:shd w:val="clear" w:color="auto" w:fill="auto"/>
            <w:noWrap/>
            <w:vAlign w:val="center"/>
          </w:tcPr>
          <w:p w14:paraId="436EAE64">
            <w:pPr>
              <w:widowControl/>
              <w:jc w:val="center"/>
              <w:rPr>
                <w:rFonts w:ascii="Times New Roman" w:hAnsi="Times New Roman"/>
                <w:b/>
                <w:bCs/>
                <w:kern w:val="0"/>
                <w:szCs w:val="21"/>
              </w:rPr>
            </w:pPr>
            <w:r>
              <w:rPr>
                <w:rFonts w:hint="eastAsia" w:ascii="Times New Roman" w:hAnsi="Times New Roman"/>
                <w:b/>
                <w:bCs/>
                <w:kern w:val="0"/>
                <w:szCs w:val="21"/>
              </w:rPr>
              <w:t>序号</w:t>
            </w:r>
          </w:p>
        </w:tc>
        <w:tc>
          <w:tcPr>
            <w:tcW w:w="1843" w:type="dxa"/>
            <w:tcBorders>
              <w:left w:val="single" w:color="auto" w:sz="4" w:space="0"/>
            </w:tcBorders>
            <w:shd w:val="clear" w:color="auto" w:fill="auto"/>
            <w:vAlign w:val="center"/>
          </w:tcPr>
          <w:p w14:paraId="36E3EE42">
            <w:pPr>
              <w:jc w:val="center"/>
              <w:rPr>
                <w:rFonts w:ascii="Times New Roman" w:hAnsi="Times New Roman"/>
                <w:kern w:val="0"/>
                <w:szCs w:val="21"/>
              </w:rPr>
            </w:pPr>
            <w:r>
              <w:rPr>
                <w:rFonts w:ascii="Times New Roman" w:hAnsi="Times New Roman"/>
                <w:b/>
                <w:bCs/>
                <w:kern w:val="0"/>
                <w:szCs w:val="21"/>
              </w:rPr>
              <w:t>物料运输</w:t>
            </w:r>
          </w:p>
        </w:tc>
        <w:tc>
          <w:tcPr>
            <w:tcW w:w="1625" w:type="dxa"/>
            <w:shd w:val="clear" w:color="auto" w:fill="auto"/>
            <w:noWrap/>
            <w:vAlign w:val="center"/>
          </w:tcPr>
          <w:p w14:paraId="08251084">
            <w:pPr>
              <w:widowControl/>
              <w:jc w:val="center"/>
              <w:rPr>
                <w:rFonts w:ascii="Times New Roman" w:hAnsi="Times New Roman"/>
                <w:kern w:val="0"/>
                <w:szCs w:val="21"/>
                <w:u w:val="single"/>
              </w:rPr>
            </w:pPr>
            <w:r>
              <w:rPr>
                <w:rFonts w:ascii="Times New Roman" w:hAnsi="Times New Roman"/>
                <w:b/>
                <w:bCs/>
                <w:kern w:val="0"/>
                <w:szCs w:val="21"/>
              </w:rPr>
              <w:t>总排放量（t/a）</w:t>
            </w:r>
          </w:p>
        </w:tc>
        <w:tc>
          <w:tcPr>
            <w:tcW w:w="1626" w:type="dxa"/>
            <w:shd w:val="clear" w:color="auto" w:fill="auto"/>
            <w:noWrap/>
            <w:vAlign w:val="center"/>
          </w:tcPr>
          <w:p w14:paraId="10F757CC">
            <w:pPr>
              <w:widowControl/>
              <w:jc w:val="center"/>
              <w:rPr>
                <w:rFonts w:ascii="Times New Roman" w:hAnsi="Times New Roman"/>
                <w:kern w:val="0"/>
                <w:szCs w:val="21"/>
              </w:rPr>
            </w:pPr>
            <w:r>
              <w:rPr>
                <w:rFonts w:ascii="Times New Roman" w:hAnsi="Times New Roman"/>
                <w:b/>
                <w:bCs/>
                <w:kern w:val="0"/>
                <w:szCs w:val="21"/>
              </w:rPr>
              <w:t>排放系数（g/km·辆)）</w:t>
            </w:r>
          </w:p>
        </w:tc>
        <w:tc>
          <w:tcPr>
            <w:tcW w:w="1626" w:type="dxa"/>
            <w:shd w:val="clear" w:color="auto" w:fill="auto"/>
            <w:noWrap/>
            <w:vAlign w:val="center"/>
          </w:tcPr>
          <w:p w14:paraId="7BEFD74A">
            <w:pPr>
              <w:widowControl/>
              <w:jc w:val="center"/>
              <w:rPr>
                <w:rFonts w:ascii="Times New Roman" w:hAnsi="Times New Roman"/>
                <w:kern w:val="0"/>
                <w:szCs w:val="21"/>
              </w:rPr>
            </w:pPr>
            <w:r>
              <w:rPr>
                <w:rFonts w:ascii="Times New Roman" w:hAnsi="Times New Roman"/>
                <w:b/>
                <w:bCs/>
                <w:kern w:val="0"/>
                <w:szCs w:val="21"/>
              </w:rPr>
              <w:t>道路长度（km）</w:t>
            </w:r>
          </w:p>
        </w:tc>
        <w:tc>
          <w:tcPr>
            <w:tcW w:w="1626" w:type="dxa"/>
            <w:shd w:val="clear" w:color="auto" w:fill="auto"/>
            <w:noWrap/>
            <w:vAlign w:val="center"/>
          </w:tcPr>
          <w:p w14:paraId="354094C7">
            <w:pPr>
              <w:widowControl/>
              <w:jc w:val="center"/>
              <w:rPr>
                <w:rFonts w:ascii="Times New Roman" w:hAnsi="Times New Roman"/>
                <w:b/>
                <w:bCs/>
                <w:kern w:val="0"/>
                <w:szCs w:val="21"/>
              </w:rPr>
            </w:pPr>
            <w:r>
              <w:rPr>
                <w:rFonts w:ascii="Times New Roman" w:hAnsi="Times New Roman"/>
                <w:b/>
                <w:bCs/>
                <w:kern w:val="0"/>
                <w:szCs w:val="21"/>
              </w:rPr>
              <w:t>车流量</w:t>
            </w:r>
          </w:p>
          <w:p w14:paraId="3B233C33">
            <w:pPr>
              <w:widowControl/>
              <w:jc w:val="center"/>
              <w:rPr>
                <w:rFonts w:ascii="Times New Roman" w:hAnsi="Times New Roman"/>
                <w:kern w:val="0"/>
                <w:szCs w:val="21"/>
                <w:u w:val="single"/>
              </w:rPr>
            </w:pPr>
            <w:r>
              <w:rPr>
                <w:rFonts w:ascii="Times New Roman" w:hAnsi="Times New Roman"/>
                <w:b/>
                <w:bCs/>
                <w:kern w:val="0"/>
                <w:szCs w:val="21"/>
              </w:rPr>
              <w:t>（辆/a）</w:t>
            </w:r>
          </w:p>
        </w:tc>
      </w:tr>
      <w:tr w14:paraId="1166B4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4" w:type="dxa"/>
            <w:tcBorders>
              <w:right w:val="single" w:color="auto" w:sz="4" w:space="0"/>
            </w:tcBorders>
            <w:shd w:val="clear" w:color="auto" w:fill="auto"/>
            <w:noWrap/>
            <w:vAlign w:val="center"/>
          </w:tcPr>
          <w:p w14:paraId="2B2734A4">
            <w:pPr>
              <w:widowControl/>
              <w:jc w:val="center"/>
              <w:rPr>
                <w:rFonts w:ascii="Times New Roman" w:hAnsi="Times New Roman"/>
                <w:kern w:val="0"/>
                <w:szCs w:val="21"/>
                <w:u w:val="single"/>
              </w:rPr>
            </w:pPr>
            <w:r>
              <w:rPr>
                <w:rFonts w:hint="eastAsia" w:ascii="Times New Roman" w:hAnsi="Times New Roman"/>
                <w:kern w:val="0"/>
                <w:szCs w:val="21"/>
                <w:u w:val="single"/>
              </w:rPr>
              <w:t>G13</w:t>
            </w:r>
          </w:p>
        </w:tc>
        <w:tc>
          <w:tcPr>
            <w:tcW w:w="1843" w:type="dxa"/>
            <w:tcBorders>
              <w:left w:val="single" w:color="auto" w:sz="4" w:space="0"/>
            </w:tcBorders>
            <w:shd w:val="clear" w:color="auto" w:fill="auto"/>
            <w:vAlign w:val="center"/>
          </w:tcPr>
          <w:p w14:paraId="1A1B4CC6">
            <w:pPr>
              <w:jc w:val="center"/>
              <w:rPr>
                <w:rFonts w:ascii="Times New Roman" w:hAnsi="Times New Roman"/>
                <w:kern w:val="0"/>
                <w:szCs w:val="21"/>
              </w:rPr>
            </w:pPr>
            <w:r>
              <w:rPr>
                <w:rFonts w:ascii="Times New Roman" w:hAnsi="Times New Roman"/>
                <w:kern w:val="0"/>
                <w:szCs w:val="21"/>
              </w:rPr>
              <w:t>原料进厂</w:t>
            </w:r>
            <w:r>
              <w:rPr>
                <w:rFonts w:hint="eastAsia" w:ascii="Times New Roman" w:hAnsi="Times New Roman"/>
                <w:kern w:val="0"/>
                <w:szCs w:val="21"/>
              </w:rPr>
              <w:t>扬尘</w:t>
            </w:r>
          </w:p>
        </w:tc>
        <w:tc>
          <w:tcPr>
            <w:tcW w:w="1625" w:type="dxa"/>
            <w:shd w:val="clear" w:color="auto" w:fill="auto"/>
            <w:noWrap/>
            <w:vAlign w:val="center"/>
          </w:tcPr>
          <w:p w14:paraId="245D0F90">
            <w:pPr>
              <w:widowControl/>
              <w:jc w:val="center"/>
              <w:rPr>
                <w:rFonts w:ascii="Times New Roman" w:hAnsi="Times New Roman"/>
                <w:kern w:val="0"/>
                <w:szCs w:val="21"/>
                <w:u w:val="single"/>
              </w:rPr>
            </w:pPr>
            <w:r>
              <w:rPr>
                <w:rFonts w:ascii="Times New Roman" w:hAnsi="Times New Roman"/>
                <w:kern w:val="0"/>
                <w:szCs w:val="21"/>
                <w:u w:val="single"/>
              </w:rPr>
              <w:t>0.1</w:t>
            </w:r>
            <w:r>
              <w:rPr>
                <w:rFonts w:hint="eastAsia" w:ascii="Times New Roman" w:hAnsi="Times New Roman"/>
                <w:kern w:val="0"/>
                <w:szCs w:val="21"/>
                <w:u w:val="single"/>
              </w:rPr>
              <w:t>086</w:t>
            </w:r>
          </w:p>
        </w:tc>
        <w:tc>
          <w:tcPr>
            <w:tcW w:w="1626" w:type="dxa"/>
            <w:shd w:val="clear" w:color="auto" w:fill="auto"/>
            <w:noWrap/>
            <w:vAlign w:val="center"/>
          </w:tcPr>
          <w:p w14:paraId="212AD3AB">
            <w:pPr>
              <w:widowControl/>
              <w:jc w:val="center"/>
              <w:rPr>
                <w:rFonts w:ascii="Times New Roman" w:hAnsi="Times New Roman"/>
                <w:kern w:val="0"/>
                <w:szCs w:val="21"/>
                <w:u w:val="single"/>
              </w:rPr>
            </w:pPr>
            <w:r>
              <w:rPr>
                <w:rFonts w:hint="eastAsia" w:ascii="Times New Roman" w:hAnsi="Times New Roman"/>
                <w:kern w:val="0"/>
                <w:szCs w:val="21"/>
                <w:u w:val="single"/>
              </w:rPr>
              <w:t>107.6041</w:t>
            </w:r>
          </w:p>
        </w:tc>
        <w:tc>
          <w:tcPr>
            <w:tcW w:w="1626" w:type="dxa"/>
            <w:shd w:val="clear" w:color="auto" w:fill="auto"/>
            <w:noWrap/>
            <w:vAlign w:val="center"/>
          </w:tcPr>
          <w:p w14:paraId="0306FE1F">
            <w:pPr>
              <w:widowControl/>
              <w:jc w:val="center"/>
              <w:rPr>
                <w:rFonts w:ascii="Times New Roman" w:hAnsi="Times New Roman"/>
                <w:kern w:val="0"/>
                <w:szCs w:val="21"/>
              </w:rPr>
            </w:pPr>
            <w:r>
              <w:rPr>
                <w:rFonts w:ascii="Times New Roman" w:hAnsi="Times New Roman"/>
                <w:kern w:val="0"/>
                <w:szCs w:val="21"/>
              </w:rPr>
              <w:t>0.15</w:t>
            </w:r>
          </w:p>
        </w:tc>
        <w:tc>
          <w:tcPr>
            <w:tcW w:w="1626" w:type="dxa"/>
            <w:shd w:val="clear" w:color="auto" w:fill="auto"/>
            <w:noWrap/>
            <w:vAlign w:val="center"/>
          </w:tcPr>
          <w:p w14:paraId="3E4FAB2D">
            <w:pPr>
              <w:widowControl/>
              <w:jc w:val="center"/>
              <w:rPr>
                <w:rFonts w:ascii="Times New Roman" w:hAnsi="Times New Roman"/>
                <w:kern w:val="0"/>
                <w:szCs w:val="21"/>
                <w:u w:val="single"/>
              </w:rPr>
            </w:pPr>
            <w:r>
              <w:rPr>
                <w:rFonts w:hint="eastAsia" w:ascii="Times New Roman" w:hAnsi="Times New Roman"/>
                <w:kern w:val="0"/>
                <w:szCs w:val="21"/>
                <w:u w:val="single"/>
              </w:rPr>
              <w:t>9231</w:t>
            </w:r>
          </w:p>
        </w:tc>
      </w:tr>
      <w:tr w14:paraId="2CB8A4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4" w:type="dxa"/>
            <w:tcBorders>
              <w:right w:val="single" w:color="auto" w:sz="4" w:space="0"/>
            </w:tcBorders>
            <w:shd w:val="clear" w:color="auto" w:fill="auto"/>
            <w:noWrap/>
            <w:vAlign w:val="center"/>
          </w:tcPr>
          <w:p w14:paraId="3402B521">
            <w:pPr>
              <w:widowControl/>
              <w:jc w:val="center"/>
              <w:rPr>
                <w:rFonts w:ascii="Times New Roman" w:hAnsi="Times New Roman"/>
                <w:kern w:val="0"/>
                <w:szCs w:val="21"/>
                <w:u w:val="single"/>
              </w:rPr>
            </w:pPr>
            <w:r>
              <w:rPr>
                <w:rFonts w:hint="eastAsia" w:ascii="Times New Roman" w:hAnsi="Times New Roman"/>
                <w:kern w:val="0"/>
                <w:szCs w:val="21"/>
                <w:u w:val="single"/>
              </w:rPr>
              <w:t>G14</w:t>
            </w:r>
          </w:p>
        </w:tc>
        <w:tc>
          <w:tcPr>
            <w:tcW w:w="1843" w:type="dxa"/>
            <w:tcBorders>
              <w:left w:val="single" w:color="auto" w:sz="4" w:space="0"/>
            </w:tcBorders>
            <w:shd w:val="clear" w:color="auto" w:fill="auto"/>
            <w:vAlign w:val="center"/>
          </w:tcPr>
          <w:p w14:paraId="18AB008E">
            <w:pPr>
              <w:jc w:val="center"/>
              <w:rPr>
                <w:rFonts w:ascii="Times New Roman" w:hAnsi="Times New Roman"/>
                <w:kern w:val="0"/>
                <w:szCs w:val="21"/>
              </w:rPr>
            </w:pPr>
            <w:r>
              <w:rPr>
                <w:rFonts w:ascii="Times New Roman" w:hAnsi="Times New Roman"/>
                <w:kern w:val="0"/>
                <w:szCs w:val="21"/>
              </w:rPr>
              <w:t>产品出厂</w:t>
            </w:r>
            <w:r>
              <w:rPr>
                <w:rFonts w:hint="eastAsia" w:ascii="Times New Roman" w:hAnsi="Times New Roman"/>
                <w:kern w:val="0"/>
                <w:szCs w:val="21"/>
              </w:rPr>
              <w:t>扬尘</w:t>
            </w:r>
          </w:p>
        </w:tc>
        <w:tc>
          <w:tcPr>
            <w:tcW w:w="1625" w:type="dxa"/>
            <w:shd w:val="clear" w:color="auto" w:fill="auto"/>
            <w:noWrap/>
            <w:vAlign w:val="center"/>
          </w:tcPr>
          <w:p w14:paraId="66EB852F">
            <w:pPr>
              <w:widowControl/>
              <w:jc w:val="center"/>
              <w:rPr>
                <w:rFonts w:ascii="Times New Roman" w:hAnsi="Times New Roman"/>
                <w:kern w:val="0"/>
                <w:szCs w:val="21"/>
                <w:u w:val="single"/>
              </w:rPr>
            </w:pPr>
            <w:r>
              <w:rPr>
                <w:rFonts w:hint="eastAsia" w:ascii="Times New Roman" w:hAnsi="Times New Roman"/>
                <w:kern w:val="0"/>
                <w:szCs w:val="21"/>
                <w:u w:val="single"/>
              </w:rPr>
              <w:t>0.0349</w:t>
            </w:r>
          </w:p>
        </w:tc>
        <w:tc>
          <w:tcPr>
            <w:tcW w:w="1626" w:type="dxa"/>
            <w:shd w:val="clear" w:color="auto" w:fill="auto"/>
            <w:noWrap/>
            <w:vAlign w:val="center"/>
          </w:tcPr>
          <w:p w14:paraId="74613FE0">
            <w:pPr>
              <w:widowControl/>
              <w:jc w:val="center"/>
              <w:rPr>
                <w:rFonts w:ascii="Times New Roman" w:hAnsi="Times New Roman"/>
                <w:kern w:val="0"/>
                <w:szCs w:val="21"/>
                <w:u w:val="single"/>
              </w:rPr>
            </w:pPr>
            <w:r>
              <w:rPr>
                <w:rFonts w:hint="eastAsia" w:ascii="Times New Roman" w:hAnsi="Times New Roman"/>
                <w:kern w:val="0"/>
                <w:szCs w:val="21"/>
                <w:u w:val="single"/>
              </w:rPr>
              <w:t>32.3376</w:t>
            </w:r>
          </w:p>
        </w:tc>
        <w:tc>
          <w:tcPr>
            <w:tcW w:w="1626" w:type="dxa"/>
            <w:shd w:val="clear" w:color="auto" w:fill="auto"/>
            <w:noWrap/>
            <w:vAlign w:val="center"/>
          </w:tcPr>
          <w:p w14:paraId="51DC727B">
            <w:pPr>
              <w:widowControl/>
              <w:jc w:val="center"/>
              <w:rPr>
                <w:rFonts w:ascii="Times New Roman" w:hAnsi="Times New Roman"/>
                <w:kern w:val="0"/>
                <w:szCs w:val="21"/>
              </w:rPr>
            </w:pPr>
            <w:r>
              <w:rPr>
                <w:rFonts w:ascii="Times New Roman" w:hAnsi="Times New Roman"/>
                <w:kern w:val="0"/>
                <w:szCs w:val="21"/>
              </w:rPr>
              <w:t>0.05</w:t>
            </w:r>
          </w:p>
        </w:tc>
        <w:tc>
          <w:tcPr>
            <w:tcW w:w="1626" w:type="dxa"/>
            <w:shd w:val="clear" w:color="auto" w:fill="auto"/>
            <w:noWrap/>
            <w:vAlign w:val="center"/>
          </w:tcPr>
          <w:p w14:paraId="1120A723">
            <w:pPr>
              <w:widowControl/>
              <w:jc w:val="center"/>
              <w:rPr>
                <w:rFonts w:ascii="Times New Roman" w:hAnsi="Times New Roman"/>
                <w:kern w:val="0"/>
                <w:szCs w:val="21"/>
                <w:u w:val="single"/>
              </w:rPr>
            </w:pPr>
            <w:r>
              <w:rPr>
                <w:rFonts w:hint="eastAsia" w:ascii="Times New Roman" w:hAnsi="Times New Roman"/>
                <w:kern w:val="0"/>
                <w:szCs w:val="21"/>
                <w:u w:val="single"/>
              </w:rPr>
              <w:t>29597</w:t>
            </w:r>
          </w:p>
        </w:tc>
      </w:tr>
      <w:tr w14:paraId="006D3F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4" w:type="dxa"/>
            <w:tcBorders>
              <w:right w:val="single" w:color="auto" w:sz="4" w:space="0"/>
            </w:tcBorders>
            <w:shd w:val="clear" w:color="auto" w:fill="auto"/>
            <w:noWrap/>
            <w:vAlign w:val="center"/>
          </w:tcPr>
          <w:p w14:paraId="4278C6B4">
            <w:pPr>
              <w:widowControl/>
              <w:jc w:val="center"/>
              <w:rPr>
                <w:rFonts w:ascii="Times New Roman" w:hAnsi="Times New Roman"/>
                <w:kern w:val="0"/>
                <w:szCs w:val="21"/>
              </w:rPr>
            </w:pPr>
          </w:p>
        </w:tc>
        <w:tc>
          <w:tcPr>
            <w:tcW w:w="1843" w:type="dxa"/>
            <w:tcBorders>
              <w:left w:val="single" w:color="auto" w:sz="4" w:space="0"/>
            </w:tcBorders>
            <w:shd w:val="clear" w:color="auto" w:fill="auto"/>
            <w:vAlign w:val="center"/>
          </w:tcPr>
          <w:p w14:paraId="0E05E1E1">
            <w:pPr>
              <w:jc w:val="center"/>
              <w:rPr>
                <w:rFonts w:ascii="Times New Roman" w:hAnsi="Times New Roman"/>
                <w:kern w:val="0"/>
                <w:szCs w:val="21"/>
              </w:rPr>
            </w:pPr>
            <w:r>
              <w:rPr>
                <w:rFonts w:ascii="Times New Roman" w:hAnsi="Times New Roman"/>
                <w:kern w:val="0"/>
                <w:szCs w:val="21"/>
              </w:rPr>
              <w:t>合计</w:t>
            </w:r>
          </w:p>
        </w:tc>
        <w:tc>
          <w:tcPr>
            <w:tcW w:w="1625" w:type="dxa"/>
            <w:shd w:val="clear" w:color="auto" w:fill="auto"/>
            <w:noWrap/>
            <w:vAlign w:val="center"/>
          </w:tcPr>
          <w:p w14:paraId="2E6BC966">
            <w:pPr>
              <w:widowControl/>
              <w:jc w:val="center"/>
              <w:rPr>
                <w:rFonts w:ascii="Times New Roman" w:hAnsi="Times New Roman"/>
                <w:kern w:val="0"/>
                <w:szCs w:val="21"/>
                <w:u w:val="single"/>
              </w:rPr>
            </w:pPr>
            <w:r>
              <w:rPr>
                <w:rFonts w:ascii="Times New Roman" w:hAnsi="Times New Roman"/>
                <w:kern w:val="0"/>
                <w:szCs w:val="21"/>
                <w:u w:val="single"/>
              </w:rPr>
              <w:t>0.</w:t>
            </w:r>
            <w:r>
              <w:rPr>
                <w:rFonts w:hint="eastAsia" w:ascii="Times New Roman" w:hAnsi="Times New Roman"/>
                <w:kern w:val="0"/>
                <w:szCs w:val="21"/>
                <w:u w:val="single"/>
              </w:rPr>
              <w:t>1435</w:t>
            </w:r>
          </w:p>
        </w:tc>
        <w:tc>
          <w:tcPr>
            <w:tcW w:w="1626" w:type="dxa"/>
            <w:shd w:val="clear" w:color="auto" w:fill="auto"/>
            <w:noWrap/>
            <w:vAlign w:val="center"/>
          </w:tcPr>
          <w:p w14:paraId="781A1801">
            <w:pPr>
              <w:widowControl/>
              <w:jc w:val="center"/>
              <w:rPr>
                <w:rFonts w:ascii="Times New Roman" w:hAnsi="Times New Roman"/>
                <w:kern w:val="0"/>
                <w:szCs w:val="21"/>
              </w:rPr>
            </w:pPr>
          </w:p>
        </w:tc>
        <w:tc>
          <w:tcPr>
            <w:tcW w:w="1626" w:type="dxa"/>
            <w:shd w:val="clear" w:color="auto" w:fill="auto"/>
            <w:noWrap/>
            <w:vAlign w:val="center"/>
          </w:tcPr>
          <w:p w14:paraId="1C17E948">
            <w:pPr>
              <w:widowControl/>
              <w:jc w:val="center"/>
              <w:rPr>
                <w:rFonts w:ascii="Times New Roman" w:hAnsi="Times New Roman"/>
                <w:kern w:val="0"/>
                <w:szCs w:val="21"/>
              </w:rPr>
            </w:pPr>
          </w:p>
        </w:tc>
        <w:tc>
          <w:tcPr>
            <w:tcW w:w="1626" w:type="dxa"/>
            <w:shd w:val="clear" w:color="auto" w:fill="auto"/>
            <w:noWrap/>
            <w:vAlign w:val="center"/>
          </w:tcPr>
          <w:p w14:paraId="5C5D4001">
            <w:pPr>
              <w:widowControl/>
              <w:jc w:val="center"/>
              <w:rPr>
                <w:rFonts w:ascii="Times New Roman" w:hAnsi="Times New Roman"/>
                <w:kern w:val="0"/>
                <w:szCs w:val="21"/>
              </w:rPr>
            </w:pPr>
          </w:p>
        </w:tc>
      </w:tr>
    </w:tbl>
    <w:p w14:paraId="7A367D35">
      <w:pPr>
        <w:spacing w:line="360" w:lineRule="auto"/>
        <w:ind w:firstLine="472" w:firstLineChars="200"/>
        <w:rPr>
          <w:rFonts w:ascii="Times New Roman" w:hAnsi="Times New Roman"/>
          <w:spacing w:val="-2"/>
          <w:kern w:val="0"/>
          <w:sz w:val="24"/>
          <w:szCs w:val="24"/>
        </w:rPr>
      </w:pPr>
    </w:p>
    <w:p w14:paraId="57557E09">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项目物料运输产生的扬尘为</w:t>
      </w:r>
      <w:r>
        <w:rPr>
          <w:rFonts w:ascii="Times New Roman" w:hAnsi="Times New Roman"/>
          <w:spacing w:val="-2"/>
          <w:kern w:val="0"/>
          <w:sz w:val="24"/>
          <w:szCs w:val="24"/>
          <w:u w:val="single"/>
        </w:rPr>
        <w:t>0.</w:t>
      </w:r>
      <w:r>
        <w:rPr>
          <w:rFonts w:hint="eastAsia" w:ascii="Times New Roman" w:hAnsi="Times New Roman"/>
          <w:spacing w:val="-2"/>
          <w:kern w:val="0"/>
          <w:sz w:val="24"/>
          <w:szCs w:val="24"/>
          <w:u w:val="single"/>
        </w:rPr>
        <w:t>1435</w:t>
      </w:r>
      <w:r>
        <w:rPr>
          <w:rFonts w:ascii="Times New Roman" w:hAnsi="Times New Roman"/>
          <w:spacing w:val="-2"/>
          <w:kern w:val="0"/>
          <w:sz w:val="24"/>
          <w:szCs w:val="24"/>
          <w:u w:val="single"/>
        </w:rPr>
        <w:t>t/a</w:t>
      </w:r>
      <w:r>
        <w:rPr>
          <w:rFonts w:ascii="Times New Roman" w:hAnsi="Times New Roman"/>
          <w:spacing w:val="-2"/>
          <w:kern w:val="0"/>
          <w:sz w:val="24"/>
          <w:szCs w:val="24"/>
        </w:rPr>
        <w:t>，项目物料运输扬尘面源排放参数见表2.3-1</w:t>
      </w:r>
      <w:r>
        <w:rPr>
          <w:rFonts w:hint="eastAsia" w:ascii="Times New Roman" w:hAnsi="Times New Roman"/>
          <w:spacing w:val="-2"/>
          <w:kern w:val="0"/>
          <w:sz w:val="24"/>
          <w:szCs w:val="24"/>
        </w:rPr>
        <w:t>1</w:t>
      </w:r>
      <w:r>
        <w:rPr>
          <w:rFonts w:ascii="Times New Roman" w:hAnsi="Times New Roman"/>
          <w:spacing w:val="-2"/>
          <w:kern w:val="0"/>
          <w:sz w:val="24"/>
          <w:szCs w:val="24"/>
        </w:rPr>
        <w:t>。</w:t>
      </w:r>
    </w:p>
    <w:p w14:paraId="3CA0FC77">
      <w:pPr>
        <w:spacing w:line="360" w:lineRule="auto"/>
        <w:ind w:firstLine="472" w:firstLineChars="200"/>
        <w:rPr>
          <w:rFonts w:ascii="Times New Roman" w:hAnsi="Times New Roman"/>
          <w:spacing w:val="-2"/>
          <w:kern w:val="0"/>
          <w:sz w:val="24"/>
          <w:szCs w:val="24"/>
        </w:rPr>
      </w:pPr>
    </w:p>
    <w:p w14:paraId="389BD29F">
      <w:pPr>
        <w:spacing w:line="360" w:lineRule="auto"/>
        <w:ind w:firstLine="472" w:firstLineChars="200"/>
        <w:rPr>
          <w:rFonts w:ascii="Times New Roman" w:hAnsi="Times New Roman"/>
          <w:spacing w:val="-2"/>
          <w:kern w:val="0"/>
          <w:sz w:val="24"/>
          <w:szCs w:val="24"/>
        </w:rPr>
      </w:pPr>
    </w:p>
    <w:p w14:paraId="176E4841">
      <w:pPr>
        <w:spacing w:line="360" w:lineRule="auto"/>
        <w:ind w:firstLine="472" w:firstLineChars="200"/>
        <w:rPr>
          <w:rFonts w:ascii="Times New Roman" w:hAnsi="Times New Roman"/>
          <w:spacing w:val="-2"/>
          <w:kern w:val="0"/>
          <w:sz w:val="24"/>
          <w:szCs w:val="24"/>
        </w:rPr>
      </w:pPr>
    </w:p>
    <w:p w14:paraId="7CD69723">
      <w:pPr>
        <w:pStyle w:val="8"/>
        <w:numPr>
          <w:ilvl w:val="4"/>
          <w:numId w:val="3"/>
        </w:numPr>
        <w:spacing w:line="348" w:lineRule="auto"/>
        <w:ind w:firstLine="480"/>
        <w:rPr>
          <w:spacing w:val="-2"/>
          <w:kern w:val="0"/>
          <w:sz w:val="24"/>
          <w:szCs w:val="24"/>
        </w:rPr>
      </w:pPr>
      <w:r>
        <w:rPr>
          <w:sz w:val="24"/>
          <w:szCs w:val="24"/>
        </w:rPr>
        <w:t>项目物料运输扬尘面源排放参数清单</w:t>
      </w:r>
    </w:p>
    <w:tbl>
      <w:tblPr>
        <w:tblStyle w:val="88"/>
        <w:tblpPr w:leftFromText="180" w:rightFromText="180" w:vertAnchor="text" w:tblpXSpec="center" w:tblpY="1"/>
        <w:tblOverlap w:val="never"/>
        <w:tblW w:w="904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08"/>
        <w:gridCol w:w="1275"/>
        <w:gridCol w:w="1137"/>
        <w:gridCol w:w="1276"/>
        <w:gridCol w:w="1276"/>
        <w:gridCol w:w="1276"/>
        <w:gridCol w:w="1392"/>
      </w:tblGrid>
      <w:tr w14:paraId="6BB145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1408" w:type="dxa"/>
            <w:vMerge w:val="restart"/>
            <w:vAlign w:val="center"/>
          </w:tcPr>
          <w:p w14:paraId="4F711C64">
            <w:pPr>
              <w:widowControl/>
              <w:jc w:val="center"/>
              <w:rPr>
                <w:rFonts w:ascii="Times New Roman" w:hAnsi="Times New Roman"/>
                <w:b/>
                <w:bCs/>
                <w:szCs w:val="21"/>
              </w:rPr>
            </w:pPr>
            <w:r>
              <w:rPr>
                <w:rFonts w:ascii="Times New Roman" w:hAnsi="Times New Roman"/>
                <w:b/>
                <w:bCs/>
                <w:kern w:val="0"/>
                <w:szCs w:val="21"/>
              </w:rPr>
              <w:t>污染源名称</w:t>
            </w:r>
          </w:p>
        </w:tc>
        <w:tc>
          <w:tcPr>
            <w:tcW w:w="2412" w:type="dxa"/>
            <w:gridSpan w:val="2"/>
            <w:shd w:val="clear" w:color="auto" w:fill="auto"/>
            <w:noWrap/>
            <w:vAlign w:val="center"/>
          </w:tcPr>
          <w:p w14:paraId="415AF9C7">
            <w:pPr>
              <w:widowControl/>
              <w:jc w:val="center"/>
              <w:rPr>
                <w:rFonts w:ascii="Times New Roman" w:hAnsi="Times New Roman"/>
                <w:b/>
                <w:bCs/>
                <w:szCs w:val="21"/>
              </w:rPr>
            </w:pPr>
            <w:r>
              <w:rPr>
                <w:rFonts w:ascii="Times New Roman" w:hAnsi="Times New Roman"/>
                <w:b/>
                <w:bCs/>
                <w:szCs w:val="21"/>
              </w:rPr>
              <w:t>坐标</w:t>
            </w:r>
            <w:r>
              <w:rPr>
                <w:rFonts w:ascii="Times New Roman" w:hAnsi="Times New Roman"/>
                <w:b/>
                <w:bCs/>
                <w:kern w:val="0"/>
                <w:szCs w:val="21"/>
              </w:rPr>
              <w:t>(°)</w:t>
            </w:r>
          </w:p>
        </w:tc>
        <w:tc>
          <w:tcPr>
            <w:tcW w:w="1276" w:type="dxa"/>
            <w:vMerge w:val="restart"/>
            <w:shd w:val="clear" w:color="auto" w:fill="auto"/>
            <w:noWrap/>
            <w:vAlign w:val="center"/>
          </w:tcPr>
          <w:p w14:paraId="5A2D0BC7">
            <w:pPr>
              <w:widowControl/>
              <w:jc w:val="center"/>
              <w:rPr>
                <w:rFonts w:ascii="Times New Roman" w:hAnsi="Times New Roman"/>
                <w:b/>
                <w:bCs/>
                <w:szCs w:val="21"/>
              </w:rPr>
            </w:pPr>
            <w:r>
              <w:rPr>
                <w:rFonts w:ascii="Times New Roman" w:hAnsi="Times New Roman"/>
                <w:b/>
                <w:bCs/>
                <w:szCs w:val="21"/>
              </w:rPr>
              <w:t>面源长度(m)</w:t>
            </w:r>
          </w:p>
        </w:tc>
        <w:tc>
          <w:tcPr>
            <w:tcW w:w="1276" w:type="dxa"/>
            <w:vMerge w:val="restart"/>
            <w:shd w:val="clear" w:color="auto" w:fill="auto"/>
            <w:noWrap/>
            <w:vAlign w:val="center"/>
          </w:tcPr>
          <w:p w14:paraId="0D29ABE2">
            <w:pPr>
              <w:widowControl/>
              <w:jc w:val="center"/>
              <w:rPr>
                <w:rFonts w:ascii="Times New Roman" w:hAnsi="Times New Roman"/>
                <w:b/>
                <w:bCs/>
                <w:szCs w:val="21"/>
              </w:rPr>
            </w:pPr>
            <w:r>
              <w:rPr>
                <w:rFonts w:ascii="Times New Roman" w:hAnsi="Times New Roman"/>
                <w:b/>
                <w:bCs/>
                <w:szCs w:val="21"/>
              </w:rPr>
              <w:t>面源宽度（m）</w:t>
            </w:r>
          </w:p>
        </w:tc>
        <w:tc>
          <w:tcPr>
            <w:tcW w:w="1276" w:type="dxa"/>
            <w:vMerge w:val="restart"/>
            <w:shd w:val="clear" w:color="auto" w:fill="auto"/>
            <w:noWrap/>
            <w:vAlign w:val="center"/>
          </w:tcPr>
          <w:p w14:paraId="12B3C7BC">
            <w:pPr>
              <w:widowControl/>
              <w:jc w:val="center"/>
              <w:rPr>
                <w:rFonts w:ascii="Times New Roman" w:hAnsi="Times New Roman"/>
                <w:b/>
                <w:bCs/>
                <w:szCs w:val="21"/>
              </w:rPr>
            </w:pPr>
            <w:r>
              <w:rPr>
                <w:rFonts w:ascii="Times New Roman" w:hAnsi="Times New Roman"/>
                <w:b/>
                <w:bCs/>
                <w:szCs w:val="21"/>
              </w:rPr>
              <w:t>源高（m）</w:t>
            </w:r>
          </w:p>
        </w:tc>
        <w:tc>
          <w:tcPr>
            <w:tcW w:w="1392" w:type="dxa"/>
            <w:shd w:val="clear" w:color="auto" w:fill="auto"/>
            <w:vAlign w:val="center"/>
          </w:tcPr>
          <w:p w14:paraId="1602277B">
            <w:pPr>
              <w:widowControl/>
              <w:jc w:val="center"/>
              <w:rPr>
                <w:rFonts w:ascii="Times New Roman" w:hAnsi="Times New Roman"/>
                <w:szCs w:val="21"/>
              </w:rPr>
            </w:pPr>
            <w:r>
              <w:rPr>
                <w:rFonts w:ascii="Times New Roman" w:hAnsi="Times New Roman"/>
                <w:b/>
                <w:bCs/>
                <w:kern w:val="0"/>
                <w:szCs w:val="21"/>
              </w:rPr>
              <w:t>污染物排放速率(kg/h)</w:t>
            </w:r>
          </w:p>
        </w:tc>
      </w:tr>
      <w:tr w14:paraId="08E542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1408" w:type="dxa"/>
            <w:vMerge w:val="continue"/>
            <w:vAlign w:val="center"/>
          </w:tcPr>
          <w:p w14:paraId="0ABC1D26">
            <w:pPr>
              <w:widowControl/>
              <w:jc w:val="center"/>
              <w:rPr>
                <w:rFonts w:ascii="Times New Roman" w:hAnsi="Times New Roman"/>
                <w:b/>
                <w:bCs/>
                <w:szCs w:val="21"/>
              </w:rPr>
            </w:pPr>
          </w:p>
        </w:tc>
        <w:tc>
          <w:tcPr>
            <w:tcW w:w="1275" w:type="dxa"/>
            <w:shd w:val="clear" w:color="auto" w:fill="auto"/>
            <w:vAlign w:val="center"/>
          </w:tcPr>
          <w:p w14:paraId="6DB6F89E">
            <w:pPr>
              <w:widowControl/>
              <w:jc w:val="center"/>
              <w:rPr>
                <w:rFonts w:ascii="Times New Roman" w:hAnsi="Times New Roman"/>
                <w:b/>
                <w:bCs/>
                <w:szCs w:val="21"/>
              </w:rPr>
            </w:pPr>
            <w:r>
              <w:rPr>
                <w:rFonts w:ascii="Times New Roman" w:hAnsi="Times New Roman"/>
                <w:b/>
                <w:bCs/>
                <w:kern w:val="0"/>
                <w:szCs w:val="21"/>
              </w:rPr>
              <w:t>经度</w:t>
            </w:r>
          </w:p>
        </w:tc>
        <w:tc>
          <w:tcPr>
            <w:tcW w:w="1137" w:type="dxa"/>
            <w:vAlign w:val="center"/>
          </w:tcPr>
          <w:p w14:paraId="1F6CBFFC">
            <w:pPr>
              <w:widowControl/>
              <w:jc w:val="center"/>
              <w:rPr>
                <w:rFonts w:ascii="Times New Roman" w:hAnsi="Times New Roman"/>
                <w:b/>
                <w:bCs/>
                <w:szCs w:val="21"/>
              </w:rPr>
            </w:pPr>
            <w:r>
              <w:rPr>
                <w:rFonts w:ascii="Times New Roman" w:hAnsi="Times New Roman"/>
                <w:b/>
                <w:bCs/>
                <w:kern w:val="0"/>
                <w:szCs w:val="21"/>
              </w:rPr>
              <w:t>纬度</w:t>
            </w:r>
          </w:p>
        </w:tc>
        <w:tc>
          <w:tcPr>
            <w:tcW w:w="1276" w:type="dxa"/>
            <w:vMerge w:val="continue"/>
            <w:vAlign w:val="center"/>
          </w:tcPr>
          <w:p w14:paraId="2A0DE051">
            <w:pPr>
              <w:widowControl/>
              <w:jc w:val="center"/>
              <w:rPr>
                <w:rFonts w:ascii="Times New Roman" w:hAnsi="Times New Roman"/>
                <w:szCs w:val="21"/>
              </w:rPr>
            </w:pPr>
          </w:p>
        </w:tc>
        <w:tc>
          <w:tcPr>
            <w:tcW w:w="1276" w:type="dxa"/>
            <w:vMerge w:val="continue"/>
            <w:vAlign w:val="center"/>
          </w:tcPr>
          <w:p w14:paraId="71635EFC">
            <w:pPr>
              <w:widowControl/>
              <w:jc w:val="center"/>
              <w:rPr>
                <w:rFonts w:ascii="Times New Roman" w:hAnsi="Times New Roman"/>
                <w:szCs w:val="21"/>
              </w:rPr>
            </w:pPr>
          </w:p>
        </w:tc>
        <w:tc>
          <w:tcPr>
            <w:tcW w:w="1276" w:type="dxa"/>
            <w:vMerge w:val="continue"/>
            <w:vAlign w:val="center"/>
          </w:tcPr>
          <w:p w14:paraId="0C3FE867">
            <w:pPr>
              <w:widowControl/>
              <w:jc w:val="center"/>
              <w:rPr>
                <w:rFonts w:ascii="Times New Roman" w:hAnsi="Times New Roman"/>
                <w:szCs w:val="21"/>
              </w:rPr>
            </w:pPr>
          </w:p>
        </w:tc>
        <w:tc>
          <w:tcPr>
            <w:tcW w:w="1392" w:type="dxa"/>
            <w:shd w:val="clear" w:color="auto" w:fill="auto"/>
            <w:vAlign w:val="center"/>
          </w:tcPr>
          <w:p w14:paraId="0AC37ED4">
            <w:pPr>
              <w:widowControl/>
              <w:jc w:val="center"/>
              <w:rPr>
                <w:rFonts w:ascii="Times New Roman" w:hAnsi="Times New Roman"/>
                <w:szCs w:val="21"/>
              </w:rPr>
            </w:pPr>
            <w:r>
              <w:rPr>
                <w:rFonts w:ascii="Times New Roman" w:hAnsi="Times New Roman"/>
                <w:b/>
                <w:bCs/>
                <w:kern w:val="0"/>
                <w:szCs w:val="21"/>
              </w:rPr>
              <w:t>TSP</w:t>
            </w:r>
          </w:p>
        </w:tc>
      </w:tr>
      <w:tr w14:paraId="009BCC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08" w:type="dxa"/>
            <w:vAlign w:val="center"/>
          </w:tcPr>
          <w:p w14:paraId="5E339297">
            <w:pPr>
              <w:widowControl/>
              <w:jc w:val="center"/>
              <w:rPr>
                <w:rFonts w:ascii="Times New Roman" w:hAnsi="Times New Roman"/>
                <w:szCs w:val="21"/>
              </w:rPr>
            </w:pPr>
            <w:r>
              <w:rPr>
                <w:rFonts w:ascii="Times New Roman" w:hAnsi="Times New Roman"/>
                <w:szCs w:val="21"/>
              </w:rPr>
              <w:t>物料运输无组织排放</w:t>
            </w:r>
          </w:p>
        </w:tc>
        <w:tc>
          <w:tcPr>
            <w:tcW w:w="1275" w:type="dxa"/>
            <w:shd w:val="clear" w:color="auto" w:fill="auto"/>
            <w:vAlign w:val="center"/>
          </w:tcPr>
          <w:p w14:paraId="7B8B9001">
            <w:pPr>
              <w:widowControl/>
              <w:jc w:val="center"/>
              <w:rPr>
                <w:rFonts w:ascii="Times New Roman" w:hAnsi="Times New Roman"/>
                <w:szCs w:val="21"/>
              </w:rPr>
            </w:pPr>
            <w:r>
              <w:rPr>
                <w:rFonts w:ascii="Times New Roman" w:hAnsi="Times New Roman"/>
                <w:szCs w:val="21"/>
              </w:rPr>
              <w:t>108.667912</w:t>
            </w:r>
          </w:p>
        </w:tc>
        <w:tc>
          <w:tcPr>
            <w:tcW w:w="1137" w:type="dxa"/>
            <w:vAlign w:val="center"/>
          </w:tcPr>
          <w:p w14:paraId="34207ECF">
            <w:pPr>
              <w:widowControl/>
              <w:jc w:val="center"/>
              <w:rPr>
                <w:rFonts w:ascii="Times New Roman" w:hAnsi="Times New Roman"/>
                <w:szCs w:val="21"/>
              </w:rPr>
            </w:pPr>
            <w:r>
              <w:rPr>
                <w:rFonts w:ascii="Times New Roman" w:hAnsi="Times New Roman"/>
                <w:szCs w:val="21"/>
              </w:rPr>
              <w:t>21.672484</w:t>
            </w:r>
          </w:p>
        </w:tc>
        <w:tc>
          <w:tcPr>
            <w:tcW w:w="1276" w:type="dxa"/>
            <w:shd w:val="clear" w:color="auto" w:fill="auto"/>
            <w:noWrap/>
            <w:vAlign w:val="center"/>
          </w:tcPr>
          <w:p w14:paraId="5DAD9C32">
            <w:pPr>
              <w:widowControl/>
              <w:jc w:val="center"/>
              <w:rPr>
                <w:rFonts w:ascii="Times New Roman" w:hAnsi="Times New Roman"/>
                <w:szCs w:val="21"/>
              </w:rPr>
            </w:pPr>
            <w:r>
              <w:rPr>
                <w:rFonts w:hint="eastAsia" w:ascii="Times New Roman" w:hAnsi="Times New Roman"/>
                <w:szCs w:val="21"/>
              </w:rPr>
              <w:t>175</w:t>
            </w:r>
          </w:p>
        </w:tc>
        <w:tc>
          <w:tcPr>
            <w:tcW w:w="1276" w:type="dxa"/>
            <w:shd w:val="clear" w:color="auto" w:fill="auto"/>
            <w:noWrap/>
            <w:vAlign w:val="center"/>
          </w:tcPr>
          <w:p w14:paraId="684E1190">
            <w:pPr>
              <w:widowControl/>
              <w:jc w:val="center"/>
              <w:rPr>
                <w:rFonts w:ascii="Times New Roman" w:hAnsi="Times New Roman"/>
                <w:szCs w:val="21"/>
              </w:rPr>
            </w:pPr>
            <w:r>
              <w:rPr>
                <w:rFonts w:hint="eastAsia" w:ascii="Times New Roman" w:hAnsi="Times New Roman"/>
                <w:szCs w:val="21"/>
              </w:rPr>
              <w:t>50</w:t>
            </w:r>
          </w:p>
        </w:tc>
        <w:tc>
          <w:tcPr>
            <w:tcW w:w="1276" w:type="dxa"/>
            <w:shd w:val="clear" w:color="auto" w:fill="auto"/>
            <w:noWrap/>
            <w:vAlign w:val="center"/>
          </w:tcPr>
          <w:p w14:paraId="1604B4A1">
            <w:pPr>
              <w:widowControl/>
              <w:jc w:val="center"/>
              <w:rPr>
                <w:rFonts w:ascii="Times New Roman" w:hAnsi="Times New Roman"/>
                <w:szCs w:val="21"/>
              </w:rPr>
            </w:pPr>
            <w:r>
              <w:rPr>
                <w:rFonts w:hint="eastAsia" w:ascii="Times New Roman" w:hAnsi="Times New Roman"/>
                <w:szCs w:val="21"/>
              </w:rPr>
              <w:t>2.5</w:t>
            </w:r>
          </w:p>
        </w:tc>
        <w:tc>
          <w:tcPr>
            <w:tcW w:w="1392" w:type="dxa"/>
            <w:shd w:val="clear" w:color="auto" w:fill="auto"/>
            <w:noWrap/>
            <w:vAlign w:val="center"/>
          </w:tcPr>
          <w:p w14:paraId="4D924CDE">
            <w:pPr>
              <w:widowControl/>
              <w:jc w:val="center"/>
              <w:rPr>
                <w:rFonts w:ascii="Times New Roman" w:hAnsi="Times New Roman"/>
                <w:szCs w:val="21"/>
                <w:u w:val="single"/>
              </w:rPr>
            </w:pPr>
            <w:r>
              <w:rPr>
                <w:rFonts w:ascii="Times New Roman" w:hAnsi="Times New Roman"/>
                <w:szCs w:val="21"/>
                <w:u w:val="single"/>
              </w:rPr>
              <w:t>0.0</w:t>
            </w:r>
            <w:r>
              <w:rPr>
                <w:rFonts w:hint="eastAsia" w:ascii="Times New Roman" w:hAnsi="Times New Roman"/>
                <w:szCs w:val="21"/>
                <w:u w:val="single"/>
              </w:rPr>
              <w:t>299</w:t>
            </w:r>
          </w:p>
        </w:tc>
      </w:tr>
    </w:tbl>
    <w:p w14:paraId="73FA404D">
      <w:pPr>
        <w:snapToGrid w:val="0"/>
        <w:spacing w:line="348" w:lineRule="auto"/>
        <w:ind w:firstLine="480"/>
        <w:rPr>
          <w:rFonts w:ascii="Times New Roman" w:hAnsi="Times New Roman"/>
          <w:spacing w:val="-2"/>
          <w:kern w:val="0"/>
          <w:sz w:val="24"/>
          <w:szCs w:val="24"/>
        </w:rPr>
      </w:pPr>
    </w:p>
    <w:p w14:paraId="6281B3FF">
      <w:pPr>
        <w:pStyle w:val="7"/>
        <w:numPr>
          <w:ilvl w:val="3"/>
          <w:numId w:val="3"/>
        </w:numPr>
      </w:pPr>
      <w:r>
        <w:t>大气污染物排放情况汇总</w:t>
      </w:r>
    </w:p>
    <w:p w14:paraId="24E323EA">
      <w:pPr>
        <w:snapToGrid w:val="0"/>
        <w:spacing w:line="348" w:lineRule="auto"/>
        <w:ind w:firstLine="480"/>
        <w:rPr>
          <w:rFonts w:ascii="Times New Roman" w:hAnsi="Times New Roman"/>
          <w:spacing w:val="-2"/>
          <w:kern w:val="0"/>
          <w:sz w:val="24"/>
          <w:szCs w:val="24"/>
        </w:rPr>
      </w:pPr>
      <w:r>
        <w:rPr>
          <w:rFonts w:ascii="Times New Roman" w:hAnsi="Times New Roman"/>
          <w:spacing w:val="-2"/>
          <w:kern w:val="0"/>
          <w:sz w:val="24"/>
          <w:szCs w:val="24"/>
        </w:rPr>
        <w:t>根据上述废气源强分析情况可知，项目产生的废气，主要是烘干炉燃生物质燃料烟气、生产车间内产生的含矿粉尘、原料及产品等物料运输的扬尘。根据工程分析，烘干炉烟气采用袋式除尘系统处理达标后引至1</w:t>
      </w:r>
      <w:r>
        <w:rPr>
          <w:rFonts w:hint="eastAsia" w:ascii="Times New Roman" w:hAnsi="Times New Roman"/>
          <w:spacing w:val="-2"/>
          <w:kern w:val="0"/>
          <w:sz w:val="24"/>
          <w:szCs w:val="24"/>
        </w:rPr>
        <w:t>9</w:t>
      </w:r>
      <w:r>
        <w:rPr>
          <w:rFonts w:ascii="Times New Roman" w:hAnsi="Times New Roman"/>
          <w:spacing w:val="-2"/>
          <w:kern w:val="0"/>
          <w:sz w:val="24"/>
          <w:szCs w:val="24"/>
        </w:rPr>
        <w:t>m高的排气筒（DA001）排放，颗粒物去除率按99%计算；</w:t>
      </w:r>
      <w:r>
        <w:rPr>
          <w:rFonts w:hint="eastAsia" w:ascii="Times New Roman" w:hAnsi="Times New Roman"/>
          <w:spacing w:val="-2"/>
          <w:kern w:val="0"/>
          <w:sz w:val="24"/>
          <w:szCs w:val="24"/>
        </w:rPr>
        <w:t>1#原料处理</w:t>
      </w:r>
      <w:r>
        <w:rPr>
          <w:rFonts w:ascii="Times New Roman" w:hAnsi="Times New Roman"/>
          <w:spacing w:val="-2"/>
          <w:kern w:val="0"/>
          <w:sz w:val="24"/>
          <w:szCs w:val="24"/>
        </w:rPr>
        <w:t>车间粉尘采取在</w:t>
      </w:r>
      <w:bookmarkStart w:id="116" w:name="OLE_LINK16"/>
      <w:r>
        <w:rPr>
          <w:rFonts w:ascii="Times New Roman" w:hAnsi="Times New Roman"/>
          <w:spacing w:val="-2"/>
          <w:kern w:val="0"/>
          <w:sz w:val="24"/>
          <w:szCs w:val="24"/>
        </w:rPr>
        <w:t>烘干机进出料口</w:t>
      </w:r>
      <w:bookmarkEnd w:id="116"/>
      <w:r>
        <w:rPr>
          <w:rFonts w:ascii="Times New Roman" w:hAnsi="Times New Roman"/>
          <w:spacing w:val="-2"/>
          <w:kern w:val="0"/>
          <w:sz w:val="24"/>
          <w:szCs w:val="24"/>
        </w:rPr>
        <w:t>配置集气罩收集后，采用袋式除尘系统处理达标后引至1</w:t>
      </w:r>
      <w:r>
        <w:rPr>
          <w:rFonts w:hint="eastAsia" w:ascii="Times New Roman" w:hAnsi="Times New Roman"/>
          <w:spacing w:val="-2"/>
          <w:kern w:val="0"/>
          <w:sz w:val="24"/>
          <w:szCs w:val="24"/>
        </w:rPr>
        <w:t>9</w:t>
      </w:r>
      <w:r>
        <w:rPr>
          <w:rFonts w:ascii="Times New Roman" w:hAnsi="Times New Roman"/>
          <w:spacing w:val="-2"/>
          <w:kern w:val="0"/>
          <w:sz w:val="24"/>
          <w:szCs w:val="24"/>
        </w:rPr>
        <w:t>m高的排气筒（DA002）排放</w:t>
      </w:r>
      <w:r>
        <w:rPr>
          <w:rFonts w:hint="eastAsia" w:ascii="Times New Roman" w:hAnsi="Times New Roman"/>
          <w:spacing w:val="-2"/>
          <w:kern w:val="0"/>
          <w:sz w:val="24"/>
          <w:szCs w:val="24"/>
        </w:rPr>
        <w:t>；2#分选</w:t>
      </w:r>
      <w:r>
        <w:rPr>
          <w:rFonts w:ascii="Times New Roman" w:hAnsi="Times New Roman"/>
          <w:spacing w:val="-2"/>
          <w:kern w:val="0"/>
          <w:sz w:val="24"/>
          <w:szCs w:val="24"/>
        </w:rPr>
        <w:t>车间粉尘采取在磁选机进</w:t>
      </w:r>
      <w:r>
        <w:rPr>
          <w:rFonts w:hint="eastAsia" w:ascii="Times New Roman" w:hAnsi="Times New Roman"/>
          <w:spacing w:val="-2"/>
          <w:kern w:val="0"/>
          <w:sz w:val="24"/>
          <w:szCs w:val="24"/>
        </w:rPr>
        <w:t>、</w:t>
      </w:r>
      <w:r>
        <w:rPr>
          <w:rFonts w:ascii="Times New Roman" w:hAnsi="Times New Roman"/>
          <w:spacing w:val="-2"/>
          <w:kern w:val="0"/>
          <w:sz w:val="24"/>
          <w:szCs w:val="24"/>
        </w:rPr>
        <w:t>出料口配置集气罩收集后，采用袋式除尘系统处理达标后引至1</w:t>
      </w:r>
      <w:r>
        <w:rPr>
          <w:rFonts w:hint="eastAsia" w:ascii="Times New Roman" w:hAnsi="Times New Roman"/>
          <w:spacing w:val="-2"/>
          <w:kern w:val="0"/>
          <w:sz w:val="24"/>
          <w:szCs w:val="24"/>
        </w:rPr>
        <w:t>9</w:t>
      </w:r>
      <w:r>
        <w:rPr>
          <w:rFonts w:ascii="Times New Roman" w:hAnsi="Times New Roman"/>
          <w:spacing w:val="-2"/>
          <w:kern w:val="0"/>
          <w:sz w:val="24"/>
          <w:szCs w:val="24"/>
        </w:rPr>
        <w:t>m高的排气筒（DA00</w:t>
      </w:r>
      <w:r>
        <w:rPr>
          <w:rFonts w:hint="eastAsia" w:ascii="Times New Roman" w:hAnsi="Times New Roman"/>
          <w:spacing w:val="-2"/>
          <w:kern w:val="0"/>
          <w:sz w:val="24"/>
          <w:szCs w:val="24"/>
        </w:rPr>
        <w:t>3</w:t>
      </w:r>
      <w:r>
        <w:rPr>
          <w:rFonts w:ascii="Times New Roman" w:hAnsi="Times New Roman"/>
          <w:spacing w:val="-2"/>
          <w:kern w:val="0"/>
          <w:sz w:val="24"/>
          <w:szCs w:val="24"/>
        </w:rPr>
        <w:t>）排放</w:t>
      </w:r>
      <w:r>
        <w:rPr>
          <w:rFonts w:hint="eastAsia" w:ascii="Times New Roman" w:hAnsi="Times New Roman"/>
          <w:spacing w:val="-2"/>
          <w:kern w:val="0"/>
          <w:sz w:val="24"/>
          <w:szCs w:val="24"/>
        </w:rPr>
        <w:t>。</w:t>
      </w:r>
      <w:r>
        <w:rPr>
          <w:rFonts w:ascii="Times New Roman" w:hAnsi="Times New Roman"/>
          <w:spacing w:val="-2"/>
          <w:kern w:val="0"/>
          <w:sz w:val="24"/>
          <w:szCs w:val="24"/>
        </w:rPr>
        <w:t>车间内集气罩</w:t>
      </w:r>
      <w:r>
        <w:rPr>
          <w:rFonts w:hint="eastAsia" w:ascii="Times New Roman" w:hAnsi="Times New Roman"/>
          <w:spacing w:val="-2"/>
          <w:kern w:val="0"/>
          <w:sz w:val="24"/>
          <w:szCs w:val="24"/>
        </w:rPr>
        <w:t>未</w:t>
      </w:r>
      <w:r>
        <w:rPr>
          <w:rFonts w:ascii="Times New Roman" w:hAnsi="Times New Roman"/>
          <w:spacing w:val="-2"/>
          <w:kern w:val="0"/>
          <w:sz w:val="24"/>
          <w:szCs w:val="24"/>
        </w:rPr>
        <w:t>铺集的粉尘，</w:t>
      </w:r>
      <w:r>
        <w:rPr>
          <w:rFonts w:hint="eastAsia" w:ascii="Times New Roman" w:hAnsi="Times New Roman"/>
          <w:spacing w:val="-2"/>
          <w:kern w:val="0"/>
          <w:sz w:val="24"/>
          <w:szCs w:val="24"/>
          <w:u w:val="single"/>
        </w:rPr>
        <w:t>在车间出入口处、大部分铲车装卸区域及磁选机组两侧设置水雾喷淋除尘，</w:t>
      </w:r>
      <w:r>
        <w:rPr>
          <w:rFonts w:hint="eastAsia" w:ascii="Times New Roman" w:hAnsi="Times New Roman"/>
          <w:spacing w:val="-2"/>
          <w:kern w:val="0"/>
          <w:sz w:val="24"/>
          <w:szCs w:val="24"/>
        </w:rPr>
        <w:t>封闭式车间里</w:t>
      </w:r>
      <w:r>
        <w:rPr>
          <w:rFonts w:ascii="Times New Roman" w:hAnsi="Times New Roman"/>
          <w:spacing w:val="-2"/>
          <w:kern w:val="0"/>
          <w:sz w:val="24"/>
          <w:szCs w:val="24"/>
        </w:rPr>
        <w:t>大部分沉降到车间地面，少量粉尘在车间顶部换风口以无组织排放的方式排放至周边环境。物料运输扬尘采取装载车辆篷布覆盖、运输期间定期道路洒水方式降尘，运输扬尘以无组织排放的方式排放至周边环境。项目废气排放情况汇总见表2.3-1</w:t>
      </w:r>
      <w:r>
        <w:rPr>
          <w:rFonts w:hint="eastAsia" w:ascii="Times New Roman" w:hAnsi="Times New Roman"/>
          <w:spacing w:val="-2"/>
          <w:kern w:val="0"/>
          <w:sz w:val="24"/>
          <w:szCs w:val="24"/>
        </w:rPr>
        <w:t>2</w:t>
      </w:r>
      <w:r>
        <w:rPr>
          <w:rFonts w:ascii="Times New Roman" w:hAnsi="Times New Roman"/>
          <w:spacing w:val="-2"/>
          <w:kern w:val="0"/>
          <w:sz w:val="24"/>
          <w:szCs w:val="24"/>
        </w:rPr>
        <w:t>。</w:t>
      </w:r>
    </w:p>
    <w:p w14:paraId="38E59F86">
      <w:pPr>
        <w:pStyle w:val="8"/>
        <w:numPr>
          <w:ilvl w:val="4"/>
          <w:numId w:val="3"/>
        </w:numPr>
        <w:spacing w:line="440" w:lineRule="exact"/>
        <w:ind w:firstLine="482" w:firstLineChars="200"/>
      </w:pPr>
      <w:r>
        <w:rPr>
          <w:sz w:val="24"/>
          <w:szCs w:val="24"/>
        </w:rPr>
        <w:t>项目大气污染物排放汇总表</w:t>
      </w:r>
    </w:p>
    <w:tbl>
      <w:tblPr>
        <w:tblStyle w:val="88"/>
        <w:tblW w:w="906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19"/>
        <w:gridCol w:w="992"/>
        <w:gridCol w:w="850"/>
        <w:gridCol w:w="1134"/>
        <w:gridCol w:w="992"/>
        <w:gridCol w:w="2410"/>
        <w:gridCol w:w="1267"/>
      </w:tblGrid>
      <w:tr w14:paraId="78527A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2411" w:type="dxa"/>
            <w:gridSpan w:val="2"/>
            <w:shd w:val="clear" w:color="auto" w:fill="auto"/>
            <w:vAlign w:val="center"/>
          </w:tcPr>
          <w:p w14:paraId="5C25B783">
            <w:pPr>
              <w:widowControl/>
              <w:jc w:val="center"/>
              <w:rPr>
                <w:rFonts w:ascii="Times New Roman" w:hAnsi="Times New Roman"/>
                <w:b/>
                <w:bCs/>
                <w:szCs w:val="21"/>
              </w:rPr>
            </w:pPr>
            <w:r>
              <w:rPr>
                <w:rFonts w:ascii="Times New Roman" w:hAnsi="Times New Roman"/>
                <w:b/>
                <w:bCs/>
                <w:szCs w:val="21"/>
              </w:rPr>
              <w:t>污染源</w:t>
            </w:r>
          </w:p>
        </w:tc>
        <w:tc>
          <w:tcPr>
            <w:tcW w:w="850" w:type="dxa"/>
            <w:shd w:val="clear" w:color="auto" w:fill="auto"/>
            <w:vAlign w:val="center"/>
          </w:tcPr>
          <w:p w14:paraId="2DFE02A5">
            <w:pPr>
              <w:widowControl/>
              <w:jc w:val="center"/>
              <w:rPr>
                <w:rFonts w:ascii="Times New Roman" w:hAnsi="Times New Roman"/>
                <w:b/>
                <w:bCs/>
                <w:szCs w:val="21"/>
              </w:rPr>
            </w:pPr>
            <w:r>
              <w:rPr>
                <w:rFonts w:ascii="Times New Roman" w:hAnsi="Times New Roman"/>
                <w:b/>
                <w:bCs/>
                <w:szCs w:val="21"/>
              </w:rPr>
              <w:t>污染物</w:t>
            </w:r>
          </w:p>
        </w:tc>
        <w:tc>
          <w:tcPr>
            <w:tcW w:w="1134" w:type="dxa"/>
            <w:shd w:val="clear" w:color="auto" w:fill="auto"/>
            <w:vAlign w:val="center"/>
          </w:tcPr>
          <w:p w14:paraId="04B8368E">
            <w:pPr>
              <w:widowControl/>
              <w:jc w:val="center"/>
              <w:rPr>
                <w:rFonts w:ascii="Times New Roman" w:hAnsi="Times New Roman"/>
                <w:b/>
                <w:bCs/>
                <w:szCs w:val="21"/>
              </w:rPr>
            </w:pPr>
            <w:r>
              <w:rPr>
                <w:rFonts w:ascii="Times New Roman" w:hAnsi="Times New Roman"/>
                <w:b/>
                <w:bCs/>
                <w:szCs w:val="21"/>
              </w:rPr>
              <w:t>排放速率kg/h</w:t>
            </w:r>
          </w:p>
        </w:tc>
        <w:tc>
          <w:tcPr>
            <w:tcW w:w="992" w:type="dxa"/>
            <w:shd w:val="clear" w:color="auto" w:fill="auto"/>
            <w:vAlign w:val="center"/>
          </w:tcPr>
          <w:p w14:paraId="2A11AB6C">
            <w:pPr>
              <w:widowControl/>
              <w:jc w:val="center"/>
              <w:rPr>
                <w:rFonts w:ascii="Times New Roman" w:hAnsi="Times New Roman"/>
                <w:b/>
                <w:bCs/>
                <w:szCs w:val="21"/>
              </w:rPr>
            </w:pPr>
            <w:r>
              <w:rPr>
                <w:rFonts w:ascii="Times New Roman" w:hAnsi="Times New Roman"/>
                <w:b/>
                <w:bCs/>
                <w:szCs w:val="21"/>
              </w:rPr>
              <w:t>排放量t/a</w:t>
            </w:r>
          </w:p>
        </w:tc>
        <w:tc>
          <w:tcPr>
            <w:tcW w:w="2410" w:type="dxa"/>
            <w:shd w:val="clear" w:color="auto" w:fill="auto"/>
            <w:vAlign w:val="center"/>
          </w:tcPr>
          <w:p w14:paraId="02EA0CCE">
            <w:pPr>
              <w:widowControl/>
              <w:jc w:val="center"/>
              <w:rPr>
                <w:rFonts w:ascii="Times New Roman" w:hAnsi="Times New Roman"/>
                <w:b/>
                <w:bCs/>
                <w:szCs w:val="21"/>
              </w:rPr>
            </w:pPr>
            <w:r>
              <w:rPr>
                <w:rFonts w:ascii="Times New Roman" w:hAnsi="Times New Roman"/>
                <w:b/>
                <w:bCs/>
                <w:szCs w:val="21"/>
              </w:rPr>
              <w:t>污染治理措施</w:t>
            </w:r>
          </w:p>
        </w:tc>
        <w:tc>
          <w:tcPr>
            <w:tcW w:w="1267" w:type="dxa"/>
            <w:shd w:val="clear" w:color="auto" w:fill="auto"/>
            <w:vAlign w:val="center"/>
          </w:tcPr>
          <w:p w14:paraId="67F9E1A6">
            <w:pPr>
              <w:widowControl/>
              <w:jc w:val="center"/>
              <w:rPr>
                <w:rFonts w:ascii="Times New Roman" w:hAnsi="Times New Roman"/>
                <w:b/>
                <w:bCs/>
                <w:szCs w:val="21"/>
              </w:rPr>
            </w:pPr>
            <w:r>
              <w:rPr>
                <w:rFonts w:ascii="Times New Roman" w:hAnsi="Times New Roman"/>
                <w:b/>
                <w:bCs/>
                <w:szCs w:val="21"/>
              </w:rPr>
              <w:t>排污口信息</w:t>
            </w:r>
          </w:p>
        </w:tc>
      </w:tr>
      <w:tr w14:paraId="74DE54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19" w:type="dxa"/>
            <w:vMerge w:val="restart"/>
            <w:shd w:val="clear" w:color="auto" w:fill="auto"/>
            <w:vAlign w:val="center"/>
          </w:tcPr>
          <w:p w14:paraId="0F35E92C">
            <w:pPr>
              <w:widowControl/>
              <w:jc w:val="center"/>
              <w:rPr>
                <w:rFonts w:ascii="Times New Roman" w:hAnsi="Times New Roman"/>
                <w:szCs w:val="21"/>
              </w:rPr>
            </w:pPr>
            <w:r>
              <w:rPr>
                <w:rFonts w:ascii="Times New Roman" w:hAnsi="Times New Roman"/>
                <w:szCs w:val="21"/>
              </w:rPr>
              <w:t>烘干炉烟气</w:t>
            </w:r>
          </w:p>
        </w:tc>
        <w:tc>
          <w:tcPr>
            <w:tcW w:w="992" w:type="dxa"/>
            <w:vMerge w:val="restart"/>
            <w:shd w:val="clear" w:color="auto" w:fill="auto"/>
            <w:vAlign w:val="center"/>
          </w:tcPr>
          <w:p w14:paraId="223EE945">
            <w:pPr>
              <w:widowControl/>
              <w:jc w:val="center"/>
              <w:rPr>
                <w:rFonts w:ascii="Times New Roman" w:hAnsi="Times New Roman"/>
                <w:szCs w:val="21"/>
              </w:rPr>
            </w:pPr>
            <w:r>
              <w:rPr>
                <w:rFonts w:ascii="Times New Roman" w:hAnsi="Times New Roman"/>
                <w:szCs w:val="21"/>
              </w:rPr>
              <w:t>有组织</w:t>
            </w:r>
          </w:p>
        </w:tc>
        <w:tc>
          <w:tcPr>
            <w:tcW w:w="850" w:type="dxa"/>
            <w:shd w:val="clear" w:color="auto" w:fill="auto"/>
            <w:vAlign w:val="center"/>
          </w:tcPr>
          <w:p w14:paraId="6287BCF4">
            <w:pPr>
              <w:widowControl/>
              <w:jc w:val="center"/>
              <w:rPr>
                <w:rFonts w:ascii="Times New Roman" w:hAnsi="Times New Roman"/>
                <w:szCs w:val="21"/>
              </w:rPr>
            </w:pPr>
            <w:r>
              <w:rPr>
                <w:rFonts w:ascii="Times New Roman" w:hAnsi="Times New Roman"/>
                <w:szCs w:val="21"/>
              </w:rPr>
              <w:t>PM</w:t>
            </w:r>
            <w:r>
              <w:rPr>
                <w:rFonts w:ascii="Times New Roman" w:hAnsi="Times New Roman"/>
                <w:szCs w:val="21"/>
                <w:vertAlign w:val="subscript"/>
              </w:rPr>
              <w:t>10</w:t>
            </w:r>
          </w:p>
        </w:tc>
        <w:tc>
          <w:tcPr>
            <w:tcW w:w="1134" w:type="dxa"/>
            <w:shd w:val="clear" w:color="auto" w:fill="auto"/>
            <w:vAlign w:val="center"/>
          </w:tcPr>
          <w:p w14:paraId="0C68C206">
            <w:pPr>
              <w:widowControl/>
              <w:jc w:val="center"/>
              <w:rPr>
                <w:rFonts w:ascii="Times New Roman" w:hAnsi="Times New Roman"/>
                <w:szCs w:val="21"/>
                <w:u w:val="single"/>
              </w:rPr>
            </w:pPr>
            <w:r>
              <w:rPr>
                <w:rFonts w:ascii="Times New Roman" w:hAnsi="Times New Roman" w:eastAsia="等线"/>
                <w:szCs w:val="21"/>
                <w:u w:val="single"/>
              </w:rPr>
              <w:t>0.0175</w:t>
            </w:r>
          </w:p>
        </w:tc>
        <w:tc>
          <w:tcPr>
            <w:tcW w:w="992" w:type="dxa"/>
            <w:shd w:val="clear" w:color="auto" w:fill="auto"/>
            <w:vAlign w:val="center"/>
          </w:tcPr>
          <w:p w14:paraId="29E80A71">
            <w:pPr>
              <w:widowControl/>
              <w:jc w:val="center"/>
              <w:rPr>
                <w:rFonts w:ascii="Times New Roman" w:hAnsi="Times New Roman"/>
                <w:szCs w:val="21"/>
                <w:u w:val="single"/>
              </w:rPr>
            </w:pPr>
            <w:r>
              <w:rPr>
                <w:rFonts w:ascii="Times New Roman" w:hAnsi="Times New Roman" w:eastAsia="等线"/>
                <w:szCs w:val="21"/>
                <w:u w:val="single"/>
              </w:rPr>
              <w:t>0.0840</w:t>
            </w:r>
          </w:p>
        </w:tc>
        <w:tc>
          <w:tcPr>
            <w:tcW w:w="2410" w:type="dxa"/>
            <w:vMerge w:val="restart"/>
            <w:shd w:val="clear" w:color="auto" w:fill="auto"/>
            <w:vAlign w:val="center"/>
          </w:tcPr>
          <w:p w14:paraId="45E5559C">
            <w:pPr>
              <w:widowControl/>
              <w:jc w:val="left"/>
              <w:rPr>
                <w:rFonts w:ascii="Times New Roman" w:hAnsi="Times New Roman"/>
                <w:szCs w:val="21"/>
              </w:rPr>
            </w:pPr>
            <w:bookmarkStart w:id="117" w:name="OLE_LINK7"/>
            <w:r>
              <w:rPr>
                <w:rFonts w:ascii="Times New Roman" w:hAnsi="Times New Roman"/>
                <w:szCs w:val="21"/>
              </w:rPr>
              <w:t>袋式</w:t>
            </w:r>
            <w:bookmarkEnd w:id="117"/>
            <w:r>
              <w:rPr>
                <w:rFonts w:ascii="Times New Roman" w:hAnsi="Times New Roman"/>
                <w:szCs w:val="21"/>
              </w:rPr>
              <w:t>除尘+1</w:t>
            </w:r>
            <w:r>
              <w:rPr>
                <w:rFonts w:hint="eastAsia" w:ascii="Times New Roman" w:hAnsi="Times New Roman"/>
                <w:szCs w:val="21"/>
              </w:rPr>
              <w:t>9</w:t>
            </w:r>
            <w:r>
              <w:rPr>
                <w:rFonts w:ascii="Times New Roman" w:hAnsi="Times New Roman"/>
                <w:szCs w:val="21"/>
              </w:rPr>
              <w:t>m排气筒</w:t>
            </w:r>
          </w:p>
        </w:tc>
        <w:tc>
          <w:tcPr>
            <w:tcW w:w="1267" w:type="dxa"/>
            <w:vMerge w:val="restart"/>
            <w:shd w:val="clear" w:color="auto" w:fill="auto"/>
            <w:vAlign w:val="center"/>
          </w:tcPr>
          <w:p w14:paraId="0A12233B">
            <w:pPr>
              <w:widowControl/>
              <w:jc w:val="center"/>
              <w:rPr>
                <w:rFonts w:ascii="Times New Roman" w:hAnsi="Times New Roman"/>
                <w:szCs w:val="21"/>
              </w:rPr>
            </w:pPr>
            <w:r>
              <w:rPr>
                <w:rFonts w:ascii="Times New Roman" w:hAnsi="Times New Roman"/>
                <w:szCs w:val="21"/>
              </w:rPr>
              <w:t>DA001</w:t>
            </w:r>
          </w:p>
        </w:tc>
      </w:tr>
      <w:tr w14:paraId="429BD0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19" w:type="dxa"/>
            <w:vMerge w:val="continue"/>
            <w:shd w:val="clear" w:color="auto" w:fill="auto"/>
            <w:vAlign w:val="center"/>
          </w:tcPr>
          <w:p w14:paraId="106D7879">
            <w:pPr>
              <w:widowControl/>
              <w:jc w:val="center"/>
              <w:rPr>
                <w:rFonts w:ascii="Times New Roman" w:hAnsi="Times New Roman"/>
                <w:szCs w:val="21"/>
              </w:rPr>
            </w:pPr>
          </w:p>
        </w:tc>
        <w:tc>
          <w:tcPr>
            <w:tcW w:w="992" w:type="dxa"/>
            <w:vMerge w:val="continue"/>
            <w:shd w:val="clear" w:color="auto" w:fill="auto"/>
            <w:vAlign w:val="center"/>
          </w:tcPr>
          <w:p w14:paraId="52B3620B">
            <w:pPr>
              <w:widowControl/>
              <w:jc w:val="center"/>
              <w:rPr>
                <w:rFonts w:ascii="Times New Roman" w:hAnsi="Times New Roman"/>
                <w:szCs w:val="21"/>
              </w:rPr>
            </w:pPr>
          </w:p>
        </w:tc>
        <w:tc>
          <w:tcPr>
            <w:tcW w:w="850" w:type="dxa"/>
            <w:shd w:val="clear" w:color="auto" w:fill="auto"/>
            <w:vAlign w:val="center"/>
          </w:tcPr>
          <w:p w14:paraId="46C520A7">
            <w:pPr>
              <w:widowControl/>
              <w:jc w:val="center"/>
              <w:rPr>
                <w:rFonts w:ascii="Times New Roman" w:hAnsi="Times New Roman"/>
                <w:szCs w:val="21"/>
              </w:rPr>
            </w:pPr>
            <w:r>
              <w:rPr>
                <w:rFonts w:ascii="Times New Roman" w:hAnsi="Times New Roman"/>
                <w:szCs w:val="21"/>
              </w:rPr>
              <w:t>SO</w:t>
            </w:r>
            <w:r>
              <w:rPr>
                <w:rFonts w:ascii="Times New Roman" w:hAnsi="Times New Roman"/>
                <w:szCs w:val="21"/>
                <w:vertAlign w:val="subscript"/>
              </w:rPr>
              <w:t>2</w:t>
            </w:r>
          </w:p>
        </w:tc>
        <w:tc>
          <w:tcPr>
            <w:tcW w:w="1134" w:type="dxa"/>
            <w:shd w:val="clear" w:color="auto" w:fill="auto"/>
            <w:vAlign w:val="center"/>
          </w:tcPr>
          <w:p w14:paraId="13828CA6">
            <w:pPr>
              <w:widowControl/>
              <w:jc w:val="center"/>
              <w:rPr>
                <w:rFonts w:ascii="Times New Roman" w:hAnsi="Times New Roman"/>
                <w:szCs w:val="21"/>
                <w:u w:val="single"/>
              </w:rPr>
            </w:pPr>
            <w:r>
              <w:rPr>
                <w:rFonts w:ascii="Times New Roman" w:hAnsi="Times New Roman" w:eastAsia="等线"/>
                <w:szCs w:val="21"/>
                <w:u w:val="single"/>
              </w:rPr>
              <w:t>0.0921</w:t>
            </w:r>
          </w:p>
        </w:tc>
        <w:tc>
          <w:tcPr>
            <w:tcW w:w="992" w:type="dxa"/>
            <w:shd w:val="clear" w:color="auto" w:fill="auto"/>
            <w:vAlign w:val="center"/>
          </w:tcPr>
          <w:p w14:paraId="125A77F3">
            <w:pPr>
              <w:widowControl/>
              <w:jc w:val="center"/>
              <w:rPr>
                <w:rFonts w:ascii="Times New Roman" w:hAnsi="Times New Roman"/>
                <w:szCs w:val="21"/>
                <w:u w:val="single"/>
              </w:rPr>
            </w:pPr>
            <w:r>
              <w:rPr>
                <w:rFonts w:ascii="Times New Roman" w:hAnsi="Times New Roman" w:eastAsia="等线"/>
                <w:szCs w:val="21"/>
                <w:u w:val="single"/>
              </w:rPr>
              <w:t>0.4420</w:t>
            </w:r>
          </w:p>
        </w:tc>
        <w:tc>
          <w:tcPr>
            <w:tcW w:w="2410" w:type="dxa"/>
            <w:vMerge w:val="continue"/>
            <w:shd w:val="clear" w:color="auto" w:fill="auto"/>
            <w:vAlign w:val="center"/>
          </w:tcPr>
          <w:p w14:paraId="33B86F3C">
            <w:pPr>
              <w:widowControl/>
              <w:jc w:val="left"/>
              <w:rPr>
                <w:rFonts w:ascii="Times New Roman" w:hAnsi="Times New Roman"/>
                <w:szCs w:val="21"/>
              </w:rPr>
            </w:pPr>
          </w:p>
        </w:tc>
        <w:tc>
          <w:tcPr>
            <w:tcW w:w="1267" w:type="dxa"/>
            <w:vMerge w:val="continue"/>
            <w:shd w:val="clear" w:color="auto" w:fill="auto"/>
            <w:vAlign w:val="center"/>
          </w:tcPr>
          <w:p w14:paraId="45900EFD">
            <w:pPr>
              <w:widowControl/>
              <w:jc w:val="center"/>
              <w:rPr>
                <w:rFonts w:ascii="Times New Roman" w:hAnsi="Times New Roman"/>
                <w:szCs w:val="21"/>
              </w:rPr>
            </w:pPr>
          </w:p>
        </w:tc>
      </w:tr>
      <w:tr w14:paraId="71A975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19" w:type="dxa"/>
            <w:vMerge w:val="continue"/>
            <w:shd w:val="clear" w:color="auto" w:fill="auto"/>
            <w:vAlign w:val="center"/>
          </w:tcPr>
          <w:p w14:paraId="6E9EBC32">
            <w:pPr>
              <w:widowControl/>
              <w:jc w:val="center"/>
              <w:rPr>
                <w:rFonts w:ascii="Times New Roman" w:hAnsi="Times New Roman"/>
                <w:szCs w:val="21"/>
              </w:rPr>
            </w:pPr>
          </w:p>
        </w:tc>
        <w:tc>
          <w:tcPr>
            <w:tcW w:w="992" w:type="dxa"/>
            <w:vMerge w:val="continue"/>
            <w:shd w:val="clear" w:color="auto" w:fill="auto"/>
            <w:vAlign w:val="center"/>
          </w:tcPr>
          <w:p w14:paraId="5AA6CDF6">
            <w:pPr>
              <w:widowControl/>
              <w:jc w:val="center"/>
              <w:rPr>
                <w:rFonts w:ascii="Times New Roman" w:hAnsi="Times New Roman"/>
                <w:szCs w:val="21"/>
              </w:rPr>
            </w:pPr>
          </w:p>
        </w:tc>
        <w:tc>
          <w:tcPr>
            <w:tcW w:w="850" w:type="dxa"/>
            <w:shd w:val="clear" w:color="auto" w:fill="auto"/>
            <w:vAlign w:val="center"/>
          </w:tcPr>
          <w:p w14:paraId="4C3843B0">
            <w:pPr>
              <w:widowControl/>
              <w:jc w:val="center"/>
              <w:rPr>
                <w:rFonts w:ascii="Times New Roman" w:hAnsi="Times New Roman"/>
                <w:szCs w:val="21"/>
              </w:rPr>
            </w:pPr>
            <w:r>
              <w:rPr>
                <w:rFonts w:ascii="Times New Roman" w:hAnsi="Times New Roman"/>
                <w:szCs w:val="21"/>
              </w:rPr>
              <w:t>NO</w:t>
            </w:r>
            <w:r>
              <w:rPr>
                <w:rFonts w:ascii="Times New Roman" w:hAnsi="Times New Roman"/>
                <w:szCs w:val="21"/>
                <w:vertAlign w:val="subscript"/>
              </w:rPr>
              <w:t>x</w:t>
            </w:r>
          </w:p>
        </w:tc>
        <w:tc>
          <w:tcPr>
            <w:tcW w:w="1134" w:type="dxa"/>
            <w:shd w:val="clear" w:color="auto" w:fill="auto"/>
            <w:vAlign w:val="center"/>
          </w:tcPr>
          <w:p w14:paraId="2589914E">
            <w:pPr>
              <w:widowControl/>
              <w:jc w:val="center"/>
              <w:rPr>
                <w:rFonts w:ascii="Times New Roman" w:hAnsi="Times New Roman"/>
                <w:szCs w:val="21"/>
                <w:u w:val="single"/>
              </w:rPr>
            </w:pPr>
            <w:r>
              <w:rPr>
                <w:rFonts w:ascii="Times New Roman" w:hAnsi="Times New Roman" w:eastAsia="等线"/>
                <w:szCs w:val="21"/>
                <w:u w:val="single"/>
              </w:rPr>
              <w:t>0.5000</w:t>
            </w:r>
          </w:p>
        </w:tc>
        <w:tc>
          <w:tcPr>
            <w:tcW w:w="992" w:type="dxa"/>
            <w:shd w:val="clear" w:color="auto" w:fill="auto"/>
            <w:vAlign w:val="center"/>
          </w:tcPr>
          <w:p w14:paraId="29981310">
            <w:pPr>
              <w:widowControl/>
              <w:jc w:val="center"/>
              <w:rPr>
                <w:rFonts w:ascii="Times New Roman" w:hAnsi="Times New Roman"/>
                <w:szCs w:val="21"/>
                <w:u w:val="single"/>
              </w:rPr>
            </w:pPr>
            <w:r>
              <w:rPr>
                <w:rFonts w:ascii="Times New Roman" w:hAnsi="Times New Roman" w:eastAsia="等线"/>
                <w:szCs w:val="21"/>
                <w:u w:val="single"/>
              </w:rPr>
              <w:t>2.4000</w:t>
            </w:r>
          </w:p>
        </w:tc>
        <w:tc>
          <w:tcPr>
            <w:tcW w:w="2410" w:type="dxa"/>
            <w:vMerge w:val="continue"/>
            <w:shd w:val="clear" w:color="auto" w:fill="auto"/>
            <w:vAlign w:val="center"/>
          </w:tcPr>
          <w:p w14:paraId="4A20095B">
            <w:pPr>
              <w:widowControl/>
              <w:jc w:val="left"/>
              <w:rPr>
                <w:rFonts w:ascii="Times New Roman" w:hAnsi="Times New Roman"/>
                <w:szCs w:val="21"/>
              </w:rPr>
            </w:pPr>
          </w:p>
        </w:tc>
        <w:tc>
          <w:tcPr>
            <w:tcW w:w="1267" w:type="dxa"/>
            <w:vMerge w:val="continue"/>
            <w:shd w:val="clear" w:color="auto" w:fill="auto"/>
            <w:vAlign w:val="center"/>
          </w:tcPr>
          <w:p w14:paraId="4A13B8E8">
            <w:pPr>
              <w:widowControl/>
              <w:jc w:val="center"/>
              <w:rPr>
                <w:rFonts w:ascii="Times New Roman" w:hAnsi="Times New Roman"/>
                <w:szCs w:val="21"/>
              </w:rPr>
            </w:pPr>
          </w:p>
        </w:tc>
      </w:tr>
      <w:tr w14:paraId="385379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19" w:type="dxa"/>
            <w:shd w:val="clear" w:color="auto" w:fill="auto"/>
            <w:vAlign w:val="center"/>
          </w:tcPr>
          <w:p w14:paraId="0D16F595">
            <w:pPr>
              <w:widowControl/>
              <w:jc w:val="center"/>
              <w:rPr>
                <w:rFonts w:ascii="Times New Roman" w:hAnsi="Times New Roman"/>
                <w:szCs w:val="21"/>
              </w:rPr>
            </w:pPr>
            <w:r>
              <w:rPr>
                <w:rFonts w:hint="eastAsia" w:ascii="Times New Roman" w:hAnsi="Times New Roman"/>
                <w:szCs w:val="21"/>
              </w:rPr>
              <w:t>1#生产车间粉尘</w:t>
            </w:r>
          </w:p>
        </w:tc>
        <w:tc>
          <w:tcPr>
            <w:tcW w:w="992" w:type="dxa"/>
            <w:shd w:val="clear" w:color="auto" w:fill="auto"/>
            <w:vAlign w:val="center"/>
          </w:tcPr>
          <w:p w14:paraId="44D81CD6">
            <w:pPr>
              <w:widowControl/>
              <w:jc w:val="center"/>
              <w:rPr>
                <w:rFonts w:ascii="Times New Roman" w:hAnsi="Times New Roman"/>
                <w:szCs w:val="21"/>
              </w:rPr>
            </w:pPr>
            <w:r>
              <w:rPr>
                <w:rFonts w:ascii="Times New Roman" w:hAnsi="Times New Roman"/>
                <w:szCs w:val="21"/>
              </w:rPr>
              <w:t>有组织</w:t>
            </w:r>
          </w:p>
        </w:tc>
        <w:tc>
          <w:tcPr>
            <w:tcW w:w="850" w:type="dxa"/>
            <w:shd w:val="clear" w:color="auto" w:fill="auto"/>
            <w:vAlign w:val="center"/>
          </w:tcPr>
          <w:p w14:paraId="31D71110">
            <w:pPr>
              <w:widowControl/>
              <w:jc w:val="center"/>
              <w:rPr>
                <w:rFonts w:ascii="Times New Roman" w:hAnsi="Times New Roman"/>
                <w:szCs w:val="21"/>
              </w:rPr>
            </w:pPr>
            <w:r>
              <w:rPr>
                <w:rFonts w:ascii="Times New Roman" w:hAnsi="Times New Roman"/>
                <w:szCs w:val="21"/>
              </w:rPr>
              <w:t>PM</w:t>
            </w:r>
            <w:r>
              <w:rPr>
                <w:rFonts w:ascii="Times New Roman" w:hAnsi="Times New Roman"/>
                <w:szCs w:val="21"/>
                <w:vertAlign w:val="subscript"/>
              </w:rPr>
              <w:t>10</w:t>
            </w:r>
          </w:p>
        </w:tc>
        <w:tc>
          <w:tcPr>
            <w:tcW w:w="1134" w:type="dxa"/>
            <w:shd w:val="clear" w:color="auto" w:fill="auto"/>
            <w:vAlign w:val="center"/>
          </w:tcPr>
          <w:p w14:paraId="22B66C0E">
            <w:pPr>
              <w:widowControl/>
              <w:jc w:val="center"/>
              <w:rPr>
                <w:rFonts w:ascii="Times New Roman" w:hAnsi="Times New Roman"/>
                <w:kern w:val="0"/>
                <w:szCs w:val="21"/>
                <w:u w:val="single"/>
              </w:rPr>
            </w:pPr>
            <w:r>
              <w:rPr>
                <w:rFonts w:ascii="Times New Roman" w:hAnsi="Times New Roman" w:eastAsia="等线"/>
                <w:szCs w:val="21"/>
                <w:u w:val="single"/>
              </w:rPr>
              <w:t>0.0013</w:t>
            </w:r>
          </w:p>
        </w:tc>
        <w:tc>
          <w:tcPr>
            <w:tcW w:w="992" w:type="dxa"/>
            <w:shd w:val="clear" w:color="auto" w:fill="auto"/>
            <w:vAlign w:val="center"/>
          </w:tcPr>
          <w:p w14:paraId="4B5C1560">
            <w:pPr>
              <w:widowControl/>
              <w:jc w:val="center"/>
              <w:rPr>
                <w:rFonts w:ascii="Times New Roman" w:hAnsi="Times New Roman"/>
                <w:kern w:val="0"/>
                <w:szCs w:val="21"/>
                <w:u w:val="single"/>
              </w:rPr>
            </w:pPr>
            <w:r>
              <w:rPr>
                <w:rFonts w:ascii="Times New Roman" w:hAnsi="Times New Roman" w:eastAsia="等线"/>
                <w:szCs w:val="21"/>
                <w:u w:val="single"/>
              </w:rPr>
              <w:t>0.0062</w:t>
            </w:r>
          </w:p>
        </w:tc>
        <w:tc>
          <w:tcPr>
            <w:tcW w:w="2410" w:type="dxa"/>
            <w:shd w:val="clear" w:color="auto" w:fill="auto"/>
            <w:vAlign w:val="center"/>
          </w:tcPr>
          <w:p w14:paraId="26ACD7DF">
            <w:pPr>
              <w:widowControl/>
              <w:jc w:val="left"/>
              <w:rPr>
                <w:rFonts w:ascii="Times New Roman" w:hAnsi="Times New Roman"/>
                <w:szCs w:val="21"/>
                <w:u w:val="single"/>
              </w:rPr>
            </w:pPr>
            <w:r>
              <w:rPr>
                <w:rFonts w:ascii="Times New Roman" w:hAnsi="Times New Roman"/>
                <w:szCs w:val="21"/>
                <w:u w:val="single"/>
              </w:rPr>
              <w:t>烘干机进出料口集气罩+袋式除尘+1</w:t>
            </w:r>
            <w:r>
              <w:rPr>
                <w:rFonts w:hint="eastAsia" w:ascii="Times New Roman" w:hAnsi="Times New Roman"/>
                <w:szCs w:val="21"/>
                <w:u w:val="single"/>
              </w:rPr>
              <w:t>9</w:t>
            </w:r>
            <w:r>
              <w:rPr>
                <w:rFonts w:ascii="Times New Roman" w:hAnsi="Times New Roman"/>
                <w:szCs w:val="21"/>
                <w:u w:val="single"/>
              </w:rPr>
              <w:t>m排气筒</w:t>
            </w:r>
          </w:p>
        </w:tc>
        <w:tc>
          <w:tcPr>
            <w:tcW w:w="1267" w:type="dxa"/>
            <w:shd w:val="clear" w:color="auto" w:fill="auto"/>
            <w:vAlign w:val="center"/>
          </w:tcPr>
          <w:p w14:paraId="4FE2513D">
            <w:pPr>
              <w:widowControl/>
              <w:jc w:val="center"/>
              <w:rPr>
                <w:rFonts w:ascii="Times New Roman" w:hAnsi="Times New Roman"/>
                <w:szCs w:val="21"/>
              </w:rPr>
            </w:pPr>
            <w:r>
              <w:rPr>
                <w:rFonts w:ascii="Times New Roman" w:hAnsi="Times New Roman"/>
                <w:szCs w:val="21"/>
              </w:rPr>
              <w:t>DA00</w:t>
            </w:r>
            <w:r>
              <w:rPr>
                <w:rFonts w:hint="eastAsia" w:ascii="Times New Roman" w:hAnsi="Times New Roman"/>
                <w:szCs w:val="21"/>
              </w:rPr>
              <w:t>2</w:t>
            </w:r>
          </w:p>
        </w:tc>
      </w:tr>
      <w:tr w14:paraId="2308EB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19" w:type="dxa"/>
            <w:shd w:val="clear" w:color="auto" w:fill="auto"/>
            <w:vAlign w:val="center"/>
          </w:tcPr>
          <w:p w14:paraId="7559185B">
            <w:pPr>
              <w:widowControl/>
              <w:jc w:val="center"/>
              <w:rPr>
                <w:rFonts w:ascii="Times New Roman" w:hAnsi="Times New Roman"/>
                <w:szCs w:val="21"/>
              </w:rPr>
            </w:pPr>
            <w:r>
              <w:rPr>
                <w:rFonts w:hint="eastAsia" w:ascii="Times New Roman" w:hAnsi="Times New Roman"/>
                <w:szCs w:val="21"/>
              </w:rPr>
              <w:t>2#生产车间粉尘</w:t>
            </w:r>
          </w:p>
        </w:tc>
        <w:tc>
          <w:tcPr>
            <w:tcW w:w="992" w:type="dxa"/>
            <w:shd w:val="clear" w:color="auto" w:fill="auto"/>
            <w:vAlign w:val="center"/>
          </w:tcPr>
          <w:p w14:paraId="76085351">
            <w:pPr>
              <w:widowControl/>
              <w:jc w:val="center"/>
              <w:rPr>
                <w:rFonts w:ascii="Times New Roman" w:hAnsi="Times New Roman"/>
                <w:szCs w:val="21"/>
              </w:rPr>
            </w:pPr>
            <w:r>
              <w:rPr>
                <w:rFonts w:ascii="Times New Roman" w:hAnsi="Times New Roman"/>
                <w:szCs w:val="21"/>
              </w:rPr>
              <w:t>有组织</w:t>
            </w:r>
          </w:p>
        </w:tc>
        <w:tc>
          <w:tcPr>
            <w:tcW w:w="850" w:type="dxa"/>
            <w:shd w:val="clear" w:color="auto" w:fill="auto"/>
            <w:vAlign w:val="center"/>
          </w:tcPr>
          <w:p w14:paraId="387138CC">
            <w:pPr>
              <w:widowControl/>
              <w:jc w:val="center"/>
              <w:rPr>
                <w:rFonts w:ascii="Times New Roman" w:hAnsi="Times New Roman"/>
                <w:szCs w:val="21"/>
              </w:rPr>
            </w:pPr>
            <w:r>
              <w:rPr>
                <w:rFonts w:ascii="Times New Roman" w:hAnsi="Times New Roman"/>
                <w:szCs w:val="21"/>
              </w:rPr>
              <w:t>PM</w:t>
            </w:r>
            <w:r>
              <w:rPr>
                <w:rFonts w:ascii="Times New Roman" w:hAnsi="Times New Roman"/>
                <w:szCs w:val="21"/>
                <w:vertAlign w:val="subscript"/>
              </w:rPr>
              <w:t>10</w:t>
            </w:r>
          </w:p>
        </w:tc>
        <w:tc>
          <w:tcPr>
            <w:tcW w:w="1134" w:type="dxa"/>
            <w:shd w:val="clear" w:color="auto" w:fill="auto"/>
            <w:vAlign w:val="center"/>
          </w:tcPr>
          <w:p w14:paraId="6A9CB303">
            <w:pPr>
              <w:widowControl/>
              <w:jc w:val="center"/>
              <w:rPr>
                <w:rFonts w:ascii="Times New Roman" w:hAnsi="Times New Roman"/>
                <w:kern w:val="0"/>
                <w:szCs w:val="21"/>
                <w:u w:val="single"/>
              </w:rPr>
            </w:pPr>
            <w:r>
              <w:rPr>
                <w:rFonts w:ascii="Times New Roman" w:hAnsi="Times New Roman" w:eastAsia="等线"/>
                <w:szCs w:val="21"/>
                <w:u w:val="single"/>
              </w:rPr>
              <w:t>0.0017</w:t>
            </w:r>
          </w:p>
        </w:tc>
        <w:tc>
          <w:tcPr>
            <w:tcW w:w="992" w:type="dxa"/>
            <w:shd w:val="clear" w:color="auto" w:fill="auto"/>
            <w:vAlign w:val="center"/>
          </w:tcPr>
          <w:p w14:paraId="188C702E">
            <w:pPr>
              <w:widowControl/>
              <w:jc w:val="center"/>
              <w:rPr>
                <w:rFonts w:ascii="Times New Roman" w:hAnsi="Times New Roman"/>
                <w:kern w:val="0"/>
                <w:szCs w:val="21"/>
                <w:u w:val="single"/>
              </w:rPr>
            </w:pPr>
            <w:r>
              <w:rPr>
                <w:rFonts w:ascii="Times New Roman" w:hAnsi="Times New Roman" w:eastAsia="等线"/>
                <w:szCs w:val="21"/>
                <w:u w:val="single"/>
              </w:rPr>
              <w:t>0.0080</w:t>
            </w:r>
          </w:p>
        </w:tc>
        <w:tc>
          <w:tcPr>
            <w:tcW w:w="2410" w:type="dxa"/>
            <w:shd w:val="clear" w:color="auto" w:fill="auto"/>
            <w:vAlign w:val="center"/>
          </w:tcPr>
          <w:p w14:paraId="5EB85260">
            <w:pPr>
              <w:widowControl/>
              <w:jc w:val="left"/>
              <w:rPr>
                <w:rFonts w:ascii="Times New Roman" w:hAnsi="Times New Roman"/>
                <w:szCs w:val="21"/>
                <w:u w:val="single"/>
              </w:rPr>
            </w:pPr>
            <w:r>
              <w:rPr>
                <w:rFonts w:ascii="Times New Roman" w:hAnsi="Times New Roman"/>
                <w:szCs w:val="21"/>
                <w:u w:val="single"/>
              </w:rPr>
              <w:t>磁选机进出料口集气罩+袋式除尘+1</w:t>
            </w:r>
            <w:r>
              <w:rPr>
                <w:rFonts w:hint="eastAsia" w:ascii="Times New Roman" w:hAnsi="Times New Roman"/>
                <w:szCs w:val="21"/>
                <w:u w:val="single"/>
              </w:rPr>
              <w:t>9</w:t>
            </w:r>
            <w:r>
              <w:rPr>
                <w:rFonts w:ascii="Times New Roman" w:hAnsi="Times New Roman"/>
                <w:szCs w:val="21"/>
                <w:u w:val="single"/>
              </w:rPr>
              <w:t>m排气筒</w:t>
            </w:r>
          </w:p>
        </w:tc>
        <w:tc>
          <w:tcPr>
            <w:tcW w:w="1267" w:type="dxa"/>
            <w:shd w:val="clear" w:color="auto" w:fill="auto"/>
            <w:vAlign w:val="center"/>
          </w:tcPr>
          <w:p w14:paraId="603D1985">
            <w:pPr>
              <w:widowControl/>
              <w:jc w:val="center"/>
              <w:rPr>
                <w:rFonts w:ascii="Times New Roman" w:hAnsi="Times New Roman"/>
                <w:szCs w:val="21"/>
              </w:rPr>
            </w:pPr>
            <w:r>
              <w:rPr>
                <w:rFonts w:ascii="Times New Roman" w:hAnsi="Times New Roman"/>
                <w:szCs w:val="21"/>
              </w:rPr>
              <w:t>DA00</w:t>
            </w:r>
            <w:r>
              <w:rPr>
                <w:rFonts w:hint="eastAsia" w:ascii="Times New Roman" w:hAnsi="Times New Roman"/>
                <w:szCs w:val="21"/>
              </w:rPr>
              <w:t>3</w:t>
            </w:r>
          </w:p>
        </w:tc>
      </w:tr>
      <w:tr w14:paraId="2285BF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19" w:type="dxa"/>
            <w:shd w:val="clear" w:color="auto" w:fill="auto"/>
            <w:vAlign w:val="center"/>
          </w:tcPr>
          <w:p w14:paraId="2846C01E">
            <w:pPr>
              <w:widowControl/>
              <w:jc w:val="center"/>
              <w:rPr>
                <w:rFonts w:ascii="Times New Roman" w:hAnsi="Times New Roman"/>
                <w:szCs w:val="21"/>
              </w:rPr>
            </w:pPr>
            <w:r>
              <w:rPr>
                <w:rFonts w:hint="eastAsia" w:ascii="Times New Roman" w:hAnsi="Times New Roman"/>
                <w:szCs w:val="21"/>
              </w:rPr>
              <w:t>生产车间粉尘</w:t>
            </w:r>
          </w:p>
        </w:tc>
        <w:tc>
          <w:tcPr>
            <w:tcW w:w="992" w:type="dxa"/>
            <w:shd w:val="clear" w:color="auto" w:fill="auto"/>
            <w:vAlign w:val="center"/>
          </w:tcPr>
          <w:p w14:paraId="3D44F812">
            <w:pPr>
              <w:widowControl/>
              <w:jc w:val="center"/>
              <w:rPr>
                <w:rFonts w:ascii="Times New Roman" w:hAnsi="Times New Roman"/>
                <w:szCs w:val="21"/>
              </w:rPr>
            </w:pPr>
            <w:r>
              <w:rPr>
                <w:rFonts w:hint="eastAsia" w:ascii="Times New Roman" w:hAnsi="Times New Roman"/>
                <w:szCs w:val="21"/>
              </w:rPr>
              <w:t>无组织</w:t>
            </w:r>
          </w:p>
        </w:tc>
        <w:tc>
          <w:tcPr>
            <w:tcW w:w="850" w:type="dxa"/>
            <w:shd w:val="clear" w:color="auto" w:fill="auto"/>
            <w:vAlign w:val="center"/>
          </w:tcPr>
          <w:p w14:paraId="19ED94B9">
            <w:pPr>
              <w:widowControl/>
              <w:jc w:val="center"/>
              <w:rPr>
                <w:rFonts w:ascii="Times New Roman" w:hAnsi="Times New Roman"/>
                <w:szCs w:val="21"/>
              </w:rPr>
            </w:pPr>
            <w:r>
              <w:rPr>
                <w:rFonts w:ascii="Times New Roman" w:hAnsi="Times New Roman"/>
                <w:szCs w:val="21"/>
              </w:rPr>
              <w:t>TSP</w:t>
            </w:r>
          </w:p>
        </w:tc>
        <w:tc>
          <w:tcPr>
            <w:tcW w:w="1134" w:type="dxa"/>
            <w:shd w:val="clear" w:color="auto" w:fill="auto"/>
            <w:vAlign w:val="center"/>
          </w:tcPr>
          <w:p w14:paraId="4A6F29F0">
            <w:pPr>
              <w:widowControl/>
              <w:jc w:val="center"/>
              <w:rPr>
                <w:rFonts w:ascii="Times New Roman" w:hAnsi="Times New Roman"/>
                <w:kern w:val="0"/>
                <w:szCs w:val="21"/>
                <w:u w:val="single"/>
              </w:rPr>
            </w:pPr>
            <w:r>
              <w:rPr>
                <w:rFonts w:ascii="Times New Roman" w:hAnsi="Times New Roman" w:eastAsia="等线"/>
                <w:szCs w:val="21"/>
                <w:u w:val="single"/>
              </w:rPr>
              <w:t>0.1054</w:t>
            </w:r>
          </w:p>
        </w:tc>
        <w:tc>
          <w:tcPr>
            <w:tcW w:w="992" w:type="dxa"/>
            <w:shd w:val="clear" w:color="auto" w:fill="auto"/>
            <w:vAlign w:val="center"/>
          </w:tcPr>
          <w:p w14:paraId="25A8C6E3">
            <w:pPr>
              <w:widowControl/>
              <w:jc w:val="center"/>
              <w:rPr>
                <w:rFonts w:ascii="Times New Roman" w:hAnsi="Times New Roman"/>
                <w:kern w:val="0"/>
                <w:szCs w:val="21"/>
                <w:u w:val="single"/>
              </w:rPr>
            </w:pPr>
            <w:r>
              <w:rPr>
                <w:rFonts w:ascii="Times New Roman" w:hAnsi="Times New Roman" w:eastAsia="等线"/>
                <w:szCs w:val="21"/>
                <w:u w:val="single"/>
              </w:rPr>
              <w:t>0.5061</w:t>
            </w:r>
          </w:p>
        </w:tc>
        <w:tc>
          <w:tcPr>
            <w:tcW w:w="2410" w:type="dxa"/>
            <w:shd w:val="clear" w:color="auto" w:fill="auto"/>
            <w:vAlign w:val="center"/>
          </w:tcPr>
          <w:p w14:paraId="56E2BF1E">
            <w:pPr>
              <w:widowControl/>
              <w:jc w:val="left"/>
              <w:rPr>
                <w:rFonts w:ascii="Times New Roman" w:hAnsi="Times New Roman"/>
                <w:szCs w:val="21"/>
                <w:u w:val="single"/>
              </w:rPr>
            </w:pPr>
            <w:r>
              <w:rPr>
                <w:rFonts w:hint="eastAsia" w:ascii="Times New Roman" w:hAnsi="Times New Roman"/>
                <w:szCs w:val="21"/>
                <w:u w:val="single"/>
              </w:rPr>
              <w:t>封闭式厂房+封闭环境内装卸作业+水雾喷淋</w:t>
            </w:r>
          </w:p>
        </w:tc>
        <w:tc>
          <w:tcPr>
            <w:tcW w:w="1267" w:type="dxa"/>
            <w:shd w:val="clear" w:color="auto" w:fill="auto"/>
            <w:vAlign w:val="center"/>
          </w:tcPr>
          <w:p w14:paraId="53CAB4C5">
            <w:pPr>
              <w:widowControl/>
              <w:jc w:val="center"/>
              <w:rPr>
                <w:rFonts w:ascii="Times New Roman" w:hAnsi="Times New Roman"/>
                <w:szCs w:val="21"/>
              </w:rPr>
            </w:pPr>
            <w:r>
              <w:rPr>
                <w:rFonts w:hint="eastAsia" w:ascii="Times New Roman" w:hAnsi="Times New Roman"/>
                <w:szCs w:val="21"/>
              </w:rPr>
              <w:t>/</w:t>
            </w:r>
          </w:p>
        </w:tc>
      </w:tr>
      <w:tr w14:paraId="1AF30C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19" w:type="dxa"/>
            <w:shd w:val="clear" w:color="auto" w:fill="auto"/>
            <w:vAlign w:val="center"/>
          </w:tcPr>
          <w:p w14:paraId="000B0571">
            <w:pPr>
              <w:widowControl/>
              <w:jc w:val="center"/>
              <w:rPr>
                <w:rFonts w:ascii="Times New Roman" w:hAnsi="Times New Roman"/>
                <w:szCs w:val="21"/>
              </w:rPr>
            </w:pPr>
            <w:r>
              <w:rPr>
                <w:rFonts w:ascii="Times New Roman" w:hAnsi="Times New Roman"/>
                <w:szCs w:val="21"/>
              </w:rPr>
              <w:t>物料运输</w:t>
            </w:r>
          </w:p>
        </w:tc>
        <w:tc>
          <w:tcPr>
            <w:tcW w:w="992" w:type="dxa"/>
            <w:shd w:val="clear" w:color="auto" w:fill="auto"/>
            <w:vAlign w:val="center"/>
          </w:tcPr>
          <w:p w14:paraId="41DC6B6F">
            <w:pPr>
              <w:widowControl/>
              <w:jc w:val="center"/>
              <w:rPr>
                <w:rFonts w:ascii="Times New Roman" w:hAnsi="Times New Roman"/>
                <w:szCs w:val="21"/>
              </w:rPr>
            </w:pPr>
            <w:r>
              <w:rPr>
                <w:rFonts w:ascii="Times New Roman" w:hAnsi="Times New Roman"/>
                <w:szCs w:val="21"/>
              </w:rPr>
              <w:t>无组织</w:t>
            </w:r>
          </w:p>
        </w:tc>
        <w:tc>
          <w:tcPr>
            <w:tcW w:w="850" w:type="dxa"/>
            <w:shd w:val="clear" w:color="auto" w:fill="auto"/>
            <w:vAlign w:val="center"/>
          </w:tcPr>
          <w:p w14:paraId="401261AF">
            <w:pPr>
              <w:widowControl/>
              <w:jc w:val="center"/>
              <w:rPr>
                <w:rFonts w:ascii="Times New Roman" w:hAnsi="Times New Roman"/>
                <w:szCs w:val="21"/>
              </w:rPr>
            </w:pPr>
            <w:r>
              <w:rPr>
                <w:rFonts w:ascii="Times New Roman" w:hAnsi="Times New Roman"/>
                <w:szCs w:val="21"/>
              </w:rPr>
              <w:t>TSP</w:t>
            </w:r>
          </w:p>
        </w:tc>
        <w:tc>
          <w:tcPr>
            <w:tcW w:w="1134" w:type="dxa"/>
            <w:shd w:val="clear" w:color="auto" w:fill="auto"/>
            <w:vAlign w:val="center"/>
          </w:tcPr>
          <w:p w14:paraId="1C3A4E51">
            <w:pPr>
              <w:widowControl/>
              <w:jc w:val="center"/>
              <w:rPr>
                <w:rFonts w:ascii="Times New Roman" w:hAnsi="Times New Roman"/>
                <w:kern w:val="0"/>
                <w:szCs w:val="21"/>
                <w:u w:val="single"/>
              </w:rPr>
            </w:pPr>
            <w:r>
              <w:rPr>
                <w:rFonts w:hint="eastAsia" w:ascii="Times New Roman" w:hAnsi="Times New Roman"/>
                <w:kern w:val="0"/>
                <w:szCs w:val="21"/>
                <w:u w:val="single"/>
              </w:rPr>
              <w:t>0.0299</w:t>
            </w:r>
          </w:p>
        </w:tc>
        <w:tc>
          <w:tcPr>
            <w:tcW w:w="992" w:type="dxa"/>
            <w:shd w:val="clear" w:color="auto" w:fill="auto"/>
            <w:vAlign w:val="center"/>
          </w:tcPr>
          <w:p w14:paraId="03DB47CE">
            <w:pPr>
              <w:widowControl/>
              <w:jc w:val="center"/>
              <w:rPr>
                <w:rFonts w:ascii="Times New Roman" w:hAnsi="Times New Roman"/>
                <w:kern w:val="0"/>
                <w:szCs w:val="21"/>
                <w:u w:val="single"/>
              </w:rPr>
            </w:pPr>
            <w:r>
              <w:rPr>
                <w:rFonts w:ascii="Times New Roman" w:hAnsi="Times New Roman"/>
                <w:kern w:val="0"/>
                <w:szCs w:val="21"/>
                <w:u w:val="single"/>
              </w:rPr>
              <w:t>0</w:t>
            </w:r>
            <w:r>
              <w:rPr>
                <w:rFonts w:hint="eastAsia" w:ascii="Times New Roman" w:hAnsi="Times New Roman"/>
                <w:kern w:val="0"/>
                <w:szCs w:val="21"/>
                <w:u w:val="single"/>
              </w:rPr>
              <w:t>.1435</w:t>
            </w:r>
          </w:p>
        </w:tc>
        <w:tc>
          <w:tcPr>
            <w:tcW w:w="2410" w:type="dxa"/>
            <w:shd w:val="clear" w:color="auto" w:fill="auto"/>
            <w:vAlign w:val="center"/>
          </w:tcPr>
          <w:p w14:paraId="0E5E5D2A">
            <w:pPr>
              <w:widowControl/>
              <w:jc w:val="left"/>
              <w:rPr>
                <w:rFonts w:ascii="Times New Roman" w:hAnsi="Times New Roman"/>
                <w:szCs w:val="21"/>
              </w:rPr>
            </w:pPr>
            <w:r>
              <w:rPr>
                <w:rFonts w:hint="eastAsia" w:ascii="Times New Roman" w:hAnsi="Times New Roman"/>
                <w:szCs w:val="21"/>
              </w:rPr>
              <w:t>篷布覆盖，运输期间</w:t>
            </w:r>
            <w:r>
              <w:rPr>
                <w:rFonts w:ascii="Times New Roman" w:hAnsi="Times New Roman"/>
                <w:szCs w:val="21"/>
              </w:rPr>
              <w:t>定期洒水，每天2次</w:t>
            </w:r>
          </w:p>
        </w:tc>
        <w:tc>
          <w:tcPr>
            <w:tcW w:w="1267" w:type="dxa"/>
            <w:shd w:val="clear" w:color="auto" w:fill="auto"/>
            <w:vAlign w:val="center"/>
          </w:tcPr>
          <w:p w14:paraId="5528D7FE">
            <w:pPr>
              <w:widowControl/>
              <w:jc w:val="center"/>
              <w:rPr>
                <w:rFonts w:ascii="Times New Roman" w:hAnsi="Times New Roman"/>
                <w:szCs w:val="21"/>
              </w:rPr>
            </w:pPr>
            <w:r>
              <w:rPr>
                <w:rFonts w:ascii="Times New Roman" w:hAnsi="Times New Roman"/>
                <w:szCs w:val="21"/>
              </w:rPr>
              <w:t>/</w:t>
            </w:r>
          </w:p>
        </w:tc>
      </w:tr>
    </w:tbl>
    <w:p w14:paraId="7942EDC1">
      <w:pPr>
        <w:snapToGrid w:val="0"/>
        <w:spacing w:line="360" w:lineRule="auto"/>
        <w:ind w:firstLine="420" w:firstLineChars="200"/>
      </w:pPr>
    </w:p>
    <w:p w14:paraId="17A7FE46">
      <w:pPr>
        <w:pStyle w:val="6"/>
        <w:numPr>
          <w:ilvl w:val="2"/>
          <w:numId w:val="3"/>
        </w:numPr>
      </w:pPr>
      <w:r>
        <w:t>水污染源分析</w:t>
      </w:r>
    </w:p>
    <w:p w14:paraId="22D29255">
      <w:pPr>
        <w:snapToGri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（1）生活污水</w:t>
      </w:r>
    </w:p>
    <w:p w14:paraId="034484A0">
      <w:pPr>
        <w:snapToGri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本项目采用干式磁选工艺对原料进行分选加工，原料毛矿无需进行清洗，生产过程中无需用水，毛矿</w:t>
      </w:r>
      <w:r>
        <w:rPr>
          <w:rFonts w:hint="eastAsia" w:ascii="Times New Roman" w:hAnsi="Times New Roman"/>
          <w:spacing w:val="-2"/>
          <w:kern w:val="0"/>
          <w:sz w:val="24"/>
          <w:szCs w:val="24"/>
        </w:rPr>
        <w:t>中的水分经</w:t>
      </w:r>
      <w:r>
        <w:rPr>
          <w:rFonts w:ascii="Times New Roman" w:hAnsi="Times New Roman"/>
          <w:spacing w:val="-2"/>
          <w:kern w:val="0"/>
          <w:sz w:val="24"/>
          <w:szCs w:val="24"/>
        </w:rPr>
        <w:t>烘干后</w:t>
      </w:r>
      <w:r>
        <w:rPr>
          <w:rFonts w:hint="eastAsia" w:ascii="Times New Roman" w:hAnsi="Times New Roman"/>
          <w:spacing w:val="-2"/>
          <w:kern w:val="0"/>
          <w:sz w:val="24"/>
          <w:szCs w:val="24"/>
        </w:rPr>
        <w:t>以</w:t>
      </w:r>
      <w:r>
        <w:rPr>
          <w:rFonts w:ascii="Times New Roman" w:hAnsi="Times New Roman"/>
          <w:spacing w:val="-2"/>
          <w:kern w:val="0"/>
          <w:sz w:val="24"/>
          <w:szCs w:val="24"/>
        </w:rPr>
        <w:t>水分蒸</w:t>
      </w:r>
      <w:r>
        <w:rPr>
          <w:rFonts w:hint="eastAsia" w:ascii="Times New Roman" w:hAnsi="Times New Roman"/>
          <w:spacing w:val="-2"/>
          <w:kern w:val="0"/>
          <w:sz w:val="24"/>
          <w:szCs w:val="24"/>
        </w:rPr>
        <w:t>的形式蒸发至</w:t>
      </w:r>
      <w:r>
        <w:rPr>
          <w:rFonts w:ascii="Times New Roman" w:hAnsi="Times New Roman"/>
          <w:spacing w:val="-2"/>
          <w:kern w:val="0"/>
          <w:sz w:val="24"/>
          <w:szCs w:val="24"/>
        </w:rPr>
        <w:t>空气中</w:t>
      </w:r>
      <w:r>
        <w:rPr>
          <w:rFonts w:hint="eastAsia" w:ascii="Times New Roman" w:hAnsi="Times New Roman"/>
          <w:spacing w:val="-2"/>
          <w:kern w:val="0"/>
          <w:sz w:val="24"/>
          <w:szCs w:val="24"/>
        </w:rPr>
        <w:t>；项目的</w:t>
      </w:r>
      <w:r>
        <w:rPr>
          <w:rFonts w:ascii="Times New Roman" w:hAnsi="Times New Roman"/>
          <w:spacing w:val="-2"/>
          <w:kern w:val="0"/>
          <w:sz w:val="24"/>
          <w:szCs w:val="24"/>
        </w:rPr>
        <w:t>原料</w:t>
      </w:r>
      <w:r>
        <w:rPr>
          <w:rFonts w:hint="eastAsia" w:ascii="Times New Roman" w:hAnsi="Times New Roman"/>
          <w:spacing w:val="-2"/>
          <w:kern w:val="0"/>
          <w:sz w:val="24"/>
          <w:szCs w:val="24"/>
        </w:rPr>
        <w:t>、产品、副产品等物料</w:t>
      </w:r>
      <w:r>
        <w:rPr>
          <w:rFonts w:ascii="Times New Roman" w:hAnsi="Times New Roman"/>
          <w:spacing w:val="-2"/>
          <w:kern w:val="0"/>
          <w:sz w:val="24"/>
          <w:szCs w:val="24"/>
        </w:rPr>
        <w:t>均存放于厂房内，在堆存过程中也不产生渗滤液。项目运营期的用水主要是工作人员工作期间的生活用水。</w:t>
      </w:r>
    </w:p>
    <w:p w14:paraId="76A09503">
      <w:pPr>
        <w:snapToGri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项目劳动定员10人，员工均不在厂内住宿，厂内不设置食堂宿舍等，生活用水参照《室外排水设计规范》（GB50014-2006）办公额定用水量</w:t>
      </w:r>
      <w:r>
        <w:rPr>
          <w:rFonts w:hint="eastAsia" w:ascii="Times New Roman" w:hAnsi="Times New Roman"/>
          <w:spacing w:val="-2"/>
          <w:kern w:val="0"/>
          <w:sz w:val="24"/>
          <w:szCs w:val="24"/>
        </w:rPr>
        <w:t>，</w:t>
      </w:r>
      <w:r>
        <w:rPr>
          <w:rFonts w:ascii="Times New Roman" w:hAnsi="Times New Roman"/>
          <w:spacing w:val="-2"/>
          <w:kern w:val="0"/>
          <w:sz w:val="24"/>
          <w:szCs w:val="24"/>
        </w:rPr>
        <w:t>按每人每天用水50L计算，</w:t>
      </w:r>
      <w:r>
        <w:rPr>
          <w:rFonts w:hint="eastAsia" w:ascii="Times New Roman" w:hAnsi="Times New Roman"/>
          <w:spacing w:val="-2"/>
          <w:kern w:val="0"/>
          <w:sz w:val="24"/>
          <w:szCs w:val="24"/>
        </w:rPr>
        <w:t>项目</w:t>
      </w:r>
      <w:r>
        <w:rPr>
          <w:rFonts w:ascii="Times New Roman" w:hAnsi="Times New Roman"/>
          <w:spacing w:val="-2"/>
          <w:kern w:val="0"/>
          <w:sz w:val="24"/>
          <w:szCs w:val="24"/>
        </w:rPr>
        <w:t>年工作300天，生活用水量为150m</w:t>
      </w:r>
      <w:r>
        <w:rPr>
          <w:rFonts w:ascii="Times New Roman" w:hAnsi="Times New Roman"/>
          <w:spacing w:val="-2"/>
          <w:kern w:val="0"/>
          <w:sz w:val="24"/>
          <w:szCs w:val="24"/>
          <w:vertAlign w:val="superscript"/>
        </w:rPr>
        <w:t>3</w:t>
      </w:r>
      <w:r>
        <w:rPr>
          <w:rFonts w:ascii="Times New Roman" w:hAnsi="Times New Roman"/>
          <w:spacing w:val="-2"/>
          <w:kern w:val="0"/>
          <w:sz w:val="24"/>
          <w:szCs w:val="24"/>
        </w:rPr>
        <w:t>/a。生活污水量按用水量的80%计，则员工生活污水量为120m</w:t>
      </w:r>
      <w:r>
        <w:rPr>
          <w:rFonts w:ascii="Times New Roman" w:hAnsi="Times New Roman"/>
          <w:spacing w:val="-2"/>
          <w:kern w:val="0"/>
          <w:sz w:val="24"/>
          <w:szCs w:val="24"/>
          <w:vertAlign w:val="superscript"/>
        </w:rPr>
        <w:t>3</w:t>
      </w:r>
      <w:r>
        <w:rPr>
          <w:rFonts w:ascii="Times New Roman" w:hAnsi="Times New Roman"/>
          <w:spacing w:val="-2"/>
          <w:kern w:val="0"/>
          <w:sz w:val="24"/>
          <w:szCs w:val="24"/>
        </w:rPr>
        <w:t>/a，主要污染物为COD、BOD</w:t>
      </w:r>
      <w:r>
        <w:rPr>
          <w:rFonts w:ascii="Times New Roman" w:hAnsi="Times New Roman"/>
          <w:spacing w:val="-2"/>
          <w:kern w:val="0"/>
          <w:sz w:val="24"/>
          <w:szCs w:val="24"/>
          <w:vertAlign w:val="subscript"/>
        </w:rPr>
        <w:t>5</w:t>
      </w:r>
      <w:r>
        <w:rPr>
          <w:rFonts w:ascii="Times New Roman" w:hAnsi="Times New Roman"/>
          <w:spacing w:val="-2"/>
          <w:kern w:val="0"/>
          <w:sz w:val="24"/>
          <w:szCs w:val="24"/>
        </w:rPr>
        <w:t>、SS、NH</w:t>
      </w:r>
      <w:r>
        <w:rPr>
          <w:rFonts w:ascii="Times New Roman" w:hAnsi="Times New Roman"/>
          <w:spacing w:val="-2"/>
          <w:kern w:val="0"/>
          <w:sz w:val="24"/>
          <w:szCs w:val="24"/>
          <w:vertAlign w:val="subscript"/>
        </w:rPr>
        <w:t>3</w:t>
      </w:r>
      <w:r>
        <w:rPr>
          <w:rFonts w:ascii="Times New Roman" w:hAnsi="Times New Roman"/>
          <w:spacing w:val="-2"/>
          <w:kern w:val="0"/>
          <w:sz w:val="24"/>
          <w:szCs w:val="24"/>
        </w:rPr>
        <w:t>-N等。生活污水采用化粪池处理达到《污水综合排放标准》（GB8978-1996）三级标准</w:t>
      </w:r>
      <w:r>
        <w:rPr>
          <w:rFonts w:hint="eastAsia" w:ascii="Times New Roman" w:hAnsi="Times New Roman"/>
          <w:spacing w:val="-2"/>
          <w:kern w:val="0"/>
          <w:sz w:val="24"/>
          <w:szCs w:val="24"/>
          <w:u w:val="single"/>
        </w:rPr>
        <w:t>及钦州港大榄坪污水处理厂进水浓度指标</w:t>
      </w:r>
      <w:r>
        <w:rPr>
          <w:rFonts w:ascii="Times New Roman" w:hAnsi="Times New Roman"/>
          <w:spacing w:val="-2"/>
          <w:kern w:val="0"/>
          <w:sz w:val="24"/>
          <w:szCs w:val="24"/>
          <w:u w:val="single"/>
        </w:rPr>
        <w:t>后</w:t>
      </w:r>
      <w:r>
        <w:rPr>
          <w:rFonts w:hint="eastAsia" w:ascii="Times New Roman" w:hAnsi="Times New Roman"/>
          <w:spacing w:val="-2"/>
          <w:kern w:val="0"/>
          <w:sz w:val="24"/>
          <w:szCs w:val="24"/>
          <w:u w:val="single"/>
        </w:rPr>
        <w:t>，</w:t>
      </w:r>
      <w:r>
        <w:rPr>
          <w:rFonts w:ascii="Times New Roman" w:hAnsi="Times New Roman"/>
          <w:spacing w:val="-2"/>
          <w:kern w:val="0"/>
          <w:sz w:val="24"/>
          <w:szCs w:val="24"/>
        </w:rPr>
        <w:t>排入市政污水管网送钦州港大榄坪污水处理厂进一步处理。</w:t>
      </w:r>
    </w:p>
    <w:p w14:paraId="0981785A">
      <w:pPr>
        <w:snapToGrid w:val="0"/>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项目生活污水产生浓度参考宋丽丽，罗勇等《生活污水中BOD</w:t>
      </w:r>
      <w:r>
        <w:rPr>
          <w:rFonts w:hint="eastAsia" w:ascii="Times New Roman" w:hAnsi="Times New Roman"/>
          <w:spacing w:val="-2"/>
          <w:kern w:val="0"/>
          <w:sz w:val="24"/>
          <w:szCs w:val="24"/>
          <w:vertAlign w:val="subscript"/>
        </w:rPr>
        <w:t>5</w:t>
      </w:r>
      <w:r>
        <w:rPr>
          <w:rFonts w:hint="eastAsia" w:ascii="Times New Roman" w:hAnsi="Times New Roman"/>
          <w:spacing w:val="-2"/>
          <w:kern w:val="0"/>
          <w:sz w:val="24"/>
          <w:szCs w:val="24"/>
        </w:rPr>
        <w:t>与COD</w:t>
      </w:r>
      <w:r>
        <w:rPr>
          <w:rFonts w:hint="eastAsia" w:ascii="Times New Roman" w:hAnsi="Times New Roman"/>
          <w:spacing w:val="-2"/>
          <w:kern w:val="0"/>
          <w:sz w:val="24"/>
          <w:szCs w:val="24"/>
          <w:vertAlign w:val="subscript"/>
        </w:rPr>
        <w:t>Cr</w:t>
      </w:r>
      <w:r>
        <w:rPr>
          <w:rFonts w:hint="eastAsia" w:ascii="Times New Roman" w:hAnsi="Times New Roman"/>
          <w:spacing w:val="-2"/>
          <w:kern w:val="0"/>
          <w:sz w:val="24"/>
          <w:szCs w:val="24"/>
        </w:rPr>
        <w:t>关系的区域性差异分析》，环境科学研究，2011.10，第24卷第10期中对生活污水全国平均值的调查；化粪池处理效率参考环境保护技术文件《村镇生活污染防治最佳可行技术指南(试行)》（HJ-BAT-9)。</w:t>
      </w:r>
      <w:r>
        <w:rPr>
          <w:rFonts w:ascii="Times New Roman" w:hAnsi="Times New Roman"/>
          <w:spacing w:val="-2"/>
          <w:kern w:val="0"/>
          <w:sz w:val="24"/>
          <w:szCs w:val="24"/>
        </w:rPr>
        <w:t>项目生活污水排放情况详见表2.3-1</w:t>
      </w:r>
      <w:r>
        <w:rPr>
          <w:rFonts w:hint="eastAsia" w:ascii="Times New Roman" w:hAnsi="Times New Roman"/>
          <w:spacing w:val="-2"/>
          <w:kern w:val="0"/>
          <w:sz w:val="24"/>
          <w:szCs w:val="24"/>
        </w:rPr>
        <w:t>5</w:t>
      </w:r>
      <w:r>
        <w:rPr>
          <w:rFonts w:ascii="Times New Roman" w:hAnsi="Times New Roman"/>
          <w:spacing w:val="-2"/>
          <w:kern w:val="0"/>
          <w:sz w:val="24"/>
          <w:szCs w:val="24"/>
        </w:rPr>
        <w:t>。</w:t>
      </w:r>
    </w:p>
    <w:p w14:paraId="46F2BA3C">
      <w:pPr>
        <w:pStyle w:val="8"/>
        <w:numPr>
          <w:ilvl w:val="4"/>
          <w:numId w:val="3"/>
        </w:numPr>
        <w:rPr>
          <w:sz w:val="24"/>
          <w:szCs w:val="24"/>
        </w:rPr>
      </w:pPr>
      <w:r>
        <w:rPr>
          <w:sz w:val="24"/>
          <w:szCs w:val="24"/>
        </w:rPr>
        <w:t xml:space="preserve">生活污水污染物产排表 </w:t>
      </w:r>
    </w:p>
    <w:tbl>
      <w:tblPr>
        <w:tblStyle w:val="88"/>
        <w:tblW w:w="904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89"/>
        <w:gridCol w:w="1134"/>
        <w:gridCol w:w="1985"/>
        <w:gridCol w:w="1233"/>
        <w:gridCol w:w="1233"/>
        <w:gridCol w:w="1233"/>
        <w:gridCol w:w="1233"/>
      </w:tblGrid>
      <w:tr w14:paraId="303C89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989" w:type="dxa"/>
            <w:vAlign w:val="center"/>
          </w:tcPr>
          <w:p w14:paraId="68DF69B5">
            <w:pPr>
              <w:widowControl/>
              <w:jc w:val="center"/>
              <w:rPr>
                <w:rFonts w:ascii="Times New Roman" w:hAnsi="Times New Roman"/>
                <w:b/>
                <w:bCs/>
                <w:kern w:val="0"/>
                <w:szCs w:val="21"/>
              </w:rPr>
            </w:pPr>
            <w:r>
              <w:rPr>
                <w:rFonts w:ascii="Times New Roman" w:hAnsi="Times New Roman"/>
                <w:b/>
                <w:bCs/>
                <w:kern w:val="0"/>
                <w:szCs w:val="21"/>
              </w:rPr>
              <w:t>废水量</w:t>
            </w:r>
          </w:p>
        </w:tc>
        <w:tc>
          <w:tcPr>
            <w:tcW w:w="3119" w:type="dxa"/>
            <w:gridSpan w:val="2"/>
            <w:vAlign w:val="center"/>
          </w:tcPr>
          <w:p w14:paraId="5DE743C1">
            <w:pPr>
              <w:widowControl/>
              <w:jc w:val="center"/>
              <w:rPr>
                <w:rFonts w:ascii="Times New Roman" w:hAnsi="Times New Roman"/>
                <w:b/>
                <w:bCs/>
                <w:kern w:val="0"/>
                <w:szCs w:val="21"/>
              </w:rPr>
            </w:pPr>
            <w:r>
              <w:rPr>
                <w:rFonts w:ascii="Times New Roman" w:hAnsi="Times New Roman"/>
                <w:b/>
                <w:bCs/>
                <w:kern w:val="0"/>
                <w:szCs w:val="21"/>
              </w:rPr>
              <w:t>项目</w:t>
            </w:r>
          </w:p>
        </w:tc>
        <w:tc>
          <w:tcPr>
            <w:tcW w:w="1233" w:type="dxa"/>
            <w:vAlign w:val="center"/>
          </w:tcPr>
          <w:p w14:paraId="0C1F3EC0">
            <w:pPr>
              <w:widowControl/>
              <w:jc w:val="center"/>
              <w:rPr>
                <w:rFonts w:ascii="Times New Roman" w:hAnsi="Times New Roman"/>
                <w:b/>
                <w:bCs/>
                <w:kern w:val="0"/>
                <w:szCs w:val="21"/>
              </w:rPr>
            </w:pPr>
            <w:r>
              <w:rPr>
                <w:rFonts w:ascii="Times New Roman" w:hAnsi="Times New Roman"/>
                <w:b/>
                <w:bCs/>
                <w:kern w:val="0"/>
                <w:szCs w:val="21"/>
              </w:rPr>
              <w:t>COD</w:t>
            </w:r>
          </w:p>
        </w:tc>
        <w:tc>
          <w:tcPr>
            <w:tcW w:w="1233" w:type="dxa"/>
            <w:vAlign w:val="center"/>
          </w:tcPr>
          <w:p w14:paraId="25B6F3FD">
            <w:pPr>
              <w:widowControl/>
              <w:jc w:val="center"/>
              <w:rPr>
                <w:rFonts w:ascii="Times New Roman" w:hAnsi="Times New Roman"/>
                <w:b/>
                <w:bCs/>
                <w:kern w:val="0"/>
                <w:szCs w:val="21"/>
              </w:rPr>
            </w:pPr>
            <w:r>
              <w:rPr>
                <w:rFonts w:ascii="Times New Roman" w:hAnsi="Times New Roman"/>
                <w:b/>
                <w:bCs/>
                <w:kern w:val="0"/>
                <w:szCs w:val="21"/>
              </w:rPr>
              <w:t>BOD</w:t>
            </w:r>
            <w:r>
              <w:rPr>
                <w:rFonts w:ascii="Times New Roman" w:hAnsi="Times New Roman"/>
                <w:b/>
                <w:bCs/>
                <w:kern w:val="0"/>
                <w:szCs w:val="21"/>
                <w:vertAlign w:val="subscript"/>
              </w:rPr>
              <w:t>5</w:t>
            </w:r>
          </w:p>
        </w:tc>
        <w:tc>
          <w:tcPr>
            <w:tcW w:w="1233" w:type="dxa"/>
            <w:vAlign w:val="center"/>
          </w:tcPr>
          <w:p w14:paraId="76BAF923">
            <w:pPr>
              <w:widowControl/>
              <w:jc w:val="center"/>
              <w:rPr>
                <w:rFonts w:ascii="Times New Roman" w:hAnsi="Times New Roman"/>
                <w:b/>
                <w:bCs/>
                <w:kern w:val="0"/>
                <w:szCs w:val="21"/>
              </w:rPr>
            </w:pPr>
            <w:r>
              <w:rPr>
                <w:rFonts w:ascii="Times New Roman" w:hAnsi="Times New Roman"/>
                <w:b/>
                <w:bCs/>
                <w:kern w:val="0"/>
                <w:szCs w:val="21"/>
              </w:rPr>
              <w:t>SS</w:t>
            </w:r>
          </w:p>
        </w:tc>
        <w:tc>
          <w:tcPr>
            <w:tcW w:w="1233" w:type="dxa"/>
            <w:vAlign w:val="center"/>
          </w:tcPr>
          <w:p w14:paraId="7DF4B7CF">
            <w:pPr>
              <w:widowControl/>
              <w:jc w:val="center"/>
              <w:rPr>
                <w:rFonts w:ascii="Times New Roman" w:hAnsi="Times New Roman"/>
                <w:b/>
                <w:bCs/>
                <w:kern w:val="0"/>
                <w:szCs w:val="21"/>
              </w:rPr>
            </w:pPr>
            <w:r>
              <w:rPr>
                <w:rFonts w:ascii="Times New Roman" w:hAnsi="Times New Roman"/>
                <w:b/>
                <w:bCs/>
                <w:kern w:val="0"/>
                <w:szCs w:val="21"/>
              </w:rPr>
              <w:t>NH</w:t>
            </w:r>
            <w:r>
              <w:rPr>
                <w:rFonts w:ascii="Times New Roman" w:hAnsi="Times New Roman"/>
                <w:b/>
                <w:bCs/>
                <w:kern w:val="0"/>
                <w:szCs w:val="21"/>
                <w:vertAlign w:val="subscript"/>
              </w:rPr>
              <w:t>3</w:t>
            </w:r>
            <w:r>
              <w:rPr>
                <w:rFonts w:ascii="Times New Roman" w:hAnsi="Times New Roman"/>
                <w:b/>
                <w:bCs/>
                <w:kern w:val="0"/>
                <w:szCs w:val="21"/>
              </w:rPr>
              <w:t>-N</w:t>
            </w:r>
          </w:p>
        </w:tc>
      </w:tr>
      <w:tr w14:paraId="23D8D1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89" w:type="dxa"/>
            <w:vMerge w:val="restart"/>
            <w:vAlign w:val="center"/>
          </w:tcPr>
          <w:p w14:paraId="1D6FB1A6">
            <w:pPr>
              <w:widowControl/>
              <w:jc w:val="center"/>
              <w:rPr>
                <w:rFonts w:ascii="Times New Roman" w:hAnsi="Times New Roman"/>
                <w:kern w:val="0"/>
                <w:szCs w:val="21"/>
                <w:vertAlign w:val="subscript"/>
              </w:rPr>
            </w:pPr>
            <w:r>
              <w:rPr>
                <w:rFonts w:ascii="Times New Roman" w:hAnsi="Times New Roman"/>
                <w:kern w:val="0"/>
                <w:szCs w:val="21"/>
              </w:rPr>
              <w:t>120m</w:t>
            </w:r>
            <w:r>
              <w:rPr>
                <w:rFonts w:ascii="Times New Roman" w:hAnsi="Times New Roman"/>
                <w:kern w:val="0"/>
                <w:szCs w:val="21"/>
                <w:vertAlign w:val="superscript"/>
              </w:rPr>
              <w:t>3</w:t>
            </w:r>
            <w:r>
              <w:rPr>
                <w:rFonts w:ascii="Times New Roman" w:hAnsi="Times New Roman"/>
                <w:kern w:val="0"/>
                <w:szCs w:val="21"/>
              </w:rPr>
              <w:t>/a</w:t>
            </w:r>
          </w:p>
        </w:tc>
        <w:tc>
          <w:tcPr>
            <w:tcW w:w="1134" w:type="dxa"/>
            <w:vMerge w:val="restart"/>
            <w:vAlign w:val="center"/>
          </w:tcPr>
          <w:p w14:paraId="60FEEB7E">
            <w:pPr>
              <w:widowControl/>
              <w:jc w:val="center"/>
              <w:rPr>
                <w:rFonts w:ascii="Times New Roman" w:hAnsi="Times New Roman"/>
                <w:kern w:val="0"/>
                <w:szCs w:val="21"/>
              </w:rPr>
            </w:pPr>
            <w:r>
              <w:rPr>
                <w:rFonts w:ascii="Times New Roman" w:hAnsi="Times New Roman"/>
                <w:kern w:val="0"/>
                <w:szCs w:val="21"/>
              </w:rPr>
              <w:t>处理前</w:t>
            </w:r>
          </w:p>
        </w:tc>
        <w:tc>
          <w:tcPr>
            <w:tcW w:w="1985" w:type="dxa"/>
            <w:vAlign w:val="center"/>
          </w:tcPr>
          <w:p w14:paraId="2E9D37D6">
            <w:pPr>
              <w:widowControl/>
              <w:jc w:val="center"/>
              <w:rPr>
                <w:rFonts w:ascii="Times New Roman" w:hAnsi="Times New Roman"/>
                <w:kern w:val="0"/>
                <w:szCs w:val="21"/>
              </w:rPr>
            </w:pPr>
            <w:r>
              <w:rPr>
                <w:rFonts w:ascii="Times New Roman" w:hAnsi="Times New Roman"/>
                <w:kern w:val="0"/>
                <w:szCs w:val="21"/>
              </w:rPr>
              <w:t>产生浓度（mg/L）</w:t>
            </w:r>
          </w:p>
        </w:tc>
        <w:tc>
          <w:tcPr>
            <w:tcW w:w="1233" w:type="dxa"/>
            <w:vAlign w:val="center"/>
          </w:tcPr>
          <w:p w14:paraId="6073D845">
            <w:pPr>
              <w:widowControl/>
              <w:jc w:val="center"/>
              <w:rPr>
                <w:rFonts w:ascii="Times New Roman" w:hAnsi="Times New Roman"/>
                <w:kern w:val="0"/>
                <w:szCs w:val="21"/>
              </w:rPr>
            </w:pPr>
            <w:r>
              <w:rPr>
                <w:rFonts w:ascii="Times New Roman" w:hAnsi="Times New Roman"/>
                <w:kern w:val="0"/>
                <w:szCs w:val="21"/>
              </w:rPr>
              <w:t>394</w:t>
            </w:r>
          </w:p>
        </w:tc>
        <w:tc>
          <w:tcPr>
            <w:tcW w:w="1233" w:type="dxa"/>
            <w:vAlign w:val="center"/>
          </w:tcPr>
          <w:p w14:paraId="573CAC80">
            <w:pPr>
              <w:widowControl/>
              <w:jc w:val="center"/>
              <w:rPr>
                <w:rFonts w:ascii="Times New Roman" w:hAnsi="Times New Roman"/>
                <w:kern w:val="0"/>
                <w:szCs w:val="21"/>
              </w:rPr>
            </w:pPr>
            <w:r>
              <w:rPr>
                <w:rFonts w:ascii="Times New Roman" w:hAnsi="Times New Roman"/>
                <w:kern w:val="0"/>
                <w:szCs w:val="21"/>
              </w:rPr>
              <w:t>173</w:t>
            </w:r>
          </w:p>
        </w:tc>
        <w:tc>
          <w:tcPr>
            <w:tcW w:w="1233" w:type="dxa"/>
            <w:vAlign w:val="center"/>
          </w:tcPr>
          <w:p w14:paraId="4DB297BF">
            <w:pPr>
              <w:widowControl/>
              <w:jc w:val="center"/>
              <w:rPr>
                <w:rFonts w:ascii="Times New Roman" w:hAnsi="Times New Roman"/>
                <w:kern w:val="0"/>
                <w:szCs w:val="21"/>
              </w:rPr>
            </w:pPr>
            <w:r>
              <w:rPr>
                <w:rFonts w:ascii="Times New Roman" w:hAnsi="Times New Roman"/>
                <w:kern w:val="0"/>
                <w:szCs w:val="21"/>
              </w:rPr>
              <w:t>200</w:t>
            </w:r>
          </w:p>
        </w:tc>
        <w:tc>
          <w:tcPr>
            <w:tcW w:w="1233" w:type="dxa"/>
            <w:vAlign w:val="center"/>
          </w:tcPr>
          <w:p w14:paraId="57744DC8">
            <w:pPr>
              <w:widowControl/>
              <w:jc w:val="center"/>
              <w:rPr>
                <w:rFonts w:ascii="Times New Roman" w:hAnsi="Times New Roman"/>
                <w:kern w:val="0"/>
                <w:szCs w:val="21"/>
              </w:rPr>
            </w:pPr>
            <w:r>
              <w:rPr>
                <w:rFonts w:ascii="Times New Roman" w:hAnsi="Times New Roman"/>
                <w:kern w:val="0"/>
                <w:szCs w:val="21"/>
              </w:rPr>
              <w:t>30</w:t>
            </w:r>
          </w:p>
        </w:tc>
      </w:tr>
      <w:tr w14:paraId="22B60B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89" w:type="dxa"/>
            <w:vMerge w:val="continue"/>
            <w:vAlign w:val="center"/>
          </w:tcPr>
          <w:p w14:paraId="4FF7EDD1">
            <w:pPr>
              <w:widowControl/>
              <w:jc w:val="left"/>
              <w:rPr>
                <w:rFonts w:ascii="Times New Roman" w:hAnsi="Times New Roman"/>
                <w:kern w:val="0"/>
                <w:szCs w:val="21"/>
              </w:rPr>
            </w:pPr>
          </w:p>
        </w:tc>
        <w:tc>
          <w:tcPr>
            <w:tcW w:w="1134" w:type="dxa"/>
            <w:vMerge w:val="continue"/>
            <w:vAlign w:val="center"/>
          </w:tcPr>
          <w:p w14:paraId="756B3F4B">
            <w:pPr>
              <w:widowControl/>
              <w:jc w:val="left"/>
              <w:rPr>
                <w:rFonts w:ascii="Times New Roman" w:hAnsi="Times New Roman"/>
                <w:kern w:val="0"/>
                <w:szCs w:val="21"/>
              </w:rPr>
            </w:pPr>
          </w:p>
        </w:tc>
        <w:tc>
          <w:tcPr>
            <w:tcW w:w="1985" w:type="dxa"/>
            <w:vAlign w:val="center"/>
          </w:tcPr>
          <w:p w14:paraId="2E680E51">
            <w:pPr>
              <w:widowControl/>
              <w:jc w:val="center"/>
              <w:rPr>
                <w:rFonts w:ascii="Times New Roman" w:hAnsi="Times New Roman"/>
                <w:kern w:val="0"/>
                <w:szCs w:val="21"/>
              </w:rPr>
            </w:pPr>
            <w:r>
              <w:rPr>
                <w:rFonts w:ascii="Times New Roman" w:hAnsi="Times New Roman"/>
                <w:kern w:val="0"/>
                <w:szCs w:val="21"/>
              </w:rPr>
              <w:t>产生量（t/a）</w:t>
            </w:r>
          </w:p>
        </w:tc>
        <w:tc>
          <w:tcPr>
            <w:tcW w:w="1233" w:type="dxa"/>
            <w:vAlign w:val="center"/>
          </w:tcPr>
          <w:p w14:paraId="68FA0CD2">
            <w:pPr>
              <w:widowControl/>
              <w:jc w:val="center"/>
              <w:rPr>
                <w:rFonts w:ascii="Times New Roman" w:hAnsi="Times New Roman"/>
                <w:kern w:val="0"/>
                <w:szCs w:val="21"/>
              </w:rPr>
            </w:pPr>
            <w:r>
              <w:rPr>
                <w:rFonts w:ascii="Times New Roman" w:hAnsi="Times New Roman"/>
                <w:kern w:val="0"/>
                <w:szCs w:val="21"/>
              </w:rPr>
              <w:t>0.047</w:t>
            </w:r>
          </w:p>
        </w:tc>
        <w:tc>
          <w:tcPr>
            <w:tcW w:w="1233" w:type="dxa"/>
            <w:vAlign w:val="center"/>
          </w:tcPr>
          <w:p w14:paraId="5BCAB47F">
            <w:pPr>
              <w:jc w:val="center"/>
              <w:rPr>
                <w:rFonts w:ascii="Times New Roman" w:hAnsi="Times New Roman"/>
                <w:kern w:val="0"/>
                <w:szCs w:val="21"/>
              </w:rPr>
            </w:pPr>
            <w:r>
              <w:rPr>
                <w:rFonts w:ascii="Times New Roman" w:hAnsi="Times New Roman"/>
                <w:kern w:val="0"/>
                <w:szCs w:val="21"/>
              </w:rPr>
              <w:t>0.021</w:t>
            </w:r>
          </w:p>
        </w:tc>
        <w:tc>
          <w:tcPr>
            <w:tcW w:w="1233" w:type="dxa"/>
            <w:vAlign w:val="center"/>
          </w:tcPr>
          <w:p w14:paraId="0A7B4EAC">
            <w:pPr>
              <w:jc w:val="center"/>
              <w:rPr>
                <w:rFonts w:ascii="Times New Roman" w:hAnsi="Times New Roman"/>
                <w:kern w:val="0"/>
                <w:szCs w:val="21"/>
              </w:rPr>
            </w:pPr>
            <w:r>
              <w:rPr>
                <w:rFonts w:ascii="Times New Roman" w:hAnsi="Times New Roman"/>
                <w:kern w:val="0"/>
                <w:szCs w:val="21"/>
              </w:rPr>
              <w:t>0.024</w:t>
            </w:r>
          </w:p>
        </w:tc>
        <w:tc>
          <w:tcPr>
            <w:tcW w:w="1233" w:type="dxa"/>
            <w:vAlign w:val="center"/>
          </w:tcPr>
          <w:p w14:paraId="3785CA7E">
            <w:pPr>
              <w:jc w:val="center"/>
              <w:rPr>
                <w:rFonts w:ascii="Times New Roman" w:hAnsi="Times New Roman"/>
                <w:kern w:val="0"/>
                <w:szCs w:val="21"/>
              </w:rPr>
            </w:pPr>
            <w:r>
              <w:rPr>
                <w:rFonts w:ascii="Times New Roman" w:hAnsi="Times New Roman"/>
                <w:kern w:val="0"/>
                <w:szCs w:val="21"/>
              </w:rPr>
              <w:t>0.004</w:t>
            </w:r>
          </w:p>
        </w:tc>
      </w:tr>
      <w:tr w14:paraId="33010F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89" w:type="dxa"/>
            <w:vMerge w:val="continue"/>
            <w:vAlign w:val="center"/>
          </w:tcPr>
          <w:p w14:paraId="3CE34101">
            <w:pPr>
              <w:widowControl/>
              <w:jc w:val="left"/>
              <w:rPr>
                <w:rFonts w:ascii="Times New Roman" w:hAnsi="Times New Roman"/>
                <w:kern w:val="0"/>
                <w:szCs w:val="21"/>
              </w:rPr>
            </w:pPr>
          </w:p>
        </w:tc>
        <w:tc>
          <w:tcPr>
            <w:tcW w:w="1134" w:type="dxa"/>
            <w:vMerge w:val="restart"/>
            <w:vAlign w:val="center"/>
          </w:tcPr>
          <w:p w14:paraId="75419C9A">
            <w:pPr>
              <w:widowControl/>
              <w:jc w:val="center"/>
              <w:rPr>
                <w:rFonts w:ascii="Times New Roman" w:hAnsi="Times New Roman"/>
                <w:kern w:val="0"/>
                <w:szCs w:val="21"/>
              </w:rPr>
            </w:pPr>
            <w:r>
              <w:rPr>
                <w:rFonts w:ascii="Times New Roman" w:hAnsi="Times New Roman"/>
                <w:kern w:val="0"/>
                <w:szCs w:val="21"/>
              </w:rPr>
              <w:t>处理措施</w:t>
            </w:r>
          </w:p>
        </w:tc>
        <w:tc>
          <w:tcPr>
            <w:tcW w:w="6917" w:type="dxa"/>
            <w:gridSpan w:val="5"/>
            <w:vAlign w:val="center"/>
          </w:tcPr>
          <w:p w14:paraId="7121A698">
            <w:pPr>
              <w:widowControl/>
              <w:jc w:val="center"/>
              <w:rPr>
                <w:rFonts w:ascii="Times New Roman" w:hAnsi="Times New Roman"/>
                <w:kern w:val="0"/>
                <w:szCs w:val="21"/>
              </w:rPr>
            </w:pPr>
            <w:r>
              <w:rPr>
                <w:rFonts w:ascii="Times New Roman" w:hAnsi="Times New Roman"/>
                <w:kern w:val="0"/>
                <w:szCs w:val="21"/>
              </w:rPr>
              <w:t>化粪池</w:t>
            </w:r>
          </w:p>
        </w:tc>
      </w:tr>
      <w:tr w14:paraId="01D3D1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89" w:type="dxa"/>
            <w:vMerge w:val="continue"/>
            <w:vAlign w:val="center"/>
          </w:tcPr>
          <w:p w14:paraId="4AC52BCF">
            <w:pPr>
              <w:widowControl/>
              <w:jc w:val="left"/>
              <w:rPr>
                <w:rFonts w:ascii="Times New Roman" w:hAnsi="Times New Roman"/>
                <w:kern w:val="0"/>
                <w:szCs w:val="21"/>
              </w:rPr>
            </w:pPr>
          </w:p>
        </w:tc>
        <w:tc>
          <w:tcPr>
            <w:tcW w:w="1134" w:type="dxa"/>
            <w:vMerge w:val="continue"/>
            <w:vAlign w:val="center"/>
          </w:tcPr>
          <w:p w14:paraId="092E8ADB">
            <w:pPr>
              <w:widowControl/>
              <w:jc w:val="left"/>
              <w:rPr>
                <w:rFonts w:ascii="Times New Roman" w:hAnsi="Times New Roman"/>
                <w:kern w:val="0"/>
                <w:szCs w:val="21"/>
              </w:rPr>
            </w:pPr>
          </w:p>
        </w:tc>
        <w:tc>
          <w:tcPr>
            <w:tcW w:w="1985" w:type="dxa"/>
            <w:noWrap/>
            <w:vAlign w:val="center"/>
          </w:tcPr>
          <w:p w14:paraId="5991A130">
            <w:pPr>
              <w:widowControl/>
              <w:jc w:val="center"/>
              <w:rPr>
                <w:rFonts w:ascii="Times New Roman" w:hAnsi="Times New Roman"/>
                <w:kern w:val="0"/>
                <w:szCs w:val="21"/>
              </w:rPr>
            </w:pPr>
            <w:r>
              <w:rPr>
                <w:rFonts w:ascii="Times New Roman" w:hAnsi="Times New Roman"/>
                <w:kern w:val="0"/>
                <w:szCs w:val="21"/>
              </w:rPr>
              <w:t>处理效率</w:t>
            </w:r>
          </w:p>
        </w:tc>
        <w:tc>
          <w:tcPr>
            <w:tcW w:w="1233" w:type="dxa"/>
            <w:noWrap/>
            <w:vAlign w:val="center"/>
          </w:tcPr>
          <w:p w14:paraId="42E1A007">
            <w:pPr>
              <w:widowControl/>
              <w:jc w:val="center"/>
              <w:rPr>
                <w:rFonts w:ascii="Times New Roman" w:hAnsi="Times New Roman"/>
                <w:kern w:val="0"/>
                <w:szCs w:val="21"/>
              </w:rPr>
            </w:pPr>
            <w:r>
              <w:rPr>
                <w:rFonts w:ascii="Times New Roman" w:hAnsi="Times New Roman"/>
                <w:kern w:val="0"/>
                <w:szCs w:val="21"/>
              </w:rPr>
              <w:t>50%</w:t>
            </w:r>
          </w:p>
        </w:tc>
        <w:tc>
          <w:tcPr>
            <w:tcW w:w="1233" w:type="dxa"/>
            <w:noWrap/>
            <w:vAlign w:val="center"/>
          </w:tcPr>
          <w:p w14:paraId="64C51477">
            <w:pPr>
              <w:widowControl/>
              <w:jc w:val="center"/>
              <w:rPr>
                <w:rFonts w:ascii="Times New Roman" w:hAnsi="Times New Roman"/>
                <w:kern w:val="0"/>
                <w:szCs w:val="21"/>
              </w:rPr>
            </w:pPr>
            <w:r>
              <w:rPr>
                <w:rFonts w:ascii="Times New Roman" w:hAnsi="Times New Roman"/>
                <w:kern w:val="0"/>
                <w:szCs w:val="21"/>
              </w:rPr>
              <w:t>60%</w:t>
            </w:r>
          </w:p>
        </w:tc>
        <w:tc>
          <w:tcPr>
            <w:tcW w:w="1233" w:type="dxa"/>
            <w:noWrap/>
            <w:vAlign w:val="center"/>
          </w:tcPr>
          <w:p w14:paraId="77AF16F5">
            <w:pPr>
              <w:widowControl/>
              <w:jc w:val="center"/>
              <w:rPr>
                <w:rFonts w:ascii="Times New Roman" w:hAnsi="Times New Roman"/>
                <w:kern w:val="0"/>
                <w:szCs w:val="21"/>
              </w:rPr>
            </w:pPr>
            <w:r>
              <w:rPr>
                <w:rFonts w:ascii="Times New Roman" w:hAnsi="Times New Roman"/>
                <w:kern w:val="0"/>
                <w:szCs w:val="21"/>
              </w:rPr>
              <w:t>70%</w:t>
            </w:r>
          </w:p>
        </w:tc>
        <w:tc>
          <w:tcPr>
            <w:tcW w:w="1233" w:type="dxa"/>
            <w:noWrap/>
            <w:vAlign w:val="center"/>
          </w:tcPr>
          <w:p w14:paraId="1310AD44">
            <w:pPr>
              <w:widowControl/>
              <w:jc w:val="center"/>
              <w:rPr>
                <w:rFonts w:ascii="Times New Roman" w:hAnsi="Times New Roman"/>
                <w:kern w:val="0"/>
                <w:szCs w:val="21"/>
              </w:rPr>
            </w:pPr>
            <w:r>
              <w:rPr>
                <w:rFonts w:ascii="Times New Roman" w:hAnsi="Times New Roman"/>
                <w:kern w:val="0"/>
                <w:szCs w:val="21"/>
              </w:rPr>
              <w:t>10%</w:t>
            </w:r>
          </w:p>
        </w:tc>
      </w:tr>
      <w:tr w14:paraId="672829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89" w:type="dxa"/>
            <w:vMerge w:val="continue"/>
            <w:vAlign w:val="center"/>
          </w:tcPr>
          <w:p w14:paraId="3620FBF3">
            <w:pPr>
              <w:widowControl/>
              <w:jc w:val="left"/>
              <w:rPr>
                <w:rFonts w:ascii="Times New Roman" w:hAnsi="Times New Roman"/>
                <w:kern w:val="0"/>
                <w:szCs w:val="21"/>
              </w:rPr>
            </w:pPr>
          </w:p>
        </w:tc>
        <w:tc>
          <w:tcPr>
            <w:tcW w:w="1134" w:type="dxa"/>
            <w:vMerge w:val="continue"/>
            <w:vAlign w:val="center"/>
          </w:tcPr>
          <w:p w14:paraId="2A6E6209">
            <w:pPr>
              <w:widowControl/>
              <w:jc w:val="left"/>
              <w:rPr>
                <w:rFonts w:ascii="Times New Roman" w:hAnsi="Times New Roman"/>
                <w:kern w:val="0"/>
                <w:szCs w:val="21"/>
              </w:rPr>
            </w:pPr>
          </w:p>
        </w:tc>
        <w:tc>
          <w:tcPr>
            <w:tcW w:w="1985" w:type="dxa"/>
            <w:noWrap/>
            <w:vAlign w:val="center"/>
          </w:tcPr>
          <w:p w14:paraId="67B3CC0F">
            <w:pPr>
              <w:widowControl/>
              <w:jc w:val="center"/>
              <w:rPr>
                <w:rFonts w:ascii="Times New Roman" w:hAnsi="Times New Roman"/>
                <w:kern w:val="0"/>
                <w:szCs w:val="21"/>
              </w:rPr>
            </w:pPr>
            <w:r>
              <w:rPr>
                <w:rFonts w:ascii="Times New Roman" w:hAnsi="Times New Roman"/>
                <w:kern w:val="0"/>
                <w:szCs w:val="21"/>
              </w:rPr>
              <w:t>去除量（t/a）</w:t>
            </w:r>
          </w:p>
        </w:tc>
        <w:tc>
          <w:tcPr>
            <w:tcW w:w="1233" w:type="dxa"/>
            <w:noWrap/>
            <w:vAlign w:val="center"/>
          </w:tcPr>
          <w:p w14:paraId="77A83EA7">
            <w:pPr>
              <w:widowControl/>
              <w:jc w:val="center"/>
              <w:rPr>
                <w:rFonts w:ascii="Times New Roman" w:hAnsi="Times New Roman"/>
                <w:kern w:val="0"/>
                <w:szCs w:val="21"/>
              </w:rPr>
            </w:pPr>
            <w:r>
              <w:rPr>
                <w:rFonts w:ascii="Times New Roman" w:hAnsi="Times New Roman"/>
                <w:kern w:val="0"/>
                <w:szCs w:val="21"/>
              </w:rPr>
              <w:t>0.023</w:t>
            </w:r>
          </w:p>
        </w:tc>
        <w:tc>
          <w:tcPr>
            <w:tcW w:w="1233" w:type="dxa"/>
            <w:noWrap/>
            <w:vAlign w:val="center"/>
          </w:tcPr>
          <w:p w14:paraId="0C787964">
            <w:pPr>
              <w:widowControl/>
              <w:jc w:val="center"/>
              <w:rPr>
                <w:rFonts w:ascii="Times New Roman" w:hAnsi="Times New Roman"/>
                <w:kern w:val="0"/>
                <w:szCs w:val="21"/>
              </w:rPr>
            </w:pPr>
            <w:r>
              <w:rPr>
                <w:rFonts w:ascii="Times New Roman" w:hAnsi="Times New Roman"/>
                <w:kern w:val="0"/>
                <w:szCs w:val="21"/>
              </w:rPr>
              <w:t>0.013</w:t>
            </w:r>
          </w:p>
        </w:tc>
        <w:tc>
          <w:tcPr>
            <w:tcW w:w="1233" w:type="dxa"/>
            <w:noWrap/>
            <w:vAlign w:val="center"/>
          </w:tcPr>
          <w:p w14:paraId="04D5BA63">
            <w:pPr>
              <w:widowControl/>
              <w:jc w:val="center"/>
              <w:rPr>
                <w:rFonts w:ascii="Times New Roman" w:hAnsi="Times New Roman"/>
                <w:kern w:val="0"/>
                <w:szCs w:val="21"/>
              </w:rPr>
            </w:pPr>
            <w:r>
              <w:rPr>
                <w:rFonts w:ascii="Times New Roman" w:hAnsi="Times New Roman"/>
                <w:kern w:val="0"/>
                <w:szCs w:val="21"/>
              </w:rPr>
              <w:t>0.017</w:t>
            </w:r>
          </w:p>
        </w:tc>
        <w:tc>
          <w:tcPr>
            <w:tcW w:w="1233" w:type="dxa"/>
            <w:noWrap/>
            <w:vAlign w:val="center"/>
          </w:tcPr>
          <w:p w14:paraId="165C1F44">
            <w:pPr>
              <w:widowControl/>
              <w:jc w:val="center"/>
              <w:rPr>
                <w:rFonts w:ascii="Times New Roman" w:hAnsi="Times New Roman"/>
                <w:kern w:val="0"/>
                <w:szCs w:val="21"/>
              </w:rPr>
            </w:pPr>
            <w:r>
              <w:rPr>
                <w:rFonts w:ascii="Times New Roman" w:hAnsi="Times New Roman"/>
                <w:kern w:val="0"/>
                <w:szCs w:val="21"/>
              </w:rPr>
              <w:t>0.001</w:t>
            </w:r>
          </w:p>
        </w:tc>
      </w:tr>
      <w:tr w14:paraId="302342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89" w:type="dxa"/>
            <w:vMerge w:val="continue"/>
            <w:vAlign w:val="center"/>
          </w:tcPr>
          <w:p w14:paraId="0ABE9E06">
            <w:pPr>
              <w:widowControl/>
              <w:jc w:val="left"/>
              <w:rPr>
                <w:rFonts w:ascii="Times New Roman" w:hAnsi="Times New Roman"/>
                <w:kern w:val="0"/>
                <w:szCs w:val="21"/>
              </w:rPr>
            </w:pPr>
          </w:p>
        </w:tc>
        <w:tc>
          <w:tcPr>
            <w:tcW w:w="1134" w:type="dxa"/>
            <w:vMerge w:val="restart"/>
            <w:vAlign w:val="center"/>
          </w:tcPr>
          <w:p w14:paraId="4DC10726">
            <w:pPr>
              <w:widowControl/>
              <w:jc w:val="center"/>
              <w:rPr>
                <w:rFonts w:ascii="Times New Roman" w:hAnsi="Times New Roman"/>
                <w:kern w:val="0"/>
                <w:szCs w:val="21"/>
              </w:rPr>
            </w:pPr>
            <w:r>
              <w:rPr>
                <w:rFonts w:ascii="Times New Roman" w:hAnsi="Times New Roman"/>
                <w:kern w:val="0"/>
                <w:szCs w:val="21"/>
              </w:rPr>
              <w:t>化粪池处理后</w:t>
            </w:r>
          </w:p>
        </w:tc>
        <w:tc>
          <w:tcPr>
            <w:tcW w:w="1985" w:type="dxa"/>
            <w:vAlign w:val="center"/>
          </w:tcPr>
          <w:p w14:paraId="013C14C6">
            <w:pPr>
              <w:widowControl/>
              <w:jc w:val="center"/>
              <w:rPr>
                <w:rFonts w:ascii="Times New Roman" w:hAnsi="Times New Roman"/>
                <w:kern w:val="0"/>
                <w:szCs w:val="21"/>
              </w:rPr>
            </w:pPr>
            <w:r>
              <w:rPr>
                <w:rFonts w:ascii="Times New Roman" w:hAnsi="Times New Roman"/>
                <w:kern w:val="0"/>
                <w:szCs w:val="21"/>
              </w:rPr>
              <w:t>排放浓度（mg/L）</w:t>
            </w:r>
          </w:p>
        </w:tc>
        <w:tc>
          <w:tcPr>
            <w:tcW w:w="1233" w:type="dxa"/>
            <w:vAlign w:val="center"/>
          </w:tcPr>
          <w:p w14:paraId="78F5ACD8">
            <w:pPr>
              <w:widowControl/>
              <w:jc w:val="center"/>
              <w:rPr>
                <w:rFonts w:ascii="Times New Roman" w:hAnsi="Times New Roman"/>
                <w:kern w:val="0"/>
                <w:szCs w:val="21"/>
              </w:rPr>
            </w:pPr>
            <w:r>
              <w:rPr>
                <w:rFonts w:ascii="Times New Roman" w:hAnsi="Times New Roman"/>
                <w:kern w:val="0"/>
                <w:szCs w:val="21"/>
              </w:rPr>
              <w:t>197</w:t>
            </w:r>
          </w:p>
        </w:tc>
        <w:tc>
          <w:tcPr>
            <w:tcW w:w="1233" w:type="dxa"/>
            <w:vAlign w:val="center"/>
          </w:tcPr>
          <w:p w14:paraId="03F4CE2A">
            <w:pPr>
              <w:widowControl/>
              <w:jc w:val="center"/>
              <w:rPr>
                <w:rFonts w:ascii="Times New Roman" w:hAnsi="Times New Roman"/>
                <w:kern w:val="0"/>
                <w:szCs w:val="21"/>
              </w:rPr>
            </w:pPr>
            <w:r>
              <w:rPr>
                <w:rFonts w:ascii="Times New Roman" w:hAnsi="Times New Roman"/>
                <w:kern w:val="0"/>
                <w:szCs w:val="21"/>
              </w:rPr>
              <w:t>69</w:t>
            </w:r>
          </w:p>
        </w:tc>
        <w:tc>
          <w:tcPr>
            <w:tcW w:w="1233" w:type="dxa"/>
            <w:vAlign w:val="center"/>
          </w:tcPr>
          <w:p w14:paraId="6195CB4A">
            <w:pPr>
              <w:widowControl/>
              <w:jc w:val="center"/>
              <w:rPr>
                <w:rFonts w:ascii="Times New Roman" w:hAnsi="Times New Roman"/>
                <w:kern w:val="0"/>
                <w:szCs w:val="21"/>
              </w:rPr>
            </w:pPr>
            <w:r>
              <w:rPr>
                <w:rFonts w:ascii="Times New Roman" w:hAnsi="Times New Roman"/>
                <w:kern w:val="0"/>
                <w:szCs w:val="21"/>
              </w:rPr>
              <w:t>60</w:t>
            </w:r>
          </w:p>
        </w:tc>
        <w:tc>
          <w:tcPr>
            <w:tcW w:w="1233" w:type="dxa"/>
            <w:vAlign w:val="center"/>
          </w:tcPr>
          <w:p w14:paraId="4AA4D243">
            <w:pPr>
              <w:widowControl/>
              <w:jc w:val="center"/>
              <w:rPr>
                <w:rFonts w:ascii="Times New Roman" w:hAnsi="Times New Roman"/>
                <w:kern w:val="0"/>
                <w:szCs w:val="21"/>
              </w:rPr>
            </w:pPr>
            <w:r>
              <w:rPr>
                <w:rFonts w:ascii="Times New Roman" w:hAnsi="Times New Roman"/>
                <w:kern w:val="0"/>
                <w:szCs w:val="21"/>
              </w:rPr>
              <w:t>27</w:t>
            </w:r>
          </w:p>
        </w:tc>
      </w:tr>
      <w:tr w14:paraId="07AC81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89" w:type="dxa"/>
            <w:vMerge w:val="continue"/>
            <w:vAlign w:val="center"/>
          </w:tcPr>
          <w:p w14:paraId="53B1C9B9">
            <w:pPr>
              <w:widowControl/>
              <w:jc w:val="left"/>
              <w:rPr>
                <w:rFonts w:ascii="Times New Roman" w:hAnsi="Times New Roman"/>
                <w:kern w:val="0"/>
                <w:szCs w:val="21"/>
              </w:rPr>
            </w:pPr>
          </w:p>
        </w:tc>
        <w:tc>
          <w:tcPr>
            <w:tcW w:w="1134" w:type="dxa"/>
            <w:vMerge w:val="continue"/>
            <w:vAlign w:val="center"/>
          </w:tcPr>
          <w:p w14:paraId="66949FB0">
            <w:pPr>
              <w:widowControl/>
              <w:jc w:val="left"/>
              <w:rPr>
                <w:rFonts w:ascii="Times New Roman" w:hAnsi="Times New Roman"/>
                <w:kern w:val="0"/>
                <w:szCs w:val="21"/>
              </w:rPr>
            </w:pPr>
          </w:p>
        </w:tc>
        <w:tc>
          <w:tcPr>
            <w:tcW w:w="1985" w:type="dxa"/>
            <w:vAlign w:val="center"/>
          </w:tcPr>
          <w:p w14:paraId="6EBF08D6">
            <w:pPr>
              <w:widowControl/>
              <w:jc w:val="center"/>
              <w:rPr>
                <w:rFonts w:ascii="Times New Roman" w:hAnsi="Times New Roman"/>
                <w:kern w:val="0"/>
                <w:szCs w:val="21"/>
              </w:rPr>
            </w:pPr>
            <w:r>
              <w:rPr>
                <w:rFonts w:ascii="Times New Roman" w:hAnsi="Times New Roman"/>
                <w:kern w:val="0"/>
                <w:szCs w:val="21"/>
              </w:rPr>
              <w:t>排放量（t/a）</w:t>
            </w:r>
          </w:p>
        </w:tc>
        <w:tc>
          <w:tcPr>
            <w:tcW w:w="1233" w:type="dxa"/>
            <w:vAlign w:val="center"/>
          </w:tcPr>
          <w:p w14:paraId="31C2FB25">
            <w:pPr>
              <w:widowControl/>
              <w:jc w:val="center"/>
              <w:rPr>
                <w:rFonts w:ascii="Times New Roman" w:hAnsi="Times New Roman"/>
                <w:kern w:val="0"/>
                <w:szCs w:val="21"/>
              </w:rPr>
            </w:pPr>
            <w:r>
              <w:rPr>
                <w:rFonts w:ascii="Times New Roman" w:hAnsi="Times New Roman"/>
                <w:kern w:val="0"/>
                <w:szCs w:val="21"/>
              </w:rPr>
              <w:t>0.024</w:t>
            </w:r>
          </w:p>
        </w:tc>
        <w:tc>
          <w:tcPr>
            <w:tcW w:w="1233" w:type="dxa"/>
            <w:vAlign w:val="center"/>
          </w:tcPr>
          <w:p w14:paraId="20298898">
            <w:pPr>
              <w:jc w:val="center"/>
              <w:rPr>
                <w:rFonts w:ascii="Times New Roman" w:hAnsi="Times New Roman"/>
                <w:kern w:val="0"/>
                <w:szCs w:val="21"/>
              </w:rPr>
            </w:pPr>
            <w:r>
              <w:rPr>
                <w:rFonts w:ascii="Times New Roman" w:hAnsi="Times New Roman"/>
                <w:kern w:val="0"/>
                <w:szCs w:val="21"/>
              </w:rPr>
              <w:t>0.008</w:t>
            </w:r>
          </w:p>
        </w:tc>
        <w:tc>
          <w:tcPr>
            <w:tcW w:w="1233" w:type="dxa"/>
            <w:vAlign w:val="center"/>
          </w:tcPr>
          <w:p w14:paraId="7469F400">
            <w:pPr>
              <w:jc w:val="center"/>
              <w:rPr>
                <w:rFonts w:ascii="Times New Roman" w:hAnsi="Times New Roman"/>
                <w:kern w:val="0"/>
                <w:szCs w:val="21"/>
              </w:rPr>
            </w:pPr>
            <w:r>
              <w:rPr>
                <w:rFonts w:ascii="Times New Roman" w:hAnsi="Times New Roman"/>
                <w:kern w:val="0"/>
                <w:szCs w:val="21"/>
              </w:rPr>
              <w:t>0.007</w:t>
            </w:r>
          </w:p>
        </w:tc>
        <w:tc>
          <w:tcPr>
            <w:tcW w:w="1233" w:type="dxa"/>
            <w:vAlign w:val="center"/>
          </w:tcPr>
          <w:p w14:paraId="1FC29A77">
            <w:pPr>
              <w:jc w:val="center"/>
              <w:rPr>
                <w:rFonts w:ascii="Times New Roman" w:hAnsi="Times New Roman"/>
                <w:kern w:val="0"/>
                <w:szCs w:val="21"/>
              </w:rPr>
            </w:pPr>
            <w:r>
              <w:rPr>
                <w:rFonts w:ascii="Times New Roman" w:hAnsi="Times New Roman"/>
                <w:kern w:val="0"/>
                <w:szCs w:val="21"/>
              </w:rPr>
              <w:t>0.003</w:t>
            </w:r>
          </w:p>
        </w:tc>
      </w:tr>
      <w:tr w14:paraId="7697BB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123" w:type="dxa"/>
            <w:gridSpan w:val="2"/>
            <w:vAlign w:val="center"/>
          </w:tcPr>
          <w:p w14:paraId="7FEEF7C8">
            <w:pPr>
              <w:widowControl/>
              <w:jc w:val="left"/>
              <w:rPr>
                <w:rFonts w:ascii="Times New Roman" w:hAnsi="Times New Roman"/>
                <w:kern w:val="0"/>
                <w:szCs w:val="21"/>
              </w:rPr>
            </w:pPr>
            <w:r>
              <w:rPr>
                <w:rFonts w:ascii="Times New Roman" w:hAnsi="Times New Roman"/>
                <w:kern w:val="0"/>
                <w:szCs w:val="21"/>
              </w:rPr>
              <w:t>《污水综合排放标准》（GB8978-1996）</w:t>
            </w:r>
          </w:p>
        </w:tc>
        <w:tc>
          <w:tcPr>
            <w:tcW w:w="1985" w:type="dxa"/>
            <w:vAlign w:val="center"/>
          </w:tcPr>
          <w:p w14:paraId="0DA4C026">
            <w:pPr>
              <w:widowControl/>
              <w:jc w:val="center"/>
              <w:rPr>
                <w:rFonts w:ascii="Times New Roman" w:hAnsi="Times New Roman"/>
                <w:kern w:val="0"/>
                <w:szCs w:val="21"/>
              </w:rPr>
            </w:pPr>
            <w:r>
              <w:rPr>
                <w:rFonts w:ascii="Times New Roman" w:hAnsi="Times New Roman"/>
                <w:kern w:val="0"/>
                <w:szCs w:val="21"/>
              </w:rPr>
              <w:t>三级标准（mg/L）</w:t>
            </w:r>
          </w:p>
        </w:tc>
        <w:tc>
          <w:tcPr>
            <w:tcW w:w="1233" w:type="dxa"/>
            <w:vAlign w:val="center"/>
          </w:tcPr>
          <w:p w14:paraId="046C3B77">
            <w:pPr>
              <w:widowControl/>
              <w:jc w:val="center"/>
              <w:rPr>
                <w:rFonts w:ascii="Times New Roman" w:hAnsi="Times New Roman"/>
                <w:kern w:val="0"/>
                <w:szCs w:val="21"/>
              </w:rPr>
            </w:pPr>
            <w:r>
              <w:rPr>
                <w:rFonts w:ascii="Times New Roman" w:hAnsi="Times New Roman"/>
                <w:kern w:val="0"/>
                <w:szCs w:val="21"/>
              </w:rPr>
              <w:t>500</w:t>
            </w:r>
          </w:p>
        </w:tc>
        <w:tc>
          <w:tcPr>
            <w:tcW w:w="1233" w:type="dxa"/>
            <w:vAlign w:val="center"/>
          </w:tcPr>
          <w:p w14:paraId="4731E68C">
            <w:pPr>
              <w:jc w:val="center"/>
              <w:rPr>
                <w:rFonts w:ascii="Times New Roman" w:hAnsi="Times New Roman"/>
                <w:kern w:val="0"/>
                <w:szCs w:val="21"/>
              </w:rPr>
            </w:pPr>
            <w:r>
              <w:rPr>
                <w:rFonts w:ascii="Times New Roman" w:hAnsi="Times New Roman"/>
                <w:kern w:val="0"/>
                <w:szCs w:val="21"/>
              </w:rPr>
              <w:t>300</w:t>
            </w:r>
          </w:p>
        </w:tc>
        <w:tc>
          <w:tcPr>
            <w:tcW w:w="1233" w:type="dxa"/>
            <w:vAlign w:val="center"/>
          </w:tcPr>
          <w:p w14:paraId="60666A0A">
            <w:pPr>
              <w:jc w:val="center"/>
              <w:rPr>
                <w:rFonts w:ascii="Times New Roman" w:hAnsi="Times New Roman"/>
                <w:kern w:val="0"/>
                <w:szCs w:val="21"/>
              </w:rPr>
            </w:pPr>
            <w:r>
              <w:rPr>
                <w:rFonts w:ascii="Times New Roman" w:hAnsi="Times New Roman"/>
                <w:kern w:val="0"/>
                <w:szCs w:val="21"/>
              </w:rPr>
              <w:t>400</w:t>
            </w:r>
          </w:p>
        </w:tc>
        <w:tc>
          <w:tcPr>
            <w:tcW w:w="1233" w:type="dxa"/>
            <w:vAlign w:val="center"/>
          </w:tcPr>
          <w:p w14:paraId="53FEF206">
            <w:pPr>
              <w:jc w:val="center"/>
              <w:rPr>
                <w:rFonts w:ascii="Times New Roman" w:hAnsi="Times New Roman"/>
                <w:kern w:val="0"/>
                <w:szCs w:val="21"/>
              </w:rPr>
            </w:pPr>
            <w:r>
              <w:rPr>
                <w:rFonts w:ascii="Times New Roman" w:hAnsi="Times New Roman"/>
                <w:kern w:val="0"/>
                <w:szCs w:val="21"/>
              </w:rPr>
              <w:t>/</w:t>
            </w:r>
          </w:p>
        </w:tc>
      </w:tr>
      <w:tr w14:paraId="74989A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123" w:type="dxa"/>
            <w:gridSpan w:val="2"/>
            <w:vAlign w:val="center"/>
          </w:tcPr>
          <w:p w14:paraId="3608B4F8">
            <w:pPr>
              <w:widowControl/>
              <w:jc w:val="left"/>
              <w:rPr>
                <w:rFonts w:ascii="Times New Roman" w:hAnsi="Times New Roman"/>
                <w:kern w:val="0"/>
                <w:szCs w:val="21"/>
                <w:u w:val="single"/>
              </w:rPr>
            </w:pPr>
            <w:r>
              <w:rPr>
                <w:rFonts w:hint="eastAsia" w:ascii="Times New Roman" w:hAnsi="Times New Roman"/>
                <w:kern w:val="0"/>
                <w:szCs w:val="21"/>
                <w:u w:val="single"/>
              </w:rPr>
              <w:t>钦州港大榄坪污水处理厂进水标准</w:t>
            </w:r>
          </w:p>
        </w:tc>
        <w:tc>
          <w:tcPr>
            <w:tcW w:w="1985" w:type="dxa"/>
            <w:vAlign w:val="center"/>
          </w:tcPr>
          <w:p w14:paraId="07135A26">
            <w:pPr>
              <w:widowControl/>
              <w:jc w:val="center"/>
              <w:rPr>
                <w:rFonts w:ascii="Times New Roman" w:hAnsi="Times New Roman"/>
                <w:kern w:val="0"/>
                <w:szCs w:val="21"/>
                <w:u w:val="single"/>
              </w:rPr>
            </w:pPr>
            <w:r>
              <w:rPr>
                <w:rFonts w:hint="eastAsia" w:ascii="Times New Roman" w:hAnsi="Times New Roman"/>
                <w:kern w:val="0"/>
                <w:szCs w:val="21"/>
                <w:u w:val="single"/>
              </w:rPr>
              <w:t>进水标准</w:t>
            </w:r>
          </w:p>
        </w:tc>
        <w:tc>
          <w:tcPr>
            <w:tcW w:w="1233" w:type="dxa"/>
            <w:vAlign w:val="center"/>
          </w:tcPr>
          <w:p w14:paraId="0C76254C">
            <w:pPr>
              <w:widowControl/>
              <w:jc w:val="center"/>
              <w:rPr>
                <w:rFonts w:ascii="Times New Roman" w:hAnsi="Times New Roman"/>
                <w:kern w:val="0"/>
                <w:szCs w:val="21"/>
                <w:u w:val="single"/>
              </w:rPr>
            </w:pPr>
            <w:r>
              <w:rPr>
                <w:rFonts w:hint="eastAsia" w:ascii="Times New Roman" w:hAnsi="Times New Roman"/>
                <w:kern w:val="0"/>
                <w:szCs w:val="21"/>
                <w:u w:val="single"/>
              </w:rPr>
              <w:t>450</w:t>
            </w:r>
          </w:p>
        </w:tc>
        <w:tc>
          <w:tcPr>
            <w:tcW w:w="1233" w:type="dxa"/>
            <w:vAlign w:val="center"/>
          </w:tcPr>
          <w:p w14:paraId="2B817EA5">
            <w:pPr>
              <w:jc w:val="center"/>
              <w:rPr>
                <w:rFonts w:ascii="Times New Roman" w:hAnsi="Times New Roman"/>
                <w:kern w:val="0"/>
                <w:szCs w:val="21"/>
                <w:u w:val="single"/>
              </w:rPr>
            </w:pPr>
            <w:r>
              <w:rPr>
                <w:rFonts w:hint="eastAsia" w:ascii="Times New Roman" w:hAnsi="Times New Roman"/>
                <w:kern w:val="0"/>
                <w:szCs w:val="21"/>
                <w:u w:val="single"/>
              </w:rPr>
              <w:t>200</w:t>
            </w:r>
          </w:p>
        </w:tc>
        <w:tc>
          <w:tcPr>
            <w:tcW w:w="1233" w:type="dxa"/>
            <w:vAlign w:val="center"/>
          </w:tcPr>
          <w:p w14:paraId="21E455F6">
            <w:pPr>
              <w:jc w:val="center"/>
              <w:rPr>
                <w:rFonts w:ascii="Times New Roman" w:hAnsi="Times New Roman"/>
                <w:kern w:val="0"/>
                <w:szCs w:val="21"/>
                <w:u w:val="single"/>
              </w:rPr>
            </w:pPr>
            <w:r>
              <w:rPr>
                <w:rFonts w:hint="eastAsia" w:ascii="Times New Roman" w:hAnsi="Times New Roman"/>
                <w:kern w:val="0"/>
                <w:szCs w:val="21"/>
                <w:u w:val="single"/>
              </w:rPr>
              <w:t>300</w:t>
            </w:r>
          </w:p>
        </w:tc>
        <w:tc>
          <w:tcPr>
            <w:tcW w:w="1233" w:type="dxa"/>
            <w:vAlign w:val="center"/>
          </w:tcPr>
          <w:p w14:paraId="4FC285EC">
            <w:pPr>
              <w:jc w:val="center"/>
              <w:rPr>
                <w:rFonts w:ascii="Times New Roman" w:hAnsi="Times New Roman"/>
                <w:kern w:val="0"/>
                <w:szCs w:val="21"/>
                <w:u w:val="single"/>
              </w:rPr>
            </w:pPr>
            <w:r>
              <w:rPr>
                <w:rFonts w:hint="eastAsia" w:ascii="Times New Roman" w:hAnsi="Times New Roman"/>
                <w:kern w:val="0"/>
                <w:szCs w:val="21"/>
                <w:u w:val="single"/>
              </w:rPr>
              <w:t>35</w:t>
            </w:r>
          </w:p>
        </w:tc>
      </w:tr>
    </w:tbl>
    <w:p w14:paraId="1D6B422B">
      <w:pPr>
        <w:snapToGrid w:val="0"/>
        <w:spacing w:line="360" w:lineRule="auto"/>
        <w:ind w:firstLine="472" w:firstLineChars="200"/>
        <w:rPr>
          <w:rFonts w:ascii="Times New Roman" w:hAnsi="Times New Roman"/>
          <w:spacing w:val="-2"/>
          <w:kern w:val="0"/>
          <w:sz w:val="24"/>
          <w:szCs w:val="24"/>
        </w:rPr>
      </w:pPr>
    </w:p>
    <w:p w14:paraId="36D62B3C">
      <w:pPr>
        <w:snapToGri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（2）初期雨水</w:t>
      </w:r>
    </w:p>
    <w:p w14:paraId="78FCDD11">
      <w:pPr>
        <w:spacing w:line="360" w:lineRule="auto"/>
        <w:ind w:firstLine="480" w:firstLineChars="200"/>
        <w:rPr>
          <w:rFonts w:ascii="Times New Roman" w:hAnsi="Times New Roman"/>
          <w:sz w:val="24"/>
          <w:szCs w:val="24"/>
          <w:u w:val="single"/>
        </w:rPr>
      </w:pPr>
      <w:bookmarkStart w:id="118" w:name="_Hlk193710328"/>
      <w:r>
        <w:rPr>
          <w:rFonts w:ascii="Times New Roman" w:hAnsi="Times New Roman"/>
          <w:sz w:val="24"/>
          <w:szCs w:val="24"/>
          <w:u w:val="single"/>
        </w:rPr>
        <w:t>项目生产线及物料堆放用地均布置在车间内，无新增室外建筑物。项目用地内的雨水主要为车间顶棚雨水，车间顶棚雨水依托广西钦州保税区创大冷链物流公司的3号仓库屋面雨水系统收集，项目用地范围附近属于园区内的路面，项目进出厂物料运输均严格进行篷布覆盖，杜绝物料洒落地面，</w:t>
      </w:r>
      <w:r>
        <w:rPr>
          <w:rFonts w:hint="eastAsia" w:ascii="Times New Roman" w:hAnsi="Times New Roman"/>
          <w:sz w:val="24"/>
          <w:szCs w:val="24"/>
          <w:u w:val="single"/>
        </w:rPr>
        <w:t>项目进出厂物料的影响区域主要在靠近车间出入口附近的地面。项目初期雨水收集范围以项目顶棚雨水、项目车间出入口附近的路面，收集面积约4400m</w:t>
      </w:r>
      <w:r>
        <w:rPr>
          <w:rFonts w:hint="eastAsia" w:ascii="Times New Roman" w:hAnsi="Times New Roman"/>
          <w:sz w:val="24"/>
          <w:szCs w:val="24"/>
          <w:u w:val="single"/>
          <w:vertAlign w:val="superscript"/>
        </w:rPr>
        <w:t>2</w:t>
      </w:r>
      <w:r>
        <w:rPr>
          <w:rFonts w:hint="eastAsia" w:ascii="Times New Roman" w:hAnsi="Times New Roman"/>
          <w:sz w:val="24"/>
          <w:szCs w:val="24"/>
          <w:u w:val="single"/>
        </w:rPr>
        <w:t>。</w:t>
      </w:r>
      <w:bookmarkEnd w:id="118"/>
    </w:p>
    <w:p w14:paraId="335E5B9A">
      <w:pPr>
        <w:spacing w:line="360" w:lineRule="auto"/>
        <w:ind w:firstLine="480" w:firstLineChars="200"/>
        <w:rPr>
          <w:rFonts w:ascii="Times New Roman" w:hAnsi="Times New Roman"/>
          <w:sz w:val="24"/>
          <w:szCs w:val="24"/>
          <w:u w:val="single"/>
        </w:rPr>
      </w:pPr>
      <w:r>
        <w:rPr>
          <w:rFonts w:hint="eastAsia" w:ascii="Times New Roman" w:hAnsi="Times New Roman"/>
          <w:sz w:val="24"/>
          <w:szCs w:val="24"/>
          <w:u w:val="single"/>
        </w:rPr>
        <w:t>根据钦州市暴雨强度公式：</w:t>
      </w:r>
    </w:p>
    <w:p w14:paraId="45ECE721">
      <w:pPr>
        <w:spacing w:line="360" w:lineRule="auto"/>
        <w:ind w:firstLine="480" w:firstLineChars="200"/>
        <w:jc w:val="center"/>
        <w:rPr>
          <w:rFonts w:ascii="Times New Roman" w:hAnsi="Times New Roman"/>
          <w:sz w:val="24"/>
          <w:szCs w:val="24"/>
          <w:u w:val="single"/>
        </w:rPr>
      </w:pPr>
      <w:r>
        <w:rPr>
          <w:rFonts w:hint="eastAsia" w:ascii="Times New Roman" w:hAnsi="Times New Roman"/>
          <w:sz w:val="24"/>
          <w:szCs w:val="24"/>
          <w:u w:val="single"/>
        </w:rPr>
        <w:t>q=1815.359（1+0.594lgp）/（t+6.669）</w:t>
      </w:r>
      <w:r>
        <w:rPr>
          <w:rFonts w:hint="eastAsia" w:ascii="Times New Roman" w:hAnsi="Times New Roman"/>
          <w:sz w:val="24"/>
          <w:szCs w:val="24"/>
          <w:u w:val="single"/>
          <w:vertAlign w:val="superscript"/>
        </w:rPr>
        <w:t>0.596</w:t>
      </w:r>
    </w:p>
    <w:p w14:paraId="2C6BC211">
      <w:pPr>
        <w:spacing w:line="360" w:lineRule="auto"/>
        <w:ind w:firstLine="480" w:firstLineChars="200"/>
        <w:rPr>
          <w:rFonts w:ascii="Times New Roman" w:hAnsi="Times New Roman"/>
          <w:sz w:val="24"/>
          <w:szCs w:val="24"/>
          <w:u w:val="single"/>
        </w:rPr>
      </w:pPr>
      <w:r>
        <w:rPr>
          <w:rFonts w:hint="eastAsia" w:ascii="Times New Roman" w:hAnsi="Times New Roman"/>
          <w:sz w:val="24"/>
          <w:szCs w:val="24"/>
          <w:u w:val="single"/>
        </w:rPr>
        <w:t>式中：q——暴雨强度，L/s•ha；</w:t>
      </w:r>
    </w:p>
    <w:p w14:paraId="3D00E14A">
      <w:pPr>
        <w:spacing w:line="360" w:lineRule="auto"/>
        <w:ind w:firstLine="480" w:firstLineChars="200"/>
        <w:rPr>
          <w:rFonts w:ascii="Times New Roman" w:hAnsi="Times New Roman"/>
          <w:sz w:val="24"/>
          <w:szCs w:val="24"/>
          <w:u w:val="single"/>
        </w:rPr>
      </w:pPr>
      <w:r>
        <w:rPr>
          <w:rFonts w:hint="eastAsia" w:ascii="Times New Roman" w:hAnsi="Times New Roman"/>
          <w:sz w:val="24"/>
          <w:szCs w:val="24"/>
          <w:u w:val="single"/>
        </w:rPr>
        <w:t xml:space="preserve">      P——暴雨重现期，年，取2年；</w:t>
      </w:r>
    </w:p>
    <w:p w14:paraId="65CFA8ED">
      <w:pPr>
        <w:spacing w:line="360" w:lineRule="auto"/>
        <w:ind w:firstLine="480" w:firstLineChars="200"/>
        <w:rPr>
          <w:rFonts w:ascii="Times New Roman" w:hAnsi="Times New Roman"/>
          <w:sz w:val="24"/>
          <w:szCs w:val="24"/>
          <w:u w:val="single"/>
        </w:rPr>
      </w:pPr>
      <w:r>
        <w:rPr>
          <w:rFonts w:hint="eastAsia" w:ascii="Times New Roman" w:hAnsi="Times New Roman"/>
          <w:sz w:val="24"/>
          <w:szCs w:val="24"/>
          <w:u w:val="single"/>
        </w:rPr>
        <w:t xml:space="preserve">      t——降雨历时，分钟，取15min。</w:t>
      </w:r>
    </w:p>
    <w:p w14:paraId="6A906C27">
      <w:pPr>
        <w:spacing w:line="360" w:lineRule="auto"/>
        <w:ind w:firstLine="480" w:firstLineChars="200"/>
        <w:rPr>
          <w:rFonts w:ascii="Times New Roman" w:hAnsi="Times New Roman"/>
          <w:sz w:val="24"/>
          <w:szCs w:val="24"/>
          <w:u w:val="single"/>
        </w:rPr>
      </w:pPr>
      <w:r>
        <w:rPr>
          <w:rFonts w:hint="eastAsia" w:ascii="Times New Roman" w:hAnsi="Times New Roman"/>
          <w:sz w:val="24"/>
          <w:szCs w:val="24"/>
          <w:u w:val="single"/>
        </w:rPr>
        <w:t>参照GB50014-2006《室外排水设计规范》（2016年版）规定，项目场区雨水收集量按下式进行估算：</w:t>
      </w:r>
    </w:p>
    <w:p w14:paraId="41920F20">
      <w:pPr>
        <w:spacing w:line="360" w:lineRule="auto"/>
        <w:jc w:val="center"/>
        <w:rPr>
          <w:rFonts w:ascii="Times New Roman" w:hAnsi="Times New Roman"/>
          <w:sz w:val="24"/>
          <w:szCs w:val="24"/>
          <w:u w:val="single"/>
        </w:rPr>
      </w:pPr>
      <w:r>
        <w:rPr>
          <w:rFonts w:hint="eastAsia" w:ascii="Times New Roman" w:hAnsi="Times New Roman"/>
          <w:sz w:val="24"/>
          <w:szCs w:val="24"/>
          <w:u w:val="single"/>
        </w:rPr>
        <w:t>Q=qFψ</w:t>
      </w:r>
    </w:p>
    <w:p w14:paraId="1B5B1B3D">
      <w:pPr>
        <w:spacing w:line="360" w:lineRule="auto"/>
        <w:ind w:firstLine="480" w:firstLineChars="200"/>
        <w:rPr>
          <w:rFonts w:ascii="Times New Roman" w:hAnsi="Times New Roman"/>
          <w:sz w:val="24"/>
          <w:szCs w:val="24"/>
          <w:u w:val="single"/>
        </w:rPr>
      </w:pPr>
      <w:r>
        <w:rPr>
          <w:rFonts w:hint="eastAsia" w:ascii="Times New Roman" w:hAnsi="Times New Roman"/>
          <w:sz w:val="24"/>
          <w:szCs w:val="24"/>
          <w:u w:val="single"/>
        </w:rPr>
        <w:t>式中：Q——收集时间内的初期雨水量；</w:t>
      </w:r>
    </w:p>
    <w:p w14:paraId="1130BA1F">
      <w:pPr>
        <w:spacing w:line="360" w:lineRule="auto"/>
        <w:ind w:firstLine="480" w:firstLineChars="200"/>
        <w:rPr>
          <w:rFonts w:ascii="Times New Roman" w:hAnsi="Times New Roman"/>
          <w:sz w:val="24"/>
          <w:szCs w:val="24"/>
          <w:u w:val="single"/>
        </w:rPr>
      </w:pPr>
      <w:r>
        <w:rPr>
          <w:rFonts w:hint="eastAsia" w:ascii="Times New Roman" w:hAnsi="Times New Roman"/>
          <w:sz w:val="24"/>
          <w:szCs w:val="24"/>
          <w:u w:val="single"/>
        </w:rPr>
        <w:t>q——降雨强度，L/s•hm</w:t>
      </w:r>
      <w:r>
        <w:rPr>
          <w:rFonts w:hint="eastAsia" w:ascii="Times New Roman" w:hAnsi="Times New Roman"/>
          <w:sz w:val="24"/>
          <w:szCs w:val="24"/>
          <w:u w:val="single"/>
          <w:vertAlign w:val="superscript"/>
        </w:rPr>
        <w:t>2</w:t>
      </w:r>
      <w:r>
        <w:rPr>
          <w:rFonts w:hint="eastAsia" w:ascii="Times New Roman" w:hAnsi="Times New Roman"/>
          <w:sz w:val="24"/>
          <w:szCs w:val="24"/>
          <w:u w:val="single"/>
        </w:rPr>
        <w:t>；</w:t>
      </w:r>
    </w:p>
    <w:p w14:paraId="1560EB44">
      <w:pPr>
        <w:spacing w:line="360" w:lineRule="auto"/>
        <w:ind w:firstLine="480" w:firstLineChars="200"/>
        <w:rPr>
          <w:rFonts w:ascii="Times New Roman" w:hAnsi="Times New Roman"/>
          <w:sz w:val="24"/>
          <w:szCs w:val="24"/>
          <w:u w:val="single"/>
        </w:rPr>
      </w:pPr>
      <w:r>
        <w:rPr>
          <w:rFonts w:hint="eastAsia" w:ascii="Times New Roman" w:hAnsi="Times New Roman"/>
          <w:sz w:val="24"/>
          <w:szCs w:val="24"/>
          <w:u w:val="single"/>
        </w:rPr>
        <w:t>F——汇水面积，全场占地0.44hm</w:t>
      </w:r>
      <w:r>
        <w:rPr>
          <w:rFonts w:hint="eastAsia" w:ascii="Times New Roman" w:hAnsi="Times New Roman"/>
          <w:sz w:val="24"/>
          <w:szCs w:val="24"/>
          <w:u w:val="single"/>
          <w:vertAlign w:val="superscript"/>
        </w:rPr>
        <w:t>2</w:t>
      </w:r>
      <w:r>
        <w:rPr>
          <w:rFonts w:hint="eastAsia" w:ascii="Times New Roman" w:hAnsi="Times New Roman"/>
          <w:sz w:val="24"/>
          <w:szCs w:val="24"/>
          <w:u w:val="single"/>
        </w:rPr>
        <w:t>；</w:t>
      </w:r>
    </w:p>
    <w:p w14:paraId="422E456D">
      <w:pPr>
        <w:spacing w:line="360" w:lineRule="auto"/>
        <w:ind w:firstLine="480" w:firstLineChars="200"/>
        <w:rPr>
          <w:rFonts w:ascii="Times New Roman" w:hAnsi="Times New Roman"/>
          <w:sz w:val="24"/>
          <w:szCs w:val="24"/>
          <w:u w:val="single"/>
        </w:rPr>
      </w:pPr>
      <w:r>
        <w:rPr>
          <w:rFonts w:hint="eastAsia" w:ascii="Times New Roman" w:hAnsi="Times New Roman"/>
          <w:sz w:val="24"/>
          <w:szCs w:val="24"/>
          <w:u w:val="single"/>
        </w:rPr>
        <w:t>ψ——径流系数（取0.9）。</w:t>
      </w:r>
    </w:p>
    <w:p w14:paraId="51457ECD">
      <w:pPr>
        <w:spacing w:line="360" w:lineRule="auto"/>
        <w:ind w:firstLine="480" w:firstLineChars="200"/>
        <w:rPr>
          <w:rFonts w:ascii="Times New Roman" w:hAnsi="Times New Roman"/>
          <w:sz w:val="24"/>
          <w:szCs w:val="24"/>
          <w:u w:val="single"/>
        </w:rPr>
      </w:pPr>
      <w:bookmarkStart w:id="119" w:name="_Hlk193710345"/>
      <w:r>
        <w:rPr>
          <w:rFonts w:hint="eastAsia" w:ascii="Times New Roman" w:hAnsi="Times New Roman"/>
          <w:sz w:val="24"/>
          <w:szCs w:val="24"/>
          <w:u w:val="single"/>
        </w:rPr>
        <w:t>经计算初期雨水量为121.95m</w:t>
      </w:r>
      <w:r>
        <w:rPr>
          <w:rFonts w:hint="eastAsia" w:ascii="Times New Roman" w:hAnsi="Times New Roman"/>
          <w:sz w:val="24"/>
          <w:szCs w:val="24"/>
          <w:u w:val="single"/>
          <w:vertAlign w:val="superscript"/>
        </w:rPr>
        <w:t>3</w:t>
      </w:r>
      <w:r>
        <w:rPr>
          <w:rFonts w:hint="eastAsia" w:ascii="Times New Roman" w:hAnsi="Times New Roman"/>
          <w:sz w:val="24"/>
          <w:szCs w:val="24"/>
          <w:u w:val="single"/>
        </w:rPr>
        <w:t>，在创大进口汽车仓储物流园东大门附近设置一个150m</w:t>
      </w:r>
      <w:r>
        <w:rPr>
          <w:rFonts w:hint="eastAsia" w:ascii="Times New Roman" w:hAnsi="Times New Roman"/>
          <w:sz w:val="24"/>
          <w:szCs w:val="24"/>
          <w:u w:val="single"/>
          <w:vertAlign w:val="superscript"/>
        </w:rPr>
        <w:t>3</w:t>
      </w:r>
      <w:r>
        <w:rPr>
          <w:rFonts w:hint="eastAsia" w:ascii="Times New Roman" w:hAnsi="Times New Roman"/>
          <w:sz w:val="24"/>
          <w:szCs w:val="24"/>
          <w:u w:val="single"/>
        </w:rPr>
        <w:t>的初期雨水池进行收集，收集后的初期雨水经沉淀后回用于项目水雾喷淋降尘系统使用</w:t>
      </w:r>
      <w:bookmarkEnd w:id="119"/>
      <w:r>
        <w:rPr>
          <w:rFonts w:hint="eastAsia" w:ascii="Times New Roman" w:hAnsi="Times New Roman"/>
          <w:sz w:val="24"/>
          <w:szCs w:val="24"/>
          <w:u w:val="single"/>
        </w:rPr>
        <w:t>。</w:t>
      </w:r>
    </w:p>
    <w:p w14:paraId="721E6ECA">
      <w:pPr>
        <w:pStyle w:val="6"/>
        <w:numPr>
          <w:ilvl w:val="2"/>
          <w:numId w:val="3"/>
        </w:numPr>
      </w:pPr>
      <w:r>
        <w:t>噪声</w:t>
      </w:r>
    </w:p>
    <w:p w14:paraId="148D1FF1">
      <w:pPr>
        <w:snapToGrid w:val="0"/>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项目主要</w:t>
      </w:r>
      <w:bookmarkStart w:id="120" w:name="OLE_LINK8"/>
      <w:r>
        <w:rPr>
          <w:rFonts w:ascii="Times New Roman" w:hAnsi="Times New Roman"/>
          <w:spacing w:val="-2"/>
          <w:kern w:val="0"/>
          <w:sz w:val="24"/>
          <w:szCs w:val="20"/>
        </w:rPr>
        <w:t>高噪声设备有磁选机、烘干炉及引风机、除尘器配套风机等。项目选用低噪声设备，生产设备采取基础减震、厂房隔声、风机独立隔声间等方式降低噪声源强。</w:t>
      </w:r>
      <w:bookmarkEnd w:id="120"/>
      <w:r>
        <w:rPr>
          <w:rFonts w:ascii="Times New Roman" w:hAnsi="Times New Roman"/>
          <w:spacing w:val="-2"/>
          <w:kern w:val="0"/>
          <w:sz w:val="24"/>
          <w:szCs w:val="20"/>
        </w:rPr>
        <w:t>项目设备噪声源强在70～85dB（A）之间。项目主要噪声源</w:t>
      </w:r>
      <w:r>
        <w:rPr>
          <w:rFonts w:hint="eastAsia" w:ascii="Times New Roman" w:hAnsi="Times New Roman"/>
          <w:spacing w:val="-2"/>
          <w:kern w:val="0"/>
          <w:sz w:val="24"/>
          <w:szCs w:val="20"/>
        </w:rPr>
        <w:t>经过</w:t>
      </w:r>
      <w:r>
        <w:rPr>
          <w:rFonts w:ascii="Times New Roman" w:hAnsi="Times New Roman"/>
          <w:spacing w:val="-2"/>
          <w:kern w:val="0"/>
          <w:sz w:val="24"/>
          <w:szCs w:val="20"/>
        </w:rPr>
        <w:t>声源</w:t>
      </w:r>
      <w:r>
        <w:rPr>
          <w:rFonts w:hint="eastAsia" w:ascii="Times New Roman" w:hAnsi="Times New Roman"/>
          <w:spacing w:val="-2"/>
          <w:kern w:val="0"/>
          <w:sz w:val="24"/>
          <w:szCs w:val="20"/>
        </w:rPr>
        <w:t>降噪后的</w:t>
      </w:r>
      <w:r>
        <w:rPr>
          <w:rFonts w:ascii="Times New Roman" w:hAnsi="Times New Roman"/>
          <w:spacing w:val="-2"/>
          <w:kern w:val="0"/>
          <w:sz w:val="24"/>
          <w:szCs w:val="20"/>
        </w:rPr>
        <w:t>情况见表2.3-1</w:t>
      </w:r>
      <w:r>
        <w:rPr>
          <w:rFonts w:hint="eastAsia" w:ascii="Times New Roman" w:hAnsi="Times New Roman"/>
          <w:spacing w:val="-2"/>
          <w:kern w:val="0"/>
          <w:sz w:val="24"/>
          <w:szCs w:val="20"/>
        </w:rPr>
        <w:t>6</w:t>
      </w:r>
      <w:r>
        <w:rPr>
          <w:rFonts w:ascii="Times New Roman" w:hAnsi="Times New Roman"/>
          <w:spacing w:val="-2"/>
          <w:kern w:val="0"/>
          <w:sz w:val="24"/>
          <w:szCs w:val="20"/>
        </w:rPr>
        <w:t>。</w:t>
      </w:r>
    </w:p>
    <w:p w14:paraId="050F0B0A">
      <w:pPr>
        <w:pStyle w:val="8"/>
        <w:numPr>
          <w:ilvl w:val="4"/>
          <w:numId w:val="3"/>
        </w:numPr>
        <w:rPr>
          <w:sz w:val="24"/>
          <w:szCs w:val="24"/>
        </w:rPr>
      </w:pPr>
      <w:bookmarkStart w:id="121" w:name="OLE_LINK11"/>
      <w:r>
        <w:rPr>
          <w:sz w:val="24"/>
          <w:szCs w:val="24"/>
        </w:rPr>
        <w:t>项目主要噪声源</w:t>
      </w:r>
    </w:p>
    <w:bookmarkEnd w:id="121"/>
    <w:tbl>
      <w:tblPr>
        <w:tblStyle w:val="88"/>
        <w:tblW w:w="877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52"/>
        <w:gridCol w:w="709"/>
        <w:gridCol w:w="1276"/>
        <w:gridCol w:w="1134"/>
        <w:gridCol w:w="850"/>
        <w:gridCol w:w="1985"/>
        <w:gridCol w:w="1134"/>
        <w:gridCol w:w="1134"/>
      </w:tblGrid>
      <w:tr w14:paraId="3B0C25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552" w:type="dxa"/>
            <w:vAlign w:val="center"/>
          </w:tcPr>
          <w:p w14:paraId="2D2731BC">
            <w:pPr>
              <w:jc w:val="center"/>
              <w:rPr>
                <w:rFonts w:ascii="Times New Roman" w:hAnsi="Times New Roman"/>
                <w:b/>
                <w:bCs/>
                <w:spacing w:val="-2"/>
                <w:kern w:val="0"/>
                <w:szCs w:val="21"/>
              </w:rPr>
            </w:pPr>
            <w:r>
              <w:rPr>
                <w:rFonts w:ascii="Times New Roman" w:hAnsi="Times New Roman"/>
                <w:b/>
                <w:bCs/>
                <w:spacing w:val="-2"/>
                <w:kern w:val="0"/>
                <w:szCs w:val="21"/>
              </w:rPr>
              <w:t>序号</w:t>
            </w:r>
          </w:p>
        </w:tc>
        <w:tc>
          <w:tcPr>
            <w:tcW w:w="709" w:type="dxa"/>
            <w:vAlign w:val="center"/>
          </w:tcPr>
          <w:p w14:paraId="53ABCE7D">
            <w:pPr>
              <w:jc w:val="center"/>
              <w:rPr>
                <w:rFonts w:ascii="Times New Roman" w:hAnsi="Times New Roman"/>
                <w:b/>
                <w:bCs/>
                <w:spacing w:val="-2"/>
                <w:kern w:val="0"/>
                <w:szCs w:val="21"/>
              </w:rPr>
            </w:pPr>
            <w:r>
              <w:rPr>
                <w:rFonts w:ascii="Times New Roman" w:hAnsi="Times New Roman"/>
                <w:b/>
                <w:bCs/>
                <w:spacing w:val="-2"/>
                <w:kern w:val="0"/>
                <w:szCs w:val="21"/>
              </w:rPr>
              <w:t>车间</w:t>
            </w:r>
          </w:p>
          <w:p w14:paraId="011D7F69">
            <w:pPr>
              <w:jc w:val="center"/>
              <w:rPr>
                <w:rFonts w:ascii="Times New Roman" w:hAnsi="Times New Roman"/>
                <w:b/>
                <w:bCs/>
                <w:spacing w:val="-2"/>
                <w:kern w:val="0"/>
                <w:szCs w:val="21"/>
              </w:rPr>
            </w:pPr>
            <w:r>
              <w:rPr>
                <w:rFonts w:ascii="Times New Roman" w:hAnsi="Times New Roman"/>
                <w:b/>
                <w:bCs/>
                <w:spacing w:val="-2"/>
                <w:kern w:val="0"/>
                <w:szCs w:val="21"/>
              </w:rPr>
              <w:t>名称</w:t>
            </w:r>
          </w:p>
        </w:tc>
        <w:tc>
          <w:tcPr>
            <w:tcW w:w="1276" w:type="dxa"/>
            <w:vAlign w:val="center"/>
          </w:tcPr>
          <w:p w14:paraId="63AD8522">
            <w:pPr>
              <w:jc w:val="center"/>
              <w:rPr>
                <w:rFonts w:ascii="Times New Roman" w:hAnsi="Times New Roman"/>
                <w:b/>
                <w:bCs/>
                <w:spacing w:val="-2"/>
                <w:kern w:val="0"/>
                <w:szCs w:val="21"/>
              </w:rPr>
            </w:pPr>
            <w:r>
              <w:rPr>
                <w:rFonts w:ascii="Times New Roman" w:hAnsi="Times New Roman"/>
                <w:b/>
                <w:bCs/>
                <w:spacing w:val="-2"/>
                <w:kern w:val="0"/>
                <w:szCs w:val="21"/>
              </w:rPr>
              <w:t>主要噪声源</w:t>
            </w:r>
          </w:p>
        </w:tc>
        <w:tc>
          <w:tcPr>
            <w:tcW w:w="1134" w:type="dxa"/>
            <w:vAlign w:val="center"/>
          </w:tcPr>
          <w:p w14:paraId="12D946B7">
            <w:pPr>
              <w:spacing w:line="320" w:lineRule="exact"/>
              <w:rPr>
                <w:rFonts w:ascii="Times New Roman" w:hAnsi="Times New Roman"/>
                <w:b/>
                <w:bCs/>
                <w:spacing w:val="-2"/>
                <w:szCs w:val="21"/>
              </w:rPr>
            </w:pPr>
            <w:r>
              <w:rPr>
                <w:rFonts w:ascii="Times New Roman" w:hAnsi="Times New Roman"/>
                <w:b/>
                <w:bCs/>
                <w:spacing w:val="-2"/>
                <w:kern w:val="0"/>
                <w:szCs w:val="21"/>
              </w:rPr>
              <w:t>单台设备声压级dB（A）</w:t>
            </w:r>
          </w:p>
        </w:tc>
        <w:tc>
          <w:tcPr>
            <w:tcW w:w="850" w:type="dxa"/>
            <w:vAlign w:val="center"/>
          </w:tcPr>
          <w:p w14:paraId="347AA5DC">
            <w:pPr>
              <w:jc w:val="center"/>
              <w:rPr>
                <w:rFonts w:ascii="Times New Roman" w:hAnsi="Times New Roman"/>
                <w:b/>
                <w:bCs/>
                <w:szCs w:val="21"/>
              </w:rPr>
            </w:pPr>
            <w:r>
              <w:rPr>
                <w:rFonts w:ascii="Times New Roman" w:hAnsi="Times New Roman"/>
                <w:b/>
                <w:bCs/>
                <w:spacing w:val="-2"/>
                <w:kern w:val="0"/>
                <w:szCs w:val="21"/>
              </w:rPr>
              <w:t>数量（台）</w:t>
            </w:r>
          </w:p>
        </w:tc>
        <w:tc>
          <w:tcPr>
            <w:tcW w:w="1985" w:type="dxa"/>
            <w:vAlign w:val="center"/>
          </w:tcPr>
          <w:p w14:paraId="6039B86B">
            <w:pPr>
              <w:jc w:val="center"/>
              <w:rPr>
                <w:rFonts w:ascii="Times New Roman" w:hAnsi="Times New Roman"/>
                <w:b/>
                <w:bCs/>
                <w:szCs w:val="21"/>
              </w:rPr>
            </w:pPr>
            <w:r>
              <w:rPr>
                <w:rFonts w:ascii="Times New Roman" w:hAnsi="Times New Roman"/>
                <w:b/>
                <w:bCs/>
                <w:szCs w:val="21"/>
              </w:rPr>
              <w:t>噪声源治理措施</w:t>
            </w:r>
          </w:p>
        </w:tc>
        <w:tc>
          <w:tcPr>
            <w:tcW w:w="1134" w:type="dxa"/>
            <w:vAlign w:val="center"/>
          </w:tcPr>
          <w:p w14:paraId="2164D65C">
            <w:pPr>
              <w:jc w:val="center"/>
              <w:rPr>
                <w:rFonts w:ascii="Times New Roman" w:hAnsi="Times New Roman"/>
                <w:b/>
                <w:bCs/>
                <w:szCs w:val="21"/>
              </w:rPr>
            </w:pPr>
            <w:r>
              <w:rPr>
                <w:rFonts w:hint="eastAsia" w:ascii="Times New Roman" w:hAnsi="Times New Roman"/>
                <w:b/>
                <w:bCs/>
                <w:szCs w:val="21"/>
              </w:rPr>
              <w:t>降噪措施削减量dB（A）</w:t>
            </w:r>
          </w:p>
        </w:tc>
        <w:tc>
          <w:tcPr>
            <w:tcW w:w="1134" w:type="dxa"/>
            <w:vAlign w:val="center"/>
          </w:tcPr>
          <w:p w14:paraId="34805A12">
            <w:pPr>
              <w:jc w:val="center"/>
              <w:rPr>
                <w:rFonts w:ascii="Times New Roman" w:hAnsi="Times New Roman"/>
                <w:b/>
                <w:bCs/>
                <w:szCs w:val="21"/>
              </w:rPr>
            </w:pPr>
            <w:r>
              <w:rPr>
                <w:rFonts w:hint="eastAsia" w:ascii="Times New Roman" w:hAnsi="Times New Roman"/>
                <w:b/>
                <w:bCs/>
                <w:szCs w:val="21"/>
              </w:rPr>
              <w:t>降噪后单台源强dB（A）</w:t>
            </w:r>
          </w:p>
        </w:tc>
      </w:tr>
      <w:tr w14:paraId="332747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2" w:type="dxa"/>
            <w:vAlign w:val="center"/>
          </w:tcPr>
          <w:p w14:paraId="5C04ABF9">
            <w:pPr>
              <w:jc w:val="center"/>
              <w:rPr>
                <w:rFonts w:ascii="Times New Roman" w:hAnsi="Times New Roman"/>
                <w:spacing w:val="-2"/>
                <w:kern w:val="0"/>
                <w:szCs w:val="21"/>
              </w:rPr>
            </w:pPr>
            <w:r>
              <w:rPr>
                <w:rFonts w:ascii="Times New Roman" w:hAnsi="Times New Roman"/>
                <w:spacing w:val="-2"/>
                <w:kern w:val="0"/>
                <w:szCs w:val="21"/>
              </w:rPr>
              <w:t>1</w:t>
            </w:r>
          </w:p>
        </w:tc>
        <w:tc>
          <w:tcPr>
            <w:tcW w:w="709" w:type="dxa"/>
            <w:vMerge w:val="restart"/>
            <w:vAlign w:val="center"/>
          </w:tcPr>
          <w:p w14:paraId="3A466672">
            <w:pPr>
              <w:jc w:val="center"/>
              <w:rPr>
                <w:rFonts w:ascii="Times New Roman" w:hAnsi="Times New Roman"/>
                <w:spacing w:val="-2"/>
                <w:kern w:val="0"/>
                <w:szCs w:val="21"/>
              </w:rPr>
            </w:pPr>
            <w:r>
              <w:rPr>
                <w:rFonts w:ascii="Times New Roman" w:hAnsi="Times New Roman"/>
                <w:spacing w:val="-2"/>
                <w:kern w:val="0"/>
                <w:szCs w:val="21"/>
              </w:rPr>
              <w:t>1#原料处理车间</w:t>
            </w:r>
          </w:p>
        </w:tc>
        <w:tc>
          <w:tcPr>
            <w:tcW w:w="1276" w:type="dxa"/>
            <w:vAlign w:val="center"/>
          </w:tcPr>
          <w:p w14:paraId="39D4E7F9">
            <w:pPr>
              <w:jc w:val="center"/>
              <w:rPr>
                <w:rFonts w:ascii="Times New Roman" w:hAnsi="Times New Roman"/>
                <w:spacing w:val="-2"/>
                <w:kern w:val="0"/>
                <w:szCs w:val="21"/>
              </w:rPr>
            </w:pPr>
            <w:r>
              <w:rPr>
                <w:rFonts w:ascii="Times New Roman" w:hAnsi="Times New Roman"/>
                <w:spacing w:val="-2"/>
                <w:kern w:val="0"/>
                <w:szCs w:val="21"/>
              </w:rPr>
              <w:t>烘干机</w:t>
            </w:r>
          </w:p>
        </w:tc>
        <w:tc>
          <w:tcPr>
            <w:tcW w:w="1134" w:type="dxa"/>
            <w:vAlign w:val="center"/>
          </w:tcPr>
          <w:p w14:paraId="37D41D04">
            <w:pPr>
              <w:spacing w:line="320" w:lineRule="exact"/>
              <w:ind w:left="420" w:hanging="420"/>
              <w:jc w:val="center"/>
              <w:rPr>
                <w:rFonts w:ascii="Times New Roman" w:hAnsi="Times New Roman"/>
                <w:spacing w:val="-2"/>
                <w:szCs w:val="21"/>
              </w:rPr>
            </w:pPr>
            <w:r>
              <w:rPr>
                <w:rFonts w:ascii="Times New Roman" w:hAnsi="Times New Roman"/>
                <w:spacing w:val="-2"/>
                <w:szCs w:val="21"/>
              </w:rPr>
              <w:t>80</w:t>
            </w:r>
          </w:p>
        </w:tc>
        <w:tc>
          <w:tcPr>
            <w:tcW w:w="850" w:type="dxa"/>
            <w:vAlign w:val="center"/>
          </w:tcPr>
          <w:p w14:paraId="5F69E8F6">
            <w:pPr>
              <w:jc w:val="center"/>
              <w:rPr>
                <w:rFonts w:ascii="Times New Roman" w:hAnsi="Times New Roman"/>
                <w:szCs w:val="21"/>
              </w:rPr>
            </w:pPr>
            <w:r>
              <w:rPr>
                <w:rFonts w:ascii="Times New Roman" w:hAnsi="Times New Roman"/>
                <w:szCs w:val="21"/>
              </w:rPr>
              <w:t>1</w:t>
            </w:r>
          </w:p>
        </w:tc>
        <w:tc>
          <w:tcPr>
            <w:tcW w:w="1985" w:type="dxa"/>
            <w:vAlign w:val="center"/>
          </w:tcPr>
          <w:p w14:paraId="7D1AFC48">
            <w:pPr>
              <w:jc w:val="center"/>
              <w:rPr>
                <w:rFonts w:ascii="Times New Roman" w:hAnsi="Times New Roman"/>
                <w:szCs w:val="21"/>
              </w:rPr>
            </w:pPr>
            <w:r>
              <w:rPr>
                <w:rFonts w:ascii="Times New Roman" w:hAnsi="Times New Roman"/>
                <w:szCs w:val="21"/>
              </w:rPr>
              <w:t>基础减振</w:t>
            </w:r>
          </w:p>
        </w:tc>
        <w:tc>
          <w:tcPr>
            <w:tcW w:w="1134" w:type="dxa"/>
            <w:vAlign w:val="center"/>
          </w:tcPr>
          <w:p w14:paraId="0F4D4AF9">
            <w:pPr>
              <w:jc w:val="center"/>
              <w:rPr>
                <w:rFonts w:ascii="Times New Roman" w:hAnsi="Times New Roman"/>
                <w:szCs w:val="21"/>
              </w:rPr>
            </w:pPr>
            <w:r>
              <w:rPr>
                <w:rFonts w:hint="eastAsia" w:ascii="Times New Roman" w:hAnsi="Times New Roman"/>
                <w:szCs w:val="21"/>
              </w:rPr>
              <w:t>5</w:t>
            </w:r>
          </w:p>
        </w:tc>
        <w:tc>
          <w:tcPr>
            <w:tcW w:w="1134" w:type="dxa"/>
            <w:vAlign w:val="center"/>
          </w:tcPr>
          <w:p w14:paraId="2341ECD4">
            <w:pPr>
              <w:jc w:val="center"/>
              <w:rPr>
                <w:rFonts w:ascii="Times New Roman" w:hAnsi="Times New Roman"/>
                <w:szCs w:val="21"/>
              </w:rPr>
            </w:pPr>
            <w:r>
              <w:rPr>
                <w:rFonts w:ascii="Times New Roman" w:hAnsi="Times New Roman"/>
                <w:szCs w:val="21"/>
              </w:rPr>
              <w:t>75</w:t>
            </w:r>
          </w:p>
        </w:tc>
      </w:tr>
      <w:tr w14:paraId="628A22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2" w:type="dxa"/>
            <w:vAlign w:val="center"/>
          </w:tcPr>
          <w:p w14:paraId="04F29679">
            <w:pPr>
              <w:jc w:val="center"/>
              <w:rPr>
                <w:rFonts w:ascii="Times New Roman" w:hAnsi="Times New Roman"/>
                <w:spacing w:val="-2"/>
                <w:kern w:val="0"/>
                <w:szCs w:val="21"/>
              </w:rPr>
            </w:pPr>
            <w:r>
              <w:rPr>
                <w:rFonts w:ascii="Times New Roman" w:hAnsi="Times New Roman"/>
                <w:spacing w:val="-2"/>
                <w:kern w:val="0"/>
                <w:szCs w:val="21"/>
              </w:rPr>
              <w:t>2</w:t>
            </w:r>
          </w:p>
        </w:tc>
        <w:tc>
          <w:tcPr>
            <w:tcW w:w="709" w:type="dxa"/>
            <w:vMerge w:val="continue"/>
            <w:vAlign w:val="center"/>
          </w:tcPr>
          <w:p w14:paraId="698343EC">
            <w:pPr>
              <w:widowControl/>
              <w:jc w:val="center"/>
              <w:rPr>
                <w:rFonts w:ascii="Times New Roman" w:hAnsi="Times New Roman"/>
                <w:spacing w:val="-2"/>
                <w:kern w:val="0"/>
                <w:szCs w:val="21"/>
              </w:rPr>
            </w:pPr>
          </w:p>
        </w:tc>
        <w:tc>
          <w:tcPr>
            <w:tcW w:w="1276" w:type="dxa"/>
            <w:vAlign w:val="center"/>
          </w:tcPr>
          <w:p w14:paraId="6BD195C4">
            <w:pPr>
              <w:jc w:val="center"/>
              <w:rPr>
                <w:rFonts w:ascii="Times New Roman" w:hAnsi="Times New Roman"/>
                <w:spacing w:val="-2"/>
                <w:kern w:val="0"/>
                <w:szCs w:val="21"/>
              </w:rPr>
            </w:pPr>
            <w:r>
              <w:rPr>
                <w:rFonts w:ascii="Times New Roman" w:hAnsi="Times New Roman"/>
                <w:spacing w:val="-2"/>
                <w:kern w:val="0"/>
                <w:szCs w:val="21"/>
              </w:rPr>
              <w:t>皮带输送机</w:t>
            </w:r>
          </w:p>
        </w:tc>
        <w:tc>
          <w:tcPr>
            <w:tcW w:w="1134" w:type="dxa"/>
            <w:vAlign w:val="center"/>
          </w:tcPr>
          <w:p w14:paraId="626B62A8">
            <w:pPr>
              <w:spacing w:line="320" w:lineRule="exact"/>
              <w:jc w:val="center"/>
              <w:rPr>
                <w:rFonts w:ascii="Times New Roman" w:hAnsi="Times New Roman"/>
                <w:spacing w:val="-2"/>
                <w:kern w:val="0"/>
                <w:szCs w:val="21"/>
              </w:rPr>
            </w:pPr>
            <w:r>
              <w:rPr>
                <w:rFonts w:ascii="Times New Roman" w:hAnsi="Times New Roman"/>
                <w:spacing w:val="-2"/>
                <w:kern w:val="0"/>
                <w:szCs w:val="21"/>
              </w:rPr>
              <w:t>75</w:t>
            </w:r>
          </w:p>
        </w:tc>
        <w:tc>
          <w:tcPr>
            <w:tcW w:w="850" w:type="dxa"/>
            <w:vAlign w:val="center"/>
          </w:tcPr>
          <w:p w14:paraId="4CB4BAF2">
            <w:pPr>
              <w:jc w:val="center"/>
              <w:rPr>
                <w:rFonts w:ascii="Times New Roman" w:hAnsi="Times New Roman"/>
                <w:szCs w:val="21"/>
              </w:rPr>
            </w:pPr>
            <w:r>
              <w:rPr>
                <w:rFonts w:ascii="Times New Roman" w:hAnsi="Times New Roman"/>
                <w:szCs w:val="21"/>
              </w:rPr>
              <w:t>1</w:t>
            </w:r>
          </w:p>
        </w:tc>
        <w:tc>
          <w:tcPr>
            <w:tcW w:w="1985" w:type="dxa"/>
            <w:vAlign w:val="center"/>
          </w:tcPr>
          <w:p w14:paraId="4C74AFAD">
            <w:pPr>
              <w:jc w:val="center"/>
              <w:rPr>
                <w:rFonts w:ascii="Times New Roman" w:hAnsi="Times New Roman"/>
                <w:szCs w:val="21"/>
              </w:rPr>
            </w:pPr>
            <w:r>
              <w:rPr>
                <w:rFonts w:ascii="Times New Roman" w:hAnsi="Times New Roman"/>
                <w:szCs w:val="21"/>
              </w:rPr>
              <w:t>基础减振</w:t>
            </w:r>
          </w:p>
        </w:tc>
        <w:tc>
          <w:tcPr>
            <w:tcW w:w="1134" w:type="dxa"/>
            <w:vAlign w:val="center"/>
          </w:tcPr>
          <w:p w14:paraId="338470EA">
            <w:pPr>
              <w:jc w:val="center"/>
              <w:rPr>
                <w:rFonts w:ascii="Times New Roman" w:hAnsi="Times New Roman"/>
                <w:szCs w:val="21"/>
              </w:rPr>
            </w:pPr>
            <w:r>
              <w:rPr>
                <w:rFonts w:hint="eastAsia" w:ascii="Times New Roman" w:hAnsi="Times New Roman"/>
                <w:szCs w:val="21"/>
              </w:rPr>
              <w:t>5</w:t>
            </w:r>
          </w:p>
        </w:tc>
        <w:tc>
          <w:tcPr>
            <w:tcW w:w="1134" w:type="dxa"/>
            <w:vAlign w:val="center"/>
          </w:tcPr>
          <w:p w14:paraId="7AEC9E84">
            <w:pPr>
              <w:jc w:val="center"/>
              <w:rPr>
                <w:rFonts w:ascii="Times New Roman" w:hAnsi="Times New Roman"/>
                <w:szCs w:val="21"/>
              </w:rPr>
            </w:pPr>
            <w:r>
              <w:rPr>
                <w:rFonts w:ascii="Times New Roman" w:hAnsi="Times New Roman"/>
                <w:szCs w:val="21"/>
              </w:rPr>
              <w:t>65</w:t>
            </w:r>
          </w:p>
        </w:tc>
      </w:tr>
      <w:tr w14:paraId="0AD29A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2" w:type="dxa"/>
            <w:vAlign w:val="center"/>
          </w:tcPr>
          <w:p w14:paraId="684D9AF8">
            <w:pPr>
              <w:jc w:val="center"/>
              <w:rPr>
                <w:rFonts w:ascii="Times New Roman" w:hAnsi="Times New Roman"/>
                <w:spacing w:val="-2"/>
                <w:kern w:val="0"/>
                <w:szCs w:val="21"/>
              </w:rPr>
            </w:pPr>
            <w:r>
              <w:rPr>
                <w:rFonts w:ascii="Times New Roman" w:hAnsi="Times New Roman"/>
                <w:spacing w:val="-2"/>
                <w:kern w:val="0"/>
                <w:szCs w:val="21"/>
              </w:rPr>
              <w:t>3</w:t>
            </w:r>
          </w:p>
        </w:tc>
        <w:tc>
          <w:tcPr>
            <w:tcW w:w="709" w:type="dxa"/>
            <w:vMerge w:val="continue"/>
            <w:vAlign w:val="center"/>
          </w:tcPr>
          <w:p w14:paraId="043F03A6">
            <w:pPr>
              <w:widowControl/>
              <w:jc w:val="center"/>
              <w:rPr>
                <w:rFonts w:ascii="Times New Roman" w:hAnsi="Times New Roman"/>
                <w:spacing w:val="-2"/>
                <w:kern w:val="0"/>
                <w:szCs w:val="21"/>
              </w:rPr>
            </w:pPr>
          </w:p>
        </w:tc>
        <w:tc>
          <w:tcPr>
            <w:tcW w:w="1276" w:type="dxa"/>
            <w:vAlign w:val="center"/>
          </w:tcPr>
          <w:p w14:paraId="007BABD5">
            <w:pPr>
              <w:jc w:val="center"/>
              <w:rPr>
                <w:rFonts w:ascii="Times New Roman" w:hAnsi="Times New Roman"/>
                <w:spacing w:val="-2"/>
                <w:kern w:val="0"/>
                <w:szCs w:val="21"/>
              </w:rPr>
            </w:pPr>
            <w:r>
              <w:rPr>
                <w:rFonts w:ascii="Times New Roman" w:hAnsi="Times New Roman"/>
                <w:spacing w:val="-2"/>
                <w:kern w:val="0"/>
                <w:szCs w:val="21"/>
              </w:rPr>
              <w:t>装载机</w:t>
            </w:r>
          </w:p>
        </w:tc>
        <w:tc>
          <w:tcPr>
            <w:tcW w:w="1134" w:type="dxa"/>
            <w:vAlign w:val="center"/>
          </w:tcPr>
          <w:p w14:paraId="237BCA85">
            <w:pPr>
              <w:spacing w:line="320" w:lineRule="exact"/>
              <w:jc w:val="center"/>
              <w:rPr>
                <w:rFonts w:ascii="Times New Roman" w:hAnsi="Times New Roman"/>
                <w:spacing w:val="-2"/>
                <w:kern w:val="0"/>
                <w:szCs w:val="21"/>
              </w:rPr>
            </w:pPr>
            <w:r>
              <w:rPr>
                <w:rFonts w:ascii="Times New Roman" w:hAnsi="Times New Roman"/>
                <w:spacing w:val="-2"/>
                <w:szCs w:val="21"/>
              </w:rPr>
              <w:t>75</w:t>
            </w:r>
          </w:p>
        </w:tc>
        <w:tc>
          <w:tcPr>
            <w:tcW w:w="850" w:type="dxa"/>
            <w:vAlign w:val="center"/>
          </w:tcPr>
          <w:p w14:paraId="5F151660">
            <w:pPr>
              <w:jc w:val="center"/>
              <w:rPr>
                <w:rFonts w:ascii="Times New Roman" w:hAnsi="Times New Roman"/>
                <w:szCs w:val="21"/>
              </w:rPr>
            </w:pPr>
            <w:r>
              <w:rPr>
                <w:rFonts w:ascii="Times New Roman" w:hAnsi="Times New Roman"/>
                <w:szCs w:val="21"/>
              </w:rPr>
              <w:t>1</w:t>
            </w:r>
          </w:p>
        </w:tc>
        <w:tc>
          <w:tcPr>
            <w:tcW w:w="1985" w:type="dxa"/>
            <w:vAlign w:val="center"/>
          </w:tcPr>
          <w:p w14:paraId="47083FD9">
            <w:pPr>
              <w:jc w:val="center"/>
              <w:rPr>
                <w:rFonts w:ascii="Times New Roman" w:hAnsi="Times New Roman"/>
                <w:szCs w:val="21"/>
              </w:rPr>
            </w:pPr>
            <w:r>
              <w:rPr>
                <w:rFonts w:ascii="Times New Roman" w:hAnsi="Times New Roman"/>
                <w:szCs w:val="21"/>
              </w:rPr>
              <w:t>/</w:t>
            </w:r>
          </w:p>
        </w:tc>
        <w:tc>
          <w:tcPr>
            <w:tcW w:w="1134" w:type="dxa"/>
            <w:vAlign w:val="center"/>
          </w:tcPr>
          <w:p w14:paraId="22863742">
            <w:pPr>
              <w:jc w:val="center"/>
              <w:rPr>
                <w:rFonts w:ascii="Times New Roman" w:hAnsi="Times New Roman"/>
                <w:szCs w:val="21"/>
              </w:rPr>
            </w:pPr>
            <w:r>
              <w:rPr>
                <w:rFonts w:hint="eastAsia" w:ascii="Times New Roman" w:hAnsi="Times New Roman"/>
                <w:szCs w:val="21"/>
              </w:rPr>
              <w:t>0</w:t>
            </w:r>
          </w:p>
        </w:tc>
        <w:tc>
          <w:tcPr>
            <w:tcW w:w="1134" w:type="dxa"/>
            <w:vAlign w:val="center"/>
          </w:tcPr>
          <w:p w14:paraId="1202A723">
            <w:pPr>
              <w:jc w:val="center"/>
              <w:rPr>
                <w:rFonts w:ascii="Times New Roman" w:hAnsi="Times New Roman"/>
                <w:szCs w:val="21"/>
              </w:rPr>
            </w:pPr>
            <w:r>
              <w:rPr>
                <w:rFonts w:ascii="Times New Roman" w:hAnsi="Times New Roman"/>
                <w:szCs w:val="21"/>
              </w:rPr>
              <w:t>75</w:t>
            </w:r>
          </w:p>
        </w:tc>
      </w:tr>
      <w:tr w14:paraId="657F6D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2" w:type="dxa"/>
            <w:vAlign w:val="center"/>
          </w:tcPr>
          <w:p w14:paraId="4C6F57C6">
            <w:pPr>
              <w:jc w:val="center"/>
              <w:rPr>
                <w:rFonts w:ascii="Times New Roman" w:hAnsi="Times New Roman"/>
                <w:spacing w:val="-2"/>
                <w:kern w:val="0"/>
                <w:szCs w:val="21"/>
              </w:rPr>
            </w:pPr>
            <w:r>
              <w:rPr>
                <w:rFonts w:ascii="Times New Roman" w:hAnsi="Times New Roman"/>
                <w:spacing w:val="-2"/>
                <w:kern w:val="0"/>
                <w:szCs w:val="21"/>
              </w:rPr>
              <w:t>4</w:t>
            </w:r>
          </w:p>
        </w:tc>
        <w:tc>
          <w:tcPr>
            <w:tcW w:w="709" w:type="dxa"/>
            <w:vMerge w:val="continue"/>
            <w:vAlign w:val="center"/>
          </w:tcPr>
          <w:p w14:paraId="66872FD4">
            <w:pPr>
              <w:widowControl/>
              <w:jc w:val="center"/>
              <w:rPr>
                <w:rFonts w:ascii="Times New Roman" w:hAnsi="Times New Roman"/>
                <w:spacing w:val="-2"/>
                <w:kern w:val="0"/>
                <w:szCs w:val="21"/>
              </w:rPr>
            </w:pPr>
          </w:p>
        </w:tc>
        <w:tc>
          <w:tcPr>
            <w:tcW w:w="1276" w:type="dxa"/>
            <w:vAlign w:val="center"/>
          </w:tcPr>
          <w:p w14:paraId="6B42BD3E">
            <w:pPr>
              <w:jc w:val="center"/>
              <w:rPr>
                <w:rFonts w:ascii="Times New Roman" w:hAnsi="Times New Roman"/>
                <w:spacing w:val="-2"/>
                <w:kern w:val="0"/>
                <w:szCs w:val="21"/>
              </w:rPr>
            </w:pPr>
            <w:r>
              <w:rPr>
                <w:rFonts w:ascii="Times New Roman" w:hAnsi="Times New Roman"/>
                <w:spacing w:val="-2"/>
                <w:kern w:val="0"/>
                <w:szCs w:val="21"/>
              </w:rPr>
              <w:t>烘干炉引风机</w:t>
            </w:r>
          </w:p>
        </w:tc>
        <w:tc>
          <w:tcPr>
            <w:tcW w:w="1134" w:type="dxa"/>
            <w:vAlign w:val="center"/>
          </w:tcPr>
          <w:p w14:paraId="7A62DC92">
            <w:pPr>
              <w:spacing w:line="320" w:lineRule="exact"/>
              <w:jc w:val="center"/>
              <w:rPr>
                <w:rFonts w:ascii="Times New Roman" w:hAnsi="Times New Roman"/>
                <w:spacing w:val="-2"/>
                <w:szCs w:val="21"/>
              </w:rPr>
            </w:pPr>
            <w:r>
              <w:rPr>
                <w:rFonts w:ascii="Times New Roman" w:hAnsi="Times New Roman"/>
                <w:spacing w:val="-2"/>
                <w:szCs w:val="21"/>
              </w:rPr>
              <w:t>85</w:t>
            </w:r>
          </w:p>
        </w:tc>
        <w:tc>
          <w:tcPr>
            <w:tcW w:w="850" w:type="dxa"/>
            <w:vAlign w:val="center"/>
          </w:tcPr>
          <w:p w14:paraId="3DB4C05B">
            <w:pPr>
              <w:jc w:val="center"/>
              <w:rPr>
                <w:rFonts w:ascii="Times New Roman" w:hAnsi="Times New Roman"/>
                <w:szCs w:val="21"/>
              </w:rPr>
            </w:pPr>
            <w:r>
              <w:rPr>
                <w:rFonts w:ascii="Times New Roman" w:hAnsi="Times New Roman"/>
                <w:szCs w:val="21"/>
              </w:rPr>
              <w:t>1</w:t>
            </w:r>
          </w:p>
        </w:tc>
        <w:tc>
          <w:tcPr>
            <w:tcW w:w="1985" w:type="dxa"/>
            <w:vAlign w:val="center"/>
          </w:tcPr>
          <w:p w14:paraId="5A442B83">
            <w:pPr>
              <w:jc w:val="center"/>
              <w:rPr>
                <w:rFonts w:ascii="Times New Roman" w:hAnsi="Times New Roman"/>
                <w:szCs w:val="21"/>
              </w:rPr>
            </w:pPr>
            <w:r>
              <w:rPr>
                <w:rFonts w:ascii="Times New Roman" w:hAnsi="Times New Roman"/>
                <w:szCs w:val="21"/>
              </w:rPr>
              <w:t>基础减振、独立隔声间（隔音间内墙面吸声）</w:t>
            </w:r>
          </w:p>
        </w:tc>
        <w:tc>
          <w:tcPr>
            <w:tcW w:w="1134" w:type="dxa"/>
            <w:vAlign w:val="center"/>
          </w:tcPr>
          <w:p w14:paraId="0446333C">
            <w:pPr>
              <w:jc w:val="center"/>
              <w:rPr>
                <w:rFonts w:ascii="Times New Roman" w:hAnsi="Times New Roman"/>
                <w:szCs w:val="21"/>
              </w:rPr>
            </w:pPr>
            <w:r>
              <w:rPr>
                <w:rFonts w:hint="eastAsia" w:ascii="Times New Roman" w:hAnsi="Times New Roman"/>
                <w:szCs w:val="21"/>
              </w:rPr>
              <w:t>15</w:t>
            </w:r>
          </w:p>
        </w:tc>
        <w:tc>
          <w:tcPr>
            <w:tcW w:w="1134" w:type="dxa"/>
            <w:vAlign w:val="center"/>
          </w:tcPr>
          <w:p w14:paraId="142834D4">
            <w:pPr>
              <w:jc w:val="center"/>
              <w:rPr>
                <w:rFonts w:ascii="Times New Roman" w:hAnsi="Times New Roman"/>
                <w:szCs w:val="21"/>
              </w:rPr>
            </w:pPr>
            <w:r>
              <w:rPr>
                <w:rFonts w:ascii="Times New Roman" w:hAnsi="Times New Roman"/>
                <w:szCs w:val="21"/>
              </w:rPr>
              <w:t>70</w:t>
            </w:r>
          </w:p>
        </w:tc>
      </w:tr>
      <w:tr w14:paraId="36E2D3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2" w:type="dxa"/>
            <w:vAlign w:val="center"/>
          </w:tcPr>
          <w:p w14:paraId="648762DD">
            <w:pPr>
              <w:jc w:val="center"/>
              <w:rPr>
                <w:rFonts w:ascii="Times New Roman" w:hAnsi="Times New Roman"/>
                <w:spacing w:val="-2"/>
                <w:kern w:val="0"/>
                <w:szCs w:val="21"/>
              </w:rPr>
            </w:pPr>
            <w:r>
              <w:rPr>
                <w:rFonts w:ascii="Times New Roman" w:hAnsi="Times New Roman"/>
                <w:spacing w:val="-2"/>
                <w:kern w:val="0"/>
                <w:szCs w:val="21"/>
              </w:rPr>
              <w:t>5</w:t>
            </w:r>
          </w:p>
        </w:tc>
        <w:tc>
          <w:tcPr>
            <w:tcW w:w="709" w:type="dxa"/>
            <w:vMerge w:val="continue"/>
            <w:vAlign w:val="center"/>
          </w:tcPr>
          <w:p w14:paraId="38E89BA4">
            <w:pPr>
              <w:widowControl/>
              <w:jc w:val="center"/>
              <w:rPr>
                <w:rFonts w:ascii="Times New Roman" w:hAnsi="Times New Roman"/>
                <w:spacing w:val="-2"/>
                <w:kern w:val="0"/>
                <w:szCs w:val="21"/>
              </w:rPr>
            </w:pPr>
          </w:p>
        </w:tc>
        <w:tc>
          <w:tcPr>
            <w:tcW w:w="1276" w:type="dxa"/>
            <w:vAlign w:val="center"/>
          </w:tcPr>
          <w:p w14:paraId="4EA7B6DF">
            <w:pPr>
              <w:jc w:val="center"/>
              <w:rPr>
                <w:rFonts w:ascii="Times New Roman" w:hAnsi="Times New Roman"/>
                <w:spacing w:val="-2"/>
                <w:kern w:val="0"/>
                <w:szCs w:val="21"/>
              </w:rPr>
            </w:pPr>
            <w:r>
              <w:rPr>
                <w:rFonts w:ascii="Times New Roman" w:hAnsi="Times New Roman"/>
                <w:spacing w:val="-2"/>
                <w:kern w:val="0"/>
                <w:szCs w:val="21"/>
              </w:rPr>
              <w:t>烘干炉除尘器风机</w:t>
            </w:r>
          </w:p>
        </w:tc>
        <w:tc>
          <w:tcPr>
            <w:tcW w:w="1134" w:type="dxa"/>
            <w:vAlign w:val="center"/>
          </w:tcPr>
          <w:p w14:paraId="131F701E">
            <w:pPr>
              <w:spacing w:line="320" w:lineRule="exact"/>
              <w:jc w:val="center"/>
              <w:rPr>
                <w:rFonts w:ascii="Times New Roman" w:hAnsi="Times New Roman"/>
                <w:spacing w:val="-2"/>
                <w:szCs w:val="21"/>
              </w:rPr>
            </w:pPr>
            <w:r>
              <w:rPr>
                <w:rFonts w:ascii="Times New Roman" w:hAnsi="Times New Roman"/>
                <w:spacing w:val="-2"/>
                <w:szCs w:val="21"/>
              </w:rPr>
              <w:t>85</w:t>
            </w:r>
          </w:p>
        </w:tc>
        <w:tc>
          <w:tcPr>
            <w:tcW w:w="850" w:type="dxa"/>
            <w:vAlign w:val="center"/>
          </w:tcPr>
          <w:p w14:paraId="381CDFFA">
            <w:pPr>
              <w:jc w:val="center"/>
              <w:rPr>
                <w:rFonts w:ascii="Times New Roman" w:hAnsi="Times New Roman"/>
                <w:szCs w:val="21"/>
              </w:rPr>
            </w:pPr>
            <w:r>
              <w:rPr>
                <w:rFonts w:ascii="Times New Roman" w:hAnsi="Times New Roman"/>
                <w:szCs w:val="21"/>
              </w:rPr>
              <w:t>1</w:t>
            </w:r>
          </w:p>
        </w:tc>
        <w:tc>
          <w:tcPr>
            <w:tcW w:w="1985" w:type="dxa"/>
            <w:vAlign w:val="center"/>
          </w:tcPr>
          <w:p w14:paraId="46C952AF">
            <w:pPr>
              <w:jc w:val="center"/>
              <w:rPr>
                <w:rFonts w:ascii="Times New Roman" w:hAnsi="Times New Roman"/>
                <w:szCs w:val="21"/>
              </w:rPr>
            </w:pPr>
            <w:r>
              <w:rPr>
                <w:rFonts w:ascii="Times New Roman" w:hAnsi="Times New Roman"/>
                <w:szCs w:val="21"/>
              </w:rPr>
              <w:t>基础减振、独立隔声间（隔音间内墙面吸声）</w:t>
            </w:r>
          </w:p>
        </w:tc>
        <w:tc>
          <w:tcPr>
            <w:tcW w:w="1134" w:type="dxa"/>
            <w:vAlign w:val="center"/>
          </w:tcPr>
          <w:p w14:paraId="3475EDC0">
            <w:pPr>
              <w:jc w:val="center"/>
              <w:rPr>
                <w:rFonts w:ascii="Times New Roman" w:hAnsi="Times New Roman"/>
                <w:szCs w:val="21"/>
              </w:rPr>
            </w:pPr>
            <w:r>
              <w:rPr>
                <w:rFonts w:hint="eastAsia" w:ascii="Times New Roman" w:hAnsi="Times New Roman"/>
                <w:szCs w:val="21"/>
              </w:rPr>
              <w:t>15</w:t>
            </w:r>
          </w:p>
        </w:tc>
        <w:tc>
          <w:tcPr>
            <w:tcW w:w="1134" w:type="dxa"/>
            <w:vAlign w:val="center"/>
          </w:tcPr>
          <w:p w14:paraId="2B2EA0FD">
            <w:pPr>
              <w:jc w:val="center"/>
              <w:rPr>
                <w:rFonts w:ascii="Times New Roman" w:hAnsi="Times New Roman"/>
                <w:szCs w:val="21"/>
              </w:rPr>
            </w:pPr>
            <w:r>
              <w:rPr>
                <w:rFonts w:ascii="Times New Roman" w:hAnsi="Times New Roman"/>
                <w:szCs w:val="21"/>
              </w:rPr>
              <w:t>70</w:t>
            </w:r>
          </w:p>
        </w:tc>
      </w:tr>
      <w:tr w14:paraId="3A7DD0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2" w:type="dxa"/>
            <w:vAlign w:val="center"/>
          </w:tcPr>
          <w:p w14:paraId="36CFAAE0">
            <w:pPr>
              <w:jc w:val="center"/>
              <w:rPr>
                <w:rFonts w:ascii="Times New Roman" w:hAnsi="Times New Roman"/>
                <w:spacing w:val="-2"/>
                <w:kern w:val="0"/>
                <w:szCs w:val="21"/>
              </w:rPr>
            </w:pPr>
            <w:r>
              <w:rPr>
                <w:rFonts w:hint="eastAsia" w:ascii="Times New Roman" w:hAnsi="Times New Roman"/>
                <w:spacing w:val="-2"/>
                <w:kern w:val="0"/>
                <w:szCs w:val="21"/>
              </w:rPr>
              <w:t>6</w:t>
            </w:r>
          </w:p>
        </w:tc>
        <w:tc>
          <w:tcPr>
            <w:tcW w:w="709" w:type="dxa"/>
            <w:vMerge w:val="continue"/>
            <w:vAlign w:val="center"/>
          </w:tcPr>
          <w:p w14:paraId="57DB1EAD">
            <w:pPr>
              <w:widowControl/>
              <w:jc w:val="center"/>
              <w:rPr>
                <w:rFonts w:ascii="Times New Roman" w:hAnsi="Times New Roman"/>
                <w:spacing w:val="-2"/>
                <w:kern w:val="0"/>
                <w:szCs w:val="21"/>
              </w:rPr>
            </w:pPr>
          </w:p>
        </w:tc>
        <w:tc>
          <w:tcPr>
            <w:tcW w:w="1276" w:type="dxa"/>
            <w:vAlign w:val="center"/>
          </w:tcPr>
          <w:p w14:paraId="0C34C1BF">
            <w:pPr>
              <w:jc w:val="center"/>
              <w:rPr>
                <w:rFonts w:ascii="Times New Roman" w:hAnsi="Times New Roman"/>
                <w:spacing w:val="-2"/>
                <w:kern w:val="0"/>
                <w:szCs w:val="21"/>
              </w:rPr>
            </w:pPr>
            <w:r>
              <w:rPr>
                <w:rFonts w:hint="eastAsia" w:ascii="Times New Roman" w:hAnsi="Times New Roman"/>
                <w:spacing w:val="-2"/>
                <w:kern w:val="0"/>
                <w:szCs w:val="21"/>
              </w:rPr>
              <w:t>1#</w:t>
            </w:r>
            <w:r>
              <w:rPr>
                <w:rFonts w:ascii="Times New Roman" w:hAnsi="Times New Roman"/>
                <w:spacing w:val="-2"/>
                <w:kern w:val="0"/>
                <w:szCs w:val="21"/>
              </w:rPr>
              <w:t>车间粉尘除尘器风机</w:t>
            </w:r>
          </w:p>
        </w:tc>
        <w:tc>
          <w:tcPr>
            <w:tcW w:w="1134" w:type="dxa"/>
            <w:vAlign w:val="center"/>
          </w:tcPr>
          <w:p w14:paraId="5EF96944">
            <w:pPr>
              <w:spacing w:line="320" w:lineRule="exact"/>
              <w:jc w:val="center"/>
              <w:rPr>
                <w:rFonts w:ascii="Times New Roman" w:hAnsi="Times New Roman"/>
                <w:spacing w:val="-2"/>
                <w:szCs w:val="21"/>
              </w:rPr>
            </w:pPr>
            <w:r>
              <w:rPr>
                <w:rFonts w:ascii="Times New Roman" w:hAnsi="Times New Roman"/>
                <w:spacing w:val="-2"/>
                <w:kern w:val="0"/>
                <w:szCs w:val="21"/>
              </w:rPr>
              <w:t>85</w:t>
            </w:r>
          </w:p>
        </w:tc>
        <w:tc>
          <w:tcPr>
            <w:tcW w:w="850" w:type="dxa"/>
            <w:vAlign w:val="center"/>
          </w:tcPr>
          <w:p w14:paraId="21484E57">
            <w:pPr>
              <w:jc w:val="center"/>
              <w:rPr>
                <w:rFonts w:ascii="Times New Roman" w:hAnsi="Times New Roman"/>
                <w:szCs w:val="21"/>
              </w:rPr>
            </w:pPr>
            <w:r>
              <w:rPr>
                <w:rFonts w:hint="eastAsia" w:ascii="Times New Roman" w:hAnsi="Times New Roman"/>
                <w:spacing w:val="-2"/>
                <w:kern w:val="0"/>
                <w:szCs w:val="21"/>
              </w:rPr>
              <w:t>1</w:t>
            </w:r>
          </w:p>
        </w:tc>
        <w:tc>
          <w:tcPr>
            <w:tcW w:w="1985" w:type="dxa"/>
            <w:vAlign w:val="center"/>
          </w:tcPr>
          <w:p w14:paraId="6DF22403">
            <w:pPr>
              <w:jc w:val="center"/>
              <w:rPr>
                <w:rFonts w:ascii="Times New Roman" w:hAnsi="Times New Roman"/>
                <w:szCs w:val="21"/>
              </w:rPr>
            </w:pPr>
            <w:r>
              <w:rPr>
                <w:rFonts w:ascii="Times New Roman" w:hAnsi="Times New Roman"/>
                <w:szCs w:val="21"/>
              </w:rPr>
              <w:t>基础减振、独立隔声间（隔音间内墙面吸声）/</w:t>
            </w:r>
          </w:p>
        </w:tc>
        <w:tc>
          <w:tcPr>
            <w:tcW w:w="1134" w:type="dxa"/>
            <w:vAlign w:val="center"/>
          </w:tcPr>
          <w:p w14:paraId="7D5C8112">
            <w:pPr>
              <w:jc w:val="center"/>
              <w:rPr>
                <w:rFonts w:ascii="Times New Roman" w:hAnsi="Times New Roman"/>
                <w:szCs w:val="21"/>
              </w:rPr>
            </w:pPr>
            <w:r>
              <w:rPr>
                <w:rFonts w:hint="eastAsia" w:ascii="Times New Roman" w:hAnsi="Times New Roman"/>
                <w:szCs w:val="21"/>
              </w:rPr>
              <w:t>15</w:t>
            </w:r>
          </w:p>
        </w:tc>
        <w:tc>
          <w:tcPr>
            <w:tcW w:w="1134" w:type="dxa"/>
            <w:vAlign w:val="center"/>
          </w:tcPr>
          <w:p w14:paraId="60D084A6">
            <w:pPr>
              <w:jc w:val="center"/>
              <w:rPr>
                <w:rFonts w:ascii="Times New Roman" w:hAnsi="Times New Roman"/>
                <w:szCs w:val="21"/>
              </w:rPr>
            </w:pPr>
            <w:r>
              <w:rPr>
                <w:rFonts w:ascii="Times New Roman" w:hAnsi="Times New Roman"/>
                <w:szCs w:val="21"/>
              </w:rPr>
              <w:t>70</w:t>
            </w:r>
          </w:p>
        </w:tc>
      </w:tr>
      <w:tr w14:paraId="2F9BF1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2" w:type="dxa"/>
            <w:vAlign w:val="center"/>
          </w:tcPr>
          <w:p w14:paraId="07C4571C">
            <w:pPr>
              <w:jc w:val="center"/>
              <w:rPr>
                <w:rFonts w:ascii="Times New Roman" w:hAnsi="Times New Roman"/>
                <w:spacing w:val="-2"/>
                <w:kern w:val="0"/>
                <w:szCs w:val="21"/>
              </w:rPr>
            </w:pPr>
            <w:r>
              <w:rPr>
                <w:rFonts w:hint="eastAsia" w:ascii="Times New Roman" w:hAnsi="Times New Roman"/>
                <w:spacing w:val="-2"/>
                <w:kern w:val="0"/>
                <w:szCs w:val="21"/>
              </w:rPr>
              <w:t>7</w:t>
            </w:r>
          </w:p>
        </w:tc>
        <w:tc>
          <w:tcPr>
            <w:tcW w:w="709" w:type="dxa"/>
            <w:vMerge w:val="restart"/>
            <w:vAlign w:val="center"/>
          </w:tcPr>
          <w:p w14:paraId="124E8632">
            <w:pPr>
              <w:widowControl/>
              <w:jc w:val="center"/>
              <w:rPr>
                <w:rFonts w:ascii="Times New Roman" w:hAnsi="Times New Roman"/>
                <w:spacing w:val="-2"/>
                <w:kern w:val="0"/>
                <w:szCs w:val="21"/>
              </w:rPr>
            </w:pPr>
            <w:r>
              <w:rPr>
                <w:rFonts w:ascii="Times New Roman" w:hAnsi="Times New Roman"/>
                <w:spacing w:val="-2"/>
                <w:kern w:val="0"/>
                <w:szCs w:val="21"/>
              </w:rPr>
              <w:t>2#分选车间</w:t>
            </w:r>
          </w:p>
        </w:tc>
        <w:tc>
          <w:tcPr>
            <w:tcW w:w="1276" w:type="dxa"/>
            <w:vAlign w:val="center"/>
          </w:tcPr>
          <w:p w14:paraId="697EE867">
            <w:pPr>
              <w:jc w:val="center"/>
              <w:rPr>
                <w:rFonts w:ascii="Times New Roman" w:hAnsi="Times New Roman"/>
                <w:spacing w:val="-2"/>
                <w:kern w:val="0"/>
                <w:szCs w:val="21"/>
              </w:rPr>
            </w:pPr>
            <w:r>
              <w:rPr>
                <w:rFonts w:ascii="Times New Roman" w:hAnsi="Times New Roman"/>
                <w:spacing w:val="-2"/>
                <w:kern w:val="0"/>
                <w:szCs w:val="21"/>
              </w:rPr>
              <w:t>皮带输送机</w:t>
            </w:r>
          </w:p>
        </w:tc>
        <w:tc>
          <w:tcPr>
            <w:tcW w:w="1134" w:type="dxa"/>
            <w:vAlign w:val="center"/>
          </w:tcPr>
          <w:p w14:paraId="44A6B91E">
            <w:pPr>
              <w:spacing w:line="320" w:lineRule="exact"/>
              <w:jc w:val="center"/>
              <w:rPr>
                <w:rFonts w:ascii="Times New Roman" w:hAnsi="Times New Roman"/>
                <w:spacing w:val="-2"/>
                <w:kern w:val="0"/>
                <w:szCs w:val="21"/>
              </w:rPr>
            </w:pPr>
            <w:r>
              <w:rPr>
                <w:rFonts w:ascii="Times New Roman" w:hAnsi="Times New Roman"/>
                <w:spacing w:val="-2"/>
                <w:kern w:val="0"/>
                <w:szCs w:val="21"/>
              </w:rPr>
              <w:t>75</w:t>
            </w:r>
          </w:p>
        </w:tc>
        <w:tc>
          <w:tcPr>
            <w:tcW w:w="850" w:type="dxa"/>
            <w:vAlign w:val="center"/>
          </w:tcPr>
          <w:p w14:paraId="4B189DD9">
            <w:pPr>
              <w:jc w:val="center"/>
              <w:rPr>
                <w:rFonts w:ascii="Times New Roman" w:hAnsi="Times New Roman"/>
                <w:szCs w:val="21"/>
              </w:rPr>
            </w:pPr>
            <w:r>
              <w:rPr>
                <w:rFonts w:ascii="Times New Roman" w:hAnsi="Times New Roman"/>
                <w:szCs w:val="21"/>
              </w:rPr>
              <w:t>2</w:t>
            </w:r>
          </w:p>
        </w:tc>
        <w:tc>
          <w:tcPr>
            <w:tcW w:w="1985" w:type="dxa"/>
            <w:vAlign w:val="center"/>
          </w:tcPr>
          <w:p w14:paraId="0A6C6188">
            <w:pPr>
              <w:jc w:val="center"/>
              <w:rPr>
                <w:rFonts w:ascii="Times New Roman" w:hAnsi="Times New Roman"/>
                <w:szCs w:val="21"/>
              </w:rPr>
            </w:pPr>
            <w:r>
              <w:rPr>
                <w:rFonts w:ascii="Times New Roman" w:hAnsi="Times New Roman"/>
                <w:szCs w:val="21"/>
              </w:rPr>
              <w:t>基础减振</w:t>
            </w:r>
          </w:p>
        </w:tc>
        <w:tc>
          <w:tcPr>
            <w:tcW w:w="1134" w:type="dxa"/>
            <w:vAlign w:val="center"/>
          </w:tcPr>
          <w:p w14:paraId="7AE64DC2">
            <w:pPr>
              <w:jc w:val="center"/>
              <w:rPr>
                <w:rFonts w:ascii="Times New Roman" w:hAnsi="Times New Roman"/>
                <w:szCs w:val="21"/>
              </w:rPr>
            </w:pPr>
            <w:r>
              <w:rPr>
                <w:rFonts w:hint="eastAsia" w:ascii="Times New Roman" w:hAnsi="Times New Roman"/>
                <w:szCs w:val="21"/>
              </w:rPr>
              <w:t>5</w:t>
            </w:r>
          </w:p>
        </w:tc>
        <w:tc>
          <w:tcPr>
            <w:tcW w:w="1134" w:type="dxa"/>
            <w:vAlign w:val="center"/>
          </w:tcPr>
          <w:p w14:paraId="704203E2">
            <w:pPr>
              <w:jc w:val="center"/>
              <w:rPr>
                <w:rFonts w:ascii="Times New Roman" w:hAnsi="Times New Roman"/>
                <w:szCs w:val="21"/>
              </w:rPr>
            </w:pPr>
            <w:r>
              <w:rPr>
                <w:rFonts w:ascii="Times New Roman" w:hAnsi="Times New Roman"/>
                <w:szCs w:val="21"/>
              </w:rPr>
              <w:t>65</w:t>
            </w:r>
          </w:p>
        </w:tc>
      </w:tr>
      <w:tr w14:paraId="32212F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2" w:type="dxa"/>
            <w:vAlign w:val="center"/>
          </w:tcPr>
          <w:p w14:paraId="0C8909D0">
            <w:pPr>
              <w:jc w:val="center"/>
              <w:rPr>
                <w:rFonts w:ascii="Times New Roman" w:hAnsi="Times New Roman"/>
                <w:spacing w:val="-2"/>
                <w:kern w:val="0"/>
                <w:szCs w:val="21"/>
              </w:rPr>
            </w:pPr>
            <w:r>
              <w:rPr>
                <w:rFonts w:hint="eastAsia" w:ascii="Times New Roman" w:hAnsi="Times New Roman"/>
                <w:spacing w:val="-2"/>
                <w:kern w:val="0"/>
                <w:szCs w:val="21"/>
              </w:rPr>
              <w:t>8</w:t>
            </w:r>
          </w:p>
        </w:tc>
        <w:tc>
          <w:tcPr>
            <w:tcW w:w="709" w:type="dxa"/>
            <w:vMerge w:val="continue"/>
            <w:vAlign w:val="center"/>
          </w:tcPr>
          <w:p w14:paraId="004A1AAD">
            <w:pPr>
              <w:widowControl/>
              <w:jc w:val="center"/>
              <w:rPr>
                <w:rFonts w:ascii="Times New Roman" w:hAnsi="Times New Roman"/>
                <w:spacing w:val="-2"/>
                <w:kern w:val="0"/>
                <w:szCs w:val="21"/>
              </w:rPr>
            </w:pPr>
          </w:p>
        </w:tc>
        <w:tc>
          <w:tcPr>
            <w:tcW w:w="1276" w:type="dxa"/>
            <w:vAlign w:val="center"/>
          </w:tcPr>
          <w:p w14:paraId="35EE1579">
            <w:pPr>
              <w:jc w:val="center"/>
              <w:rPr>
                <w:rFonts w:ascii="Times New Roman" w:hAnsi="Times New Roman"/>
                <w:spacing w:val="-2"/>
                <w:kern w:val="0"/>
                <w:szCs w:val="21"/>
              </w:rPr>
            </w:pPr>
            <w:r>
              <w:rPr>
                <w:rFonts w:ascii="Times New Roman" w:hAnsi="Times New Roman"/>
                <w:spacing w:val="-2"/>
                <w:kern w:val="0"/>
                <w:szCs w:val="21"/>
              </w:rPr>
              <w:t>磁选机</w:t>
            </w:r>
          </w:p>
        </w:tc>
        <w:tc>
          <w:tcPr>
            <w:tcW w:w="1134" w:type="dxa"/>
            <w:vAlign w:val="center"/>
          </w:tcPr>
          <w:p w14:paraId="09BA8666">
            <w:pPr>
              <w:spacing w:line="320" w:lineRule="exact"/>
              <w:ind w:left="420" w:hanging="420"/>
              <w:jc w:val="center"/>
              <w:rPr>
                <w:rFonts w:ascii="Times New Roman" w:hAnsi="Times New Roman"/>
                <w:spacing w:val="-2"/>
                <w:szCs w:val="21"/>
              </w:rPr>
            </w:pPr>
            <w:r>
              <w:rPr>
                <w:rFonts w:ascii="Times New Roman" w:hAnsi="Times New Roman"/>
                <w:spacing w:val="-2"/>
                <w:szCs w:val="21"/>
              </w:rPr>
              <w:t>70</w:t>
            </w:r>
          </w:p>
        </w:tc>
        <w:tc>
          <w:tcPr>
            <w:tcW w:w="850" w:type="dxa"/>
            <w:vAlign w:val="center"/>
          </w:tcPr>
          <w:p w14:paraId="53C2A4D6">
            <w:pPr>
              <w:jc w:val="center"/>
              <w:rPr>
                <w:rFonts w:ascii="Times New Roman" w:hAnsi="Times New Roman"/>
                <w:szCs w:val="21"/>
              </w:rPr>
            </w:pPr>
            <w:r>
              <w:rPr>
                <w:rFonts w:ascii="Times New Roman" w:hAnsi="Times New Roman"/>
                <w:szCs w:val="21"/>
              </w:rPr>
              <w:t>20</w:t>
            </w:r>
          </w:p>
        </w:tc>
        <w:tc>
          <w:tcPr>
            <w:tcW w:w="1985" w:type="dxa"/>
            <w:vAlign w:val="center"/>
          </w:tcPr>
          <w:p w14:paraId="6D3A7EE8">
            <w:pPr>
              <w:jc w:val="center"/>
              <w:rPr>
                <w:rFonts w:ascii="Times New Roman" w:hAnsi="Times New Roman"/>
                <w:szCs w:val="21"/>
              </w:rPr>
            </w:pPr>
            <w:bookmarkStart w:id="122" w:name="OLE_LINK10"/>
            <w:r>
              <w:rPr>
                <w:rFonts w:ascii="Times New Roman" w:hAnsi="Times New Roman"/>
                <w:szCs w:val="21"/>
              </w:rPr>
              <w:t>基础减振</w:t>
            </w:r>
            <w:bookmarkEnd w:id="122"/>
          </w:p>
        </w:tc>
        <w:tc>
          <w:tcPr>
            <w:tcW w:w="1134" w:type="dxa"/>
            <w:vAlign w:val="center"/>
          </w:tcPr>
          <w:p w14:paraId="782369F6">
            <w:pPr>
              <w:jc w:val="center"/>
              <w:rPr>
                <w:rFonts w:ascii="Times New Roman" w:hAnsi="Times New Roman"/>
                <w:szCs w:val="21"/>
              </w:rPr>
            </w:pPr>
            <w:r>
              <w:rPr>
                <w:rFonts w:hint="eastAsia" w:ascii="Times New Roman" w:hAnsi="Times New Roman"/>
                <w:szCs w:val="21"/>
              </w:rPr>
              <w:t>5</w:t>
            </w:r>
          </w:p>
        </w:tc>
        <w:tc>
          <w:tcPr>
            <w:tcW w:w="1134" w:type="dxa"/>
            <w:vAlign w:val="center"/>
          </w:tcPr>
          <w:p w14:paraId="01A500ED">
            <w:pPr>
              <w:jc w:val="center"/>
              <w:rPr>
                <w:rFonts w:ascii="Times New Roman" w:hAnsi="Times New Roman"/>
                <w:szCs w:val="21"/>
              </w:rPr>
            </w:pPr>
            <w:r>
              <w:rPr>
                <w:rFonts w:ascii="Times New Roman" w:hAnsi="Times New Roman"/>
                <w:szCs w:val="21"/>
              </w:rPr>
              <w:t>75</w:t>
            </w:r>
          </w:p>
        </w:tc>
      </w:tr>
      <w:tr w14:paraId="5454A4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2" w:type="dxa"/>
            <w:vAlign w:val="center"/>
          </w:tcPr>
          <w:p w14:paraId="3E2D21C9">
            <w:pPr>
              <w:jc w:val="center"/>
              <w:rPr>
                <w:rFonts w:ascii="Times New Roman" w:hAnsi="Times New Roman"/>
                <w:spacing w:val="-2"/>
                <w:kern w:val="0"/>
                <w:szCs w:val="21"/>
              </w:rPr>
            </w:pPr>
            <w:r>
              <w:rPr>
                <w:rFonts w:hint="eastAsia" w:ascii="Times New Roman" w:hAnsi="Times New Roman"/>
                <w:spacing w:val="-2"/>
                <w:kern w:val="0"/>
                <w:szCs w:val="21"/>
              </w:rPr>
              <w:t>9</w:t>
            </w:r>
          </w:p>
        </w:tc>
        <w:tc>
          <w:tcPr>
            <w:tcW w:w="709" w:type="dxa"/>
            <w:vMerge w:val="continue"/>
            <w:vAlign w:val="center"/>
          </w:tcPr>
          <w:p w14:paraId="6475E962">
            <w:pPr>
              <w:widowControl/>
              <w:jc w:val="center"/>
              <w:rPr>
                <w:rFonts w:ascii="Times New Roman" w:hAnsi="Times New Roman"/>
                <w:spacing w:val="-2"/>
                <w:kern w:val="0"/>
                <w:szCs w:val="21"/>
              </w:rPr>
            </w:pPr>
          </w:p>
        </w:tc>
        <w:tc>
          <w:tcPr>
            <w:tcW w:w="1276" w:type="dxa"/>
            <w:vAlign w:val="center"/>
          </w:tcPr>
          <w:p w14:paraId="1A87302B">
            <w:pPr>
              <w:jc w:val="center"/>
              <w:rPr>
                <w:rFonts w:ascii="Times New Roman" w:hAnsi="Times New Roman"/>
                <w:spacing w:val="-2"/>
                <w:kern w:val="0"/>
                <w:szCs w:val="21"/>
              </w:rPr>
            </w:pPr>
            <w:r>
              <w:rPr>
                <w:rFonts w:ascii="Times New Roman" w:hAnsi="Times New Roman"/>
                <w:spacing w:val="-2"/>
                <w:kern w:val="0"/>
                <w:szCs w:val="21"/>
              </w:rPr>
              <w:t>装载机</w:t>
            </w:r>
          </w:p>
        </w:tc>
        <w:tc>
          <w:tcPr>
            <w:tcW w:w="1134" w:type="dxa"/>
            <w:vAlign w:val="center"/>
          </w:tcPr>
          <w:p w14:paraId="4F4F93BF">
            <w:pPr>
              <w:spacing w:line="320" w:lineRule="exact"/>
              <w:ind w:left="420" w:hanging="420"/>
              <w:jc w:val="center"/>
              <w:rPr>
                <w:rFonts w:ascii="Times New Roman" w:hAnsi="Times New Roman"/>
                <w:spacing w:val="-2"/>
                <w:szCs w:val="21"/>
              </w:rPr>
            </w:pPr>
            <w:r>
              <w:rPr>
                <w:rFonts w:ascii="Times New Roman" w:hAnsi="Times New Roman"/>
                <w:spacing w:val="-2"/>
                <w:szCs w:val="21"/>
              </w:rPr>
              <w:t>75</w:t>
            </w:r>
          </w:p>
        </w:tc>
        <w:tc>
          <w:tcPr>
            <w:tcW w:w="850" w:type="dxa"/>
            <w:vAlign w:val="center"/>
          </w:tcPr>
          <w:p w14:paraId="3AE3F415">
            <w:pPr>
              <w:jc w:val="center"/>
              <w:rPr>
                <w:rFonts w:ascii="Times New Roman" w:hAnsi="Times New Roman"/>
                <w:szCs w:val="21"/>
              </w:rPr>
            </w:pPr>
            <w:r>
              <w:rPr>
                <w:rFonts w:ascii="Times New Roman" w:hAnsi="Times New Roman"/>
                <w:szCs w:val="21"/>
              </w:rPr>
              <w:t>1</w:t>
            </w:r>
          </w:p>
        </w:tc>
        <w:tc>
          <w:tcPr>
            <w:tcW w:w="1985" w:type="dxa"/>
            <w:vAlign w:val="center"/>
          </w:tcPr>
          <w:p w14:paraId="5617A078">
            <w:pPr>
              <w:jc w:val="center"/>
              <w:rPr>
                <w:rFonts w:ascii="Times New Roman" w:hAnsi="Times New Roman"/>
                <w:szCs w:val="21"/>
              </w:rPr>
            </w:pPr>
            <w:r>
              <w:rPr>
                <w:rFonts w:ascii="Times New Roman" w:hAnsi="Times New Roman"/>
                <w:szCs w:val="21"/>
              </w:rPr>
              <w:t>/</w:t>
            </w:r>
          </w:p>
        </w:tc>
        <w:tc>
          <w:tcPr>
            <w:tcW w:w="1134" w:type="dxa"/>
            <w:vAlign w:val="center"/>
          </w:tcPr>
          <w:p w14:paraId="63740970">
            <w:pPr>
              <w:jc w:val="center"/>
              <w:rPr>
                <w:rFonts w:ascii="Times New Roman" w:hAnsi="Times New Roman"/>
                <w:szCs w:val="21"/>
              </w:rPr>
            </w:pPr>
            <w:r>
              <w:rPr>
                <w:rFonts w:hint="eastAsia" w:ascii="Times New Roman" w:hAnsi="Times New Roman"/>
                <w:szCs w:val="21"/>
              </w:rPr>
              <w:t>5</w:t>
            </w:r>
          </w:p>
        </w:tc>
        <w:tc>
          <w:tcPr>
            <w:tcW w:w="1134" w:type="dxa"/>
            <w:vAlign w:val="center"/>
          </w:tcPr>
          <w:p w14:paraId="759AF277">
            <w:pPr>
              <w:jc w:val="center"/>
              <w:rPr>
                <w:rFonts w:ascii="Times New Roman" w:hAnsi="Times New Roman"/>
                <w:szCs w:val="21"/>
              </w:rPr>
            </w:pPr>
            <w:r>
              <w:rPr>
                <w:rFonts w:ascii="Times New Roman" w:hAnsi="Times New Roman"/>
                <w:szCs w:val="21"/>
              </w:rPr>
              <w:t>75</w:t>
            </w:r>
          </w:p>
        </w:tc>
      </w:tr>
      <w:tr w14:paraId="7AB439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2" w:type="dxa"/>
            <w:vAlign w:val="center"/>
          </w:tcPr>
          <w:p w14:paraId="4E4464E8">
            <w:pPr>
              <w:jc w:val="center"/>
              <w:rPr>
                <w:rFonts w:ascii="Times New Roman" w:hAnsi="Times New Roman"/>
                <w:spacing w:val="-2"/>
                <w:kern w:val="0"/>
                <w:szCs w:val="21"/>
              </w:rPr>
            </w:pPr>
            <w:r>
              <w:rPr>
                <w:rFonts w:hint="eastAsia" w:ascii="Times New Roman" w:hAnsi="Times New Roman"/>
                <w:spacing w:val="-2"/>
                <w:kern w:val="0"/>
                <w:szCs w:val="21"/>
              </w:rPr>
              <w:t>10</w:t>
            </w:r>
          </w:p>
        </w:tc>
        <w:tc>
          <w:tcPr>
            <w:tcW w:w="709" w:type="dxa"/>
            <w:vMerge w:val="continue"/>
            <w:vAlign w:val="center"/>
          </w:tcPr>
          <w:p w14:paraId="30DFF6D8">
            <w:pPr>
              <w:widowControl/>
              <w:jc w:val="center"/>
              <w:rPr>
                <w:rFonts w:ascii="Times New Roman" w:hAnsi="Times New Roman"/>
                <w:spacing w:val="-2"/>
                <w:kern w:val="0"/>
                <w:szCs w:val="21"/>
              </w:rPr>
            </w:pPr>
          </w:p>
        </w:tc>
        <w:tc>
          <w:tcPr>
            <w:tcW w:w="1276" w:type="dxa"/>
            <w:vAlign w:val="center"/>
          </w:tcPr>
          <w:p w14:paraId="1B0D78CA">
            <w:pPr>
              <w:jc w:val="center"/>
              <w:rPr>
                <w:rFonts w:ascii="Times New Roman" w:hAnsi="Times New Roman"/>
                <w:spacing w:val="-2"/>
                <w:kern w:val="0"/>
                <w:szCs w:val="21"/>
              </w:rPr>
            </w:pPr>
            <w:r>
              <w:rPr>
                <w:rFonts w:hint="eastAsia" w:ascii="Times New Roman" w:hAnsi="Times New Roman"/>
                <w:spacing w:val="-2"/>
                <w:kern w:val="0"/>
                <w:szCs w:val="21"/>
              </w:rPr>
              <w:t>2#</w:t>
            </w:r>
            <w:r>
              <w:rPr>
                <w:rFonts w:ascii="Times New Roman" w:hAnsi="Times New Roman"/>
                <w:spacing w:val="-2"/>
                <w:kern w:val="0"/>
                <w:szCs w:val="21"/>
              </w:rPr>
              <w:t>车间粉尘除尘器风机</w:t>
            </w:r>
          </w:p>
        </w:tc>
        <w:tc>
          <w:tcPr>
            <w:tcW w:w="1134" w:type="dxa"/>
            <w:vAlign w:val="center"/>
          </w:tcPr>
          <w:p w14:paraId="6EDF9953">
            <w:pPr>
              <w:spacing w:line="320" w:lineRule="exact"/>
              <w:ind w:left="420" w:hanging="420"/>
              <w:jc w:val="center"/>
              <w:rPr>
                <w:rFonts w:ascii="Times New Roman" w:hAnsi="Times New Roman"/>
                <w:spacing w:val="-2"/>
                <w:szCs w:val="21"/>
              </w:rPr>
            </w:pPr>
            <w:r>
              <w:rPr>
                <w:rFonts w:ascii="Times New Roman" w:hAnsi="Times New Roman"/>
                <w:spacing w:val="-2"/>
                <w:kern w:val="0"/>
                <w:szCs w:val="21"/>
              </w:rPr>
              <w:t>85</w:t>
            </w:r>
          </w:p>
        </w:tc>
        <w:tc>
          <w:tcPr>
            <w:tcW w:w="850" w:type="dxa"/>
            <w:vAlign w:val="center"/>
          </w:tcPr>
          <w:p w14:paraId="1309EAFC">
            <w:pPr>
              <w:jc w:val="center"/>
              <w:rPr>
                <w:rFonts w:ascii="Times New Roman" w:hAnsi="Times New Roman"/>
                <w:szCs w:val="21"/>
              </w:rPr>
            </w:pPr>
            <w:r>
              <w:rPr>
                <w:rFonts w:hint="eastAsia" w:ascii="Times New Roman" w:hAnsi="Times New Roman"/>
                <w:spacing w:val="-2"/>
                <w:kern w:val="0"/>
                <w:szCs w:val="21"/>
              </w:rPr>
              <w:t>1</w:t>
            </w:r>
          </w:p>
        </w:tc>
        <w:tc>
          <w:tcPr>
            <w:tcW w:w="1985" w:type="dxa"/>
            <w:vAlign w:val="center"/>
          </w:tcPr>
          <w:p w14:paraId="7E887353">
            <w:pPr>
              <w:jc w:val="center"/>
              <w:rPr>
                <w:rFonts w:ascii="Times New Roman" w:hAnsi="Times New Roman"/>
                <w:szCs w:val="21"/>
              </w:rPr>
            </w:pPr>
            <w:r>
              <w:rPr>
                <w:rFonts w:ascii="Times New Roman" w:hAnsi="Times New Roman"/>
                <w:szCs w:val="21"/>
              </w:rPr>
              <w:t>基础减振、独立隔声间（隔音间内墙面吸声）/</w:t>
            </w:r>
          </w:p>
        </w:tc>
        <w:tc>
          <w:tcPr>
            <w:tcW w:w="1134" w:type="dxa"/>
            <w:vAlign w:val="center"/>
          </w:tcPr>
          <w:p w14:paraId="53BD36AE">
            <w:pPr>
              <w:jc w:val="center"/>
              <w:rPr>
                <w:rFonts w:ascii="Times New Roman" w:hAnsi="Times New Roman"/>
                <w:szCs w:val="21"/>
              </w:rPr>
            </w:pPr>
            <w:r>
              <w:rPr>
                <w:rFonts w:hint="eastAsia" w:ascii="Times New Roman" w:hAnsi="Times New Roman"/>
                <w:szCs w:val="21"/>
              </w:rPr>
              <w:t>15</w:t>
            </w:r>
          </w:p>
        </w:tc>
        <w:tc>
          <w:tcPr>
            <w:tcW w:w="1134" w:type="dxa"/>
            <w:vAlign w:val="center"/>
          </w:tcPr>
          <w:p w14:paraId="1CE7910C">
            <w:pPr>
              <w:jc w:val="center"/>
              <w:rPr>
                <w:rFonts w:ascii="Times New Roman" w:hAnsi="Times New Roman"/>
                <w:szCs w:val="21"/>
              </w:rPr>
            </w:pPr>
            <w:r>
              <w:rPr>
                <w:rFonts w:ascii="Times New Roman" w:hAnsi="Times New Roman"/>
                <w:szCs w:val="21"/>
              </w:rPr>
              <w:t>70</w:t>
            </w:r>
          </w:p>
        </w:tc>
      </w:tr>
    </w:tbl>
    <w:p w14:paraId="6EFD6A55">
      <w:pPr>
        <w:snapToGrid w:val="0"/>
        <w:spacing w:line="360" w:lineRule="auto"/>
        <w:ind w:firstLine="472" w:firstLineChars="200"/>
        <w:rPr>
          <w:rFonts w:ascii="Times New Roman" w:hAnsi="Times New Roman"/>
          <w:spacing w:val="-2"/>
          <w:kern w:val="0"/>
          <w:sz w:val="24"/>
          <w:szCs w:val="20"/>
        </w:rPr>
      </w:pPr>
    </w:p>
    <w:p w14:paraId="0AE52B27">
      <w:pPr>
        <w:snapToGrid w:val="0"/>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项目生产线设备均布置在车间内，车间内主要有原料烘干生产线1条，钛精矿磁选生产线2条，2条磁选生产线设备的布局位置不同，因此根据其在厂房内的空间相对位置分别统计声源源强清单数据。项目工业噪声源强调查清单见表2.3-1</w:t>
      </w:r>
      <w:r>
        <w:rPr>
          <w:rFonts w:hint="eastAsia" w:ascii="Times New Roman" w:hAnsi="Times New Roman"/>
          <w:spacing w:val="-2"/>
          <w:kern w:val="0"/>
          <w:sz w:val="24"/>
          <w:szCs w:val="20"/>
        </w:rPr>
        <w:t>7</w:t>
      </w:r>
      <w:r>
        <w:rPr>
          <w:rFonts w:ascii="Times New Roman" w:hAnsi="Times New Roman"/>
          <w:spacing w:val="-2"/>
          <w:kern w:val="0"/>
          <w:sz w:val="24"/>
          <w:szCs w:val="20"/>
        </w:rPr>
        <w:t>。</w:t>
      </w:r>
    </w:p>
    <w:p w14:paraId="14B53CC8">
      <w:pPr>
        <w:snapToGrid w:val="0"/>
        <w:spacing w:line="360" w:lineRule="auto"/>
        <w:ind w:firstLine="472" w:firstLineChars="200"/>
        <w:rPr>
          <w:rFonts w:ascii="Times New Roman" w:hAnsi="Times New Roman"/>
          <w:spacing w:val="-2"/>
          <w:kern w:val="0"/>
          <w:sz w:val="24"/>
          <w:szCs w:val="20"/>
        </w:rPr>
      </w:pPr>
    </w:p>
    <w:p w14:paraId="07E96E52">
      <w:pPr>
        <w:snapToGrid w:val="0"/>
        <w:spacing w:line="360" w:lineRule="auto"/>
        <w:ind w:firstLine="472" w:firstLineChars="200"/>
        <w:rPr>
          <w:rFonts w:ascii="Times New Roman" w:hAnsi="Times New Roman"/>
          <w:spacing w:val="-2"/>
          <w:kern w:val="0"/>
          <w:sz w:val="24"/>
          <w:szCs w:val="20"/>
        </w:rPr>
        <w:sectPr>
          <w:pgSz w:w="11906" w:h="16838"/>
          <w:pgMar w:top="1418" w:right="1418" w:bottom="1418" w:left="1418" w:header="851" w:footer="737" w:gutter="0"/>
          <w:cols w:space="720" w:num="1"/>
          <w:docGrid w:linePitch="323" w:charSpace="0"/>
        </w:sectPr>
      </w:pPr>
    </w:p>
    <w:p w14:paraId="2139F2F8">
      <w:pPr>
        <w:pStyle w:val="8"/>
        <w:numPr>
          <w:ilvl w:val="4"/>
          <w:numId w:val="3"/>
        </w:numPr>
        <w:rPr>
          <w:sz w:val="24"/>
          <w:szCs w:val="24"/>
        </w:rPr>
      </w:pPr>
      <w:r>
        <w:rPr>
          <w:sz w:val="24"/>
          <w:szCs w:val="24"/>
        </w:rPr>
        <w:t>项目室内噪声源强清单</w:t>
      </w:r>
    </w:p>
    <w:tbl>
      <w:tblPr>
        <w:tblStyle w:val="88"/>
        <w:tblW w:w="1426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28"/>
        <w:gridCol w:w="821"/>
        <w:gridCol w:w="1543"/>
        <w:gridCol w:w="1543"/>
        <w:gridCol w:w="553"/>
        <w:gridCol w:w="1549"/>
        <w:gridCol w:w="844"/>
        <w:gridCol w:w="702"/>
        <w:gridCol w:w="550"/>
        <w:gridCol w:w="556"/>
        <w:gridCol w:w="753"/>
        <w:gridCol w:w="927"/>
        <w:gridCol w:w="716"/>
        <w:gridCol w:w="961"/>
        <w:gridCol w:w="927"/>
        <w:gridCol w:w="887"/>
      </w:tblGrid>
      <w:tr w14:paraId="69B2BE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428" w:type="dxa"/>
            <w:vMerge w:val="restart"/>
            <w:shd w:val="clear" w:color="auto" w:fill="auto"/>
            <w:vAlign w:val="center"/>
          </w:tcPr>
          <w:p w14:paraId="472AC9E4">
            <w:pPr>
              <w:widowControl/>
              <w:jc w:val="center"/>
              <w:rPr>
                <w:rFonts w:ascii="Times New Roman" w:hAnsi="Times New Roman"/>
                <w:b/>
                <w:bCs/>
                <w:kern w:val="0"/>
                <w:szCs w:val="21"/>
              </w:rPr>
            </w:pPr>
            <w:r>
              <w:rPr>
                <w:rFonts w:ascii="Times New Roman" w:hAnsi="Times New Roman"/>
                <w:b/>
                <w:bCs/>
                <w:kern w:val="0"/>
                <w:szCs w:val="21"/>
              </w:rPr>
              <w:t>序号</w:t>
            </w:r>
          </w:p>
        </w:tc>
        <w:tc>
          <w:tcPr>
            <w:tcW w:w="821" w:type="dxa"/>
            <w:vMerge w:val="restart"/>
            <w:shd w:val="clear" w:color="auto" w:fill="auto"/>
            <w:vAlign w:val="center"/>
          </w:tcPr>
          <w:p w14:paraId="4F9019B4">
            <w:pPr>
              <w:widowControl/>
              <w:jc w:val="center"/>
              <w:rPr>
                <w:rFonts w:ascii="Times New Roman" w:hAnsi="Times New Roman"/>
                <w:b/>
                <w:bCs/>
                <w:kern w:val="0"/>
                <w:szCs w:val="21"/>
              </w:rPr>
            </w:pPr>
            <w:r>
              <w:rPr>
                <w:rFonts w:ascii="Times New Roman" w:hAnsi="Times New Roman"/>
                <w:b/>
                <w:bCs/>
                <w:kern w:val="0"/>
                <w:szCs w:val="21"/>
              </w:rPr>
              <w:t>建筑物名称</w:t>
            </w:r>
          </w:p>
        </w:tc>
        <w:tc>
          <w:tcPr>
            <w:tcW w:w="1543" w:type="dxa"/>
            <w:vMerge w:val="restart"/>
            <w:shd w:val="clear" w:color="auto" w:fill="auto"/>
            <w:vAlign w:val="center"/>
          </w:tcPr>
          <w:p w14:paraId="6636DB1D">
            <w:pPr>
              <w:widowControl/>
              <w:jc w:val="center"/>
              <w:rPr>
                <w:rFonts w:ascii="Times New Roman" w:hAnsi="Times New Roman"/>
                <w:b/>
                <w:bCs/>
                <w:kern w:val="0"/>
                <w:szCs w:val="21"/>
              </w:rPr>
            </w:pPr>
            <w:r>
              <w:rPr>
                <w:rFonts w:ascii="Times New Roman" w:hAnsi="Times New Roman"/>
                <w:b/>
                <w:bCs/>
                <w:kern w:val="0"/>
                <w:szCs w:val="21"/>
              </w:rPr>
              <w:t>声源名称</w:t>
            </w:r>
          </w:p>
        </w:tc>
        <w:tc>
          <w:tcPr>
            <w:tcW w:w="1543" w:type="dxa"/>
            <w:vMerge w:val="restart"/>
            <w:shd w:val="clear" w:color="auto" w:fill="auto"/>
            <w:vAlign w:val="center"/>
          </w:tcPr>
          <w:p w14:paraId="6180E7BC">
            <w:pPr>
              <w:widowControl/>
              <w:jc w:val="center"/>
              <w:rPr>
                <w:rFonts w:ascii="Times New Roman" w:hAnsi="Times New Roman"/>
                <w:b/>
                <w:bCs/>
                <w:kern w:val="0"/>
                <w:szCs w:val="21"/>
              </w:rPr>
            </w:pPr>
            <w:r>
              <w:rPr>
                <w:rFonts w:hint="eastAsia" w:ascii="Times New Roman" w:hAnsi="Times New Roman"/>
                <w:b/>
                <w:bCs/>
                <w:kern w:val="0"/>
                <w:szCs w:val="21"/>
              </w:rPr>
              <w:t>降噪后</w:t>
            </w:r>
            <w:r>
              <w:rPr>
                <w:rFonts w:ascii="Times New Roman" w:hAnsi="Times New Roman"/>
                <w:b/>
                <w:bCs/>
                <w:kern w:val="0"/>
                <w:szCs w:val="21"/>
              </w:rPr>
              <w:t>单台声源源强声压级/距声源距离/dB(A)/m</w:t>
            </w:r>
          </w:p>
        </w:tc>
        <w:tc>
          <w:tcPr>
            <w:tcW w:w="553" w:type="dxa"/>
            <w:vMerge w:val="restart"/>
            <w:shd w:val="clear" w:color="auto" w:fill="auto"/>
            <w:vAlign w:val="center"/>
          </w:tcPr>
          <w:p w14:paraId="29470F55">
            <w:pPr>
              <w:widowControl/>
              <w:jc w:val="center"/>
              <w:rPr>
                <w:rFonts w:ascii="Times New Roman" w:hAnsi="Times New Roman"/>
                <w:b/>
                <w:bCs/>
                <w:kern w:val="0"/>
                <w:szCs w:val="21"/>
              </w:rPr>
            </w:pPr>
            <w:r>
              <w:rPr>
                <w:rFonts w:ascii="Times New Roman" w:hAnsi="Times New Roman"/>
                <w:b/>
                <w:bCs/>
                <w:kern w:val="0"/>
                <w:szCs w:val="21"/>
              </w:rPr>
              <w:t>数量</w:t>
            </w:r>
          </w:p>
        </w:tc>
        <w:tc>
          <w:tcPr>
            <w:tcW w:w="1549" w:type="dxa"/>
            <w:vMerge w:val="restart"/>
            <w:shd w:val="clear" w:color="auto" w:fill="auto"/>
            <w:vAlign w:val="center"/>
          </w:tcPr>
          <w:p w14:paraId="26240945">
            <w:pPr>
              <w:jc w:val="center"/>
              <w:rPr>
                <w:rFonts w:ascii="Times New Roman" w:hAnsi="Times New Roman"/>
                <w:b/>
                <w:bCs/>
                <w:kern w:val="0"/>
                <w:szCs w:val="21"/>
              </w:rPr>
            </w:pPr>
            <w:r>
              <w:rPr>
                <w:rFonts w:ascii="Times New Roman" w:hAnsi="Times New Roman"/>
                <w:b/>
                <w:bCs/>
                <w:kern w:val="0"/>
                <w:szCs w:val="21"/>
              </w:rPr>
              <w:t>多台等效源强声压级/距声源距离/dB(A)/m</w:t>
            </w:r>
          </w:p>
        </w:tc>
        <w:tc>
          <w:tcPr>
            <w:tcW w:w="844" w:type="dxa"/>
            <w:vMerge w:val="restart"/>
            <w:shd w:val="clear" w:color="auto" w:fill="auto"/>
            <w:vAlign w:val="center"/>
          </w:tcPr>
          <w:p w14:paraId="4F846A4A">
            <w:pPr>
              <w:widowControl/>
              <w:jc w:val="center"/>
              <w:rPr>
                <w:rFonts w:ascii="Times New Roman" w:hAnsi="Times New Roman"/>
                <w:b/>
                <w:bCs/>
                <w:kern w:val="0"/>
                <w:szCs w:val="21"/>
              </w:rPr>
            </w:pPr>
            <w:r>
              <w:rPr>
                <w:rFonts w:ascii="Times New Roman" w:hAnsi="Times New Roman"/>
                <w:b/>
                <w:bCs/>
                <w:kern w:val="0"/>
                <w:szCs w:val="21"/>
              </w:rPr>
              <w:t>声源控制措施</w:t>
            </w:r>
          </w:p>
        </w:tc>
        <w:tc>
          <w:tcPr>
            <w:tcW w:w="1808" w:type="dxa"/>
            <w:gridSpan w:val="3"/>
            <w:shd w:val="clear" w:color="auto" w:fill="auto"/>
            <w:vAlign w:val="center"/>
          </w:tcPr>
          <w:p w14:paraId="25EE8B00">
            <w:pPr>
              <w:widowControl/>
              <w:jc w:val="center"/>
              <w:rPr>
                <w:rFonts w:ascii="Times New Roman" w:hAnsi="Times New Roman"/>
                <w:b/>
                <w:bCs/>
                <w:kern w:val="0"/>
                <w:szCs w:val="21"/>
              </w:rPr>
            </w:pPr>
            <w:r>
              <w:rPr>
                <w:rFonts w:ascii="Times New Roman" w:hAnsi="Times New Roman"/>
                <w:b/>
                <w:bCs/>
                <w:kern w:val="0"/>
                <w:szCs w:val="21"/>
              </w:rPr>
              <w:t>空间相对位置/m</w:t>
            </w:r>
          </w:p>
        </w:tc>
        <w:tc>
          <w:tcPr>
            <w:tcW w:w="753" w:type="dxa"/>
            <w:vMerge w:val="restart"/>
            <w:shd w:val="clear" w:color="auto" w:fill="auto"/>
            <w:vAlign w:val="center"/>
          </w:tcPr>
          <w:p w14:paraId="4B574AFA">
            <w:pPr>
              <w:widowControl/>
              <w:jc w:val="center"/>
              <w:rPr>
                <w:rFonts w:ascii="Times New Roman" w:hAnsi="Times New Roman"/>
                <w:b/>
                <w:bCs/>
                <w:kern w:val="0"/>
                <w:szCs w:val="21"/>
              </w:rPr>
            </w:pPr>
            <w:r>
              <w:rPr>
                <w:rFonts w:ascii="Times New Roman" w:hAnsi="Times New Roman"/>
                <w:b/>
                <w:bCs/>
                <w:kern w:val="0"/>
                <w:szCs w:val="21"/>
              </w:rPr>
              <w:t>距离内边界距离/m</w:t>
            </w:r>
          </w:p>
        </w:tc>
        <w:tc>
          <w:tcPr>
            <w:tcW w:w="927" w:type="dxa"/>
            <w:vMerge w:val="restart"/>
            <w:shd w:val="clear" w:color="auto" w:fill="auto"/>
            <w:vAlign w:val="center"/>
          </w:tcPr>
          <w:p w14:paraId="6EE439B3">
            <w:pPr>
              <w:widowControl/>
              <w:jc w:val="center"/>
              <w:rPr>
                <w:rFonts w:ascii="Times New Roman" w:hAnsi="Times New Roman"/>
                <w:b/>
                <w:bCs/>
                <w:kern w:val="0"/>
                <w:szCs w:val="21"/>
              </w:rPr>
            </w:pPr>
            <w:r>
              <w:rPr>
                <w:rFonts w:ascii="Times New Roman" w:hAnsi="Times New Roman"/>
                <w:b/>
                <w:bCs/>
                <w:kern w:val="0"/>
                <w:szCs w:val="21"/>
              </w:rPr>
              <w:t>室内边界声级/dB(A)</w:t>
            </w:r>
          </w:p>
        </w:tc>
        <w:tc>
          <w:tcPr>
            <w:tcW w:w="716" w:type="dxa"/>
            <w:vMerge w:val="restart"/>
            <w:shd w:val="clear" w:color="auto" w:fill="auto"/>
            <w:vAlign w:val="center"/>
          </w:tcPr>
          <w:p w14:paraId="448682E9">
            <w:pPr>
              <w:widowControl/>
              <w:jc w:val="center"/>
              <w:rPr>
                <w:rFonts w:ascii="Times New Roman" w:hAnsi="Times New Roman"/>
                <w:b/>
                <w:bCs/>
                <w:kern w:val="0"/>
                <w:szCs w:val="21"/>
              </w:rPr>
            </w:pPr>
            <w:r>
              <w:rPr>
                <w:rFonts w:ascii="Times New Roman" w:hAnsi="Times New Roman"/>
                <w:b/>
                <w:bCs/>
                <w:kern w:val="0"/>
                <w:szCs w:val="21"/>
              </w:rPr>
              <w:t>运行时段</w:t>
            </w:r>
          </w:p>
        </w:tc>
        <w:tc>
          <w:tcPr>
            <w:tcW w:w="961" w:type="dxa"/>
            <w:vMerge w:val="restart"/>
            <w:shd w:val="clear" w:color="auto" w:fill="auto"/>
            <w:vAlign w:val="center"/>
          </w:tcPr>
          <w:p w14:paraId="7758FA49">
            <w:pPr>
              <w:widowControl/>
              <w:jc w:val="center"/>
              <w:rPr>
                <w:rFonts w:ascii="Times New Roman" w:hAnsi="Times New Roman"/>
                <w:b/>
                <w:bCs/>
                <w:kern w:val="0"/>
                <w:szCs w:val="21"/>
              </w:rPr>
            </w:pPr>
            <w:r>
              <w:rPr>
                <w:rFonts w:ascii="Times New Roman" w:hAnsi="Times New Roman"/>
                <w:b/>
                <w:bCs/>
                <w:kern w:val="0"/>
                <w:szCs w:val="21"/>
              </w:rPr>
              <w:t>建筑物插入损失/dB(A)</w:t>
            </w:r>
          </w:p>
        </w:tc>
        <w:tc>
          <w:tcPr>
            <w:tcW w:w="1814" w:type="dxa"/>
            <w:gridSpan w:val="2"/>
            <w:shd w:val="clear" w:color="auto" w:fill="auto"/>
            <w:vAlign w:val="center"/>
          </w:tcPr>
          <w:p w14:paraId="2B86B3F6">
            <w:pPr>
              <w:widowControl/>
              <w:jc w:val="center"/>
              <w:rPr>
                <w:rFonts w:ascii="Times New Roman" w:hAnsi="Times New Roman"/>
                <w:b/>
                <w:bCs/>
                <w:kern w:val="0"/>
                <w:szCs w:val="21"/>
              </w:rPr>
            </w:pPr>
            <w:r>
              <w:rPr>
                <w:rFonts w:ascii="Times New Roman" w:hAnsi="Times New Roman"/>
                <w:b/>
                <w:bCs/>
                <w:kern w:val="0"/>
                <w:szCs w:val="21"/>
              </w:rPr>
              <w:t>建筑物外噪声</w:t>
            </w:r>
          </w:p>
        </w:tc>
      </w:tr>
      <w:tr w14:paraId="40871F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428" w:type="dxa"/>
            <w:vMerge w:val="continue"/>
            <w:shd w:val="clear" w:color="auto" w:fill="auto"/>
            <w:vAlign w:val="center"/>
          </w:tcPr>
          <w:p w14:paraId="09434869">
            <w:pPr>
              <w:widowControl/>
              <w:jc w:val="left"/>
              <w:rPr>
                <w:rFonts w:ascii="Times New Roman" w:hAnsi="Times New Roman"/>
                <w:b/>
                <w:bCs/>
                <w:kern w:val="0"/>
                <w:szCs w:val="21"/>
              </w:rPr>
            </w:pPr>
          </w:p>
        </w:tc>
        <w:tc>
          <w:tcPr>
            <w:tcW w:w="821" w:type="dxa"/>
            <w:vMerge w:val="continue"/>
            <w:shd w:val="clear" w:color="auto" w:fill="auto"/>
            <w:vAlign w:val="center"/>
          </w:tcPr>
          <w:p w14:paraId="753DAD0C">
            <w:pPr>
              <w:widowControl/>
              <w:jc w:val="left"/>
              <w:rPr>
                <w:rFonts w:ascii="Times New Roman" w:hAnsi="Times New Roman"/>
                <w:b/>
                <w:bCs/>
                <w:kern w:val="0"/>
                <w:szCs w:val="21"/>
              </w:rPr>
            </w:pPr>
          </w:p>
        </w:tc>
        <w:tc>
          <w:tcPr>
            <w:tcW w:w="1543" w:type="dxa"/>
            <w:vMerge w:val="continue"/>
            <w:shd w:val="clear" w:color="auto" w:fill="auto"/>
            <w:vAlign w:val="center"/>
          </w:tcPr>
          <w:p w14:paraId="5A249B72">
            <w:pPr>
              <w:widowControl/>
              <w:jc w:val="left"/>
              <w:rPr>
                <w:rFonts w:ascii="Times New Roman" w:hAnsi="Times New Roman"/>
                <w:b/>
                <w:bCs/>
                <w:kern w:val="0"/>
                <w:szCs w:val="21"/>
              </w:rPr>
            </w:pPr>
          </w:p>
        </w:tc>
        <w:tc>
          <w:tcPr>
            <w:tcW w:w="1543" w:type="dxa"/>
            <w:vMerge w:val="continue"/>
            <w:shd w:val="clear" w:color="auto" w:fill="auto"/>
            <w:vAlign w:val="center"/>
          </w:tcPr>
          <w:p w14:paraId="496C4871">
            <w:pPr>
              <w:widowControl/>
              <w:jc w:val="left"/>
              <w:rPr>
                <w:rFonts w:ascii="Times New Roman" w:hAnsi="Times New Roman"/>
                <w:b/>
                <w:bCs/>
                <w:kern w:val="0"/>
                <w:szCs w:val="21"/>
              </w:rPr>
            </w:pPr>
          </w:p>
        </w:tc>
        <w:tc>
          <w:tcPr>
            <w:tcW w:w="553" w:type="dxa"/>
            <w:vMerge w:val="continue"/>
            <w:shd w:val="clear" w:color="auto" w:fill="auto"/>
            <w:vAlign w:val="center"/>
          </w:tcPr>
          <w:p w14:paraId="5A2403B2">
            <w:pPr>
              <w:widowControl/>
              <w:jc w:val="left"/>
              <w:rPr>
                <w:rFonts w:ascii="Times New Roman" w:hAnsi="Times New Roman"/>
                <w:b/>
                <w:bCs/>
                <w:kern w:val="0"/>
                <w:szCs w:val="21"/>
              </w:rPr>
            </w:pPr>
          </w:p>
        </w:tc>
        <w:tc>
          <w:tcPr>
            <w:tcW w:w="1549" w:type="dxa"/>
            <w:vMerge w:val="continue"/>
            <w:shd w:val="clear" w:color="auto" w:fill="auto"/>
            <w:vAlign w:val="center"/>
          </w:tcPr>
          <w:p w14:paraId="32AEAC0A">
            <w:pPr>
              <w:widowControl/>
              <w:jc w:val="center"/>
              <w:rPr>
                <w:rFonts w:ascii="Times New Roman" w:hAnsi="Times New Roman"/>
                <w:b/>
                <w:bCs/>
                <w:kern w:val="0"/>
                <w:szCs w:val="21"/>
              </w:rPr>
            </w:pPr>
          </w:p>
        </w:tc>
        <w:tc>
          <w:tcPr>
            <w:tcW w:w="844" w:type="dxa"/>
            <w:vMerge w:val="continue"/>
            <w:shd w:val="clear" w:color="auto" w:fill="auto"/>
            <w:vAlign w:val="center"/>
          </w:tcPr>
          <w:p w14:paraId="720AD671">
            <w:pPr>
              <w:widowControl/>
              <w:jc w:val="left"/>
              <w:rPr>
                <w:rFonts w:ascii="Times New Roman" w:hAnsi="Times New Roman"/>
                <w:b/>
                <w:bCs/>
                <w:kern w:val="0"/>
                <w:szCs w:val="21"/>
              </w:rPr>
            </w:pPr>
          </w:p>
        </w:tc>
        <w:tc>
          <w:tcPr>
            <w:tcW w:w="702" w:type="dxa"/>
            <w:shd w:val="clear" w:color="auto" w:fill="auto"/>
            <w:vAlign w:val="center"/>
          </w:tcPr>
          <w:p w14:paraId="24D1B2F3">
            <w:pPr>
              <w:widowControl/>
              <w:jc w:val="center"/>
              <w:rPr>
                <w:rFonts w:ascii="Times New Roman" w:hAnsi="Times New Roman" w:eastAsia="等线"/>
                <w:b/>
                <w:bCs/>
                <w:kern w:val="0"/>
                <w:szCs w:val="21"/>
              </w:rPr>
            </w:pPr>
            <w:r>
              <w:rPr>
                <w:rFonts w:ascii="Times New Roman" w:hAnsi="Times New Roman" w:eastAsia="等线"/>
                <w:b/>
                <w:bCs/>
                <w:kern w:val="0"/>
                <w:szCs w:val="21"/>
              </w:rPr>
              <w:t>X</w:t>
            </w:r>
          </w:p>
        </w:tc>
        <w:tc>
          <w:tcPr>
            <w:tcW w:w="550" w:type="dxa"/>
            <w:shd w:val="clear" w:color="auto" w:fill="auto"/>
            <w:vAlign w:val="center"/>
          </w:tcPr>
          <w:p w14:paraId="1BCADE89">
            <w:pPr>
              <w:widowControl/>
              <w:jc w:val="center"/>
              <w:rPr>
                <w:rFonts w:ascii="Times New Roman" w:hAnsi="Times New Roman" w:eastAsia="等线"/>
                <w:b/>
                <w:bCs/>
                <w:kern w:val="0"/>
                <w:szCs w:val="21"/>
              </w:rPr>
            </w:pPr>
            <w:r>
              <w:rPr>
                <w:rFonts w:ascii="Times New Roman" w:hAnsi="Times New Roman" w:eastAsia="等线"/>
                <w:b/>
                <w:bCs/>
                <w:kern w:val="0"/>
                <w:szCs w:val="21"/>
              </w:rPr>
              <w:t>Y</w:t>
            </w:r>
          </w:p>
        </w:tc>
        <w:tc>
          <w:tcPr>
            <w:tcW w:w="556" w:type="dxa"/>
            <w:shd w:val="clear" w:color="auto" w:fill="auto"/>
            <w:vAlign w:val="center"/>
          </w:tcPr>
          <w:p w14:paraId="50C7E178">
            <w:pPr>
              <w:widowControl/>
              <w:jc w:val="center"/>
              <w:rPr>
                <w:rFonts w:ascii="Times New Roman" w:hAnsi="Times New Roman" w:eastAsia="等线"/>
                <w:b/>
                <w:bCs/>
                <w:kern w:val="0"/>
                <w:szCs w:val="21"/>
              </w:rPr>
            </w:pPr>
            <w:r>
              <w:rPr>
                <w:rFonts w:ascii="Times New Roman" w:hAnsi="Times New Roman" w:eastAsia="等线"/>
                <w:b/>
                <w:bCs/>
                <w:kern w:val="0"/>
                <w:szCs w:val="21"/>
              </w:rPr>
              <w:t>Z</w:t>
            </w:r>
          </w:p>
        </w:tc>
        <w:tc>
          <w:tcPr>
            <w:tcW w:w="753" w:type="dxa"/>
            <w:vMerge w:val="continue"/>
            <w:shd w:val="clear" w:color="auto" w:fill="auto"/>
            <w:vAlign w:val="center"/>
          </w:tcPr>
          <w:p w14:paraId="1F219F2C">
            <w:pPr>
              <w:widowControl/>
              <w:jc w:val="left"/>
              <w:rPr>
                <w:rFonts w:ascii="Times New Roman" w:hAnsi="Times New Roman"/>
                <w:b/>
                <w:bCs/>
                <w:kern w:val="0"/>
                <w:szCs w:val="21"/>
              </w:rPr>
            </w:pPr>
          </w:p>
        </w:tc>
        <w:tc>
          <w:tcPr>
            <w:tcW w:w="927" w:type="dxa"/>
            <w:vMerge w:val="continue"/>
            <w:shd w:val="clear" w:color="auto" w:fill="auto"/>
            <w:vAlign w:val="center"/>
          </w:tcPr>
          <w:p w14:paraId="67E42802">
            <w:pPr>
              <w:widowControl/>
              <w:jc w:val="left"/>
              <w:rPr>
                <w:rFonts w:ascii="Times New Roman" w:hAnsi="Times New Roman"/>
                <w:b/>
                <w:bCs/>
                <w:kern w:val="0"/>
                <w:szCs w:val="21"/>
              </w:rPr>
            </w:pPr>
          </w:p>
        </w:tc>
        <w:tc>
          <w:tcPr>
            <w:tcW w:w="716" w:type="dxa"/>
            <w:vMerge w:val="continue"/>
            <w:shd w:val="clear" w:color="auto" w:fill="auto"/>
            <w:vAlign w:val="center"/>
          </w:tcPr>
          <w:p w14:paraId="36DFCA71">
            <w:pPr>
              <w:widowControl/>
              <w:jc w:val="left"/>
              <w:rPr>
                <w:rFonts w:ascii="Times New Roman" w:hAnsi="Times New Roman"/>
                <w:b/>
                <w:bCs/>
                <w:kern w:val="0"/>
                <w:szCs w:val="21"/>
              </w:rPr>
            </w:pPr>
          </w:p>
        </w:tc>
        <w:tc>
          <w:tcPr>
            <w:tcW w:w="961" w:type="dxa"/>
            <w:vMerge w:val="continue"/>
            <w:shd w:val="clear" w:color="auto" w:fill="auto"/>
            <w:vAlign w:val="center"/>
          </w:tcPr>
          <w:p w14:paraId="4266123D">
            <w:pPr>
              <w:widowControl/>
              <w:jc w:val="left"/>
              <w:rPr>
                <w:rFonts w:ascii="Times New Roman" w:hAnsi="Times New Roman"/>
                <w:b/>
                <w:bCs/>
                <w:kern w:val="0"/>
                <w:szCs w:val="21"/>
              </w:rPr>
            </w:pPr>
          </w:p>
        </w:tc>
        <w:tc>
          <w:tcPr>
            <w:tcW w:w="927" w:type="dxa"/>
            <w:shd w:val="clear" w:color="auto" w:fill="auto"/>
            <w:vAlign w:val="center"/>
          </w:tcPr>
          <w:p w14:paraId="60D6890C">
            <w:pPr>
              <w:widowControl/>
              <w:jc w:val="center"/>
              <w:rPr>
                <w:rFonts w:ascii="Times New Roman" w:hAnsi="Times New Roman"/>
                <w:b/>
                <w:bCs/>
                <w:kern w:val="0"/>
                <w:szCs w:val="21"/>
              </w:rPr>
            </w:pPr>
            <w:r>
              <w:rPr>
                <w:rFonts w:ascii="Times New Roman" w:hAnsi="Times New Roman"/>
                <w:b/>
                <w:bCs/>
                <w:kern w:val="0"/>
                <w:szCs w:val="21"/>
              </w:rPr>
              <w:t>声压级/dB(A)</w:t>
            </w:r>
          </w:p>
        </w:tc>
        <w:tc>
          <w:tcPr>
            <w:tcW w:w="887" w:type="dxa"/>
            <w:shd w:val="clear" w:color="auto" w:fill="auto"/>
            <w:vAlign w:val="center"/>
          </w:tcPr>
          <w:p w14:paraId="215477DD">
            <w:pPr>
              <w:widowControl/>
              <w:jc w:val="center"/>
              <w:rPr>
                <w:rFonts w:ascii="Times New Roman" w:hAnsi="Times New Roman"/>
                <w:b/>
                <w:bCs/>
                <w:kern w:val="0"/>
                <w:szCs w:val="21"/>
              </w:rPr>
            </w:pPr>
            <w:r>
              <w:rPr>
                <w:rFonts w:ascii="Times New Roman" w:hAnsi="Times New Roman"/>
                <w:b/>
                <w:bCs/>
                <w:kern w:val="0"/>
                <w:szCs w:val="21"/>
              </w:rPr>
              <w:t>建筑物外距离/m</w:t>
            </w:r>
          </w:p>
        </w:tc>
      </w:tr>
      <w:tr w14:paraId="7AE7ED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428" w:type="dxa"/>
            <w:vMerge w:val="restart"/>
            <w:shd w:val="clear" w:color="auto" w:fill="auto"/>
            <w:vAlign w:val="center"/>
          </w:tcPr>
          <w:p w14:paraId="1ACA4671">
            <w:pPr>
              <w:widowControl/>
              <w:jc w:val="center"/>
              <w:rPr>
                <w:rFonts w:ascii="Times New Roman" w:hAnsi="Times New Roman" w:eastAsia="等线"/>
                <w:kern w:val="0"/>
                <w:szCs w:val="21"/>
              </w:rPr>
            </w:pPr>
            <w:r>
              <w:rPr>
                <w:rFonts w:ascii="Times New Roman" w:hAnsi="Times New Roman" w:eastAsia="等线"/>
                <w:kern w:val="0"/>
                <w:szCs w:val="21"/>
              </w:rPr>
              <w:t>1</w:t>
            </w:r>
          </w:p>
        </w:tc>
        <w:tc>
          <w:tcPr>
            <w:tcW w:w="821" w:type="dxa"/>
            <w:vMerge w:val="restart"/>
            <w:shd w:val="clear" w:color="auto" w:fill="auto"/>
            <w:vAlign w:val="center"/>
          </w:tcPr>
          <w:p w14:paraId="5CFD1DDD">
            <w:pPr>
              <w:widowControl/>
              <w:jc w:val="center"/>
              <w:rPr>
                <w:rFonts w:ascii="Times New Roman" w:hAnsi="Times New Roman"/>
                <w:kern w:val="0"/>
                <w:szCs w:val="21"/>
              </w:rPr>
            </w:pPr>
            <w:r>
              <w:rPr>
                <w:rFonts w:ascii="Times New Roman" w:hAnsi="Times New Roman"/>
                <w:kern w:val="0"/>
                <w:szCs w:val="21"/>
              </w:rPr>
              <w:t>1#原料处理车间</w:t>
            </w:r>
          </w:p>
        </w:tc>
        <w:tc>
          <w:tcPr>
            <w:tcW w:w="1543" w:type="dxa"/>
            <w:shd w:val="clear" w:color="auto" w:fill="auto"/>
            <w:vAlign w:val="center"/>
          </w:tcPr>
          <w:p w14:paraId="756F85B1">
            <w:pPr>
              <w:widowControl/>
              <w:jc w:val="center"/>
              <w:rPr>
                <w:rFonts w:ascii="Times New Roman" w:hAnsi="Times New Roman"/>
                <w:kern w:val="0"/>
                <w:szCs w:val="21"/>
              </w:rPr>
            </w:pPr>
            <w:r>
              <w:rPr>
                <w:rFonts w:ascii="Times New Roman" w:hAnsi="Times New Roman"/>
                <w:kern w:val="0"/>
                <w:szCs w:val="21"/>
              </w:rPr>
              <w:t>烘干机</w:t>
            </w:r>
          </w:p>
        </w:tc>
        <w:tc>
          <w:tcPr>
            <w:tcW w:w="1543" w:type="dxa"/>
            <w:shd w:val="clear" w:color="auto" w:fill="auto"/>
            <w:vAlign w:val="center"/>
          </w:tcPr>
          <w:p w14:paraId="5268D268">
            <w:pPr>
              <w:widowControl/>
              <w:jc w:val="center"/>
              <w:rPr>
                <w:rFonts w:ascii="Times New Roman" w:hAnsi="Times New Roman" w:eastAsia="等线"/>
                <w:kern w:val="0"/>
                <w:szCs w:val="21"/>
              </w:rPr>
            </w:pPr>
            <w:r>
              <w:rPr>
                <w:rFonts w:ascii="Times New Roman" w:hAnsi="Times New Roman" w:eastAsia="等线"/>
                <w:szCs w:val="21"/>
              </w:rPr>
              <w:t>75/1</w:t>
            </w:r>
          </w:p>
        </w:tc>
        <w:tc>
          <w:tcPr>
            <w:tcW w:w="553" w:type="dxa"/>
            <w:shd w:val="clear" w:color="auto" w:fill="auto"/>
            <w:vAlign w:val="center"/>
          </w:tcPr>
          <w:p w14:paraId="1A5CCA68">
            <w:pPr>
              <w:widowControl/>
              <w:jc w:val="center"/>
              <w:rPr>
                <w:rFonts w:ascii="Times New Roman" w:hAnsi="Times New Roman"/>
                <w:kern w:val="0"/>
                <w:szCs w:val="21"/>
              </w:rPr>
            </w:pPr>
            <w:r>
              <w:rPr>
                <w:rFonts w:ascii="Times New Roman" w:hAnsi="Times New Roman"/>
                <w:kern w:val="0"/>
                <w:szCs w:val="21"/>
              </w:rPr>
              <w:t>1</w:t>
            </w:r>
          </w:p>
        </w:tc>
        <w:tc>
          <w:tcPr>
            <w:tcW w:w="1549" w:type="dxa"/>
            <w:shd w:val="clear" w:color="auto" w:fill="auto"/>
            <w:vAlign w:val="center"/>
          </w:tcPr>
          <w:p w14:paraId="74CDBD76">
            <w:pPr>
              <w:widowControl/>
              <w:jc w:val="center"/>
              <w:rPr>
                <w:rFonts w:ascii="Times New Roman" w:hAnsi="Times New Roman" w:eastAsia="等线"/>
                <w:kern w:val="0"/>
                <w:szCs w:val="21"/>
              </w:rPr>
            </w:pPr>
            <w:r>
              <w:rPr>
                <w:rFonts w:ascii="Times New Roman" w:hAnsi="Times New Roman" w:eastAsia="等线"/>
                <w:kern w:val="0"/>
                <w:szCs w:val="21"/>
              </w:rPr>
              <w:t>75/1</w:t>
            </w:r>
          </w:p>
        </w:tc>
        <w:tc>
          <w:tcPr>
            <w:tcW w:w="844" w:type="dxa"/>
            <w:vMerge w:val="restart"/>
            <w:shd w:val="clear" w:color="auto" w:fill="auto"/>
            <w:vAlign w:val="center"/>
          </w:tcPr>
          <w:p w14:paraId="13EA553A">
            <w:pPr>
              <w:widowControl/>
              <w:rPr>
                <w:rFonts w:ascii="Times New Roman" w:hAnsi="Times New Roman"/>
                <w:kern w:val="0"/>
                <w:szCs w:val="21"/>
              </w:rPr>
            </w:pPr>
            <w:r>
              <w:rPr>
                <w:rFonts w:ascii="Times New Roman" w:hAnsi="Times New Roman"/>
                <w:kern w:val="0"/>
                <w:szCs w:val="21"/>
              </w:rPr>
              <w:t>基础减振、厂房建筑隔声、风机隔声房等</w:t>
            </w:r>
          </w:p>
        </w:tc>
        <w:tc>
          <w:tcPr>
            <w:tcW w:w="702" w:type="dxa"/>
            <w:shd w:val="clear" w:color="auto" w:fill="auto"/>
            <w:vAlign w:val="center"/>
          </w:tcPr>
          <w:p w14:paraId="1FD44134">
            <w:pPr>
              <w:widowControl/>
              <w:jc w:val="center"/>
              <w:rPr>
                <w:rFonts w:ascii="Times New Roman" w:hAnsi="Times New Roman" w:eastAsia="等线"/>
                <w:kern w:val="0"/>
                <w:szCs w:val="21"/>
              </w:rPr>
            </w:pPr>
            <w:r>
              <w:rPr>
                <w:rFonts w:ascii="Times New Roman" w:hAnsi="Times New Roman" w:eastAsia="等线"/>
                <w:szCs w:val="21"/>
              </w:rPr>
              <w:t>-8.4</w:t>
            </w:r>
          </w:p>
        </w:tc>
        <w:tc>
          <w:tcPr>
            <w:tcW w:w="550" w:type="dxa"/>
            <w:shd w:val="clear" w:color="auto" w:fill="auto"/>
            <w:vAlign w:val="center"/>
          </w:tcPr>
          <w:p w14:paraId="2CD62509">
            <w:pPr>
              <w:widowControl/>
              <w:jc w:val="center"/>
              <w:rPr>
                <w:rFonts w:ascii="Times New Roman" w:hAnsi="Times New Roman" w:eastAsia="等线"/>
                <w:kern w:val="0"/>
                <w:szCs w:val="21"/>
              </w:rPr>
            </w:pPr>
            <w:r>
              <w:rPr>
                <w:rFonts w:ascii="Times New Roman" w:hAnsi="Times New Roman" w:eastAsia="等线"/>
                <w:szCs w:val="21"/>
              </w:rPr>
              <w:t>4.8</w:t>
            </w:r>
          </w:p>
        </w:tc>
        <w:tc>
          <w:tcPr>
            <w:tcW w:w="556" w:type="dxa"/>
            <w:shd w:val="clear" w:color="auto" w:fill="auto"/>
            <w:vAlign w:val="center"/>
          </w:tcPr>
          <w:p w14:paraId="2E578623">
            <w:pPr>
              <w:widowControl/>
              <w:jc w:val="center"/>
              <w:rPr>
                <w:rFonts w:ascii="Times New Roman" w:hAnsi="Times New Roman" w:eastAsia="等线"/>
                <w:kern w:val="0"/>
                <w:szCs w:val="21"/>
              </w:rPr>
            </w:pPr>
            <w:r>
              <w:rPr>
                <w:rFonts w:ascii="Times New Roman" w:hAnsi="Times New Roman" w:eastAsia="等线"/>
                <w:szCs w:val="21"/>
              </w:rPr>
              <w:t>1</w:t>
            </w:r>
          </w:p>
        </w:tc>
        <w:tc>
          <w:tcPr>
            <w:tcW w:w="753" w:type="dxa"/>
            <w:shd w:val="clear" w:color="auto" w:fill="auto"/>
            <w:vAlign w:val="center"/>
          </w:tcPr>
          <w:p w14:paraId="6EC1CB92">
            <w:pPr>
              <w:widowControl/>
              <w:jc w:val="center"/>
              <w:rPr>
                <w:rFonts w:ascii="Times New Roman" w:hAnsi="Times New Roman" w:eastAsia="等线"/>
                <w:kern w:val="0"/>
                <w:szCs w:val="21"/>
              </w:rPr>
            </w:pPr>
            <w:r>
              <w:rPr>
                <w:rFonts w:ascii="Times New Roman" w:hAnsi="Times New Roman" w:eastAsia="等线"/>
                <w:szCs w:val="21"/>
              </w:rPr>
              <w:t>6</w:t>
            </w:r>
          </w:p>
        </w:tc>
        <w:tc>
          <w:tcPr>
            <w:tcW w:w="927" w:type="dxa"/>
            <w:shd w:val="clear" w:color="auto" w:fill="auto"/>
            <w:vAlign w:val="center"/>
          </w:tcPr>
          <w:p w14:paraId="1BAB9E98">
            <w:pPr>
              <w:widowControl/>
              <w:jc w:val="center"/>
              <w:rPr>
                <w:rFonts w:ascii="Times New Roman" w:hAnsi="Times New Roman" w:eastAsia="等线"/>
                <w:kern w:val="0"/>
                <w:szCs w:val="21"/>
              </w:rPr>
            </w:pPr>
            <w:r>
              <w:rPr>
                <w:rFonts w:ascii="Times New Roman" w:hAnsi="Times New Roman" w:eastAsia="等线"/>
                <w:szCs w:val="21"/>
              </w:rPr>
              <w:t>59.4</w:t>
            </w:r>
          </w:p>
        </w:tc>
        <w:tc>
          <w:tcPr>
            <w:tcW w:w="716" w:type="dxa"/>
            <w:shd w:val="clear" w:color="auto" w:fill="auto"/>
            <w:vAlign w:val="center"/>
          </w:tcPr>
          <w:p w14:paraId="21EFFF1E">
            <w:pPr>
              <w:widowControl/>
              <w:jc w:val="center"/>
              <w:rPr>
                <w:rFonts w:ascii="Times New Roman" w:hAnsi="Times New Roman"/>
                <w:kern w:val="0"/>
                <w:szCs w:val="21"/>
              </w:rPr>
            </w:pPr>
            <w:r>
              <w:rPr>
                <w:rFonts w:ascii="Times New Roman" w:hAnsi="Times New Roman"/>
                <w:kern w:val="0"/>
                <w:szCs w:val="21"/>
              </w:rPr>
              <w:t>连续</w:t>
            </w:r>
          </w:p>
        </w:tc>
        <w:tc>
          <w:tcPr>
            <w:tcW w:w="961" w:type="dxa"/>
            <w:shd w:val="clear" w:color="auto" w:fill="auto"/>
            <w:vAlign w:val="center"/>
          </w:tcPr>
          <w:p w14:paraId="0F1AE9D5">
            <w:pPr>
              <w:widowControl/>
              <w:jc w:val="center"/>
              <w:rPr>
                <w:rFonts w:ascii="Times New Roman" w:hAnsi="Times New Roman" w:eastAsia="等线"/>
                <w:kern w:val="0"/>
                <w:szCs w:val="21"/>
              </w:rPr>
            </w:pPr>
            <w:r>
              <w:rPr>
                <w:rFonts w:ascii="Times New Roman" w:hAnsi="Times New Roman" w:eastAsia="等线"/>
                <w:kern w:val="0"/>
                <w:szCs w:val="21"/>
              </w:rPr>
              <w:t>10</w:t>
            </w:r>
          </w:p>
        </w:tc>
        <w:tc>
          <w:tcPr>
            <w:tcW w:w="927" w:type="dxa"/>
            <w:shd w:val="clear" w:color="auto" w:fill="auto"/>
            <w:vAlign w:val="center"/>
          </w:tcPr>
          <w:p w14:paraId="1689523E">
            <w:pPr>
              <w:widowControl/>
              <w:jc w:val="center"/>
              <w:rPr>
                <w:rFonts w:ascii="Times New Roman" w:hAnsi="Times New Roman" w:eastAsia="等线"/>
                <w:kern w:val="0"/>
                <w:szCs w:val="21"/>
              </w:rPr>
            </w:pPr>
            <w:r>
              <w:rPr>
                <w:rFonts w:ascii="Times New Roman" w:hAnsi="Times New Roman" w:eastAsia="等线"/>
                <w:szCs w:val="21"/>
              </w:rPr>
              <w:t>4</w:t>
            </w:r>
            <w:r>
              <w:rPr>
                <w:rFonts w:hint="eastAsia" w:ascii="Times New Roman" w:hAnsi="Times New Roman" w:eastAsia="等线"/>
                <w:szCs w:val="21"/>
              </w:rPr>
              <w:t>9</w:t>
            </w:r>
            <w:r>
              <w:rPr>
                <w:rFonts w:ascii="Times New Roman" w:hAnsi="Times New Roman" w:eastAsia="等线"/>
                <w:szCs w:val="21"/>
              </w:rPr>
              <w:t>.4</w:t>
            </w:r>
          </w:p>
        </w:tc>
        <w:tc>
          <w:tcPr>
            <w:tcW w:w="887" w:type="dxa"/>
            <w:shd w:val="clear" w:color="auto" w:fill="auto"/>
            <w:vAlign w:val="center"/>
          </w:tcPr>
          <w:p w14:paraId="2D24E167">
            <w:pPr>
              <w:widowControl/>
              <w:jc w:val="center"/>
              <w:rPr>
                <w:rFonts w:ascii="Times New Roman" w:hAnsi="Times New Roman" w:eastAsia="等线"/>
                <w:kern w:val="0"/>
                <w:szCs w:val="21"/>
              </w:rPr>
            </w:pPr>
            <w:r>
              <w:rPr>
                <w:rFonts w:ascii="Times New Roman" w:hAnsi="Times New Roman" w:eastAsia="等线"/>
                <w:kern w:val="0"/>
                <w:szCs w:val="21"/>
              </w:rPr>
              <w:t>1</w:t>
            </w:r>
          </w:p>
        </w:tc>
      </w:tr>
      <w:tr w14:paraId="6A41C9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428" w:type="dxa"/>
            <w:vMerge w:val="continue"/>
            <w:shd w:val="clear" w:color="auto" w:fill="auto"/>
            <w:vAlign w:val="center"/>
          </w:tcPr>
          <w:p w14:paraId="2E9BCDCF">
            <w:pPr>
              <w:widowControl/>
              <w:jc w:val="left"/>
              <w:rPr>
                <w:rFonts w:ascii="Times New Roman" w:hAnsi="Times New Roman" w:eastAsia="等线"/>
                <w:kern w:val="0"/>
                <w:szCs w:val="21"/>
              </w:rPr>
            </w:pPr>
          </w:p>
        </w:tc>
        <w:tc>
          <w:tcPr>
            <w:tcW w:w="821" w:type="dxa"/>
            <w:vMerge w:val="continue"/>
            <w:shd w:val="clear" w:color="auto" w:fill="auto"/>
            <w:vAlign w:val="center"/>
          </w:tcPr>
          <w:p w14:paraId="2A335857">
            <w:pPr>
              <w:widowControl/>
              <w:jc w:val="left"/>
              <w:rPr>
                <w:rFonts w:ascii="Times New Roman" w:hAnsi="Times New Roman"/>
                <w:kern w:val="0"/>
                <w:szCs w:val="21"/>
              </w:rPr>
            </w:pPr>
          </w:p>
        </w:tc>
        <w:tc>
          <w:tcPr>
            <w:tcW w:w="1543" w:type="dxa"/>
            <w:shd w:val="clear" w:color="auto" w:fill="auto"/>
            <w:vAlign w:val="center"/>
          </w:tcPr>
          <w:p w14:paraId="0ED0C8CA">
            <w:pPr>
              <w:widowControl/>
              <w:jc w:val="center"/>
              <w:rPr>
                <w:rFonts w:ascii="Times New Roman" w:hAnsi="Times New Roman"/>
                <w:kern w:val="0"/>
                <w:szCs w:val="21"/>
              </w:rPr>
            </w:pPr>
            <w:r>
              <w:rPr>
                <w:rFonts w:ascii="Times New Roman" w:hAnsi="Times New Roman"/>
                <w:kern w:val="0"/>
                <w:szCs w:val="21"/>
              </w:rPr>
              <w:t>皮带输送机</w:t>
            </w:r>
          </w:p>
        </w:tc>
        <w:tc>
          <w:tcPr>
            <w:tcW w:w="1543" w:type="dxa"/>
            <w:shd w:val="clear" w:color="auto" w:fill="auto"/>
            <w:vAlign w:val="center"/>
          </w:tcPr>
          <w:p w14:paraId="7AB3B649">
            <w:pPr>
              <w:widowControl/>
              <w:jc w:val="center"/>
              <w:rPr>
                <w:rFonts w:ascii="Times New Roman" w:hAnsi="Times New Roman" w:eastAsia="等线"/>
                <w:kern w:val="0"/>
                <w:szCs w:val="21"/>
              </w:rPr>
            </w:pPr>
            <w:r>
              <w:rPr>
                <w:rFonts w:ascii="Times New Roman" w:hAnsi="Times New Roman" w:eastAsia="等线"/>
                <w:szCs w:val="21"/>
              </w:rPr>
              <w:t>65/1</w:t>
            </w:r>
          </w:p>
        </w:tc>
        <w:tc>
          <w:tcPr>
            <w:tcW w:w="553" w:type="dxa"/>
            <w:shd w:val="clear" w:color="auto" w:fill="auto"/>
            <w:vAlign w:val="center"/>
          </w:tcPr>
          <w:p w14:paraId="5B65049B">
            <w:pPr>
              <w:widowControl/>
              <w:jc w:val="center"/>
              <w:rPr>
                <w:rFonts w:ascii="Times New Roman" w:hAnsi="Times New Roman"/>
                <w:kern w:val="0"/>
                <w:szCs w:val="21"/>
              </w:rPr>
            </w:pPr>
            <w:r>
              <w:rPr>
                <w:rFonts w:ascii="Times New Roman" w:hAnsi="Times New Roman"/>
                <w:kern w:val="0"/>
                <w:szCs w:val="21"/>
              </w:rPr>
              <w:t>1</w:t>
            </w:r>
          </w:p>
        </w:tc>
        <w:tc>
          <w:tcPr>
            <w:tcW w:w="1549" w:type="dxa"/>
            <w:shd w:val="clear" w:color="auto" w:fill="auto"/>
            <w:vAlign w:val="center"/>
          </w:tcPr>
          <w:p w14:paraId="4D6E9256">
            <w:pPr>
              <w:widowControl/>
              <w:jc w:val="center"/>
              <w:rPr>
                <w:rFonts w:ascii="Times New Roman" w:hAnsi="Times New Roman" w:eastAsia="等线"/>
                <w:kern w:val="0"/>
                <w:szCs w:val="21"/>
              </w:rPr>
            </w:pPr>
            <w:r>
              <w:rPr>
                <w:rFonts w:ascii="Times New Roman" w:hAnsi="Times New Roman" w:eastAsia="等线"/>
                <w:kern w:val="0"/>
                <w:szCs w:val="21"/>
              </w:rPr>
              <w:t>65/1</w:t>
            </w:r>
          </w:p>
        </w:tc>
        <w:tc>
          <w:tcPr>
            <w:tcW w:w="844" w:type="dxa"/>
            <w:vMerge w:val="continue"/>
            <w:shd w:val="clear" w:color="auto" w:fill="auto"/>
            <w:vAlign w:val="center"/>
          </w:tcPr>
          <w:p w14:paraId="25F0D9E4">
            <w:pPr>
              <w:widowControl/>
              <w:jc w:val="left"/>
              <w:rPr>
                <w:rFonts w:ascii="Times New Roman" w:hAnsi="Times New Roman"/>
                <w:kern w:val="0"/>
                <w:szCs w:val="21"/>
              </w:rPr>
            </w:pPr>
          </w:p>
        </w:tc>
        <w:tc>
          <w:tcPr>
            <w:tcW w:w="702" w:type="dxa"/>
            <w:shd w:val="clear" w:color="auto" w:fill="auto"/>
            <w:vAlign w:val="center"/>
          </w:tcPr>
          <w:p w14:paraId="23E3C1D8">
            <w:pPr>
              <w:widowControl/>
              <w:jc w:val="center"/>
              <w:rPr>
                <w:rFonts w:ascii="Times New Roman" w:hAnsi="Times New Roman" w:eastAsia="等线"/>
                <w:kern w:val="0"/>
                <w:szCs w:val="21"/>
              </w:rPr>
            </w:pPr>
            <w:r>
              <w:rPr>
                <w:rFonts w:ascii="Times New Roman" w:hAnsi="Times New Roman" w:eastAsia="等线"/>
                <w:szCs w:val="21"/>
              </w:rPr>
              <w:t>-8.4</w:t>
            </w:r>
          </w:p>
        </w:tc>
        <w:tc>
          <w:tcPr>
            <w:tcW w:w="550" w:type="dxa"/>
            <w:shd w:val="clear" w:color="auto" w:fill="auto"/>
            <w:vAlign w:val="center"/>
          </w:tcPr>
          <w:p w14:paraId="73902FEA">
            <w:pPr>
              <w:widowControl/>
              <w:jc w:val="center"/>
              <w:rPr>
                <w:rFonts w:ascii="Times New Roman" w:hAnsi="Times New Roman" w:eastAsia="等线"/>
                <w:kern w:val="0"/>
                <w:szCs w:val="21"/>
              </w:rPr>
            </w:pPr>
            <w:r>
              <w:rPr>
                <w:rFonts w:ascii="Times New Roman" w:hAnsi="Times New Roman" w:eastAsia="等线"/>
                <w:szCs w:val="21"/>
              </w:rPr>
              <w:t>4.8</w:t>
            </w:r>
          </w:p>
        </w:tc>
        <w:tc>
          <w:tcPr>
            <w:tcW w:w="556" w:type="dxa"/>
            <w:shd w:val="clear" w:color="auto" w:fill="auto"/>
            <w:vAlign w:val="center"/>
          </w:tcPr>
          <w:p w14:paraId="7D8B29E7">
            <w:pPr>
              <w:widowControl/>
              <w:jc w:val="center"/>
              <w:rPr>
                <w:rFonts w:ascii="Times New Roman" w:hAnsi="Times New Roman" w:eastAsia="等线"/>
                <w:kern w:val="0"/>
                <w:szCs w:val="21"/>
              </w:rPr>
            </w:pPr>
            <w:r>
              <w:rPr>
                <w:rFonts w:ascii="Times New Roman" w:hAnsi="Times New Roman" w:eastAsia="等线"/>
                <w:szCs w:val="21"/>
              </w:rPr>
              <w:t>1</w:t>
            </w:r>
          </w:p>
        </w:tc>
        <w:tc>
          <w:tcPr>
            <w:tcW w:w="753" w:type="dxa"/>
            <w:shd w:val="clear" w:color="auto" w:fill="auto"/>
            <w:vAlign w:val="center"/>
          </w:tcPr>
          <w:p w14:paraId="5ED37389">
            <w:pPr>
              <w:widowControl/>
              <w:jc w:val="center"/>
              <w:rPr>
                <w:rFonts w:ascii="Times New Roman" w:hAnsi="Times New Roman" w:eastAsia="等线"/>
                <w:kern w:val="0"/>
                <w:szCs w:val="21"/>
              </w:rPr>
            </w:pPr>
            <w:r>
              <w:rPr>
                <w:rFonts w:ascii="Times New Roman" w:hAnsi="Times New Roman" w:eastAsia="等线"/>
                <w:szCs w:val="21"/>
              </w:rPr>
              <w:t>6</w:t>
            </w:r>
          </w:p>
        </w:tc>
        <w:tc>
          <w:tcPr>
            <w:tcW w:w="927" w:type="dxa"/>
            <w:shd w:val="clear" w:color="auto" w:fill="auto"/>
            <w:vAlign w:val="center"/>
          </w:tcPr>
          <w:p w14:paraId="710428E8">
            <w:pPr>
              <w:widowControl/>
              <w:jc w:val="center"/>
              <w:rPr>
                <w:rFonts w:ascii="Times New Roman" w:hAnsi="Times New Roman" w:eastAsia="等线"/>
                <w:kern w:val="0"/>
                <w:szCs w:val="21"/>
              </w:rPr>
            </w:pPr>
            <w:r>
              <w:rPr>
                <w:rFonts w:ascii="Times New Roman" w:hAnsi="Times New Roman" w:eastAsia="等线"/>
                <w:szCs w:val="21"/>
              </w:rPr>
              <w:t>49.4</w:t>
            </w:r>
          </w:p>
        </w:tc>
        <w:tc>
          <w:tcPr>
            <w:tcW w:w="716" w:type="dxa"/>
            <w:shd w:val="clear" w:color="auto" w:fill="auto"/>
            <w:vAlign w:val="center"/>
          </w:tcPr>
          <w:p w14:paraId="47A239D4">
            <w:pPr>
              <w:widowControl/>
              <w:jc w:val="center"/>
              <w:rPr>
                <w:rFonts w:ascii="Times New Roman" w:hAnsi="Times New Roman"/>
                <w:kern w:val="0"/>
                <w:szCs w:val="21"/>
              </w:rPr>
            </w:pPr>
            <w:r>
              <w:rPr>
                <w:rFonts w:ascii="Times New Roman" w:hAnsi="Times New Roman"/>
                <w:kern w:val="0"/>
                <w:szCs w:val="21"/>
              </w:rPr>
              <w:t>连续</w:t>
            </w:r>
          </w:p>
        </w:tc>
        <w:tc>
          <w:tcPr>
            <w:tcW w:w="961" w:type="dxa"/>
            <w:shd w:val="clear" w:color="auto" w:fill="auto"/>
            <w:vAlign w:val="center"/>
          </w:tcPr>
          <w:p w14:paraId="35914312">
            <w:pPr>
              <w:widowControl/>
              <w:jc w:val="center"/>
              <w:rPr>
                <w:rFonts w:ascii="Times New Roman" w:hAnsi="Times New Roman" w:eastAsia="等线"/>
                <w:kern w:val="0"/>
                <w:szCs w:val="21"/>
              </w:rPr>
            </w:pPr>
            <w:r>
              <w:rPr>
                <w:rFonts w:ascii="Times New Roman" w:hAnsi="Times New Roman" w:eastAsia="等线"/>
                <w:kern w:val="0"/>
                <w:szCs w:val="21"/>
              </w:rPr>
              <w:t>10</w:t>
            </w:r>
          </w:p>
        </w:tc>
        <w:tc>
          <w:tcPr>
            <w:tcW w:w="927" w:type="dxa"/>
            <w:shd w:val="clear" w:color="auto" w:fill="auto"/>
            <w:vAlign w:val="center"/>
          </w:tcPr>
          <w:p w14:paraId="20C6E734">
            <w:pPr>
              <w:widowControl/>
              <w:jc w:val="center"/>
              <w:rPr>
                <w:rFonts w:ascii="Times New Roman" w:hAnsi="Times New Roman" w:eastAsia="等线"/>
                <w:kern w:val="0"/>
                <w:szCs w:val="21"/>
              </w:rPr>
            </w:pPr>
            <w:r>
              <w:rPr>
                <w:rFonts w:ascii="Times New Roman" w:hAnsi="Times New Roman" w:eastAsia="等线"/>
                <w:szCs w:val="21"/>
              </w:rPr>
              <w:t>39.4</w:t>
            </w:r>
          </w:p>
        </w:tc>
        <w:tc>
          <w:tcPr>
            <w:tcW w:w="887" w:type="dxa"/>
            <w:shd w:val="clear" w:color="auto" w:fill="auto"/>
            <w:vAlign w:val="center"/>
          </w:tcPr>
          <w:p w14:paraId="09A06B51">
            <w:pPr>
              <w:widowControl/>
              <w:jc w:val="center"/>
              <w:rPr>
                <w:rFonts w:ascii="Times New Roman" w:hAnsi="Times New Roman" w:eastAsia="等线"/>
                <w:kern w:val="0"/>
                <w:szCs w:val="21"/>
              </w:rPr>
            </w:pPr>
            <w:r>
              <w:rPr>
                <w:rFonts w:ascii="Times New Roman" w:hAnsi="Times New Roman" w:eastAsia="等线"/>
                <w:kern w:val="0"/>
                <w:szCs w:val="21"/>
              </w:rPr>
              <w:t>1</w:t>
            </w:r>
          </w:p>
        </w:tc>
      </w:tr>
      <w:tr w14:paraId="1FA7F5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428" w:type="dxa"/>
            <w:vMerge w:val="continue"/>
            <w:shd w:val="clear" w:color="auto" w:fill="auto"/>
            <w:vAlign w:val="center"/>
          </w:tcPr>
          <w:p w14:paraId="78DA6ED5">
            <w:pPr>
              <w:widowControl/>
              <w:jc w:val="left"/>
              <w:rPr>
                <w:rFonts w:ascii="Times New Roman" w:hAnsi="Times New Roman" w:eastAsia="等线"/>
                <w:kern w:val="0"/>
                <w:szCs w:val="21"/>
              </w:rPr>
            </w:pPr>
          </w:p>
        </w:tc>
        <w:tc>
          <w:tcPr>
            <w:tcW w:w="821" w:type="dxa"/>
            <w:vMerge w:val="continue"/>
            <w:shd w:val="clear" w:color="auto" w:fill="auto"/>
            <w:vAlign w:val="center"/>
          </w:tcPr>
          <w:p w14:paraId="6EDADFB5">
            <w:pPr>
              <w:widowControl/>
              <w:jc w:val="left"/>
              <w:rPr>
                <w:rFonts w:ascii="Times New Roman" w:hAnsi="Times New Roman"/>
                <w:kern w:val="0"/>
                <w:szCs w:val="21"/>
              </w:rPr>
            </w:pPr>
          </w:p>
        </w:tc>
        <w:tc>
          <w:tcPr>
            <w:tcW w:w="1543" w:type="dxa"/>
            <w:shd w:val="clear" w:color="auto" w:fill="auto"/>
            <w:vAlign w:val="center"/>
          </w:tcPr>
          <w:p w14:paraId="5DC5062F">
            <w:pPr>
              <w:widowControl/>
              <w:jc w:val="center"/>
              <w:rPr>
                <w:rFonts w:ascii="Times New Roman" w:hAnsi="Times New Roman"/>
                <w:kern w:val="0"/>
                <w:szCs w:val="21"/>
              </w:rPr>
            </w:pPr>
            <w:r>
              <w:rPr>
                <w:rFonts w:ascii="Times New Roman" w:hAnsi="Times New Roman"/>
                <w:kern w:val="0"/>
                <w:szCs w:val="21"/>
              </w:rPr>
              <w:t>装载机1</w:t>
            </w:r>
          </w:p>
        </w:tc>
        <w:tc>
          <w:tcPr>
            <w:tcW w:w="1543" w:type="dxa"/>
            <w:shd w:val="clear" w:color="auto" w:fill="auto"/>
            <w:vAlign w:val="center"/>
          </w:tcPr>
          <w:p w14:paraId="6A8B1469">
            <w:pPr>
              <w:widowControl/>
              <w:jc w:val="center"/>
              <w:rPr>
                <w:rFonts w:ascii="Times New Roman" w:hAnsi="Times New Roman" w:eastAsia="等线"/>
                <w:kern w:val="0"/>
                <w:szCs w:val="21"/>
              </w:rPr>
            </w:pPr>
            <w:r>
              <w:rPr>
                <w:rFonts w:ascii="Times New Roman" w:hAnsi="Times New Roman" w:eastAsia="等线"/>
                <w:szCs w:val="21"/>
              </w:rPr>
              <w:t>75/1</w:t>
            </w:r>
          </w:p>
        </w:tc>
        <w:tc>
          <w:tcPr>
            <w:tcW w:w="553" w:type="dxa"/>
            <w:shd w:val="clear" w:color="auto" w:fill="auto"/>
            <w:vAlign w:val="center"/>
          </w:tcPr>
          <w:p w14:paraId="749AEA17">
            <w:pPr>
              <w:widowControl/>
              <w:jc w:val="center"/>
              <w:rPr>
                <w:rFonts w:ascii="Times New Roman" w:hAnsi="Times New Roman"/>
                <w:kern w:val="0"/>
                <w:szCs w:val="21"/>
              </w:rPr>
            </w:pPr>
            <w:r>
              <w:rPr>
                <w:rFonts w:ascii="Times New Roman" w:hAnsi="Times New Roman"/>
                <w:kern w:val="0"/>
                <w:szCs w:val="21"/>
              </w:rPr>
              <w:t>1</w:t>
            </w:r>
          </w:p>
        </w:tc>
        <w:tc>
          <w:tcPr>
            <w:tcW w:w="1549" w:type="dxa"/>
            <w:shd w:val="clear" w:color="auto" w:fill="auto"/>
            <w:vAlign w:val="center"/>
          </w:tcPr>
          <w:p w14:paraId="76136E69">
            <w:pPr>
              <w:widowControl/>
              <w:jc w:val="center"/>
              <w:rPr>
                <w:rFonts w:ascii="Times New Roman" w:hAnsi="Times New Roman" w:eastAsia="等线"/>
                <w:kern w:val="0"/>
                <w:szCs w:val="21"/>
              </w:rPr>
            </w:pPr>
            <w:r>
              <w:rPr>
                <w:rFonts w:ascii="Times New Roman" w:hAnsi="Times New Roman" w:eastAsia="等线"/>
                <w:kern w:val="0"/>
                <w:szCs w:val="21"/>
              </w:rPr>
              <w:t>75/1</w:t>
            </w:r>
          </w:p>
        </w:tc>
        <w:tc>
          <w:tcPr>
            <w:tcW w:w="844" w:type="dxa"/>
            <w:vMerge w:val="continue"/>
            <w:shd w:val="clear" w:color="auto" w:fill="auto"/>
            <w:vAlign w:val="center"/>
          </w:tcPr>
          <w:p w14:paraId="627FAE4D">
            <w:pPr>
              <w:widowControl/>
              <w:jc w:val="left"/>
              <w:rPr>
                <w:rFonts w:ascii="Times New Roman" w:hAnsi="Times New Roman"/>
                <w:kern w:val="0"/>
                <w:szCs w:val="21"/>
              </w:rPr>
            </w:pPr>
          </w:p>
        </w:tc>
        <w:tc>
          <w:tcPr>
            <w:tcW w:w="702" w:type="dxa"/>
            <w:shd w:val="clear" w:color="auto" w:fill="auto"/>
            <w:vAlign w:val="center"/>
          </w:tcPr>
          <w:p w14:paraId="574E9910">
            <w:pPr>
              <w:widowControl/>
              <w:jc w:val="center"/>
              <w:rPr>
                <w:rFonts w:ascii="Times New Roman" w:hAnsi="Times New Roman" w:eastAsia="等线"/>
                <w:kern w:val="0"/>
                <w:szCs w:val="21"/>
              </w:rPr>
            </w:pPr>
            <w:r>
              <w:rPr>
                <w:rFonts w:ascii="Times New Roman" w:hAnsi="Times New Roman" w:eastAsia="等线"/>
                <w:szCs w:val="21"/>
              </w:rPr>
              <w:t>-27.3</w:t>
            </w:r>
          </w:p>
        </w:tc>
        <w:tc>
          <w:tcPr>
            <w:tcW w:w="550" w:type="dxa"/>
            <w:shd w:val="clear" w:color="auto" w:fill="auto"/>
            <w:vAlign w:val="center"/>
          </w:tcPr>
          <w:p w14:paraId="7D52D386">
            <w:pPr>
              <w:widowControl/>
              <w:jc w:val="center"/>
              <w:rPr>
                <w:rFonts w:ascii="Times New Roman" w:hAnsi="Times New Roman" w:eastAsia="等线"/>
                <w:kern w:val="0"/>
                <w:szCs w:val="21"/>
              </w:rPr>
            </w:pPr>
            <w:r>
              <w:rPr>
                <w:rFonts w:ascii="Times New Roman" w:hAnsi="Times New Roman" w:eastAsia="等线"/>
                <w:szCs w:val="21"/>
              </w:rPr>
              <w:t>0</w:t>
            </w:r>
          </w:p>
        </w:tc>
        <w:tc>
          <w:tcPr>
            <w:tcW w:w="556" w:type="dxa"/>
            <w:shd w:val="clear" w:color="auto" w:fill="auto"/>
            <w:vAlign w:val="center"/>
          </w:tcPr>
          <w:p w14:paraId="6D89BE47">
            <w:pPr>
              <w:widowControl/>
              <w:jc w:val="center"/>
              <w:rPr>
                <w:rFonts w:ascii="Times New Roman" w:hAnsi="Times New Roman" w:eastAsia="等线"/>
                <w:kern w:val="0"/>
                <w:szCs w:val="21"/>
              </w:rPr>
            </w:pPr>
            <w:r>
              <w:rPr>
                <w:rFonts w:ascii="Times New Roman" w:hAnsi="Times New Roman" w:eastAsia="等线"/>
                <w:szCs w:val="21"/>
              </w:rPr>
              <w:t>1</w:t>
            </w:r>
          </w:p>
        </w:tc>
        <w:tc>
          <w:tcPr>
            <w:tcW w:w="753" w:type="dxa"/>
            <w:shd w:val="clear" w:color="auto" w:fill="auto"/>
            <w:vAlign w:val="center"/>
          </w:tcPr>
          <w:p w14:paraId="58559AB5">
            <w:pPr>
              <w:widowControl/>
              <w:jc w:val="center"/>
              <w:rPr>
                <w:rFonts w:ascii="Times New Roman" w:hAnsi="Times New Roman" w:eastAsia="等线"/>
                <w:kern w:val="0"/>
                <w:szCs w:val="21"/>
              </w:rPr>
            </w:pPr>
            <w:r>
              <w:rPr>
                <w:rFonts w:ascii="Times New Roman" w:hAnsi="Times New Roman" w:eastAsia="等线"/>
                <w:szCs w:val="21"/>
              </w:rPr>
              <w:t>10.8</w:t>
            </w:r>
          </w:p>
        </w:tc>
        <w:tc>
          <w:tcPr>
            <w:tcW w:w="927" w:type="dxa"/>
            <w:shd w:val="clear" w:color="auto" w:fill="auto"/>
            <w:vAlign w:val="center"/>
          </w:tcPr>
          <w:p w14:paraId="671D07C4">
            <w:pPr>
              <w:widowControl/>
              <w:jc w:val="center"/>
              <w:rPr>
                <w:rFonts w:ascii="Times New Roman" w:hAnsi="Times New Roman" w:eastAsia="等线"/>
                <w:kern w:val="0"/>
                <w:szCs w:val="21"/>
              </w:rPr>
            </w:pPr>
            <w:r>
              <w:rPr>
                <w:rFonts w:ascii="Times New Roman" w:hAnsi="Times New Roman" w:eastAsia="等线"/>
                <w:szCs w:val="21"/>
              </w:rPr>
              <w:t>54.3</w:t>
            </w:r>
          </w:p>
        </w:tc>
        <w:tc>
          <w:tcPr>
            <w:tcW w:w="716" w:type="dxa"/>
            <w:shd w:val="clear" w:color="auto" w:fill="auto"/>
            <w:vAlign w:val="center"/>
          </w:tcPr>
          <w:p w14:paraId="5FBFC743">
            <w:pPr>
              <w:widowControl/>
              <w:jc w:val="center"/>
              <w:rPr>
                <w:rFonts w:ascii="Times New Roman" w:hAnsi="Times New Roman"/>
                <w:kern w:val="0"/>
                <w:szCs w:val="21"/>
              </w:rPr>
            </w:pPr>
            <w:r>
              <w:rPr>
                <w:rFonts w:ascii="Times New Roman" w:hAnsi="Times New Roman"/>
                <w:kern w:val="0"/>
                <w:szCs w:val="21"/>
              </w:rPr>
              <w:t>间歇</w:t>
            </w:r>
          </w:p>
        </w:tc>
        <w:tc>
          <w:tcPr>
            <w:tcW w:w="961" w:type="dxa"/>
            <w:shd w:val="clear" w:color="auto" w:fill="auto"/>
            <w:vAlign w:val="center"/>
          </w:tcPr>
          <w:p w14:paraId="5B4C461B">
            <w:pPr>
              <w:widowControl/>
              <w:jc w:val="center"/>
              <w:rPr>
                <w:rFonts w:ascii="Times New Roman" w:hAnsi="Times New Roman" w:eastAsia="等线"/>
                <w:kern w:val="0"/>
                <w:szCs w:val="21"/>
              </w:rPr>
            </w:pPr>
            <w:r>
              <w:rPr>
                <w:rFonts w:ascii="Times New Roman" w:hAnsi="Times New Roman" w:eastAsia="等线"/>
                <w:kern w:val="0"/>
                <w:szCs w:val="21"/>
              </w:rPr>
              <w:t>10</w:t>
            </w:r>
          </w:p>
        </w:tc>
        <w:tc>
          <w:tcPr>
            <w:tcW w:w="927" w:type="dxa"/>
            <w:shd w:val="clear" w:color="auto" w:fill="auto"/>
            <w:vAlign w:val="center"/>
          </w:tcPr>
          <w:p w14:paraId="182A61D0">
            <w:pPr>
              <w:widowControl/>
              <w:jc w:val="center"/>
              <w:rPr>
                <w:rFonts w:ascii="Times New Roman" w:hAnsi="Times New Roman" w:eastAsia="等线"/>
                <w:kern w:val="0"/>
                <w:szCs w:val="21"/>
              </w:rPr>
            </w:pPr>
            <w:r>
              <w:rPr>
                <w:rFonts w:ascii="Times New Roman" w:hAnsi="Times New Roman" w:eastAsia="等线"/>
                <w:szCs w:val="21"/>
              </w:rPr>
              <w:t>44.3</w:t>
            </w:r>
          </w:p>
        </w:tc>
        <w:tc>
          <w:tcPr>
            <w:tcW w:w="887" w:type="dxa"/>
            <w:shd w:val="clear" w:color="auto" w:fill="auto"/>
            <w:vAlign w:val="center"/>
          </w:tcPr>
          <w:p w14:paraId="2CF72089">
            <w:pPr>
              <w:widowControl/>
              <w:jc w:val="center"/>
              <w:rPr>
                <w:rFonts w:ascii="Times New Roman" w:hAnsi="Times New Roman" w:eastAsia="等线"/>
                <w:kern w:val="0"/>
                <w:szCs w:val="21"/>
              </w:rPr>
            </w:pPr>
            <w:r>
              <w:rPr>
                <w:rFonts w:ascii="Times New Roman" w:hAnsi="Times New Roman" w:eastAsia="等线"/>
                <w:kern w:val="0"/>
                <w:szCs w:val="21"/>
              </w:rPr>
              <w:t>1</w:t>
            </w:r>
          </w:p>
        </w:tc>
      </w:tr>
      <w:tr w14:paraId="5D2170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428" w:type="dxa"/>
            <w:vMerge w:val="continue"/>
            <w:shd w:val="clear" w:color="auto" w:fill="auto"/>
            <w:vAlign w:val="center"/>
          </w:tcPr>
          <w:p w14:paraId="0983C42B">
            <w:pPr>
              <w:widowControl/>
              <w:jc w:val="left"/>
              <w:rPr>
                <w:rFonts w:ascii="Times New Roman" w:hAnsi="Times New Roman" w:eastAsia="等线"/>
                <w:kern w:val="0"/>
                <w:szCs w:val="21"/>
              </w:rPr>
            </w:pPr>
          </w:p>
        </w:tc>
        <w:tc>
          <w:tcPr>
            <w:tcW w:w="821" w:type="dxa"/>
            <w:vMerge w:val="continue"/>
            <w:shd w:val="clear" w:color="auto" w:fill="auto"/>
            <w:vAlign w:val="center"/>
          </w:tcPr>
          <w:p w14:paraId="1F0963F7">
            <w:pPr>
              <w:widowControl/>
              <w:jc w:val="left"/>
              <w:rPr>
                <w:rFonts w:ascii="Times New Roman" w:hAnsi="Times New Roman"/>
                <w:kern w:val="0"/>
                <w:szCs w:val="21"/>
              </w:rPr>
            </w:pPr>
          </w:p>
        </w:tc>
        <w:tc>
          <w:tcPr>
            <w:tcW w:w="1543" w:type="dxa"/>
            <w:shd w:val="clear" w:color="auto" w:fill="auto"/>
            <w:vAlign w:val="center"/>
          </w:tcPr>
          <w:p w14:paraId="464CB300">
            <w:pPr>
              <w:widowControl/>
              <w:jc w:val="center"/>
              <w:rPr>
                <w:rFonts w:ascii="Times New Roman" w:hAnsi="Times New Roman"/>
                <w:kern w:val="0"/>
                <w:szCs w:val="21"/>
              </w:rPr>
            </w:pPr>
            <w:r>
              <w:rPr>
                <w:rFonts w:ascii="Times New Roman" w:hAnsi="Times New Roman"/>
                <w:spacing w:val="-2"/>
                <w:kern w:val="0"/>
                <w:szCs w:val="21"/>
              </w:rPr>
              <w:t>烘干炉引风机</w:t>
            </w:r>
          </w:p>
        </w:tc>
        <w:tc>
          <w:tcPr>
            <w:tcW w:w="1543" w:type="dxa"/>
            <w:shd w:val="clear" w:color="auto" w:fill="auto"/>
            <w:vAlign w:val="center"/>
          </w:tcPr>
          <w:p w14:paraId="077BF0A7">
            <w:pPr>
              <w:widowControl/>
              <w:jc w:val="center"/>
              <w:rPr>
                <w:rFonts w:ascii="Times New Roman" w:hAnsi="Times New Roman" w:eastAsia="等线"/>
                <w:szCs w:val="21"/>
              </w:rPr>
            </w:pPr>
            <w:r>
              <w:rPr>
                <w:rFonts w:ascii="Times New Roman" w:hAnsi="Times New Roman" w:eastAsia="等线"/>
                <w:szCs w:val="21"/>
              </w:rPr>
              <w:t>70/1</w:t>
            </w:r>
          </w:p>
        </w:tc>
        <w:tc>
          <w:tcPr>
            <w:tcW w:w="553" w:type="dxa"/>
            <w:shd w:val="clear" w:color="auto" w:fill="auto"/>
            <w:vAlign w:val="center"/>
          </w:tcPr>
          <w:p w14:paraId="38CBEE7E">
            <w:pPr>
              <w:widowControl/>
              <w:jc w:val="center"/>
              <w:rPr>
                <w:rFonts w:ascii="Times New Roman" w:hAnsi="Times New Roman"/>
                <w:kern w:val="0"/>
                <w:szCs w:val="21"/>
              </w:rPr>
            </w:pPr>
            <w:r>
              <w:rPr>
                <w:rFonts w:ascii="Times New Roman" w:hAnsi="Times New Roman"/>
                <w:kern w:val="0"/>
                <w:szCs w:val="21"/>
              </w:rPr>
              <w:t>1</w:t>
            </w:r>
          </w:p>
        </w:tc>
        <w:tc>
          <w:tcPr>
            <w:tcW w:w="1549" w:type="dxa"/>
            <w:shd w:val="clear" w:color="auto" w:fill="auto"/>
            <w:vAlign w:val="center"/>
          </w:tcPr>
          <w:p w14:paraId="0289179E">
            <w:pPr>
              <w:widowControl/>
              <w:jc w:val="center"/>
              <w:rPr>
                <w:rFonts w:ascii="Times New Roman" w:hAnsi="Times New Roman" w:eastAsia="等线"/>
                <w:kern w:val="0"/>
                <w:szCs w:val="21"/>
              </w:rPr>
            </w:pPr>
            <w:r>
              <w:rPr>
                <w:rFonts w:ascii="Times New Roman" w:hAnsi="Times New Roman" w:eastAsia="等线"/>
                <w:kern w:val="0"/>
                <w:szCs w:val="21"/>
              </w:rPr>
              <w:t>70/1</w:t>
            </w:r>
          </w:p>
        </w:tc>
        <w:tc>
          <w:tcPr>
            <w:tcW w:w="844" w:type="dxa"/>
            <w:vMerge w:val="continue"/>
            <w:shd w:val="clear" w:color="auto" w:fill="auto"/>
            <w:vAlign w:val="center"/>
          </w:tcPr>
          <w:p w14:paraId="605BB295">
            <w:pPr>
              <w:widowControl/>
              <w:jc w:val="left"/>
              <w:rPr>
                <w:rFonts w:ascii="Times New Roman" w:hAnsi="Times New Roman"/>
                <w:kern w:val="0"/>
                <w:szCs w:val="21"/>
              </w:rPr>
            </w:pPr>
          </w:p>
        </w:tc>
        <w:tc>
          <w:tcPr>
            <w:tcW w:w="702" w:type="dxa"/>
            <w:shd w:val="clear" w:color="auto" w:fill="auto"/>
            <w:vAlign w:val="center"/>
          </w:tcPr>
          <w:p w14:paraId="38DEE216">
            <w:pPr>
              <w:widowControl/>
              <w:jc w:val="center"/>
              <w:rPr>
                <w:rFonts w:ascii="Times New Roman" w:hAnsi="Times New Roman" w:eastAsia="等线"/>
                <w:szCs w:val="21"/>
              </w:rPr>
            </w:pPr>
            <w:r>
              <w:rPr>
                <w:rFonts w:ascii="Times New Roman" w:hAnsi="Times New Roman" w:eastAsia="等线"/>
                <w:szCs w:val="21"/>
              </w:rPr>
              <w:t>-16.7</w:t>
            </w:r>
          </w:p>
        </w:tc>
        <w:tc>
          <w:tcPr>
            <w:tcW w:w="550" w:type="dxa"/>
            <w:shd w:val="clear" w:color="auto" w:fill="auto"/>
            <w:vAlign w:val="center"/>
          </w:tcPr>
          <w:p w14:paraId="59943C4F">
            <w:pPr>
              <w:widowControl/>
              <w:jc w:val="center"/>
              <w:rPr>
                <w:rFonts w:ascii="Times New Roman" w:hAnsi="Times New Roman" w:eastAsia="等线"/>
                <w:kern w:val="0"/>
                <w:szCs w:val="21"/>
              </w:rPr>
            </w:pPr>
            <w:r>
              <w:rPr>
                <w:rFonts w:ascii="Times New Roman" w:hAnsi="Times New Roman" w:eastAsia="等线"/>
                <w:szCs w:val="21"/>
              </w:rPr>
              <w:t>8.8</w:t>
            </w:r>
          </w:p>
        </w:tc>
        <w:tc>
          <w:tcPr>
            <w:tcW w:w="556" w:type="dxa"/>
            <w:shd w:val="clear" w:color="auto" w:fill="auto"/>
            <w:vAlign w:val="center"/>
          </w:tcPr>
          <w:p w14:paraId="26DA8622">
            <w:pPr>
              <w:widowControl/>
              <w:jc w:val="center"/>
              <w:rPr>
                <w:rFonts w:ascii="Times New Roman" w:hAnsi="Times New Roman" w:eastAsia="等线"/>
                <w:kern w:val="0"/>
                <w:szCs w:val="21"/>
              </w:rPr>
            </w:pPr>
            <w:r>
              <w:rPr>
                <w:rFonts w:ascii="Times New Roman" w:hAnsi="Times New Roman" w:eastAsia="等线"/>
                <w:szCs w:val="21"/>
              </w:rPr>
              <w:t>1</w:t>
            </w:r>
          </w:p>
        </w:tc>
        <w:tc>
          <w:tcPr>
            <w:tcW w:w="753" w:type="dxa"/>
            <w:shd w:val="clear" w:color="auto" w:fill="auto"/>
            <w:vAlign w:val="center"/>
          </w:tcPr>
          <w:p w14:paraId="28587B41">
            <w:pPr>
              <w:widowControl/>
              <w:jc w:val="center"/>
              <w:rPr>
                <w:rFonts w:ascii="Times New Roman" w:hAnsi="Times New Roman" w:eastAsia="等线"/>
                <w:kern w:val="0"/>
                <w:szCs w:val="21"/>
              </w:rPr>
            </w:pPr>
            <w:r>
              <w:rPr>
                <w:rFonts w:ascii="Times New Roman" w:hAnsi="Times New Roman" w:eastAsia="等线"/>
                <w:szCs w:val="21"/>
              </w:rPr>
              <w:t>2</w:t>
            </w:r>
          </w:p>
        </w:tc>
        <w:tc>
          <w:tcPr>
            <w:tcW w:w="927" w:type="dxa"/>
            <w:shd w:val="clear" w:color="auto" w:fill="auto"/>
            <w:vAlign w:val="center"/>
          </w:tcPr>
          <w:p w14:paraId="657D293A">
            <w:pPr>
              <w:widowControl/>
              <w:jc w:val="center"/>
              <w:rPr>
                <w:rFonts w:ascii="Times New Roman" w:hAnsi="Times New Roman" w:eastAsia="等线"/>
                <w:kern w:val="0"/>
                <w:szCs w:val="21"/>
              </w:rPr>
            </w:pPr>
            <w:r>
              <w:rPr>
                <w:rFonts w:ascii="Times New Roman" w:hAnsi="Times New Roman" w:eastAsia="等线"/>
                <w:szCs w:val="21"/>
              </w:rPr>
              <w:t>64</w:t>
            </w:r>
            <w:r>
              <w:rPr>
                <w:rFonts w:hint="eastAsia" w:ascii="Times New Roman" w:hAnsi="Times New Roman" w:eastAsia="等线"/>
                <w:szCs w:val="21"/>
              </w:rPr>
              <w:t>.0</w:t>
            </w:r>
          </w:p>
        </w:tc>
        <w:tc>
          <w:tcPr>
            <w:tcW w:w="716" w:type="dxa"/>
            <w:shd w:val="clear" w:color="auto" w:fill="auto"/>
            <w:vAlign w:val="center"/>
          </w:tcPr>
          <w:p w14:paraId="0DA39441">
            <w:pPr>
              <w:widowControl/>
              <w:jc w:val="center"/>
              <w:rPr>
                <w:rFonts w:ascii="Times New Roman" w:hAnsi="Times New Roman"/>
                <w:kern w:val="0"/>
                <w:szCs w:val="21"/>
              </w:rPr>
            </w:pPr>
            <w:r>
              <w:rPr>
                <w:rFonts w:ascii="Times New Roman" w:hAnsi="Times New Roman"/>
                <w:kern w:val="0"/>
                <w:szCs w:val="21"/>
              </w:rPr>
              <w:t>连续</w:t>
            </w:r>
          </w:p>
        </w:tc>
        <w:tc>
          <w:tcPr>
            <w:tcW w:w="961" w:type="dxa"/>
            <w:shd w:val="clear" w:color="auto" w:fill="auto"/>
            <w:vAlign w:val="center"/>
          </w:tcPr>
          <w:p w14:paraId="577B3098">
            <w:pPr>
              <w:widowControl/>
              <w:jc w:val="center"/>
              <w:rPr>
                <w:rFonts w:ascii="Times New Roman" w:hAnsi="Times New Roman" w:eastAsia="等线"/>
                <w:kern w:val="0"/>
                <w:szCs w:val="21"/>
              </w:rPr>
            </w:pPr>
            <w:r>
              <w:rPr>
                <w:rFonts w:ascii="Times New Roman" w:hAnsi="Times New Roman" w:eastAsia="等线"/>
                <w:kern w:val="0"/>
                <w:szCs w:val="21"/>
              </w:rPr>
              <w:t>10</w:t>
            </w:r>
          </w:p>
        </w:tc>
        <w:tc>
          <w:tcPr>
            <w:tcW w:w="927" w:type="dxa"/>
            <w:shd w:val="clear" w:color="auto" w:fill="auto"/>
            <w:vAlign w:val="center"/>
          </w:tcPr>
          <w:p w14:paraId="2C040CCA">
            <w:pPr>
              <w:widowControl/>
              <w:jc w:val="center"/>
              <w:rPr>
                <w:rFonts w:ascii="Times New Roman" w:hAnsi="Times New Roman" w:eastAsia="等线"/>
                <w:kern w:val="0"/>
                <w:szCs w:val="21"/>
              </w:rPr>
            </w:pPr>
            <w:r>
              <w:rPr>
                <w:rFonts w:ascii="Times New Roman" w:hAnsi="Times New Roman" w:eastAsia="等线"/>
                <w:szCs w:val="21"/>
              </w:rPr>
              <w:t>54.0</w:t>
            </w:r>
          </w:p>
        </w:tc>
        <w:tc>
          <w:tcPr>
            <w:tcW w:w="887" w:type="dxa"/>
            <w:shd w:val="clear" w:color="auto" w:fill="auto"/>
            <w:vAlign w:val="center"/>
          </w:tcPr>
          <w:p w14:paraId="326B657E">
            <w:pPr>
              <w:widowControl/>
              <w:jc w:val="center"/>
              <w:rPr>
                <w:rFonts w:ascii="Times New Roman" w:hAnsi="Times New Roman" w:eastAsia="等线"/>
                <w:kern w:val="0"/>
                <w:szCs w:val="21"/>
              </w:rPr>
            </w:pPr>
            <w:r>
              <w:rPr>
                <w:rFonts w:ascii="Times New Roman" w:hAnsi="Times New Roman" w:eastAsia="等线"/>
                <w:kern w:val="0"/>
                <w:szCs w:val="21"/>
              </w:rPr>
              <w:t>1</w:t>
            </w:r>
          </w:p>
        </w:tc>
      </w:tr>
      <w:tr w14:paraId="2F34CC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428" w:type="dxa"/>
            <w:vMerge w:val="continue"/>
            <w:shd w:val="clear" w:color="auto" w:fill="auto"/>
            <w:vAlign w:val="center"/>
          </w:tcPr>
          <w:p w14:paraId="66F46D55">
            <w:pPr>
              <w:widowControl/>
              <w:jc w:val="left"/>
              <w:rPr>
                <w:rFonts w:ascii="Times New Roman" w:hAnsi="Times New Roman" w:eastAsia="等线"/>
                <w:kern w:val="0"/>
                <w:szCs w:val="21"/>
              </w:rPr>
            </w:pPr>
          </w:p>
        </w:tc>
        <w:tc>
          <w:tcPr>
            <w:tcW w:w="821" w:type="dxa"/>
            <w:vMerge w:val="continue"/>
            <w:shd w:val="clear" w:color="auto" w:fill="auto"/>
            <w:vAlign w:val="center"/>
          </w:tcPr>
          <w:p w14:paraId="4A1350E9">
            <w:pPr>
              <w:widowControl/>
              <w:jc w:val="left"/>
              <w:rPr>
                <w:rFonts w:ascii="Times New Roman" w:hAnsi="Times New Roman"/>
                <w:kern w:val="0"/>
                <w:szCs w:val="21"/>
              </w:rPr>
            </w:pPr>
          </w:p>
        </w:tc>
        <w:tc>
          <w:tcPr>
            <w:tcW w:w="1543" w:type="dxa"/>
            <w:shd w:val="clear" w:color="auto" w:fill="auto"/>
            <w:vAlign w:val="center"/>
          </w:tcPr>
          <w:p w14:paraId="6213DE39">
            <w:pPr>
              <w:widowControl/>
              <w:jc w:val="center"/>
              <w:rPr>
                <w:rFonts w:ascii="Times New Roman" w:hAnsi="Times New Roman"/>
                <w:spacing w:val="-2"/>
                <w:kern w:val="0"/>
                <w:szCs w:val="21"/>
              </w:rPr>
            </w:pPr>
            <w:r>
              <w:rPr>
                <w:rFonts w:ascii="Times New Roman" w:hAnsi="Times New Roman"/>
                <w:spacing w:val="-2"/>
                <w:kern w:val="0"/>
                <w:szCs w:val="21"/>
              </w:rPr>
              <w:t>烘干炉除尘器风机</w:t>
            </w:r>
          </w:p>
        </w:tc>
        <w:tc>
          <w:tcPr>
            <w:tcW w:w="1543" w:type="dxa"/>
            <w:shd w:val="clear" w:color="auto" w:fill="auto"/>
            <w:vAlign w:val="center"/>
          </w:tcPr>
          <w:p w14:paraId="2F4119E8">
            <w:pPr>
              <w:widowControl/>
              <w:jc w:val="center"/>
              <w:rPr>
                <w:rFonts w:ascii="Times New Roman" w:hAnsi="Times New Roman" w:eastAsia="等线"/>
                <w:szCs w:val="21"/>
              </w:rPr>
            </w:pPr>
            <w:r>
              <w:rPr>
                <w:rFonts w:ascii="Times New Roman" w:hAnsi="Times New Roman" w:eastAsia="等线"/>
                <w:szCs w:val="21"/>
              </w:rPr>
              <w:t>70/1</w:t>
            </w:r>
          </w:p>
        </w:tc>
        <w:tc>
          <w:tcPr>
            <w:tcW w:w="553" w:type="dxa"/>
            <w:shd w:val="clear" w:color="auto" w:fill="auto"/>
            <w:vAlign w:val="center"/>
          </w:tcPr>
          <w:p w14:paraId="6F8BB404">
            <w:pPr>
              <w:widowControl/>
              <w:jc w:val="center"/>
              <w:rPr>
                <w:rFonts w:ascii="Times New Roman" w:hAnsi="Times New Roman"/>
                <w:kern w:val="0"/>
                <w:szCs w:val="21"/>
              </w:rPr>
            </w:pPr>
            <w:r>
              <w:rPr>
                <w:rFonts w:ascii="Times New Roman" w:hAnsi="Times New Roman"/>
                <w:kern w:val="0"/>
                <w:szCs w:val="21"/>
              </w:rPr>
              <w:t>1</w:t>
            </w:r>
          </w:p>
        </w:tc>
        <w:tc>
          <w:tcPr>
            <w:tcW w:w="1549" w:type="dxa"/>
            <w:shd w:val="clear" w:color="auto" w:fill="auto"/>
            <w:vAlign w:val="center"/>
          </w:tcPr>
          <w:p w14:paraId="5D85FC61">
            <w:pPr>
              <w:widowControl/>
              <w:jc w:val="center"/>
              <w:rPr>
                <w:rFonts w:ascii="Times New Roman" w:hAnsi="Times New Roman" w:eastAsia="等线"/>
                <w:kern w:val="0"/>
                <w:szCs w:val="21"/>
              </w:rPr>
            </w:pPr>
            <w:r>
              <w:rPr>
                <w:rFonts w:ascii="Times New Roman" w:hAnsi="Times New Roman" w:eastAsia="等线"/>
                <w:kern w:val="0"/>
                <w:szCs w:val="21"/>
              </w:rPr>
              <w:t>70/1</w:t>
            </w:r>
          </w:p>
        </w:tc>
        <w:tc>
          <w:tcPr>
            <w:tcW w:w="844" w:type="dxa"/>
            <w:vMerge w:val="continue"/>
            <w:shd w:val="clear" w:color="auto" w:fill="auto"/>
            <w:vAlign w:val="center"/>
          </w:tcPr>
          <w:p w14:paraId="78300A0C">
            <w:pPr>
              <w:widowControl/>
              <w:jc w:val="left"/>
              <w:rPr>
                <w:rFonts w:ascii="Times New Roman" w:hAnsi="Times New Roman"/>
                <w:kern w:val="0"/>
                <w:szCs w:val="21"/>
              </w:rPr>
            </w:pPr>
          </w:p>
        </w:tc>
        <w:tc>
          <w:tcPr>
            <w:tcW w:w="702" w:type="dxa"/>
            <w:shd w:val="clear" w:color="auto" w:fill="auto"/>
            <w:vAlign w:val="center"/>
          </w:tcPr>
          <w:p w14:paraId="65FE7561">
            <w:pPr>
              <w:widowControl/>
              <w:jc w:val="center"/>
              <w:rPr>
                <w:rFonts w:ascii="Times New Roman" w:hAnsi="Times New Roman" w:eastAsia="等线"/>
                <w:szCs w:val="21"/>
              </w:rPr>
            </w:pPr>
            <w:r>
              <w:rPr>
                <w:rFonts w:ascii="Times New Roman" w:hAnsi="Times New Roman" w:eastAsia="等线"/>
                <w:szCs w:val="21"/>
              </w:rPr>
              <w:t>-12.7</w:t>
            </w:r>
          </w:p>
        </w:tc>
        <w:tc>
          <w:tcPr>
            <w:tcW w:w="550" w:type="dxa"/>
            <w:shd w:val="clear" w:color="auto" w:fill="auto"/>
            <w:vAlign w:val="center"/>
          </w:tcPr>
          <w:p w14:paraId="6DE9F05D">
            <w:pPr>
              <w:widowControl/>
              <w:jc w:val="center"/>
              <w:rPr>
                <w:rFonts w:ascii="Times New Roman" w:hAnsi="Times New Roman" w:eastAsia="等线"/>
                <w:szCs w:val="21"/>
              </w:rPr>
            </w:pPr>
            <w:r>
              <w:rPr>
                <w:rFonts w:ascii="Times New Roman" w:hAnsi="Times New Roman" w:eastAsia="等线"/>
                <w:szCs w:val="21"/>
              </w:rPr>
              <w:t>8.8</w:t>
            </w:r>
          </w:p>
        </w:tc>
        <w:tc>
          <w:tcPr>
            <w:tcW w:w="556" w:type="dxa"/>
            <w:shd w:val="clear" w:color="auto" w:fill="auto"/>
            <w:vAlign w:val="center"/>
          </w:tcPr>
          <w:p w14:paraId="42B70FBA">
            <w:pPr>
              <w:widowControl/>
              <w:jc w:val="center"/>
              <w:rPr>
                <w:rFonts w:ascii="Times New Roman" w:hAnsi="Times New Roman" w:eastAsia="等线"/>
                <w:szCs w:val="21"/>
              </w:rPr>
            </w:pPr>
            <w:r>
              <w:rPr>
                <w:rFonts w:ascii="Times New Roman" w:hAnsi="Times New Roman" w:eastAsia="等线"/>
                <w:szCs w:val="21"/>
              </w:rPr>
              <w:t>1</w:t>
            </w:r>
          </w:p>
        </w:tc>
        <w:tc>
          <w:tcPr>
            <w:tcW w:w="753" w:type="dxa"/>
            <w:shd w:val="clear" w:color="auto" w:fill="auto"/>
            <w:vAlign w:val="center"/>
          </w:tcPr>
          <w:p w14:paraId="03E33ACD">
            <w:pPr>
              <w:widowControl/>
              <w:jc w:val="center"/>
              <w:rPr>
                <w:rFonts w:ascii="Times New Roman" w:hAnsi="Times New Roman" w:eastAsia="等线"/>
                <w:szCs w:val="21"/>
              </w:rPr>
            </w:pPr>
            <w:r>
              <w:rPr>
                <w:rFonts w:ascii="Times New Roman" w:hAnsi="Times New Roman" w:eastAsia="等线"/>
                <w:szCs w:val="21"/>
              </w:rPr>
              <w:t>2</w:t>
            </w:r>
          </w:p>
        </w:tc>
        <w:tc>
          <w:tcPr>
            <w:tcW w:w="927" w:type="dxa"/>
            <w:shd w:val="clear" w:color="auto" w:fill="auto"/>
            <w:vAlign w:val="center"/>
          </w:tcPr>
          <w:p w14:paraId="3F5370FC">
            <w:pPr>
              <w:widowControl/>
              <w:jc w:val="center"/>
              <w:rPr>
                <w:rFonts w:ascii="Times New Roman" w:hAnsi="Times New Roman" w:eastAsia="等线"/>
                <w:szCs w:val="21"/>
              </w:rPr>
            </w:pPr>
            <w:r>
              <w:rPr>
                <w:rFonts w:ascii="Times New Roman" w:hAnsi="Times New Roman" w:eastAsia="等线"/>
                <w:szCs w:val="21"/>
              </w:rPr>
              <w:t>64</w:t>
            </w:r>
            <w:r>
              <w:rPr>
                <w:rFonts w:hint="eastAsia" w:ascii="Times New Roman" w:hAnsi="Times New Roman" w:eastAsia="等线"/>
                <w:szCs w:val="21"/>
              </w:rPr>
              <w:t>.0</w:t>
            </w:r>
          </w:p>
        </w:tc>
        <w:tc>
          <w:tcPr>
            <w:tcW w:w="716" w:type="dxa"/>
            <w:shd w:val="clear" w:color="auto" w:fill="auto"/>
            <w:vAlign w:val="center"/>
          </w:tcPr>
          <w:p w14:paraId="7F225B52">
            <w:pPr>
              <w:widowControl/>
              <w:jc w:val="center"/>
              <w:rPr>
                <w:rFonts w:ascii="Times New Roman" w:hAnsi="Times New Roman"/>
                <w:kern w:val="0"/>
                <w:szCs w:val="21"/>
              </w:rPr>
            </w:pPr>
            <w:r>
              <w:rPr>
                <w:rFonts w:ascii="Times New Roman" w:hAnsi="Times New Roman"/>
                <w:kern w:val="0"/>
                <w:szCs w:val="21"/>
              </w:rPr>
              <w:t>连续</w:t>
            </w:r>
          </w:p>
        </w:tc>
        <w:tc>
          <w:tcPr>
            <w:tcW w:w="961" w:type="dxa"/>
            <w:shd w:val="clear" w:color="auto" w:fill="auto"/>
            <w:vAlign w:val="center"/>
          </w:tcPr>
          <w:p w14:paraId="64164895">
            <w:pPr>
              <w:widowControl/>
              <w:jc w:val="center"/>
              <w:rPr>
                <w:rFonts w:ascii="Times New Roman" w:hAnsi="Times New Roman" w:eastAsia="等线"/>
                <w:kern w:val="0"/>
                <w:szCs w:val="21"/>
              </w:rPr>
            </w:pPr>
            <w:r>
              <w:rPr>
                <w:rFonts w:ascii="Times New Roman" w:hAnsi="Times New Roman" w:eastAsia="等线"/>
                <w:kern w:val="0"/>
                <w:szCs w:val="21"/>
              </w:rPr>
              <w:t>10</w:t>
            </w:r>
          </w:p>
        </w:tc>
        <w:tc>
          <w:tcPr>
            <w:tcW w:w="927" w:type="dxa"/>
            <w:shd w:val="clear" w:color="auto" w:fill="auto"/>
            <w:vAlign w:val="center"/>
          </w:tcPr>
          <w:p w14:paraId="45EB5645">
            <w:pPr>
              <w:widowControl/>
              <w:jc w:val="center"/>
              <w:rPr>
                <w:rFonts w:ascii="Times New Roman" w:hAnsi="Times New Roman" w:eastAsia="等线"/>
                <w:szCs w:val="21"/>
              </w:rPr>
            </w:pPr>
            <w:r>
              <w:rPr>
                <w:rFonts w:ascii="Times New Roman" w:hAnsi="Times New Roman" w:eastAsia="等线"/>
                <w:szCs w:val="21"/>
              </w:rPr>
              <w:t>54.0</w:t>
            </w:r>
          </w:p>
        </w:tc>
        <w:tc>
          <w:tcPr>
            <w:tcW w:w="887" w:type="dxa"/>
            <w:shd w:val="clear" w:color="auto" w:fill="auto"/>
            <w:vAlign w:val="center"/>
          </w:tcPr>
          <w:p w14:paraId="70595C3F">
            <w:pPr>
              <w:widowControl/>
              <w:jc w:val="center"/>
              <w:rPr>
                <w:rFonts w:ascii="Times New Roman" w:hAnsi="Times New Roman" w:eastAsia="等线"/>
                <w:kern w:val="0"/>
                <w:szCs w:val="21"/>
              </w:rPr>
            </w:pPr>
            <w:r>
              <w:rPr>
                <w:rFonts w:ascii="Times New Roman" w:hAnsi="Times New Roman" w:eastAsia="等线"/>
                <w:kern w:val="0"/>
                <w:szCs w:val="21"/>
              </w:rPr>
              <w:t>1</w:t>
            </w:r>
          </w:p>
        </w:tc>
      </w:tr>
      <w:tr w14:paraId="1FBE2F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428" w:type="dxa"/>
            <w:vMerge w:val="continue"/>
            <w:shd w:val="clear" w:color="auto" w:fill="auto"/>
            <w:vAlign w:val="center"/>
          </w:tcPr>
          <w:p w14:paraId="1788EA55">
            <w:pPr>
              <w:widowControl/>
              <w:jc w:val="left"/>
              <w:rPr>
                <w:rFonts w:ascii="Times New Roman" w:hAnsi="Times New Roman" w:eastAsia="等线"/>
                <w:kern w:val="0"/>
                <w:szCs w:val="21"/>
              </w:rPr>
            </w:pPr>
          </w:p>
        </w:tc>
        <w:tc>
          <w:tcPr>
            <w:tcW w:w="821" w:type="dxa"/>
            <w:vMerge w:val="continue"/>
            <w:shd w:val="clear" w:color="auto" w:fill="auto"/>
            <w:vAlign w:val="center"/>
          </w:tcPr>
          <w:p w14:paraId="7A928383">
            <w:pPr>
              <w:widowControl/>
              <w:jc w:val="left"/>
              <w:rPr>
                <w:rFonts w:ascii="Times New Roman" w:hAnsi="Times New Roman"/>
                <w:kern w:val="0"/>
                <w:szCs w:val="21"/>
              </w:rPr>
            </w:pPr>
          </w:p>
        </w:tc>
        <w:tc>
          <w:tcPr>
            <w:tcW w:w="1543" w:type="dxa"/>
            <w:shd w:val="clear" w:color="auto" w:fill="auto"/>
            <w:vAlign w:val="center"/>
          </w:tcPr>
          <w:p w14:paraId="61CC211D">
            <w:pPr>
              <w:widowControl/>
              <w:jc w:val="center"/>
              <w:rPr>
                <w:rFonts w:ascii="Times New Roman" w:hAnsi="Times New Roman"/>
                <w:kern w:val="0"/>
                <w:szCs w:val="21"/>
              </w:rPr>
            </w:pPr>
            <w:r>
              <w:rPr>
                <w:rFonts w:hint="eastAsia" w:ascii="Times New Roman" w:hAnsi="Times New Roman"/>
                <w:spacing w:val="-2"/>
                <w:kern w:val="0"/>
                <w:szCs w:val="21"/>
              </w:rPr>
              <w:t>1#</w:t>
            </w:r>
            <w:r>
              <w:rPr>
                <w:rFonts w:ascii="Times New Roman" w:hAnsi="Times New Roman"/>
                <w:spacing w:val="-2"/>
                <w:kern w:val="0"/>
                <w:szCs w:val="21"/>
              </w:rPr>
              <w:t>车间粉尘除尘器风机</w:t>
            </w:r>
          </w:p>
        </w:tc>
        <w:tc>
          <w:tcPr>
            <w:tcW w:w="1543" w:type="dxa"/>
            <w:shd w:val="clear" w:color="auto" w:fill="auto"/>
            <w:vAlign w:val="center"/>
          </w:tcPr>
          <w:p w14:paraId="6F1F3E5B">
            <w:pPr>
              <w:widowControl/>
              <w:jc w:val="center"/>
              <w:rPr>
                <w:rFonts w:ascii="Times New Roman" w:hAnsi="Times New Roman" w:eastAsia="等线"/>
                <w:szCs w:val="21"/>
              </w:rPr>
            </w:pPr>
            <w:r>
              <w:rPr>
                <w:rFonts w:ascii="Times New Roman" w:hAnsi="Times New Roman" w:eastAsia="等线"/>
                <w:szCs w:val="21"/>
              </w:rPr>
              <w:t>70/1</w:t>
            </w:r>
          </w:p>
        </w:tc>
        <w:tc>
          <w:tcPr>
            <w:tcW w:w="553" w:type="dxa"/>
            <w:shd w:val="clear" w:color="auto" w:fill="auto"/>
            <w:vAlign w:val="center"/>
          </w:tcPr>
          <w:p w14:paraId="1CA82DAF">
            <w:pPr>
              <w:widowControl/>
              <w:jc w:val="center"/>
              <w:rPr>
                <w:rFonts w:ascii="Times New Roman" w:hAnsi="Times New Roman"/>
                <w:kern w:val="0"/>
                <w:szCs w:val="21"/>
              </w:rPr>
            </w:pPr>
            <w:r>
              <w:rPr>
                <w:rFonts w:ascii="Times New Roman" w:hAnsi="Times New Roman"/>
                <w:kern w:val="0"/>
                <w:szCs w:val="21"/>
              </w:rPr>
              <w:t>1</w:t>
            </w:r>
          </w:p>
        </w:tc>
        <w:tc>
          <w:tcPr>
            <w:tcW w:w="1549" w:type="dxa"/>
            <w:shd w:val="clear" w:color="auto" w:fill="auto"/>
            <w:vAlign w:val="center"/>
          </w:tcPr>
          <w:p w14:paraId="7AED5987">
            <w:pPr>
              <w:widowControl/>
              <w:jc w:val="center"/>
              <w:rPr>
                <w:rFonts w:ascii="Times New Roman" w:hAnsi="Times New Roman" w:eastAsia="等线"/>
                <w:kern w:val="0"/>
                <w:szCs w:val="21"/>
              </w:rPr>
            </w:pPr>
            <w:r>
              <w:rPr>
                <w:rFonts w:ascii="Times New Roman" w:hAnsi="Times New Roman" w:eastAsia="等线"/>
                <w:kern w:val="0"/>
                <w:szCs w:val="21"/>
              </w:rPr>
              <w:t>70/1</w:t>
            </w:r>
          </w:p>
        </w:tc>
        <w:tc>
          <w:tcPr>
            <w:tcW w:w="844" w:type="dxa"/>
            <w:vMerge w:val="continue"/>
            <w:shd w:val="clear" w:color="auto" w:fill="auto"/>
            <w:vAlign w:val="center"/>
          </w:tcPr>
          <w:p w14:paraId="7E9090C4">
            <w:pPr>
              <w:widowControl/>
              <w:jc w:val="left"/>
              <w:rPr>
                <w:rFonts w:ascii="Times New Roman" w:hAnsi="Times New Roman"/>
                <w:kern w:val="0"/>
                <w:szCs w:val="21"/>
              </w:rPr>
            </w:pPr>
          </w:p>
        </w:tc>
        <w:tc>
          <w:tcPr>
            <w:tcW w:w="702" w:type="dxa"/>
            <w:shd w:val="clear" w:color="auto" w:fill="auto"/>
            <w:vAlign w:val="center"/>
          </w:tcPr>
          <w:p w14:paraId="0B0EB1CF">
            <w:pPr>
              <w:widowControl/>
              <w:jc w:val="center"/>
              <w:rPr>
                <w:rFonts w:ascii="Times New Roman" w:hAnsi="Times New Roman" w:eastAsia="等线"/>
                <w:szCs w:val="21"/>
              </w:rPr>
            </w:pPr>
            <w:r>
              <w:rPr>
                <w:rFonts w:ascii="Times New Roman" w:hAnsi="Times New Roman" w:eastAsia="等线"/>
                <w:szCs w:val="21"/>
              </w:rPr>
              <w:t>-6.2</w:t>
            </w:r>
          </w:p>
        </w:tc>
        <w:tc>
          <w:tcPr>
            <w:tcW w:w="550" w:type="dxa"/>
            <w:shd w:val="clear" w:color="auto" w:fill="auto"/>
            <w:vAlign w:val="center"/>
          </w:tcPr>
          <w:p w14:paraId="4DC7F664">
            <w:pPr>
              <w:widowControl/>
              <w:jc w:val="center"/>
              <w:rPr>
                <w:rFonts w:ascii="Times New Roman" w:hAnsi="Times New Roman" w:eastAsia="等线"/>
                <w:kern w:val="0"/>
                <w:szCs w:val="21"/>
              </w:rPr>
            </w:pPr>
            <w:r>
              <w:rPr>
                <w:rFonts w:ascii="Times New Roman" w:hAnsi="Times New Roman" w:eastAsia="等线"/>
                <w:szCs w:val="21"/>
              </w:rPr>
              <w:t>8.8</w:t>
            </w:r>
          </w:p>
        </w:tc>
        <w:tc>
          <w:tcPr>
            <w:tcW w:w="556" w:type="dxa"/>
            <w:shd w:val="clear" w:color="auto" w:fill="auto"/>
            <w:vAlign w:val="center"/>
          </w:tcPr>
          <w:p w14:paraId="0B4429E8">
            <w:pPr>
              <w:widowControl/>
              <w:jc w:val="center"/>
              <w:rPr>
                <w:rFonts w:ascii="Times New Roman" w:hAnsi="Times New Roman" w:eastAsia="等线"/>
                <w:kern w:val="0"/>
                <w:szCs w:val="21"/>
              </w:rPr>
            </w:pPr>
            <w:r>
              <w:rPr>
                <w:rFonts w:ascii="Times New Roman" w:hAnsi="Times New Roman" w:eastAsia="等线"/>
                <w:szCs w:val="21"/>
              </w:rPr>
              <w:t>1</w:t>
            </w:r>
          </w:p>
        </w:tc>
        <w:tc>
          <w:tcPr>
            <w:tcW w:w="753" w:type="dxa"/>
            <w:shd w:val="clear" w:color="auto" w:fill="auto"/>
            <w:vAlign w:val="center"/>
          </w:tcPr>
          <w:p w14:paraId="51085903">
            <w:pPr>
              <w:widowControl/>
              <w:jc w:val="center"/>
              <w:rPr>
                <w:rFonts w:ascii="Times New Roman" w:hAnsi="Times New Roman" w:eastAsia="等线"/>
                <w:kern w:val="0"/>
                <w:szCs w:val="21"/>
              </w:rPr>
            </w:pPr>
            <w:r>
              <w:rPr>
                <w:rFonts w:ascii="Times New Roman" w:hAnsi="Times New Roman" w:eastAsia="等线"/>
                <w:szCs w:val="21"/>
              </w:rPr>
              <w:t>2</w:t>
            </w:r>
          </w:p>
        </w:tc>
        <w:tc>
          <w:tcPr>
            <w:tcW w:w="927" w:type="dxa"/>
            <w:shd w:val="clear" w:color="auto" w:fill="auto"/>
            <w:vAlign w:val="center"/>
          </w:tcPr>
          <w:p w14:paraId="484B969D">
            <w:pPr>
              <w:widowControl/>
              <w:jc w:val="center"/>
              <w:rPr>
                <w:rFonts w:ascii="Times New Roman" w:hAnsi="Times New Roman" w:eastAsia="等线"/>
                <w:kern w:val="0"/>
                <w:szCs w:val="21"/>
              </w:rPr>
            </w:pPr>
            <w:r>
              <w:rPr>
                <w:rFonts w:ascii="Times New Roman" w:hAnsi="Times New Roman" w:eastAsia="等线"/>
                <w:szCs w:val="21"/>
              </w:rPr>
              <w:t>64</w:t>
            </w:r>
            <w:r>
              <w:rPr>
                <w:rFonts w:hint="eastAsia" w:ascii="Times New Roman" w:hAnsi="Times New Roman" w:eastAsia="等线"/>
                <w:szCs w:val="21"/>
              </w:rPr>
              <w:t>.0</w:t>
            </w:r>
          </w:p>
        </w:tc>
        <w:tc>
          <w:tcPr>
            <w:tcW w:w="716" w:type="dxa"/>
            <w:shd w:val="clear" w:color="auto" w:fill="auto"/>
            <w:vAlign w:val="center"/>
          </w:tcPr>
          <w:p w14:paraId="16DDECAA">
            <w:pPr>
              <w:widowControl/>
              <w:jc w:val="center"/>
              <w:rPr>
                <w:rFonts w:ascii="Times New Roman" w:hAnsi="Times New Roman"/>
                <w:kern w:val="0"/>
                <w:szCs w:val="21"/>
              </w:rPr>
            </w:pPr>
            <w:r>
              <w:rPr>
                <w:rFonts w:ascii="Times New Roman" w:hAnsi="Times New Roman"/>
                <w:kern w:val="0"/>
                <w:szCs w:val="21"/>
              </w:rPr>
              <w:t>连续</w:t>
            </w:r>
          </w:p>
        </w:tc>
        <w:tc>
          <w:tcPr>
            <w:tcW w:w="961" w:type="dxa"/>
            <w:shd w:val="clear" w:color="auto" w:fill="auto"/>
            <w:vAlign w:val="center"/>
          </w:tcPr>
          <w:p w14:paraId="5ACCF140">
            <w:pPr>
              <w:widowControl/>
              <w:jc w:val="center"/>
              <w:rPr>
                <w:rFonts w:ascii="Times New Roman" w:hAnsi="Times New Roman" w:eastAsia="等线"/>
                <w:kern w:val="0"/>
                <w:szCs w:val="21"/>
              </w:rPr>
            </w:pPr>
            <w:r>
              <w:rPr>
                <w:rFonts w:ascii="Times New Roman" w:hAnsi="Times New Roman"/>
                <w:kern w:val="0"/>
                <w:szCs w:val="21"/>
              </w:rPr>
              <w:t>10</w:t>
            </w:r>
          </w:p>
        </w:tc>
        <w:tc>
          <w:tcPr>
            <w:tcW w:w="927" w:type="dxa"/>
            <w:shd w:val="clear" w:color="auto" w:fill="auto"/>
            <w:vAlign w:val="center"/>
          </w:tcPr>
          <w:p w14:paraId="035006A3">
            <w:pPr>
              <w:widowControl/>
              <w:jc w:val="center"/>
              <w:rPr>
                <w:rFonts w:ascii="Times New Roman" w:hAnsi="Times New Roman" w:eastAsia="等线"/>
                <w:kern w:val="0"/>
                <w:szCs w:val="21"/>
              </w:rPr>
            </w:pPr>
            <w:r>
              <w:rPr>
                <w:rFonts w:ascii="Times New Roman" w:hAnsi="Times New Roman" w:eastAsia="等线"/>
                <w:szCs w:val="21"/>
              </w:rPr>
              <w:t>54.0</w:t>
            </w:r>
          </w:p>
        </w:tc>
        <w:tc>
          <w:tcPr>
            <w:tcW w:w="887" w:type="dxa"/>
            <w:shd w:val="clear" w:color="auto" w:fill="auto"/>
            <w:vAlign w:val="center"/>
          </w:tcPr>
          <w:p w14:paraId="301B3B49">
            <w:pPr>
              <w:widowControl/>
              <w:jc w:val="center"/>
              <w:rPr>
                <w:rFonts w:ascii="Times New Roman" w:hAnsi="Times New Roman" w:eastAsia="等线"/>
                <w:kern w:val="0"/>
                <w:szCs w:val="21"/>
              </w:rPr>
            </w:pPr>
            <w:r>
              <w:rPr>
                <w:rFonts w:ascii="Times New Roman" w:hAnsi="Times New Roman" w:eastAsia="等线"/>
                <w:kern w:val="0"/>
                <w:szCs w:val="21"/>
              </w:rPr>
              <w:t>1</w:t>
            </w:r>
          </w:p>
        </w:tc>
      </w:tr>
      <w:tr w14:paraId="18A69E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2" w:hRule="atLeast"/>
          <w:jc w:val="center"/>
        </w:trPr>
        <w:tc>
          <w:tcPr>
            <w:tcW w:w="428" w:type="dxa"/>
            <w:vMerge w:val="restart"/>
            <w:shd w:val="clear" w:color="auto" w:fill="auto"/>
            <w:vAlign w:val="center"/>
          </w:tcPr>
          <w:p w14:paraId="5E2FF82B">
            <w:pPr>
              <w:widowControl/>
              <w:jc w:val="center"/>
              <w:rPr>
                <w:rFonts w:ascii="Times New Roman" w:hAnsi="Times New Roman" w:eastAsia="等线"/>
                <w:kern w:val="0"/>
                <w:szCs w:val="21"/>
              </w:rPr>
            </w:pPr>
            <w:r>
              <w:rPr>
                <w:rFonts w:ascii="Times New Roman" w:hAnsi="Times New Roman" w:eastAsia="等线"/>
                <w:kern w:val="0"/>
                <w:szCs w:val="21"/>
              </w:rPr>
              <w:t>2</w:t>
            </w:r>
          </w:p>
        </w:tc>
        <w:tc>
          <w:tcPr>
            <w:tcW w:w="821" w:type="dxa"/>
            <w:vMerge w:val="restart"/>
            <w:shd w:val="clear" w:color="auto" w:fill="auto"/>
            <w:vAlign w:val="center"/>
          </w:tcPr>
          <w:p w14:paraId="715060D6">
            <w:pPr>
              <w:widowControl/>
              <w:jc w:val="center"/>
              <w:rPr>
                <w:rFonts w:ascii="Times New Roman" w:hAnsi="Times New Roman"/>
                <w:kern w:val="0"/>
                <w:szCs w:val="21"/>
              </w:rPr>
            </w:pPr>
            <w:r>
              <w:rPr>
                <w:rFonts w:ascii="Times New Roman" w:hAnsi="Times New Roman"/>
                <w:kern w:val="0"/>
                <w:szCs w:val="21"/>
              </w:rPr>
              <w:t>2#分选车间</w:t>
            </w:r>
          </w:p>
        </w:tc>
        <w:tc>
          <w:tcPr>
            <w:tcW w:w="1543" w:type="dxa"/>
            <w:shd w:val="clear" w:color="auto" w:fill="auto"/>
            <w:vAlign w:val="center"/>
          </w:tcPr>
          <w:p w14:paraId="339FDC11">
            <w:pPr>
              <w:jc w:val="center"/>
              <w:rPr>
                <w:rFonts w:ascii="Times New Roman" w:hAnsi="Times New Roman"/>
                <w:kern w:val="0"/>
                <w:szCs w:val="21"/>
              </w:rPr>
            </w:pPr>
            <w:r>
              <w:rPr>
                <w:rFonts w:ascii="Times New Roman" w:hAnsi="Times New Roman"/>
                <w:kern w:val="0"/>
                <w:szCs w:val="21"/>
              </w:rPr>
              <w:t>皮带输送机1</w:t>
            </w:r>
          </w:p>
        </w:tc>
        <w:tc>
          <w:tcPr>
            <w:tcW w:w="1543" w:type="dxa"/>
            <w:shd w:val="clear" w:color="auto" w:fill="auto"/>
            <w:vAlign w:val="center"/>
          </w:tcPr>
          <w:p w14:paraId="16CA486D">
            <w:pPr>
              <w:jc w:val="center"/>
              <w:rPr>
                <w:rFonts w:ascii="Times New Roman" w:hAnsi="Times New Roman" w:eastAsia="等线"/>
                <w:kern w:val="0"/>
                <w:szCs w:val="21"/>
              </w:rPr>
            </w:pPr>
            <w:r>
              <w:rPr>
                <w:rFonts w:ascii="Times New Roman" w:hAnsi="Times New Roman" w:eastAsia="等线"/>
                <w:szCs w:val="21"/>
              </w:rPr>
              <w:t>65/1</w:t>
            </w:r>
          </w:p>
        </w:tc>
        <w:tc>
          <w:tcPr>
            <w:tcW w:w="553" w:type="dxa"/>
            <w:shd w:val="clear" w:color="auto" w:fill="auto"/>
            <w:vAlign w:val="center"/>
          </w:tcPr>
          <w:p w14:paraId="694945AD">
            <w:pPr>
              <w:jc w:val="center"/>
              <w:rPr>
                <w:rFonts w:ascii="Times New Roman" w:hAnsi="Times New Roman"/>
                <w:kern w:val="0"/>
                <w:szCs w:val="21"/>
              </w:rPr>
            </w:pPr>
            <w:r>
              <w:rPr>
                <w:rFonts w:ascii="Times New Roman" w:hAnsi="Times New Roman"/>
                <w:kern w:val="0"/>
                <w:szCs w:val="21"/>
              </w:rPr>
              <w:t>1</w:t>
            </w:r>
          </w:p>
        </w:tc>
        <w:tc>
          <w:tcPr>
            <w:tcW w:w="1549" w:type="dxa"/>
            <w:shd w:val="clear" w:color="auto" w:fill="auto"/>
            <w:vAlign w:val="center"/>
          </w:tcPr>
          <w:p w14:paraId="3B02F403">
            <w:pPr>
              <w:jc w:val="center"/>
              <w:rPr>
                <w:rFonts w:ascii="Times New Roman" w:hAnsi="Times New Roman" w:eastAsia="等线"/>
                <w:kern w:val="0"/>
                <w:szCs w:val="21"/>
              </w:rPr>
            </w:pPr>
            <w:r>
              <w:rPr>
                <w:rFonts w:ascii="Times New Roman" w:hAnsi="Times New Roman" w:eastAsia="等线"/>
                <w:kern w:val="0"/>
                <w:szCs w:val="21"/>
              </w:rPr>
              <w:t>65/1</w:t>
            </w:r>
          </w:p>
        </w:tc>
        <w:tc>
          <w:tcPr>
            <w:tcW w:w="844" w:type="dxa"/>
            <w:vMerge w:val="continue"/>
            <w:shd w:val="clear" w:color="auto" w:fill="auto"/>
            <w:vAlign w:val="center"/>
          </w:tcPr>
          <w:p w14:paraId="7B57DBB9">
            <w:pPr>
              <w:widowControl/>
              <w:jc w:val="left"/>
              <w:rPr>
                <w:rFonts w:ascii="Times New Roman" w:hAnsi="Times New Roman"/>
                <w:kern w:val="0"/>
                <w:szCs w:val="21"/>
              </w:rPr>
            </w:pPr>
          </w:p>
        </w:tc>
        <w:tc>
          <w:tcPr>
            <w:tcW w:w="702" w:type="dxa"/>
            <w:shd w:val="clear" w:color="auto" w:fill="auto"/>
            <w:vAlign w:val="center"/>
          </w:tcPr>
          <w:p w14:paraId="749530BB">
            <w:pPr>
              <w:jc w:val="center"/>
              <w:rPr>
                <w:rFonts w:ascii="Times New Roman" w:hAnsi="Times New Roman" w:eastAsia="等线"/>
                <w:kern w:val="0"/>
                <w:szCs w:val="21"/>
              </w:rPr>
            </w:pPr>
            <w:r>
              <w:rPr>
                <w:rFonts w:ascii="Times New Roman" w:hAnsi="Times New Roman" w:eastAsia="等线"/>
                <w:szCs w:val="21"/>
              </w:rPr>
              <w:t>25.2</w:t>
            </w:r>
          </w:p>
        </w:tc>
        <w:tc>
          <w:tcPr>
            <w:tcW w:w="550" w:type="dxa"/>
            <w:shd w:val="clear" w:color="auto" w:fill="auto"/>
            <w:vAlign w:val="center"/>
          </w:tcPr>
          <w:p w14:paraId="1A7B5EC3">
            <w:pPr>
              <w:jc w:val="center"/>
              <w:rPr>
                <w:rFonts w:ascii="Times New Roman" w:hAnsi="Times New Roman" w:eastAsia="等线"/>
                <w:kern w:val="0"/>
                <w:szCs w:val="21"/>
              </w:rPr>
            </w:pPr>
            <w:r>
              <w:rPr>
                <w:rFonts w:ascii="Times New Roman" w:hAnsi="Times New Roman" w:eastAsia="等线"/>
                <w:szCs w:val="21"/>
              </w:rPr>
              <w:t>7.2</w:t>
            </w:r>
          </w:p>
        </w:tc>
        <w:tc>
          <w:tcPr>
            <w:tcW w:w="556" w:type="dxa"/>
            <w:shd w:val="clear" w:color="auto" w:fill="auto"/>
            <w:vAlign w:val="center"/>
          </w:tcPr>
          <w:p w14:paraId="09EF16D1">
            <w:pPr>
              <w:jc w:val="center"/>
              <w:rPr>
                <w:rFonts w:ascii="Times New Roman" w:hAnsi="Times New Roman" w:eastAsia="等线"/>
                <w:kern w:val="0"/>
                <w:szCs w:val="21"/>
              </w:rPr>
            </w:pPr>
            <w:r>
              <w:rPr>
                <w:rFonts w:ascii="Times New Roman" w:hAnsi="Times New Roman" w:eastAsia="等线"/>
                <w:szCs w:val="21"/>
              </w:rPr>
              <w:t>1</w:t>
            </w:r>
          </w:p>
        </w:tc>
        <w:tc>
          <w:tcPr>
            <w:tcW w:w="753" w:type="dxa"/>
            <w:shd w:val="clear" w:color="auto" w:fill="auto"/>
            <w:vAlign w:val="center"/>
          </w:tcPr>
          <w:p w14:paraId="344AF757">
            <w:pPr>
              <w:jc w:val="center"/>
              <w:rPr>
                <w:rFonts w:ascii="Times New Roman" w:hAnsi="Times New Roman" w:eastAsia="等线"/>
                <w:kern w:val="0"/>
                <w:szCs w:val="21"/>
              </w:rPr>
            </w:pPr>
            <w:r>
              <w:rPr>
                <w:rFonts w:ascii="Times New Roman" w:hAnsi="Times New Roman" w:eastAsia="等线"/>
                <w:szCs w:val="21"/>
              </w:rPr>
              <w:t>3.6</w:t>
            </w:r>
          </w:p>
        </w:tc>
        <w:tc>
          <w:tcPr>
            <w:tcW w:w="927" w:type="dxa"/>
            <w:shd w:val="clear" w:color="auto" w:fill="auto"/>
            <w:vAlign w:val="center"/>
          </w:tcPr>
          <w:p w14:paraId="3AFF8CE9">
            <w:pPr>
              <w:jc w:val="center"/>
              <w:rPr>
                <w:rFonts w:ascii="Times New Roman" w:hAnsi="Times New Roman" w:eastAsia="等线"/>
                <w:kern w:val="0"/>
                <w:szCs w:val="21"/>
              </w:rPr>
            </w:pPr>
            <w:r>
              <w:rPr>
                <w:rFonts w:ascii="Times New Roman" w:hAnsi="Times New Roman" w:eastAsia="等线"/>
                <w:szCs w:val="21"/>
              </w:rPr>
              <w:t>53.9</w:t>
            </w:r>
          </w:p>
        </w:tc>
        <w:tc>
          <w:tcPr>
            <w:tcW w:w="716" w:type="dxa"/>
            <w:shd w:val="clear" w:color="auto" w:fill="auto"/>
            <w:vAlign w:val="center"/>
          </w:tcPr>
          <w:p w14:paraId="78CDAB58">
            <w:pPr>
              <w:jc w:val="center"/>
              <w:rPr>
                <w:rFonts w:ascii="Times New Roman" w:hAnsi="Times New Roman"/>
                <w:kern w:val="0"/>
                <w:szCs w:val="21"/>
              </w:rPr>
            </w:pPr>
            <w:r>
              <w:rPr>
                <w:rFonts w:ascii="Times New Roman" w:hAnsi="Times New Roman"/>
                <w:kern w:val="0"/>
                <w:szCs w:val="21"/>
              </w:rPr>
              <w:t>连续</w:t>
            </w:r>
          </w:p>
        </w:tc>
        <w:tc>
          <w:tcPr>
            <w:tcW w:w="961" w:type="dxa"/>
            <w:shd w:val="clear" w:color="auto" w:fill="auto"/>
            <w:vAlign w:val="center"/>
          </w:tcPr>
          <w:p w14:paraId="053353F8">
            <w:pPr>
              <w:jc w:val="center"/>
              <w:rPr>
                <w:rFonts w:ascii="Times New Roman" w:hAnsi="Times New Roman" w:eastAsia="等线"/>
                <w:kern w:val="0"/>
                <w:szCs w:val="21"/>
              </w:rPr>
            </w:pPr>
            <w:r>
              <w:rPr>
                <w:rFonts w:ascii="Times New Roman" w:hAnsi="Times New Roman" w:eastAsia="等线"/>
                <w:kern w:val="0"/>
                <w:szCs w:val="21"/>
              </w:rPr>
              <w:t>10</w:t>
            </w:r>
          </w:p>
        </w:tc>
        <w:tc>
          <w:tcPr>
            <w:tcW w:w="927" w:type="dxa"/>
            <w:shd w:val="clear" w:color="auto" w:fill="auto"/>
            <w:vAlign w:val="center"/>
          </w:tcPr>
          <w:p w14:paraId="1D291475">
            <w:pPr>
              <w:jc w:val="center"/>
              <w:rPr>
                <w:rFonts w:ascii="Times New Roman" w:hAnsi="Times New Roman" w:eastAsia="等线"/>
                <w:kern w:val="0"/>
                <w:szCs w:val="21"/>
              </w:rPr>
            </w:pPr>
            <w:r>
              <w:rPr>
                <w:rFonts w:ascii="Times New Roman" w:hAnsi="Times New Roman" w:eastAsia="等线"/>
                <w:szCs w:val="21"/>
              </w:rPr>
              <w:t>43.9</w:t>
            </w:r>
          </w:p>
        </w:tc>
        <w:tc>
          <w:tcPr>
            <w:tcW w:w="887" w:type="dxa"/>
            <w:shd w:val="clear" w:color="auto" w:fill="auto"/>
            <w:vAlign w:val="center"/>
          </w:tcPr>
          <w:p w14:paraId="4C028B4B">
            <w:pPr>
              <w:jc w:val="center"/>
              <w:rPr>
                <w:rFonts w:ascii="Times New Roman" w:hAnsi="Times New Roman" w:eastAsia="等线"/>
                <w:kern w:val="0"/>
                <w:szCs w:val="21"/>
              </w:rPr>
            </w:pPr>
            <w:r>
              <w:rPr>
                <w:rFonts w:ascii="Times New Roman" w:hAnsi="Times New Roman" w:eastAsia="等线"/>
                <w:kern w:val="0"/>
                <w:szCs w:val="21"/>
              </w:rPr>
              <w:t>1</w:t>
            </w:r>
          </w:p>
        </w:tc>
      </w:tr>
      <w:tr w14:paraId="7A066A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428" w:type="dxa"/>
            <w:vMerge w:val="continue"/>
            <w:shd w:val="clear" w:color="auto" w:fill="auto"/>
            <w:vAlign w:val="center"/>
          </w:tcPr>
          <w:p w14:paraId="4B14CD70">
            <w:pPr>
              <w:widowControl/>
              <w:jc w:val="left"/>
              <w:rPr>
                <w:rFonts w:ascii="Times New Roman" w:hAnsi="Times New Roman" w:eastAsia="等线"/>
                <w:kern w:val="0"/>
                <w:szCs w:val="21"/>
              </w:rPr>
            </w:pPr>
          </w:p>
        </w:tc>
        <w:tc>
          <w:tcPr>
            <w:tcW w:w="821" w:type="dxa"/>
            <w:vMerge w:val="continue"/>
            <w:shd w:val="clear" w:color="auto" w:fill="auto"/>
            <w:vAlign w:val="center"/>
          </w:tcPr>
          <w:p w14:paraId="781A221E">
            <w:pPr>
              <w:widowControl/>
              <w:jc w:val="left"/>
              <w:rPr>
                <w:rFonts w:ascii="Times New Roman" w:hAnsi="Times New Roman"/>
                <w:kern w:val="0"/>
                <w:szCs w:val="21"/>
              </w:rPr>
            </w:pPr>
          </w:p>
        </w:tc>
        <w:tc>
          <w:tcPr>
            <w:tcW w:w="1543" w:type="dxa"/>
            <w:shd w:val="clear" w:color="auto" w:fill="auto"/>
            <w:vAlign w:val="center"/>
          </w:tcPr>
          <w:p w14:paraId="1D9BD056">
            <w:pPr>
              <w:widowControl/>
              <w:jc w:val="center"/>
              <w:rPr>
                <w:rFonts w:ascii="Times New Roman" w:hAnsi="Times New Roman"/>
                <w:kern w:val="0"/>
                <w:szCs w:val="21"/>
              </w:rPr>
            </w:pPr>
            <w:r>
              <w:rPr>
                <w:rFonts w:ascii="Times New Roman" w:hAnsi="Times New Roman"/>
                <w:kern w:val="0"/>
                <w:szCs w:val="21"/>
              </w:rPr>
              <w:t>皮带输送机2</w:t>
            </w:r>
          </w:p>
        </w:tc>
        <w:tc>
          <w:tcPr>
            <w:tcW w:w="1543" w:type="dxa"/>
            <w:shd w:val="clear" w:color="auto" w:fill="auto"/>
            <w:vAlign w:val="center"/>
          </w:tcPr>
          <w:p w14:paraId="7D943B65">
            <w:pPr>
              <w:widowControl/>
              <w:jc w:val="center"/>
              <w:rPr>
                <w:rFonts w:ascii="Times New Roman" w:hAnsi="Times New Roman" w:eastAsia="等线"/>
                <w:kern w:val="0"/>
                <w:szCs w:val="21"/>
              </w:rPr>
            </w:pPr>
            <w:r>
              <w:rPr>
                <w:rFonts w:ascii="Times New Roman" w:hAnsi="Times New Roman" w:eastAsia="等线"/>
                <w:szCs w:val="21"/>
              </w:rPr>
              <w:t>65/1</w:t>
            </w:r>
          </w:p>
        </w:tc>
        <w:tc>
          <w:tcPr>
            <w:tcW w:w="553" w:type="dxa"/>
            <w:shd w:val="clear" w:color="auto" w:fill="auto"/>
            <w:vAlign w:val="center"/>
          </w:tcPr>
          <w:p w14:paraId="3AB78ED3">
            <w:pPr>
              <w:widowControl/>
              <w:jc w:val="center"/>
              <w:rPr>
                <w:rFonts w:ascii="Times New Roman" w:hAnsi="Times New Roman"/>
                <w:kern w:val="0"/>
                <w:szCs w:val="21"/>
              </w:rPr>
            </w:pPr>
            <w:r>
              <w:rPr>
                <w:rFonts w:ascii="Times New Roman" w:hAnsi="Times New Roman"/>
                <w:kern w:val="0"/>
                <w:szCs w:val="21"/>
              </w:rPr>
              <w:t>1</w:t>
            </w:r>
          </w:p>
        </w:tc>
        <w:tc>
          <w:tcPr>
            <w:tcW w:w="1549" w:type="dxa"/>
            <w:shd w:val="clear" w:color="auto" w:fill="auto"/>
            <w:vAlign w:val="center"/>
          </w:tcPr>
          <w:p w14:paraId="2EEEF551">
            <w:pPr>
              <w:widowControl/>
              <w:jc w:val="center"/>
              <w:rPr>
                <w:rFonts w:ascii="Times New Roman" w:hAnsi="Times New Roman" w:eastAsia="等线"/>
                <w:kern w:val="0"/>
                <w:szCs w:val="21"/>
              </w:rPr>
            </w:pPr>
            <w:r>
              <w:rPr>
                <w:rFonts w:ascii="Times New Roman" w:hAnsi="Times New Roman" w:eastAsia="等线"/>
                <w:kern w:val="0"/>
                <w:szCs w:val="21"/>
              </w:rPr>
              <w:t>65/1</w:t>
            </w:r>
          </w:p>
        </w:tc>
        <w:tc>
          <w:tcPr>
            <w:tcW w:w="844" w:type="dxa"/>
            <w:vMerge w:val="continue"/>
            <w:shd w:val="clear" w:color="auto" w:fill="auto"/>
            <w:vAlign w:val="center"/>
          </w:tcPr>
          <w:p w14:paraId="2045F4E7">
            <w:pPr>
              <w:widowControl/>
              <w:jc w:val="left"/>
              <w:rPr>
                <w:rFonts w:ascii="Times New Roman" w:hAnsi="Times New Roman"/>
                <w:kern w:val="0"/>
                <w:szCs w:val="21"/>
              </w:rPr>
            </w:pPr>
          </w:p>
        </w:tc>
        <w:tc>
          <w:tcPr>
            <w:tcW w:w="702" w:type="dxa"/>
            <w:shd w:val="clear" w:color="auto" w:fill="auto"/>
            <w:vAlign w:val="center"/>
          </w:tcPr>
          <w:p w14:paraId="36D0F88B">
            <w:pPr>
              <w:widowControl/>
              <w:jc w:val="center"/>
              <w:rPr>
                <w:rFonts w:ascii="Times New Roman" w:hAnsi="Times New Roman" w:eastAsia="等线"/>
                <w:kern w:val="0"/>
                <w:szCs w:val="21"/>
              </w:rPr>
            </w:pPr>
            <w:r>
              <w:rPr>
                <w:rFonts w:ascii="Times New Roman" w:hAnsi="Times New Roman" w:eastAsia="等线"/>
                <w:szCs w:val="21"/>
              </w:rPr>
              <w:t>25.2</w:t>
            </w:r>
          </w:p>
        </w:tc>
        <w:tc>
          <w:tcPr>
            <w:tcW w:w="550" w:type="dxa"/>
            <w:shd w:val="clear" w:color="auto" w:fill="auto"/>
            <w:vAlign w:val="center"/>
          </w:tcPr>
          <w:p w14:paraId="09DBAFEF">
            <w:pPr>
              <w:widowControl/>
              <w:jc w:val="center"/>
              <w:rPr>
                <w:rFonts w:ascii="Times New Roman" w:hAnsi="Times New Roman" w:eastAsia="等线"/>
                <w:kern w:val="0"/>
                <w:szCs w:val="21"/>
              </w:rPr>
            </w:pPr>
            <w:r>
              <w:rPr>
                <w:rFonts w:ascii="Times New Roman" w:hAnsi="Times New Roman" w:eastAsia="等线"/>
                <w:szCs w:val="21"/>
              </w:rPr>
              <w:t>-7.2</w:t>
            </w:r>
          </w:p>
        </w:tc>
        <w:tc>
          <w:tcPr>
            <w:tcW w:w="556" w:type="dxa"/>
            <w:shd w:val="clear" w:color="auto" w:fill="auto"/>
            <w:vAlign w:val="center"/>
          </w:tcPr>
          <w:p w14:paraId="4BF92995">
            <w:pPr>
              <w:widowControl/>
              <w:jc w:val="center"/>
              <w:rPr>
                <w:rFonts w:ascii="Times New Roman" w:hAnsi="Times New Roman" w:eastAsia="等线"/>
                <w:kern w:val="0"/>
                <w:szCs w:val="21"/>
              </w:rPr>
            </w:pPr>
            <w:r>
              <w:rPr>
                <w:rFonts w:ascii="Times New Roman" w:hAnsi="Times New Roman" w:eastAsia="等线"/>
                <w:szCs w:val="21"/>
              </w:rPr>
              <w:t>1</w:t>
            </w:r>
          </w:p>
        </w:tc>
        <w:tc>
          <w:tcPr>
            <w:tcW w:w="753" w:type="dxa"/>
            <w:shd w:val="clear" w:color="auto" w:fill="auto"/>
            <w:vAlign w:val="center"/>
          </w:tcPr>
          <w:p w14:paraId="30BD1717">
            <w:pPr>
              <w:widowControl/>
              <w:jc w:val="center"/>
              <w:rPr>
                <w:rFonts w:ascii="Times New Roman" w:hAnsi="Times New Roman" w:eastAsia="等线"/>
                <w:kern w:val="0"/>
                <w:szCs w:val="21"/>
              </w:rPr>
            </w:pPr>
            <w:r>
              <w:rPr>
                <w:rFonts w:ascii="Times New Roman" w:hAnsi="Times New Roman" w:eastAsia="等线"/>
                <w:szCs w:val="21"/>
              </w:rPr>
              <w:t>3.6</w:t>
            </w:r>
          </w:p>
        </w:tc>
        <w:tc>
          <w:tcPr>
            <w:tcW w:w="927" w:type="dxa"/>
            <w:shd w:val="clear" w:color="auto" w:fill="auto"/>
            <w:vAlign w:val="center"/>
          </w:tcPr>
          <w:p w14:paraId="612B9EA7">
            <w:pPr>
              <w:widowControl/>
              <w:jc w:val="center"/>
              <w:rPr>
                <w:rFonts w:ascii="Times New Roman" w:hAnsi="Times New Roman" w:eastAsia="等线"/>
                <w:kern w:val="0"/>
                <w:szCs w:val="21"/>
              </w:rPr>
            </w:pPr>
            <w:r>
              <w:rPr>
                <w:rFonts w:ascii="Times New Roman" w:hAnsi="Times New Roman" w:eastAsia="等线"/>
                <w:szCs w:val="21"/>
              </w:rPr>
              <w:t>53.9</w:t>
            </w:r>
          </w:p>
        </w:tc>
        <w:tc>
          <w:tcPr>
            <w:tcW w:w="716" w:type="dxa"/>
            <w:shd w:val="clear" w:color="auto" w:fill="auto"/>
            <w:vAlign w:val="center"/>
          </w:tcPr>
          <w:p w14:paraId="61724994">
            <w:pPr>
              <w:widowControl/>
              <w:jc w:val="center"/>
              <w:rPr>
                <w:rFonts w:ascii="Times New Roman" w:hAnsi="Times New Roman"/>
                <w:kern w:val="0"/>
                <w:szCs w:val="21"/>
              </w:rPr>
            </w:pPr>
            <w:r>
              <w:rPr>
                <w:rFonts w:ascii="Times New Roman" w:hAnsi="Times New Roman"/>
                <w:kern w:val="0"/>
                <w:szCs w:val="21"/>
              </w:rPr>
              <w:t>连续</w:t>
            </w:r>
          </w:p>
        </w:tc>
        <w:tc>
          <w:tcPr>
            <w:tcW w:w="961" w:type="dxa"/>
            <w:shd w:val="clear" w:color="auto" w:fill="auto"/>
            <w:vAlign w:val="center"/>
          </w:tcPr>
          <w:p w14:paraId="787D9598">
            <w:pPr>
              <w:widowControl/>
              <w:jc w:val="center"/>
              <w:rPr>
                <w:rFonts w:ascii="Times New Roman" w:hAnsi="Times New Roman" w:eastAsia="等线"/>
                <w:kern w:val="0"/>
                <w:szCs w:val="21"/>
              </w:rPr>
            </w:pPr>
            <w:r>
              <w:rPr>
                <w:rFonts w:ascii="Times New Roman" w:hAnsi="Times New Roman" w:eastAsia="等线"/>
                <w:kern w:val="0"/>
                <w:szCs w:val="21"/>
              </w:rPr>
              <w:t>10</w:t>
            </w:r>
          </w:p>
        </w:tc>
        <w:tc>
          <w:tcPr>
            <w:tcW w:w="927" w:type="dxa"/>
            <w:shd w:val="clear" w:color="auto" w:fill="auto"/>
            <w:vAlign w:val="center"/>
          </w:tcPr>
          <w:p w14:paraId="04E0D877">
            <w:pPr>
              <w:widowControl/>
              <w:jc w:val="center"/>
              <w:rPr>
                <w:rFonts w:ascii="Times New Roman" w:hAnsi="Times New Roman" w:eastAsia="等线"/>
                <w:kern w:val="0"/>
                <w:szCs w:val="21"/>
              </w:rPr>
            </w:pPr>
            <w:r>
              <w:rPr>
                <w:rFonts w:ascii="Times New Roman" w:hAnsi="Times New Roman" w:eastAsia="等线"/>
                <w:szCs w:val="21"/>
              </w:rPr>
              <w:t>43.9</w:t>
            </w:r>
          </w:p>
        </w:tc>
        <w:tc>
          <w:tcPr>
            <w:tcW w:w="887" w:type="dxa"/>
            <w:shd w:val="clear" w:color="auto" w:fill="auto"/>
            <w:vAlign w:val="center"/>
          </w:tcPr>
          <w:p w14:paraId="40DD049A">
            <w:pPr>
              <w:widowControl/>
              <w:jc w:val="center"/>
              <w:rPr>
                <w:rFonts w:ascii="Times New Roman" w:hAnsi="Times New Roman" w:eastAsia="等线"/>
                <w:kern w:val="0"/>
                <w:szCs w:val="21"/>
              </w:rPr>
            </w:pPr>
            <w:r>
              <w:rPr>
                <w:rFonts w:ascii="Times New Roman" w:hAnsi="Times New Roman" w:eastAsia="等线"/>
                <w:kern w:val="0"/>
                <w:szCs w:val="21"/>
              </w:rPr>
              <w:t>1</w:t>
            </w:r>
          </w:p>
        </w:tc>
      </w:tr>
      <w:tr w14:paraId="5031D6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428" w:type="dxa"/>
            <w:vMerge w:val="continue"/>
            <w:shd w:val="clear" w:color="auto" w:fill="auto"/>
            <w:vAlign w:val="center"/>
          </w:tcPr>
          <w:p w14:paraId="63383E4D">
            <w:pPr>
              <w:widowControl/>
              <w:jc w:val="left"/>
              <w:rPr>
                <w:rFonts w:ascii="Times New Roman" w:hAnsi="Times New Roman" w:eastAsia="等线"/>
                <w:kern w:val="0"/>
                <w:szCs w:val="21"/>
              </w:rPr>
            </w:pPr>
          </w:p>
        </w:tc>
        <w:tc>
          <w:tcPr>
            <w:tcW w:w="821" w:type="dxa"/>
            <w:vMerge w:val="continue"/>
            <w:shd w:val="clear" w:color="auto" w:fill="auto"/>
            <w:vAlign w:val="center"/>
          </w:tcPr>
          <w:p w14:paraId="7FBAF1C0">
            <w:pPr>
              <w:widowControl/>
              <w:jc w:val="left"/>
              <w:rPr>
                <w:rFonts w:ascii="Times New Roman" w:hAnsi="Times New Roman"/>
                <w:kern w:val="0"/>
                <w:szCs w:val="21"/>
              </w:rPr>
            </w:pPr>
          </w:p>
        </w:tc>
        <w:tc>
          <w:tcPr>
            <w:tcW w:w="1543" w:type="dxa"/>
            <w:shd w:val="clear" w:color="auto" w:fill="auto"/>
            <w:vAlign w:val="center"/>
          </w:tcPr>
          <w:p w14:paraId="41D95487">
            <w:pPr>
              <w:widowControl/>
              <w:jc w:val="center"/>
              <w:rPr>
                <w:rFonts w:ascii="Times New Roman" w:hAnsi="Times New Roman"/>
                <w:kern w:val="0"/>
                <w:szCs w:val="21"/>
              </w:rPr>
            </w:pPr>
            <w:r>
              <w:rPr>
                <w:rFonts w:ascii="Times New Roman" w:hAnsi="Times New Roman"/>
                <w:kern w:val="0"/>
                <w:szCs w:val="21"/>
              </w:rPr>
              <w:t>磁选机1</w:t>
            </w:r>
          </w:p>
        </w:tc>
        <w:tc>
          <w:tcPr>
            <w:tcW w:w="1543" w:type="dxa"/>
            <w:shd w:val="clear" w:color="auto" w:fill="auto"/>
            <w:vAlign w:val="center"/>
          </w:tcPr>
          <w:p w14:paraId="498C8999">
            <w:pPr>
              <w:widowControl/>
              <w:jc w:val="center"/>
              <w:rPr>
                <w:rFonts w:ascii="Times New Roman" w:hAnsi="Times New Roman" w:eastAsia="等线"/>
                <w:kern w:val="0"/>
                <w:szCs w:val="21"/>
              </w:rPr>
            </w:pPr>
            <w:r>
              <w:rPr>
                <w:rFonts w:ascii="Times New Roman" w:hAnsi="Times New Roman" w:eastAsia="等线"/>
                <w:szCs w:val="21"/>
              </w:rPr>
              <w:t>65/1</w:t>
            </w:r>
          </w:p>
        </w:tc>
        <w:tc>
          <w:tcPr>
            <w:tcW w:w="553" w:type="dxa"/>
            <w:shd w:val="clear" w:color="auto" w:fill="auto"/>
            <w:vAlign w:val="center"/>
          </w:tcPr>
          <w:p w14:paraId="2F878228">
            <w:pPr>
              <w:widowControl/>
              <w:jc w:val="center"/>
              <w:rPr>
                <w:rFonts w:ascii="Times New Roman" w:hAnsi="Times New Roman"/>
                <w:kern w:val="0"/>
                <w:szCs w:val="21"/>
              </w:rPr>
            </w:pPr>
            <w:r>
              <w:rPr>
                <w:rFonts w:ascii="Times New Roman" w:hAnsi="Times New Roman"/>
                <w:kern w:val="0"/>
                <w:szCs w:val="21"/>
              </w:rPr>
              <w:t>10</w:t>
            </w:r>
          </w:p>
        </w:tc>
        <w:tc>
          <w:tcPr>
            <w:tcW w:w="1549" w:type="dxa"/>
            <w:shd w:val="clear" w:color="auto" w:fill="auto"/>
            <w:vAlign w:val="center"/>
          </w:tcPr>
          <w:p w14:paraId="7C990E9F">
            <w:pPr>
              <w:widowControl/>
              <w:jc w:val="center"/>
              <w:rPr>
                <w:rFonts w:ascii="Times New Roman" w:hAnsi="Times New Roman" w:eastAsia="等线"/>
                <w:kern w:val="0"/>
                <w:szCs w:val="21"/>
              </w:rPr>
            </w:pPr>
            <w:r>
              <w:rPr>
                <w:rFonts w:ascii="Times New Roman" w:hAnsi="Times New Roman" w:eastAsia="等线"/>
                <w:kern w:val="0"/>
                <w:szCs w:val="21"/>
              </w:rPr>
              <w:t>75/1</w:t>
            </w:r>
          </w:p>
        </w:tc>
        <w:tc>
          <w:tcPr>
            <w:tcW w:w="844" w:type="dxa"/>
            <w:vMerge w:val="continue"/>
            <w:shd w:val="clear" w:color="auto" w:fill="auto"/>
            <w:vAlign w:val="center"/>
          </w:tcPr>
          <w:p w14:paraId="16D2DEA7">
            <w:pPr>
              <w:widowControl/>
              <w:jc w:val="left"/>
              <w:rPr>
                <w:rFonts w:ascii="Times New Roman" w:hAnsi="Times New Roman"/>
                <w:kern w:val="0"/>
                <w:szCs w:val="21"/>
              </w:rPr>
            </w:pPr>
          </w:p>
        </w:tc>
        <w:tc>
          <w:tcPr>
            <w:tcW w:w="702" w:type="dxa"/>
            <w:shd w:val="clear" w:color="auto" w:fill="auto"/>
            <w:vAlign w:val="center"/>
          </w:tcPr>
          <w:p w14:paraId="32B46DEF">
            <w:pPr>
              <w:widowControl/>
              <w:jc w:val="center"/>
              <w:rPr>
                <w:rFonts w:ascii="Times New Roman" w:hAnsi="Times New Roman" w:eastAsia="等线"/>
                <w:kern w:val="0"/>
                <w:szCs w:val="21"/>
              </w:rPr>
            </w:pPr>
            <w:r>
              <w:rPr>
                <w:rFonts w:ascii="Times New Roman" w:hAnsi="Times New Roman" w:eastAsia="等线"/>
                <w:szCs w:val="21"/>
              </w:rPr>
              <w:t>25.2</w:t>
            </w:r>
          </w:p>
        </w:tc>
        <w:tc>
          <w:tcPr>
            <w:tcW w:w="550" w:type="dxa"/>
            <w:shd w:val="clear" w:color="auto" w:fill="auto"/>
            <w:vAlign w:val="center"/>
          </w:tcPr>
          <w:p w14:paraId="4EEA2551">
            <w:pPr>
              <w:widowControl/>
              <w:jc w:val="center"/>
              <w:rPr>
                <w:rFonts w:ascii="Times New Roman" w:hAnsi="Times New Roman" w:eastAsia="等线"/>
                <w:kern w:val="0"/>
                <w:szCs w:val="21"/>
              </w:rPr>
            </w:pPr>
            <w:r>
              <w:rPr>
                <w:rFonts w:ascii="Times New Roman" w:hAnsi="Times New Roman" w:eastAsia="等线"/>
                <w:szCs w:val="21"/>
              </w:rPr>
              <w:t>7.2</w:t>
            </w:r>
          </w:p>
        </w:tc>
        <w:tc>
          <w:tcPr>
            <w:tcW w:w="556" w:type="dxa"/>
            <w:shd w:val="clear" w:color="auto" w:fill="auto"/>
            <w:vAlign w:val="center"/>
          </w:tcPr>
          <w:p w14:paraId="07A676CF">
            <w:pPr>
              <w:widowControl/>
              <w:jc w:val="center"/>
              <w:rPr>
                <w:rFonts w:ascii="Times New Roman" w:hAnsi="Times New Roman" w:eastAsia="等线"/>
                <w:kern w:val="0"/>
                <w:szCs w:val="21"/>
              </w:rPr>
            </w:pPr>
            <w:r>
              <w:rPr>
                <w:rFonts w:ascii="Times New Roman" w:hAnsi="Times New Roman" w:eastAsia="等线"/>
                <w:szCs w:val="21"/>
              </w:rPr>
              <w:t>1</w:t>
            </w:r>
          </w:p>
        </w:tc>
        <w:tc>
          <w:tcPr>
            <w:tcW w:w="753" w:type="dxa"/>
            <w:shd w:val="clear" w:color="auto" w:fill="auto"/>
            <w:vAlign w:val="center"/>
          </w:tcPr>
          <w:p w14:paraId="1828A9A2">
            <w:pPr>
              <w:widowControl/>
              <w:jc w:val="center"/>
              <w:rPr>
                <w:rFonts w:ascii="Times New Roman" w:hAnsi="Times New Roman" w:eastAsia="等线"/>
                <w:kern w:val="0"/>
                <w:szCs w:val="21"/>
              </w:rPr>
            </w:pPr>
            <w:r>
              <w:rPr>
                <w:rFonts w:ascii="Times New Roman" w:hAnsi="Times New Roman" w:eastAsia="等线"/>
                <w:szCs w:val="21"/>
              </w:rPr>
              <w:t>3.6</w:t>
            </w:r>
          </w:p>
        </w:tc>
        <w:tc>
          <w:tcPr>
            <w:tcW w:w="927" w:type="dxa"/>
            <w:shd w:val="clear" w:color="auto" w:fill="auto"/>
            <w:vAlign w:val="center"/>
          </w:tcPr>
          <w:p w14:paraId="6B007BCC">
            <w:pPr>
              <w:widowControl/>
              <w:jc w:val="center"/>
              <w:rPr>
                <w:rFonts w:ascii="Times New Roman" w:hAnsi="Times New Roman" w:eastAsia="等线"/>
                <w:kern w:val="0"/>
                <w:szCs w:val="21"/>
              </w:rPr>
            </w:pPr>
            <w:r>
              <w:rPr>
                <w:rFonts w:ascii="Times New Roman" w:hAnsi="Times New Roman" w:eastAsia="等线"/>
                <w:szCs w:val="21"/>
              </w:rPr>
              <w:t>63.9</w:t>
            </w:r>
          </w:p>
        </w:tc>
        <w:tc>
          <w:tcPr>
            <w:tcW w:w="716" w:type="dxa"/>
            <w:shd w:val="clear" w:color="auto" w:fill="auto"/>
            <w:vAlign w:val="center"/>
          </w:tcPr>
          <w:p w14:paraId="0C9A3A0C">
            <w:pPr>
              <w:widowControl/>
              <w:jc w:val="center"/>
              <w:rPr>
                <w:rFonts w:ascii="Times New Roman" w:hAnsi="Times New Roman"/>
                <w:kern w:val="0"/>
                <w:szCs w:val="21"/>
              </w:rPr>
            </w:pPr>
            <w:r>
              <w:rPr>
                <w:rFonts w:ascii="Times New Roman" w:hAnsi="Times New Roman"/>
                <w:kern w:val="0"/>
                <w:szCs w:val="21"/>
              </w:rPr>
              <w:t>连续</w:t>
            </w:r>
          </w:p>
        </w:tc>
        <w:tc>
          <w:tcPr>
            <w:tcW w:w="961" w:type="dxa"/>
            <w:shd w:val="clear" w:color="auto" w:fill="auto"/>
            <w:vAlign w:val="center"/>
          </w:tcPr>
          <w:p w14:paraId="13B1986F">
            <w:pPr>
              <w:widowControl/>
              <w:jc w:val="center"/>
              <w:rPr>
                <w:rFonts w:ascii="Times New Roman" w:hAnsi="Times New Roman" w:eastAsia="等线"/>
                <w:kern w:val="0"/>
                <w:szCs w:val="21"/>
              </w:rPr>
            </w:pPr>
            <w:r>
              <w:rPr>
                <w:rFonts w:ascii="Times New Roman" w:hAnsi="Times New Roman" w:eastAsia="等线"/>
                <w:kern w:val="0"/>
                <w:szCs w:val="21"/>
              </w:rPr>
              <w:t>10</w:t>
            </w:r>
          </w:p>
        </w:tc>
        <w:tc>
          <w:tcPr>
            <w:tcW w:w="927" w:type="dxa"/>
            <w:shd w:val="clear" w:color="auto" w:fill="auto"/>
            <w:vAlign w:val="center"/>
          </w:tcPr>
          <w:p w14:paraId="1F318509">
            <w:pPr>
              <w:widowControl/>
              <w:jc w:val="center"/>
              <w:rPr>
                <w:rFonts w:ascii="Times New Roman" w:hAnsi="Times New Roman" w:eastAsia="等线"/>
                <w:kern w:val="0"/>
                <w:szCs w:val="21"/>
              </w:rPr>
            </w:pPr>
            <w:r>
              <w:rPr>
                <w:rFonts w:ascii="Times New Roman" w:hAnsi="Times New Roman" w:eastAsia="等线"/>
                <w:szCs w:val="21"/>
              </w:rPr>
              <w:t>43.9</w:t>
            </w:r>
          </w:p>
        </w:tc>
        <w:tc>
          <w:tcPr>
            <w:tcW w:w="887" w:type="dxa"/>
            <w:shd w:val="clear" w:color="auto" w:fill="auto"/>
            <w:vAlign w:val="center"/>
          </w:tcPr>
          <w:p w14:paraId="49C97246">
            <w:pPr>
              <w:widowControl/>
              <w:jc w:val="center"/>
              <w:rPr>
                <w:rFonts w:ascii="Times New Roman" w:hAnsi="Times New Roman" w:eastAsia="等线"/>
                <w:kern w:val="0"/>
                <w:szCs w:val="21"/>
              </w:rPr>
            </w:pPr>
            <w:r>
              <w:rPr>
                <w:rFonts w:ascii="Times New Roman" w:hAnsi="Times New Roman" w:eastAsia="等线"/>
                <w:kern w:val="0"/>
                <w:szCs w:val="21"/>
              </w:rPr>
              <w:t>1</w:t>
            </w:r>
          </w:p>
        </w:tc>
      </w:tr>
      <w:tr w14:paraId="4872BD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428" w:type="dxa"/>
            <w:vMerge w:val="continue"/>
            <w:shd w:val="clear" w:color="auto" w:fill="auto"/>
            <w:vAlign w:val="center"/>
          </w:tcPr>
          <w:p w14:paraId="230380E2">
            <w:pPr>
              <w:widowControl/>
              <w:jc w:val="left"/>
              <w:rPr>
                <w:rFonts w:ascii="Times New Roman" w:hAnsi="Times New Roman" w:eastAsia="等线"/>
                <w:kern w:val="0"/>
                <w:szCs w:val="21"/>
              </w:rPr>
            </w:pPr>
          </w:p>
        </w:tc>
        <w:tc>
          <w:tcPr>
            <w:tcW w:w="821" w:type="dxa"/>
            <w:vMerge w:val="continue"/>
            <w:shd w:val="clear" w:color="auto" w:fill="auto"/>
            <w:vAlign w:val="center"/>
          </w:tcPr>
          <w:p w14:paraId="58741FE3">
            <w:pPr>
              <w:widowControl/>
              <w:jc w:val="left"/>
              <w:rPr>
                <w:rFonts w:ascii="Times New Roman" w:hAnsi="Times New Roman"/>
                <w:kern w:val="0"/>
                <w:szCs w:val="21"/>
              </w:rPr>
            </w:pPr>
          </w:p>
        </w:tc>
        <w:tc>
          <w:tcPr>
            <w:tcW w:w="1543" w:type="dxa"/>
            <w:shd w:val="clear" w:color="auto" w:fill="auto"/>
            <w:vAlign w:val="center"/>
          </w:tcPr>
          <w:p w14:paraId="79F833BC">
            <w:pPr>
              <w:widowControl/>
              <w:jc w:val="center"/>
              <w:rPr>
                <w:rFonts w:ascii="Times New Roman" w:hAnsi="Times New Roman"/>
                <w:kern w:val="0"/>
                <w:szCs w:val="21"/>
              </w:rPr>
            </w:pPr>
            <w:r>
              <w:rPr>
                <w:rFonts w:ascii="Times New Roman" w:hAnsi="Times New Roman"/>
                <w:kern w:val="0"/>
                <w:szCs w:val="21"/>
              </w:rPr>
              <w:t>磁选机2</w:t>
            </w:r>
          </w:p>
        </w:tc>
        <w:tc>
          <w:tcPr>
            <w:tcW w:w="1543" w:type="dxa"/>
            <w:shd w:val="clear" w:color="auto" w:fill="auto"/>
            <w:vAlign w:val="center"/>
          </w:tcPr>
          <w:p w14:paraId="41E59F32">
            <w:pPr>
              <w:widowControl/>
              <w:jc w:val="center"/>
              <w:rPr>
                <w:rFonts w:ascii="Times New Roman" w:hAnsi="Times New Roman" w:eastAsia="等线"/>
                <w:kern w:val="0"/>
                <w:szCs w:val="21"/>
              </w:rPr>
            </w:pPr>
            <w:r>
              <w:rPr>
                <w:rFonts w:ascii="Times New Roman" w:hAnsi="Times New Roman" w:eastAsia="等线"/>
                <w:szCs w:val="21"/>
              </w:rPr>
              <w:t>65/1</w:t>
            </w:r>
          </w:p>
        </w:tc>
        <w:tc>
          <w:tcPr>
            <w:tcW w:w="553" w:type="dxa"/>
            <w:shd w:val="clear" w:color="auto" w:fill="auto"/>
            <w:vAlign w:val="center"/>
          </w:tcPr>
          <w:p w14:paraId="21190A39">
            <w:pPr>
              <w:widowControl/>
              <w:jc w:val="center"/>
              <w:rPr>
                <w:rFonts w:ascii="Times New Roman" w:hAnsi="Times New Roman"/>
                <w:kern w:val="0"/>
                <w:szCs w:val="21"/>
              </w:rPr>
            </w:pPr>
            <w:r>
              <w:rPr>
                <w:rFonts w:ascii="Times New Roman" w:hAnsi="Times New Roman"/>
                <w:kern w:val="0"/>
                <w:szCs w:val="21"/>
              </w:rPr>
              <w:t>10</w:t>
            </w:r>
          </w:p>
        </w:tc>
        <w:tc>
          <w:tcPr>
            <w:tcW w:w="1549" w:type="dxa"/>
            <w:shd w:val="clear" w:color="auto" w:fill="auto"/>
            <w:vAlign w:val="center"/>
          </w:tcPr>
          <w:p w14:paraId="58A9E401">
            <w:pPr>
              <w:widowControl/>
              <w:jc w:val="center"/>
              <w:rPr>
                <w:rFonts w:ascii="Times New Roman" w:hAnsi="Times New Roman" w:eastAsia="等线"/>
                <w:kern w:val="0"/>
                <w:szCs w:val="21"/>
              </w:rPr>
            </w:pPr>
            <w:r>
              <w:rPr>
                <w:rFonts w:ascii="Times New Roman" w:hAnsi="Times New Roman" w:eastAsia="等线"/>
                <w:kern w:val="0"/>
                <w:szCs w:val="21"/>
              </w:rPr>
              <w:t>75/1</w:t>
            </w:r>
          </w:p>
        </w:tc>
        <w:tc>
          <w:tcPr>
            <w:tcW w:w="844" w:type="dxa"/>
            <w:vMerge w:val="continue"/>
            <w:shd w:val="clear" w:color="auto" w:fill="auto"/>
            <w:vAlign w:val="center"/>
          </w:tcPr>
          <w:p w14:paraId="089CD627">
            <w:pPr>
              <w:widowControl/>
              <w:jc w:val="left"/>
              <w:rPr>
                <w:rFonts w:ascii="Times New Roman" w:hAnsi="Times New Roman"/>
                <w:kern w:val="0"/>
                <w:szCs w:val="21"/>
              </w:rPr>
            </w:pPr>
          </w:p>
        </w:tc>
        <w:tc>
          <w:tcPr>
            <w:tcW w:w="702" w:type="dxa"/>
            <w:shd w:val="clear" w:color="auto" w:fill="auto"/>
            <w:vAlign w:val="center"/>
          </w:tcPr>
          <w:p w14:paraId="03D05D34">
            <w:pPr>
              <w:widowControl/>
              <w:jc w:val="center"/>
              <w:rPr>
                <w:rFonts w:ascii="Times New Roman" w:hAnsi="Times New Roman" w:eastAsia="等线"/>
                <w:kern w:val="0"/>
                <w:szCs w:val="21"/>
              </w:rPr>
            </w:pPr>
            <w:r>
              <w:rPr>
                <w:rFonts w:ascii="Times New Roman" w:hAnsi="Times New Roman" w:eastAsia="等线"/>
                <w:szCs w:val="21"/>
              </w:rPr>
              <w:t>25.2</w:t>
            </w:r>
          </w:p>
        </w:tc>
        <w:tc>
          <w:tcPr>
            <w:tcW w:w="550" w:type="dxa"/>
            <w:shd w:val="clear" w:color="auto" w:fill="auto"/>
            <w:vAlign w:val="center"/>
          </w:tcPr>
          <w:p w14:paraId="6B944EDB">
            <w:pPr>
              <w:widowControl/>
              <w:jc w:val="center"/>
              <w:rPr>
                <w:rFonts w:ascii="Times New Roman" w:hAnsi="Times New Roman" w:eastAsia="等线"/>
                <w:kern w:val="0"/>
                <w:szCs w:val="21"/>
              </w:rPr>
            </w:pPr>
            <w:r>
              <w:rPr>
                <w:rFonts w:ascii="Times New Roman" w:hAnsi="Times New Roman" w:eastAsia="等线"/>
                <w:szCs w:val="21"/>
              </w:rPr>
              <w:t>-7.2</w:t>
            </w:r>
          </w:p>
        </w:tc>
        <w:tc>
          <w:tcPr>
            <w:tcW w:w="556" w:type="dxa"/>
            <w:shd w:val="clear" w:color="auto" w:fill="auto"/>
            <w:vAlign w:val="center"/>
          </w:tcPr>
          <w:p w14:paraId="33A225E4">
            <w:pPr>
              <w:widowControl/>
              <w:jc w:val="center"/>
              <w:rPr>
                <w:rFonts w:ascii="Times New Roman" w:hAnsi="Times New Roman" w:eastAsia="等线"/>
                <w:kern w:val="0"/>
                <w:szCs w:val="21"/>
              </w:rPr>
            </w:pPr>
            <w:r>
              <w:rPr>
                <w:rFonts w:ascii="Times New Roman" w:hAnsi="Times New Roman" w:eastAsia="等线"/>
                <w:szCs w:val="21"/>
              </w:rPr>
              <w:t>1</w:t>
            </w:r>
          </w:p>
        </w:tc>
        <w:tc>
          <w:tcPr>
            <w:tcW w:w="753" w:type="dxa"/>
            <w:shd w:val="clear" w:color="auto" w:fill="auto"/>
            <w:vAlign w:val="center"/>
          </w:tcPr>
          <w:p w14:paraId="6E9458E4">
            <w:pPr>
              <w:widowControl/>
              <w:jc w:val="center"/>
              <w:rPr>
                <w:rFonts w:ascii="Times New Roman" w:hAnsi="Times New Roman" w:eastAsia="等线"/>
                <w:kern w:val="0"/>
                <w:szCs w:val="21"/>
              </w:rPr>
            </w:pPr>
            <w:r>
              <w:rPr>
                <w:rFonts w:ascii="Times New Roman" w:hAnsi="Times New Roman" w:eastAsia="等线"/>
                <w:szCs w:val="21"/>
              </w:rPr>
              <w:t>3.6</w:t>
            </w:r>
          </w:p>
        </w:tc>
        <w:tc>
          <w:tcPr>
            <w:tcW w:w="927" w:type="dxa"/>
            <w:shd w:val="clear" w:color="auto" w:fill="auto"/>
            <w:vAlign w:val="center"/>
          </w:tcPr>
          <w:p w14:paraId="4C232474">
            <w:pPr>
              <w:widowControl/>
              <w:jc w:val="center"/>
              <w:rPr>
                <w:rFonts w:ascii="Times New Roman" w:hAnsi="Times New Roman" w:eastAsia="等线"/>
                <w:kern w:val="0"/>
                <w:szCs w:val="21"/>
              </w:rPr>
            </w:pPr>
            <w:r>
              <w:rPr>
                <w:rFonts w:ascii="Times New Roman" w:hAnsi="Times New Roman" w:eastAsia="等线"/>
                <w:szCs w:val="21"/>
              </w:rPr>
              <w:t>63.9</w:t>
            </w:r>
          </w:p>
        </w:tc>
        <w:tc>
          <w:tcPr>
            <w:tcW w:w="716" w:type="dxa"/>
            <w:shd w:val="clear" w:color="auto" w:fill="auto"/>
            <w:vAlign w:val="center"/>
          </w:tcPr>
          <w:p w14:paraId="7B3A5944">
            <w:pPr>
              <w:widowControl/>
              <w:jc w:val="center"/>
              <w:rPr>
                <w:rFonts w:ascii="Times New Roman" w:hAnsi="Times New Roman"/>
                <w:kern w:val="0"/>
                <w:szCs w:val="21"/>
              </w:rPr>
            </w:pPr>
            <w:r>
              <w:rPr>
                <w:rFonts w:ascii="Times New Roman" w:hAnsi="Times New Roman"/>
                <w:kern w:val="0"/>
                <w:szCs w:val="21"/>
              </w:rPr>
              <w:t>连续</w:t>
            </w:r>
          </w:p>
        </w:tc>
        <w:tc>
          <w:tcPr>
            <w:tcW w:w="961" w:type="dxa"/>
            <w:shd w:val="clear" w:color="auto" w:fill="auto"/>
            <w:vAlign w:val="center"/>
          </w:tcPr>
          <w:p w14:paraId="087F91D3">
            <w:pPr>
              <w:widowControl/>
              <w:jc w:val="center"/>
              <w:rPr>
                <w:rFonts w:ascii="Times New Roman" w:hAnsi="Times New Roman" w:eastAsia="等线"/>
                <w:kern w:val="0"/>
                <w:szCs w:val="21"/>
              </w:rPr>
            </w:pPr>
            <w:r>
              <w:rPr>
                <w:rFonts w:ascii="Times New Roman" w:hAnsi="Times New Roman" w:eastAsia="等线"/>
                <w:kern w:val="0"/>
                <w:szCs w:val="21"/>
              </w:rPr>
              <w:t>10</w:t>
            </w:r>
          </w:p>
        </w:tc>
        <w:tc>
          <w:tcPr>
            <w:tcW w:w="927" w:type="dxa"/>
            <w:shd w:val="clear" w:color="auto" w:fill="auto"/>
            <w:vAlign w:val="center"/>
          </w:tcPr>
          <w:p w14:paraId="2109F28B">
            <w:pPr>
              <w:widowControl/>
              <w:jc w:val="center"/>
              <w:rPr>
                <w:rFonts w:ascii="Times New Roman" w:hAnsi="Times New Roman" w:eastAsia="等线"/>
                <w:kern w:val="0"/>
                <w:szCs w:val="21"/>
              </w:rPr>
            </w:pPr>
            <w:r>
              <w:rPr>
                <w:rFonts w:ascii="Times New Roman" w:hAnsi="Times New Roman" w:eastAsia="等线"/>
                <w:szCs w:val="21"/>
              </w:rPr>
              <w:t>43.9</w:t>
            </w:r>
          </w:p>
        </w:tc>
        <w:tc>
          <w:tcPr>
            <w:tcW w:w="887" w:type="dxa"/>
            <w:shd w:val="clear" w:color="auto" w:fill="auto"/>
            <w:vAlign w:val="center"/>
          </w:tcPr>
          <w:p w14:paraId="15AA7C64">
            <w:pPr>
              <w:widowControl/>
              <w:jc w:val="center"/>
              <w:rPr>
                <w:rFonts w:ascii="Times New Roman" w:hAnsi="Times New Roman" w:eastAsia="等线"/>
                <w:kern w:val="0"/>
                <w:szCs w:val="21"/>
              </w:rPr>
            </w:pPr>
            <w:r>
              <w:rPr>
                <w:rFonts w:ascii="Times New Roman" w:hAnsi="Times New Roman" w:eastAsia="等线"/>
                <w:kern w:val="0"/>
                <w:szCs w:val="21"/>
              </w:rPr>
              <w:t>1</w:t>
            </w:r>
          </w:p>
        </w:tc>
      </w:tr>
      <w:tr w14:paraId="60384D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428" w:type="dxa"/>
            <w:vMerge w:val="continue"/>
            <w:shd w:val="clear" w:color="auto" w:fill="auto"/>
            <w:vAlign w:val="center"/>
          </w:tcPr>
          <w:p w14:paraId="74CF5D2D">
            <w:pPr>
              <w:widowControl/>
              <w:jc w:val="left"/>
              <w:rPr>
                <w:rFonts w:ascii="Times New Roman" w:hAnsi="Times New Roman" w:eastAsia="等线"/>
                <w:kern w:val="0"/>
                <w:szCs w:val="21"/>
              </w:rPr>
            </w:pPr>
          </w:p>
        </w:tc>
        <w:tc>
          <w:tcPr>
            <w:tcW w:w="821" w:type="dxa"/>
            <w:vMerge w:val="continue"/>
            <w:shd w:val="clear" w:color="auto" w:fill="auto"/>
            <w:vAlign w:val="center"/>
          </w:tcPr>
          <w:p w14:paraId="523689A6">
            <w:pPr>
              <w:widowControl/>
              <w:jc w:val="left"/>
              <w:rPr>
                <w:rFonts w:ascii="Times New Roman" w:hAnsi="Times New Roman"/>
                <w:kern w:val="0"/>
                <w:szCs w:val="21"/>
              </w:rPr>
            </w:pPr>
          </w:p>
        </w:tc>
        <w:tc>
          <w:tcPr>
            <w:tcW w:w="1543" w:type="dxa"/>
            <w:shd w:val="clear" w:color="auto" w:fill="auto"/>
            <w:vAlign w:val="center"/>
          </w:tcPr>
          <w:p w14:paraId="114B7A5A">
            <w:pPr>
              <w:widowControl/>
              <w:jc w:val="center"/>
              <w:rPr>
                <w:rFonts w:ascii="Times New Roman" w:hAnsi="Times New Roman"/>
                <w:kern w:val="0"/>
                <w:szCs w:val="21"/>
              </w:rPr>
            </w:pPr>
            <w:r>
              <w:rPr>
                <w:rFonts w:ascii="Times New Roman" w:hAnsi="Times New Roman"/>
                <w:kern w:val="0"/>
                <w:szCs w:val="21"/>
              </w:rPr>
              <w:t>装载机2</w:t>
            </w:r>
          </w:p>
        </w:tc>
        <w:tc>
          <w:tcPr>
            <w:tcW w:w="1543" w:type="dxa"/>
            <w:shd w:val="clear" w:color="auto" w:fill="auto"/>
            <w:vAlign w:val="center"/>
          </w:tcPr>
          <w:p w14:paraId="17A18865">
            <w:pPr>
              <w:widowControl/>
              <w:jc w:val="center"/>
              <w:rPr>
                <w:rFonts w:ascii="Times New Roman" w:hAnsi="Times New Roman" w:eastAsia="等线"/>
                <w:kern w:val="0"/>
                <w:szCs w:val="21"/>
              </w:rPr>
            </w:pPr>
            <w:r>
              <w:rPr>
                <w:rFonts w:ascii="Times New Roman" w:hAnsi="Times New Roman" w:eastAsia="等线"/>
                <w:szCs w:val="21"/>
              </w:rPr>
              <w:t>75/1</w:t>
            </w:r>
          </w:p>
        </w:tc>
        <w:tc>
          <w:tcPr>
            <w:tcW w:w="553" w:type="dxa"/>
            <w:shd w:val="clear" w:color="auto" w:fill="auto"/>
            <w:vAlign w:val="center"/>
          </w:tcPr>
          <w:p w14:paraId="2AFA38EC">
            <w:pPr>
              <w:widowControl/>
              <w:jc w:val="center"/>
              <w:rPr>
                <w:rFonts w:ascii="Times New Roman" w:hAnsi="Times New Roman"/>
                <w:kern w:val="0"/>
                <w:szCs w:val="21"/>
              </w:rPr>
            </w:pPr>
            <w:r>
              <w:rPr>
                <w:rFonts w:ascii="Times New Roman" w:hAnsi="Times New Roman"/>
                <w:kern w:val="0"/>
                <w:szCs w:val="21"/>
              </w:rPr>
              <w:t>1</w:t>
            </w:r>
          </w:p>
        </w:tc>
        <w:tc>
          <w:tcPr>
            <w:tcW w:w="1549" w:type="dxa"/>
            <w:shd w:val="clear" w:color="auto" w:fill="auto"/>
            <w:vAlign w:val="center"/>
          </w:tcPr>
          <w:p w14:paraId="5C669258">
            <w:pPr>
              <w:widowControl/>
              <w:jc w:val="center"/>
              <w:rPr>
                <w:rFonts w:ascii="Times New Roman" w:hAnsi="Times New Roman" w:eastAsia="等线"/>
                <w:kern w:val="0"/>
                <w:szCs w:val="21"/>
              </w:rPr>
            </w:pPr>
            <w:r>
              <w:rPr>
                <w:rFonts w:ascii="Times New Roman" w:hAnsi="Times New Roman" w:eastAsia="等线"/>
                <w:kern w:val="0"/>
                <w:szCs w:val="21"/>
              </w:rPr>
              <w:t>75/1</w:t>
            </w:r>
          </w:p>
        </w:tc>
        <w:tc>
          <w:tcPr>
            <w:tcW w:w="844" w:type="dxa"/>
            <w:vMerge w:val="continue"/>
            <w:shd w:val="clear" w:color="auto" w:fill="auto"/>
            <w:vAlign w:val="center"/>
          </w:tcPr>
          <w:p w14:paraId="6609274A">
            <w:pPr>
              <w:widowControl/>
              <w:jc w:val="left"/>
              <w:rPr>
                <w:rFonts w:ascii="Times New Roman" w:hAnsi="Times New Roman"/>
                <w:kern w:val="0"/>
                <w:szCs w:val="21"/>
              </w:rPr>
            </w:pPr>
          </w:p>
        </w:tc>
        <w:tc>
          <w:tcPr>
            <w:tcW w:w="702" w:type="dxa"/>
            <w:shd w:val="clear" w:color="auto" w:fill="auto"/>
            <w:vAlign w:val="center"/>
          </w:tcPr>
          <w:p w14:paraId="08351C40">
            <w:pPr>
              <w:widowControl/>
              <w:jc w:val="center"/>
              <w:rPr>
                <w:rFonts w:ascii="Times New Roman" w:hAnsi="Times New Roman" w:eastAsia="等线"/>
                <w:kern w:val="0"/>
                <w:szCs w:val="21"/>
              </w:rPr>
            </w:pPr>
            <w:r>
              <w:rPr>
                <w:rFonts w:ascii="Times New Roman" w:hAnsi="Times New Roman" w:eastAsia="等线"/>
                <w:szCs w:val="21"/>
              </w:rPr>
              <w:t>27.3</w:t>
            </w:r>
          </w:p>
        </w:tc>
        <w:tc>
          <w:tcPr>
            <w:tcW w:w="550" w:type="dxa"/>
            <w:shd w:val="clear" w:color="auto" w:fill="auto"/>
            <w:vAlign w:val="center"/>
          </w:tcPr>
          <w:p w14:paraId="788978F8">
            <w:pPr>
              <w:widowControl/>
              <w:jc w:val="center"/>
              <w:rPr>
                <w:rFonts w:ascii="Times New Roman" w:hAnsi="Times New Roman" w:eastAsia="等线"/>
                <w:kern w:val="0"/>
                <w:szCs w:val="21"/>
              </w:rPr>
            </w:pPr>
            <w:r>
              <w:rPr>
                <w:rFonts w:ascii="Times New Roman" w:hAnsi="Times New Roman" w:eastAsia="等线"/>
                <w:szCs w:val="21"/>
              </w:rPr>
              <w:t>0</w:t>
            </w:r>
          </w:p>
        </w:tc>
        <w:tc>
          <w:tcPr>
            <w:tcW w:w="556" w:type="dxa"/>
            <w:shd w:val="clear" w:color="auto" w:fill="auto"/>
            <w:vAlign w:val="center"/>
          </w:tcPr>
          <w:p w14:paraId="4CF2CB5D">
            <w:pPr>
              <w:widowControl/>
              <w:jc w:val="center"/>
              <w:rPr>
                <w:rFonts w:ascii="Times New Roman" w:hAnsi="Times New Roman" w:eastAsia="等线"/>
                <w:kern w:val="0"/>
                <w:szCs w:val="21"/>
              </w:rPr>
            </w:pPr>
            <w:r>
              <w:rPr>
                <w:rFonts w:ascii="Times New Roman" w:hAnsi="Times New Roman" w:eastAsia="等线"/>
                <w:szCs w:val="21"/>
              </w:rPr>
              <w:t>1</w:t>
            </w:r>
          </w:p>
        </w:tc>
        <w:tc>
          <w:tcPr>
            <w:tcW w:w="753" w:type="dxa"/>
            <w:shd w:val="clear" w:color="auto" w:fill="auto"/>
            <w:vAlign w:val="center"/>
          </w:tcPr>
          <w:p w14:paraId="19707FA3">
            <w:pPr>
              <w:widowControl/>
              <w:jc w:val="center"/>
              <w:rPr>
                <w:rFonts w:ascii="Times New Roman" w:hAnsi="Times New Roman" w:eastAsia="等线"/>
                <w:kern w:val="0"/>
                <w:szCs w:val="21"/>
              </w:rPr>
            </w:pPr>
            <w:r>
              <w:rPr>
                <w:rFonts w:ascii="Times New Roman" w:hAnsi="Times New Roman" w:eastAsia="等线"/>
                <w:szCs w:val="21"/>
              </w:rPr>
              <w:t>10.8</w:t>
            </w:r>
          </w:p>
        </w:tc>
        <w:tc>
          <w:tcPr>
            <w:tcW w:w="927" w:type="dxa"/>
            <w:shd w:val="clear" w:color="auto" w:fill="auto"/>
            <w:vAlign w:val="center"/>
          </w:tcPr>
          <w:p w14:paraId="0BDD4352">
            <w:pPr>
              <w:widowControl/>
              <w:jc w:val="center"/>
              <w:rPr>
                <w:rFonts w:ascii="Times New Roman" w:hAnsi="Times New Roman" w:eastAsia="等线"/>
                <w:kern w:val="0"/>
                <w:szCs w:val="21"/>
              </w:rPr>
            </w:pPr>
            <w:r>
              <w:rPr>
                <w:rFonts w:ascii="Times New Roman" w:hAnsi="Times New Roman" w:eastAsia="等线"/>
                <w:szCs w:val="21"/>
              </w:rPr>
              <w:t>54.3</w:t>
            </w:r>
          </w:p>
        </w:tc>
        <w:tc>
          <w:tcPr>
            <w:tcW w:w="716" w:type="dxa"/>
            <w:shd w:val="clear" w:color="auto" w:fill="auto"/>
            <w:vAlign w:val="center"/>
          </w:tcPr>
          <w:p w14:paraId="426C4F9F">
            <w:pPr>
              <w:widowControl/>
              <w:jc w:val="center"/>
              <w:rPr>
                <w:rFonts w:ascii="Times New Roman" w:hAnsi="Times New Roman"/>
                <w:kern w:val="0"/>
                <w:szCs w:val="21"/>
              </w:rPr>
            </w:pPr>
            <w:r>
              <w:rPr>
                <w:rFonts w:ascii="Times New Roman" w:hAnsi="Times New Roman"/>
                <w:kern w:val="0"/>
                <w:szCs w:val="21"/>
              </w:rPr>
              <w:t>间歇</w:t>
            </w:r>
          </w:p>
        </w:tc>
        <w:tc>
          <w:tcPr>
            <w:tcW w:w="961" w:type="dxa"/>
            <w:shd w:val="clear" w:color="auto" w:fill="auto"/>
            <w:vAlign w:val="center"/>
          </w:tcPr>
          <w:p w14:paraId="50374E64">
            <w:pPr>
              <w:widowControl/>
              <w:jc w:val="center"/>
              <w:rPr>
                <w:rFonts w:ascii="Times New Roman" w:hAnsi="Times New Roman" w:eastAsia="等线"/>
                <w:kern w:val="0"/>
                <w:szCs w:val="21"/>
              </w:rPr>
            </w:pPr>
            <w:r>
              <w:rPr>
                <w:rFonts w:ascii="Times New Roman" w:hAnsi="Times New Roman" w:eastAsia="等线"/>
                <w:kern w:val="0"/>
                <w:szCs w:val="21"/>
              </w:rPr>
              <w:t>10</w:t>
            </w:r>
          </w:p>
        </w:tc>
        <w:tc>
          <w:tcPr>
            <w:tcW w:w="927" w:type="dxa"/>
            <w:shd w:val="clear" w:color="auto" w:fill="auto"/>
            <w:vAlign w:val="center"/>
          </w:tcPr>
          <w:p w14:paraId="74C7450A">
            <w:pPr>
              <w:widowControl/>
              <w:jc w:val="center"/>
              <w:rPr>
                <w:rFonts w:ascii="Times New Roman" w:hAnsi="Times New Roman" w:eastAsia="等线"/>
                <w:kern w:val="0"/>
                <w:szCs w:val="21"/>
              </w:rPr>
            </w:pPr>
            <w:r>
              <w:rPr>
                <w:rFonts w:ascii="Times New Roman" w:hAnsi="Times New Roman" w:eastAsia="等线"/>
                <w:szCs w:val="21"/>
              </w:rPr>
              <w:t>44.3</w:t>
            </w:r>
          </w:p>
        </w:tc>
        <w:tc>
          <w:tcPr>
            <w:tcW w:w="887" w:type="dxa"/>
            <w:shd w:val="clear" w:color="auto" w:fill="auto"/>
            <w:vAlign w:val="center"/>
          </w:tcPr>
          <w:p w14:paraId="1BB0945C">
            <w:pPr>
              <w:widowControl/>
              <w:jc w:val="center"/>
              <w:rPr>
                <w:rFonts w:ascii="Times New Roman" w:hAnsi="Times New Roman" w:eastAsia="等线"/>
                <w:kern w:val="0"/>
                <w:szCs w:val="21"/>
              </w:rPr>
            </w:pPr>
            <w:r>
              <w:rPr>
                <w:rFonts w:ascii="Times New Roman" w:hAnsi="Times New Roman" w:eastAsia="等线"/>
                <w:kern w:val="0"/>
                <w:szCs w:val="21"/>
              </w:rPr>
              <w:t>1</w:t>
            </w:r>
          </w:p>
        </w:tc>
      </w:tr>
      <w:tr w14:paraId="6DCD09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428" w:type="dxa"/>
            <w:vMerge w:val="continue"/>
            <w:shd w:val="clear" w:color="auto" w:fill="auto"/>
            <w:vAlign w:val="center"/>
          </w:tcPr>
          <w:p w14:paraId="6B01737F">
            <w:pPr>
              <w:widowControl/>
              <w:jc w:val="left"/>
              <w:rPr>
                <w:rFonts w:ascii="Times New Roman" w:hAnsi="Times New Roman" w:eastAsia="等线"/>
                <w:kern w:val="0"/>
                <w:szCs w:val="21"/>
              </w:rPr>
            </w:pPr>
          </w:p>
        </w:tc>
        <w:tc>
          <w:tcPr>
            <w:tcW w:w="821" w:type="dxa"/>
            <w:vMerge w:val="continue"/>
            <w:shd w:val="clear" w:color="auto" w:fill="auto"/>
            <w:vAlign w:val="center"/>
          </w:tcPr>
          <w:p w14:paraId="31B8CD18">
            <w:pPr>
              <w:widowControl/>
              <w:jc w:val="left"/>
              <w:rPr>
                <w:rFonts w:ascii="Times New Roman" w:hAnsi="Times New Roman"/>
                <w:kern w:val="0"/>
                <w:szCs w:val="21"/>
              </w:rPr>
            </w:pPr>
          </w:p>
        </w:tc>
        <w:tc>
          <w:tcPr>
            <w:tcW w:w="1543" w:type="dxa"/>
            <w:shd w:val="clear" w:color="auto" w:fill="auto"/>
            <w:vAlign w:val="center"/>
          </w:tcPr>
          <w:p w14:paraId="19A0D23C">
            <w:pPr>
              <w:widowControl/>
              <w:jc w:val="center"/>
              <w:rPr>
                <w:rFonts w:ascii="Times New Roman" w:hAnsi="Times New Roman"/>
                <w:kern w:val="0"/>
                <w:szCs w:val="21"/>
              </w:rPr>
            </w:pPr>
            <w:r>
              <w:rPr>
                <w:rFonts w:hint="eastAsia" w:ascii="Times New Roman" w:hAnsi="Times New Roman"/>
                <w:spacing w:val="-2"/>
                <w:kern w:val="0"/>
                <w:szCs w:val="21"/>
              </w:rPr>
              <w:t>2#</w:t>
            </w:r>
            <w:r>
              <w:rPr>
                <w:rFonts w:ascii="Times New Roman" w:hAnsi="Times New Roman"/>
                <w:spacing w:val="-2"/>
                <w:kern w:val="0"/>
                <w:szCs w:val="21"/>
              </w:rPr>
              <w:t>车间粉尘除尘器风机</w:t>
            </w:r>
          </w:p>
        </w:tc>
        <w:tc>
          <w:tcPr>
            <w:tcW w:w="1543" w:type="dxa"/>
            <w:shd w:val="clear" w:color="auto" w:fill="auto"/>
            <w:vAlign w:val="center"/>
          </w:tcPr>
          <w:p w14:paraId="49AE0A55">
            <w:pPr>
              <w:widowControl/>
              <w:jc w:val="center"/>
              <w:rPr>
                <w:rFonts w:ascii="Times New Roman" w:hAnsi="Times New Roman" w:eastAsia="等线"/>
                <w:szCs w:val="21"/>
              </w:rPr>
            </w:pPr>
            <w:r>
              <w:rPr>
                <w:rFonts w:ascii="Times New Roman" w:hAnsi="Times New Roman" w:eastAsia="等线"/>
                <w:szCs w:val="21"/>
              </w:rPr>
              <w:t>70/1</w:t>
            </w:r>
          </w:p>
        </w:tc>
        <w:tc>
          <w:tcPr>
            <w:tcW w:w="553" w:type="dxa"/>
            <w:shd w:val="clear" w:color="auto" w:fill="auto"/>
            <w:vAlign w:val="center"/>
          </w:tcPr>
          <w:p w14:paraId="34CF441C">
            <w:pPr>
              <w:widowControl/>
              <w:jc w:val="center"/>
              <w:rPr>
                <w:rFonts w:ascii="Times New Roman" w:hAnsi="Times New Roman"/>
                <w:kern w:val="0"/>
                <w:szCs w:val="21"/>
              </w:rPr>
            </w:pPr>
            <w:r>
              <w:rPr>
                <w:rFonts w:ascii="Times New Roman" w:hAnsi="Times New Roman"/>
                <w:kern w:val="0"/>
                <w:szCs w:val="21"/>
              </w:rPr>
              <w:t>1</w:t>
            </w:r>
          </w:p>
        </w:tc>
        <w:tc>
          <w:tcPr>
            <w:tcW w:w="1549" w:type="dxa"/>
            <w:shd w:val="clear" w:color="auto" w:fill="auto"/>
            <w:vAlign w:val="center"/>
          </w:tcPr>
          <w:p w14:paraId="0E74A8DD">
            <w:pPr>
              <w:widowControl/>
              <w:jc w:val="center"/>
              <w:rPr>
                <w:rFonts w:ascii="Times New Roman" w:hAnsi="Times New Roman" w:eastAsia="等线"/>
                <w:kern w:val="0"/>
                <w:szCs w:val="21"/>
              </w:rPr>
            </w:pPr>
            <w:r>
              <w:rPr>
                <w:rFonts w:ascii="Times New Roman" w:hAnsi="Times New Roman" w:eastAsia="等线"/>
                <w:kern w:val="0"/>
                <w:szCs w:val="21"/>
              </w:rPr>
              <w:t>70/1</w:t>
            </w:r>
          </w:p>
        </w:tc>
        <w:tc>
          <w:tcPr>
            <w:tcW w:w="844" w:type="dxa"/>
            <w:vMerge w:val="continue"/>
            <w:shd w:val="clear" w:color="auto" w:fill="auto"/>
            <w:vAlign w:val="center"/>
          </w:tcPr>
          <w:p w14:paraId="2C7ECCBA">
            <w:pPr>
              <w:widowControl/>
              <w:jc w:val="left"/>
              <w:rPr>
                <w:rFonts w:ascii="Times New Roman" w:hAnsi="Times New Roman"/>
                <w:kern w:val="0"/>
                <w:szCs w:val="21"/>
              </w:rPr>
            </w:pPr>
          </w:p>
        </w:tc>
        <w:tc>
          <w:tcPr>
            <w:tcW w:w="702" w:type="dxa"/>
            <w:shd w:val="clear" w:color="auto" w:fill="auto"/>
            <w:vAlign w:val="center"/>
          </w:tcPr>
          <w:p w14:paraId="1780B604">
            <w:pPr>
              <w:widowControl/>
              <w:jc w:val="center"/>
              <w:rPr>
                <w:rFonts w:ascii="Times New Roman" w:hAnsi="Times New Roman" w:eastAsia="等线"/>
                <w:kern w:val="0"/>
                <w:szCs w:val="21"/>
              </w:rPr>
            </w:pPr>
            <w:r>
              <w:rPr>
                <w:rFonts w:ascii="Times New Roman" w:hAnsi="Times New Roman" w:eastAsia="等线"/>
                <w:szCs w:val="21"/>
              </w:rPr>
              <w:t>15.2</w:t>
            </w:r>
          </w:p>
        </w:tc>
        <w:tc>
          <w:tcPr>
            <w:tcW w:w="550" w:type="dxa"/>
            <w:shd w:val="clear" w:color="auto" w:fill="auto"/>
            <w:vAlign w:val="center"/>
          </w:tcPr>
          <w:p w14:paraId="3FD38501">
            <w:pPr>
              <w:widowControl/>
              <w:jc w:val="center"/>
              <w:rPr>
                <w:rFonts w:ascii="Times New Roman" w:hAnsi="Times New Roman" w:eastAsia="等线"/>
                <w:kern w:val="0"/>
                <w:szCs w:val="21"/>
              </w:rPr>
            </w:pPr>
            <w:r>
              <w:rPr>
                <w:rFonts w:ascii="Times New Roman" w:hAnsi="Times New Roman" w:eastAsia="等线"/>
                <w:szCs w:val="21"/>
              </w:rPr>
              <w:t>8.8</w:t>
            </w:r>
          </w:p>
        </w:tc>
        <w:tc>
          <w:tcPr>
            <w:tcW w:w="556" w:type="dxa"/>
            <w:shd w:val="clear" w:color="auto" w:fill="auto"/>
            <w:vAlign w:val="center"/>
          </w:tcPr>
          <w:p w14:paraId="30A25121">
            <w:pPr>
              <w:widowControl/>
              <w:jc w:val="center"/>
              <w:rPr>
                <w:rFonts w:ascii="Times New Roman" w:hAnsi="Times New Roman" w:eastAsia="等线"/>
                <w:kern w:val="0"/>
                <w:szCs w:val="21"/>
              </w:rPr>
            </w:pPr>
            <w:r>
              <w:rPr>
                <w:rFonts w:ascii="Times New Roman" w:hAnsi="Times New Roman" w:eastAsia="等线"/>
                <w:szCs w:val="21"/>
              </w:rPr>
              <w:t>1</w:t>
            </w:r>
          </w:p>
        </w:tc>
        <w:tc>
          <w:tcPr>
            <w:tcW w:w="753" w:type="dxa"/>
            <w:shd w:val="clear" w:color="auto" w:fill="auto"/>
            <w:vAlign w:val="center"/>
          </w:tcPr>
          <w:p w14:paraId="5E0F29B1">
            <w:pPr>
              <w:widowControl/>
              <w:jc w:val="center"/>
              <w:rPr>
                <w:rFonts w:ascii="Times New Roman" w:hAnsi="Times New Roman" w:eastAsia="等线"/>
                <w:kern w:val="0"/>
                <w:szCs w:val="21"/>
              </w:rPr>
            </w:pPr>
            <w:r>
              <w:rPr>
                <w:rFonts w:ascii="Times New Roman" w:hAnsi="Times New Roman" w:eastAsia="等线"/>
                <w:szCs w:val="21"/>
              </w:rPr>
              <w:t>2</w:t>
            </w:r>
          </w:p>
        </w:tc>
        <w:tc>
          <w:tcPr>
            <w:tcW w:w="927" w:type="dxa"/>
            <w:shd w:val="clear" w:color="auto" w:fill="auto"/>
            <w:vAlign w:val="center"/>
          </w:tcPr>
          <w:p w14:paraId="06BF48D1">
            <w:pPr>
              <w:widowControl/>
              <w:jc w:val="center"/>
              <w:rPr>
                <w:rFonts w:ascii="Times New Roman" w:hAnsi="Times New Roman" w:eastAsia="等线"/>
                <w:kern w:val="0"/>
                <w:szCs w:val="21"/>
              </w:rPr>
            </w:pPr>
            <w:r>
              <w:rPr>
                <w:rFonts w:ascii="Times New Roman" w:hAnsi="Times New Roman" w:eastAsia="等线"/>
                <w:szCs w:val="21"/>
              </w:rPr>
              <w:t>64</w:t>
            </w:r>
            <w:r>
              <w:rPr>
                <w:rFonts w:hint="eastAsia" w:ascii="Times New Roman" w:hAnsi="Times New Roman" w:eastAsia="等线"/>
                <w:szCs w:val="21"/>
              </w:rPr>
              <w:t>.0</w:t>
            </w:r>
          </w:p>
        </w:tc>
        <w:tc>
          <w:tcPr>
            <w:tcW w:w="716" w:type="dxa"/>
            <w:shd w:val="clear" w:color="auto" w:fill="auto"/>
            <w:vAlign w:val="center"/>
          </w:tcPr>
          <w:p w14:paraId="73592169">
            <w:pPr>
              <w:widowControl/>
              <w:jc w:val="center"/>
              <w:rPr>
                <w:rFonts w:ascii="Times New Roman" w:hAnsi="Times New Roman"/>
                <w:kern w:val="0"/>
                <w:szCs w:val="21"/>
              </w:rPr>
            </w:pPr>
            <w:r>
              <w:rPr>
                <w:rFonts w:ascii="Times New Roman" w:hAnsi="Times New Roman"/>
                <w:kern w:val="0"/>
                <w:szCs w:val="21"/>
              </w:rPr>
              <w:t>连续</w:t>
            </w:r>
          </w:p>
        </w:tc>
        <w:tc>
          <w:tcPr>
            <w:tcW w:w="961" w:type="dxa"/>
            <w:shd w:val="clear" w:color="auto" w:fill="auto"/>
            <w:vAlign w:val="center"/>
          </w:tcPr>
          <w:p w14:paraId="3D63AEC8">
            <w:pPr>
              <w:widowControl/>
              <w:jc w:val="center"/>
              <w:rPr>
                <w:rFonts w:ascii="Times New Roman" w:hAnsi="Times New Roman" w:eastAsia="等线"/>
                <w:kern w:val="0"/>
                <w:szCs w:val="21"/>
              </w:rPr>
            </w:pPr>
            <w:r>
              <w:rPr>
                <w:rFonts w:ascii="Times New Roman" w:hAnsi="Times New Roman"/>
                <w:kern w:val="0"/>
                <w:szCs w:val="21"/>
              </w:rPr>
              <w:t>10</w:t>
            </w:r>
          </w:p>
        </w:tc>
        <w:tc>
          <w:tcPr>
            <w:tcW w:w="927" w:type="dxa"/>
            <w:shd w:val="clear" w:color="auto" w:fill="auto"/>
            <w:vAlign w:val="center"/>
          </w:tcPr>
          <w:p w14:paraId="34350F64">
            <w:pPr>
              <w:widowControl/>
              <w:jc w:val="center"/>
              <w:rPr>
                <w:rFonts w:ascii="Times New Roman" w:hAnsi="Times New Roman" w:eastAsia="等线"/>
                <w:kern w:val="0"/>
                <w:szCs w:val="21"/>
              </w:rPr>
            </w:pPr>
            <w:r>
              <w:rPr>
                <w:rFonts w:ascii="Times New Roman" w:hAnsi="Times New Roman" w:eastAsia="等线"/>
                <w:szCs w:val="21"/>
              </w:rPr>
              <w:t>54.0</w:t>
            </w:r>
          </w:p>
        </w:tc>
        <w:tc>
          <w:tcPr>
            <w:tcW w:w="887" w:type="dxa"/>
            <w:shd w:val="clear" w:color="auto" w:fill="auto"/>
            <w:vAlign w:val="center"/>
          </w:tcPr>
          <w:p w14:paraId="729C35E8">
            <w:pPr>
              <w:widowControl/>
              <w:jc w:val="center"/>
              <w:rPr>
                <w:rFonts w:ascii="Times New Roman" w:hAnsi="Times New Roman" w:eastAsia="等线"/>
                <w:kern w:val="0"/>
                <w:szCs w:val="21"/>
              </w:rPr>
            </w:pPr>
            <w:r>
              <w:rPr>
                <w:rFonts w:ascii="Times New Roman" w:hAnsi="Times New Roman" w:eastAsia="等线"/>
                <w:kern w:val="0"/>
                <w:szCs w:val="21"/>
              </w:rPr>
              <w:t>1</w:t>
            </w:r>
          </w:p>
        </w:tc>
      </w:tr>
    </w:tbl>
    <w:p w14:paraId="6DF370CF">
      <w:pPr>
        <w:snapToGrid w:val="0"/>
        <w:spacing w:line="360" w:lineRule="auto"/>
        <w:ind w:firstLine="472" w:firstLineChars="200"/>
        <w:rPr>
          <w:rFonts w:ascii="Times New Roman" w:hAnsi="Times New Roman"/>
          <w:spacing w:val="-2"/>
          <w:kern w:val="0"/>
          <w:sz w:val="24"/>
          <w:szCs w:val="20"/>
        </w:rPr>
      </w:pPr>
    </w:p>
    <w:p w14:paraId="2F3B9D47">
      <w:pPr>
        <w:snapToGrid w:val="0"/>
        <w:spacing w:line="360" w:lineRule="auto"/>
        <w:ind w:firstLine="472" w:firstLineChars="200"/>
        <w:rPr>
          <w:rFonts w:ascii="Times New Roman" w:hAnsi="Times New Roman"/>
          <w:spacing w:val="-2"/>
          <w:kern w:val="0"/>
          <w:sz w:val="24"/>
          <w:szCs w:val="20"/>
        </w:rPr>
      </w:pPr>
    </w:p>
    <w:p w14:paraId="1D0D6BCF">
      <w:pPr>
        <w:snapToGrid w:val="0"/>
        <w:spacing w:line="360" w:lineRule="auto"/>
        <w:ind w:firstLine="472" w:firstLineChars="200"/>
        <w:rPr>
          <w:rFonts w:ascii="Times New Roman" w:hAnsi="Times New Roman"/>
          <w:spacing w:val="-2"/>
          <w:kern w:val="0"/>
          <w:sz w:val="24"/>
          <w:szCs w:val="20"/>
        </w:rPr>
        <w:sectPr>
          <w:pgSz w:w="16838" w:h="11906" w:orient="landscape"/>
          <w:pgMar w:top="1418" w:right="1418" w:bottom="1418" w:left="1418" w:header="851" w:footer="737" w:gutter="0"/>
          <w:cols w:space="720" w:num="1"/>
          <w:docGrid w:linePitch="323" w:charSpace="0"/>
        </w:sectPr>
      </w:pPr>
    </w:p>
    <w:p w14:paraId="26EDB4D3">
      <w:pPr>
        <w:pStyle w:val="6"/>
        <w:numPr>
          <w:ilvl w:val="2"/>
          <w:numId w:val="3"/>
        </w:numPr>
      </w:pPr>
      <w:r>
        <w:t>固体废物</w:t>
      </w:r>
    </w:p>
    <w:p w14:paraId="7B5D2A36">
      <w:pPr>
        <w:pStyle w:val="7"/>
        <w:numPr>
          <w:ilvl w:val="3"/>
          <w:numId w:val="3"/>
        </w:numPr>
        <w:rPr>
          <w:u w:val="single"/>
        </w:rPr>
      </w:pPr>
      <w:r>
        <w:rPr>
          <w:rFonts w:hint="eastAsia"/>
          <w:u w:val="single"/>
        </w:rPr>
        <w:t>固体废物属性判定</w:t>
      </w:r>
    </w:p>
    <w:p w14:paraId="5F88777A">
      <w:pPr>
        <w:snapToGrid w:val="0"/>
        <w:spacing w:line="360" w:lineRule="auto"/>
        <w:ind w:firstLine="472" w:firstLineChars="200"/>
        <w:rPr>
          <w:rFonts w:ascii="Times New Roman" w:hAnsi="Times New Roman"/>
          <w:spacing w:val="-2"/>
          <w:kern w:val="0"/>
          <w:sz w:val="24"/>
          <w:szCs w:val="24"/>
          <w:u w:val="single"/>
        </w:rPr>
      </w:pPr>
      <w:r>
        <w:rPr>
          <w:rFonts w:hint="eastAsia" w:ascii="Times New Roman" w:hAnsi="Times New Roman"/>
          <w:spacing w:val="-2"/>
          <w:kern w:val="0"/>
          <w:sz w:val="24"/>
          <w:szCs w:val="24"/>
          <w:u w:val="single"/>
        </w:rPr>
        <w:t>根据《中华人民共和国固体废物污染环境防治法》、《固体废物鉴别标准 通则》（GB34330-2017），对建设项目产生的物质（除目标产物，即：产品、副产品外），依据产生来源、利用和处置过程鉴别属于固体废物并且作为固体废物管理的物质，应按照《国家危险废物名录》（2025年版）、《危险废物鉴别标准 通则》（GB5085.7）等进行属性判定。</w:t>
      </w:r>
    </w:p>
    <w:p w14:paraId="3DEBE583">
      <w:pPr>
        <w:snapToGrid w:val="0"/>
        <w:spacing w:line="360" w:lineRule="auto"/>
        <w:ind w:firstLine="472" w:firstLineChars="200"/>
        <w:rPr>
          <w:rFonts w:ascii="Times New Roman" w:hAnsi="Times New Roman"/>
          <w:spacing w:val="-2"/>
          <w:kern w:val="0"/>
          <w:sz w:val="24"/>
          <w:szCs w:val="20"/>
          <w:u w:val="single"/>
        </w:rPr>
      </w:pPr>
      <w:r>
        <w:rPr>
          <w:rFonts w:hint="eastAsia" w:ascii="Times New Roman" w:hAnsi="Times New Roman"/>
          <w:spacing w:val="-2"/>
          <w:kern w:val="0"/>
          <w:sz w:val="24"/>
          <w:szCs w:val="24"/>
          <w:u w:val="single"/>
        </w:rPr>
        <w:t>固体废物主要有一般工业固体废物、危险废物以及</w:t>
      </w:r>
      <w:r>
        <w:rPr>
          <w:rFonts w:hint="eastAsia" w:ascii="Times New Roman" w:hAnsi="Times New Roman"/>
          <w:spacing w:val="-2"/>
          <w:kern w:val="0"/>
          <w:sz w:val="24"/>
          <w:szCs w:val="24"/>
          <w:u w:val="single"/>
          <w:lang w:eastAsia="zh-CN"/>
        </w:rPr>
        <w:t>其他</w:t>
      </w:r>
      <w:r>
        <w:rPr>
          <w:rFonts w:hint="eastAsia" w:ascii="Times New Roman" w:hAnsi="Times New Roman"/>
          <w:spacing w:val="-2"/>
          <w:kern w:val="0"/>
          <w:sz w:val="24"/>
          <w:szCs w:val="24"/>
          <w:u w:val="single"/>
        </w:rPr>
        <w:t>固体废物。</w:t>
      </w:r>
      <w:r>
        <w:rPr>
          <w:rFonts w:ascii="Times New Roman" w:hAnsi="Times New Roman"/>
          <w:spacing w:val="-2"/>
          <w:kern w:val="0"/>
          <w:sz w:val="24"/>
          <w:szCs w:val="24"/>
          <w:u w:val="single"/>
        </w:rPr>
        <w:t>项目</w:t>
      </w:r>
      <w:r>
        <w:rPr>
          <w:rFonts w:ascii="Times New Roman" w:hAnsi="Times New Roman"/>
          <w:spacing w:val="-2"/>
          <w:kern w:val="0"/>
          <w:sz w:val="24"/>
          <w:szCs w:val="20"/>
          <w:u w:val="single"/>
        </w:rPr>
        <w:t>所产生的固体废物主要为烘干炉炉渣、烘干炉除尘器</w:t>
      </w:r>
      <w:r>
        <w:rPr>
          <w:rFonts w:hint="eastAsia" w:ascii="Times New Roman" w:hAnsi="Times New Roman"/>
          <w:spacing w:val="-2"/>
          <w:kern w:val="0"/>
          <w:sz w:val="24"/>
          <w:szCs w:val="20"/>
          <w:u w:val="single"/>
        </w:rPr>
        <w:t>收集的</w:t>
      </w:r>
      <w:r>
        <w:rPr>
          <w:rFonts w:ascii="Times New Roman" w:hAnsi="Times New Roman"/>
          <w:spacing w:val="-2"/>
          <w:kern w:val="0"/>
          <w:sz w:val="24"/>
          <w:szCs w:val="20"/>
          <w:u w:val="single"/>
        </w:rPr>
        <w:t>粉尘、生产车间除尘器</w:t>
      </w:r>
      <w:r>
        <w:rPr>
          <w:rFonts w:hint="eastAsia" w:ascii="Times New Roman" w:hAnsi="Times New Roman"/>
          <w:spacing w:val="-2"/>
          <w:kern w:val="0"/>
          <w:sz w:val="24"/>
          <w:szCs w:val="20"/>
          <w:u w:val="single"/>
        </w:rPr>
        <w:t>收集的</w:t>
      </w:r>
      <w:r>
        <w:rPr>
          <w:rFonts w:ascii="Times New Roman" w:hAnsi="Times New Roman"/>
          <w:spacing w:val="-2"/>
          <w:kern w:val="0"/>
          <w:sz w:val="24"/>
          <w:szCs w:val="20"/>
          <w:u w:val="single"/>
        </w:rPr>
        <w:t>粉尘、生产车间地面粉尘、生活垃圾</w:t>
      </w:r>
      <w:r>
        <w:rPr>
          <w:rFonts w:hint="eastAsia" w:ascii="Times New Roman" w:hAnsi="Times New Roman"/>
          <w:spacing w:val="-2"/>
          <w:kern w:val="0"/>
          <w:sz w:val="24"/>
          <w:szCs w:val="20"/>
          <w:u w:val="single"/>
        </w:rPr>
        <w:t>、袋式除尘系统产生的废除尘袋、设备检修时产生的废机油</w:t>
      </w:r>
      <w:r>
        <w:rPr>
          <w:rFonts w:ascii="Times New Roman" w:hAnsi="Times New Roman"/>
          <w:spacing w:val="-2"/>
          <w:kern w:val="0"/>
          <w:sz w:val="24"/>
          <w:szCs w:val="20"/>
          <w:u w:val="single"/>
        </w:rPr>
        <w:t>。</w:t>
      </w:r>
    </w:p>
    <w:p w14:paraId="7DB14EAC">
      <w:pPr>
        <w:snapToGrid w:val="0"/>
        <w:spacing w:line="360" w:lineRule="auto"/>
        <w:ind w:firstLine="472" w:firstLineChars="200"/>
        <w:rPr>
          <w:rFonts w:ascii="Times New Roman" w:hAnsi="Times New Roman"/>
          <w:spacing w:val="-2"/>
          <w:kern w:val="0"/>
          <w:sz w:val="24"/>
          <w:szCs w:val="20"/>
          <w:u w:val="single"/>
        </w:rPr>
      </w:pPr>
      <w:r>
        <w:rPr>
          <w:rFonts w:hint="eastAsia" w:ascii="Times New Roman" w:hAnsi="Times New Roman"/>
          <w:spacing w:val="-2"/>
          <w:kern w:val="0"/>
          <w:sz w:val="24"/>
          <w:szCs w:val="20"/>
          <w:u w:val="single"/>
        </w:rPr>
        <w:t>（1）烘干炉炉渣</w:t>
      </w:r>
    </w:p>
    <w:p w14:paraId="2FDD7FDA">
      <w:pPr>
        <w:snapToGrid w:val="0"/>
        <w:spacing w:line="360" w:lineRule="auto"/>
        <w:ind w:firstLine="472" w:firstLineChars="200"/>
        <w:rPr>
          <w:rFonts w:ascii="Times New Roman" w:hAnsi="Times New Roman"/>
          <w:spacing w:val="-2"/>
          <w:kern w:val="0"/>
          <w:sz w:val="24"/>
          <w:szCs w:val="20"/>
          <w:u w:val="single"/>
        </w:rPr>
      </w:pPr>
      <w:r>
        <w:rPr>
          <w:rFonts w:hint="eastAsia" w:ascii="Times New Roman" w:hAnsi="Times New Roman"/>
          <w:spacing w:val="-2"/>
          <w:kern w:val="0"/>
          <w:sz w:val="24"/>
          <w:szCs w:val="20"/>
          <w:u w:val="single"/>
        </w:rPr>
        <w:t>项目烘干炉炉渣主要成分为硅、钾、钙等氧化物，未列入《国家危险废物名录》，属于一般工业固体废物。</w:t>
      </w:r>
    </w:p>
    <w:p w14:paraId="054BFBB3">
      <w:pPr>
        <w:snapToGrid w:val="0"/>
        <w:spacing w:line="360" w:lineRule="auto"/>
        <w:ind w:firstLine="472" w:firstLineChars="200"/>
        <w:rPr>
          <w:rFonts w:ascii="Times New Roman" w:hAnsi="Times New Roman"/>
          <w:spacing w:val="-2"/>
          <w:kern w:val="0"/>
          <w:sz w:val="24"/>
          <w:szCs w:val="20"/>
          <w:u w:val="single"/>
        </w:rPr>
      </w:pPr>
      <w:r>
        <w:rPr>
          <w:rFonts w:hint="eastAsia" w:ascii="Times New Roman" w:hAnsi="Times New Roman"/>
          <w:spacing w:val="-2"/>
          <w:kern w:val="0"/>
          <w:sz w:val="24"/>
          <w:szCs w:val="20"/>
          <w:u w:val="single"/>
        </w:rPr>
        <w:t>烘干炉炉渣不涉及放射性物质。</w:t>
      </w:r>
    </w:p>
    <w:p w14:paraId="15BAC2FF">
      <w:pPr>
        <w:snapToGrid w:val="0"/>
        <w:spacing w:line="360" w:lineRule="auto"/>
        <w:ind w:firstLine="472" w:firstLineChars="200"/>
        <w:rPr>
          <w:rFonts w:ascii="Times New Roman" w:hAnsi="Times New Roman"/>
          <w:spacing w:val="-2"/>
          <w:kern w:val="0"/>
          <w:sz w:val="24"/>
          <w:szCs w:val="20"/>
          <w:u w:val="single"/>
        </w:rPr>
      </w:pPr>
      <w:r>
        <w:rPr>
          <w:rFonts w:hint="eastAsia" w:ascii="Times New Roman" w:hAnsi="Times New Roman"/>
          <w:spacing w:val="-2"/>
          <w:kern w:val="0"/>
          <w:sz w:val="24"/>
          <w:szCs w:val="20"/>
          <w:u w:val="single"/>
        </w:rPr>
        <w:t>（2）</w:t>
      </w:r>
      <w:bookmarkStart w:id="123" w:name="_Hlk193691372"/>
      <w:r>
        <w:rPr>
          <w:rFonts w:hint="eastAsia" w:ascii="Times New Roman" w:hAnsi="Times New Roman"/>
          <w:spacing w:val="-2"/>
          <w:kern w:val="0"/>
          <w:sz w:val="24"/>
          <w:szCs w:val="20"/>
          <w:u w:val="single"/>
        </w:rPr>
        <w:t>除尘系统收集粉尘</w:t>
      </w:r>
      <w:bookmarkEnd w:id="123"/>
    </w:p>
    <w:p w14:paraId="38DDED15">
      <w:pPr>
        <w:snapToGrid w:val="0"/>
        <w:spacing w:line="360" w:lineRule="auto"/>
        <w:ind w:firstLine="472" w:firstLineChars="200"/>
        <w:rPr>
          <w:rFonts w:ascii="Times New Roman" w:hAnsi="Times New Roman"/>
          <w:spacing w:val="-2"/>
          <w:kern w:val="0"/>
          <w:sz w:val="24"/>
          <w:szCs w:val="20"/>
          <w:u w:val="single"/>
        </w:rPr>
      </w:pPr>
      <w:r>
        <w:rPr>
          <w:rFonts w:hint="eastAsia" w:ascii="Times New Roman" w:hAnsi="Times New Roman"/>
          <w:spacing w:val="-2"/>
          <w:kern w:val="0"/>
          <w:sz w:val="24"/>
          <w:szCs w:val="20"/>
          <w:u w:val="single"/>
        </w:rPr>
        <w:t>项目除尘系统收集的粉尘包括烘干炉除尘器收集粉尘、生产车间除尘器收集粉尘，均未列入《国家危险废物名录》。根据项目原料毛矿的成分分析结果，几乎不含有害组分，</w:t>
      </w:r>
      <w:r>
        <w:rPr>
          <w:rFonts w:hint="eastAsia" w:ascii="Times New Roman" w:hAnsi="Times New Roman"/>
          <w:spacing w:val="-2"/>
          <w:kern w:val="0"/>
          <w:sz w:val="24"/>
          <w:szCs w:val="20"/>
          <w:u w:val="single"/>
          <w:lang w:eastAsia="zh-CN"/>
        </w:rPr>
        <w:t>吸收</w:t>
      </w:r>
      <w:r>
        <w:rPr>
          <w:rFonts w:hint="eastAsia" w:ascii="Times New Roman" w:hAnsi="Times New Roman"/>
          <w:spacing w:val="-2"/>
          <w:kern w:val="0"/>
          <w:sz w:val="24"/>
          <w:szCs w:val="20"/>
          <w:u w:val="single"/>
        </w:rPr>
        <w:t>尘灰的有害物质含量更低，属于一般工业固体废物。</w:t>
      </w:r>
    </w:p>
    <w:p w14:paraId="35DDD65A">
      <w:pPr>
        <w:snapToGrid w:val="0"/>
        <w:spacing w:line="360" w:lineRule="auto"/>
        <w:ind w:firstLine="472" w:firstLineChars="200"/>
        <w:rPr>
          <w:rFonts w:ascii="Times New Roman" w:hAnsi="Times New Roman"/>
          <w:spacing w:val="-2"/>
          <w:kern w:val="0"/>
          <w:sz w:val="24"/>
          <w:szCs w:val="20"/>
          <w:u w:val="single"/>
        </w:rPr>
      </w:pPr>
      <w:r>
        <w:rPr>
          <w:rFonts w:hint="eastAsia" w:ascii="Times New Roman" w:hAnsi="Times New Roman"/>
          <w:spacing w:val="-2"/>
          <w:kern w:val="0"/>
          <w:sz w:val="24"/>
          <w:szCs w:val="20"/>
          <w:u w:val="single"/>
        </w:rPr>
        <w:t>除尘系统收集粉尘为放射性物质，粉尘量相对于原料及产品量较少，其天然放射性核素的比活度水平较低，掺入锆中矿产品中出售，与锆中矿一并按《伴生放射性物料贮存及固体废物填埋辐射环境保护技术规范（试行）》（HJ1114-2020）管理。</w:t>
      </w:r>
    </w:p>
    <w:p w14:paraId="0EF20D52">
      <w:pPr>
        <w:snapToGrid w:val="0"/>
        <w:spacing w:line="360" w:lineRule="auto"/>
        <w:ind w:firstLine="472" w:firstLineChars="200"/>
        <w:rPr>
          <w:rFonts w:ascii="Times New Roman" w:hAnsi="Times New Roman"/>
          <w:spacing w:val="-2"/>
          <w:kern w:val="0"/>
          <w:sz w:val="24"/>
          <w:szCs w:val="20"/>
          <w:u w:val="single"/>
        </w:rPr>
      </w:pPr>
      <w:r>
        <w:rPr>
          <w:rFonts w:hint="eastAsia" w:ascii="Times New Roman" w:hAnsi="Times New Roman"/>
          <w:spacing w:val="-2"/>
          <w:kern w:val="0"/>
          <w:sz w:val="24"/>
          <w:szCs w:val="20"/>
          <w:u w:val="single"/>
        </w:rPr>
        <w:t>（3）生产车间地面沉降粉尘</w:t>
      </w:r>
    </w:p>
    <w:p w14:paraId="7386E302">
      <w:pPr>
        <w:snapToGrid w:val="0"/>
        <w:spacing w:line="360" w:lineRule="auto"/>
        <w:ind w:firstLine="472" w:firstLineChars="200"/>
        <w:rPr>
          <w:rFonts w:ascii="Times New Roman" w:hAnsi="Times New Roman"/>
          <w:spacing w:val="-2"/>
          <w:kern w:val="0"/>
          <w:sz w:val="24"/>
          <w:szCs w:val="20"/>
          <w:u w:val="single"/>
        </w:rPr>
      </w:pPr>
      <w:r>
        <w:rPr>
          <w:rFonts w:hint="eastAsia" w:ascii="Times New Roman" w:hAnsi="Times New Roman"/>
          <w:spacing w:val="-2"/>
          <w:kern w:val="0"/>
          <w:sz w:val="24"/>
          <w:szCs w:val="20"/>
          <w:u w:val="single"/>
        </w:rPr>
        <w:t>项目生产车间地面沉降粉尘，主要是项目原料扬尘，均未列入《国家危险废物名录》，属于一般工业固体废物。</w:t>
      </w:r>
    </w:p>
    <w:p w14:paraId="4B0C340F">
      <w:pPr>
        <w:snapToGrid w:val="0"/>
        <w:spacing w:line="360" w:lineRule="auto"/>
        <w:ind w:firstLine="472" w:firstLineChars="200"/>
        <w:rPr>
          <w:rFonts w:ascii="Times New Roman" w:hAnsi="Times New Roman"/>
          <w:spacing w:val="-2"/>
          <w:kern w:val="0"/>
          <w:sz w:val="24"/>
          <w:szCs w:val="20"/>
          <w:u w:val="single"/>
        </w:rPr>
      </w:pPr>
      <w:r>
        <w:rPr>
          <w:rFonts w:hint="eastAsia" w:ascii="Times New Roman" w:hAnsi="Times New Roman"/>
          <w:spacing w:val="-2"/>
          <w:kern w:val="0"/>
          <w:sz w:val="24"/>
          <w:szCs w:val="20"/>
          <w:u w:val="single"/>
        </w:rPr>
        <w:t>生产车间地面沉降粉尘为放射性物质，粉尘量相对于原料及产品量较少，其天然放射性核素的比活度水平较低，收集后放置到原料堆放区作为原料重新投入到生产线进行分选，与毛矿一并按《伴生放射性物料贮存及固体废物填埋辐射环境保护技术规范（试行）》（HJ1114-2020）管理。</w:t>
      </w:r>
    </w:p>
    <w:p w14:paraId="1EC0FC0B">
      <w:pPr>
        <w:snapToGrid w:val="0"/>
        <w:spacing w:line="360" w:lineRule="auto"/>
        <w:ind w:firstLine="472" w:firstLineChars="200"/>
        <w:rPr>
          <w:rFonts w:ascii="Times New Roman" w:hAnsi="Times New Roman"/>
          <w:spacing w:val="-2"/>
          <w:kern w:val="0"/>
          <w:sz w:val="24"/>
          <w:szCs w:val="20"/>
          <w:u w:val="single"/>
        </w:rPr>
      </w:pPr>
      <w:r>
        <w:rPr>
          <w:rFonts w:hint="eastAsia" w:ascii="Times New Roman" w:hAnsi="Times New Roman"/>
          <w:spacing w:val="-2"/>
          <w:kern w:val="0"/>
          <w:sz w:val="24"/>
          <w:szCs w:val="20"/>
          <w:u w:val="single"/>
        </w:rPr>
        <w:t>（4）除尘系统废除尘袋</w:t>
      </w:r>
    </w:p>
    <w:p w14:paraId="14805768">
      <w:pPr>
        <w:snapToGrid w:val="0"/>
        <w:spacing w:line="360" w:lineRule="auto"/>
        <w:ind w:firstLine="472" w:firstLineChars="200"/>
        <w:rPr>
          <w:rFonts w:ascii="Times New Roman" w:hAnsi="Times New Roman"/>
          <w:spacing w:val="-2"/>
          <w:kern w:val="0"/>
          <w:sz w:val="24"/>
          <w:szCs w:val="20"/>
          <w:u w:val="single"/>
        </w:rPr>
      </w:pPr>
      <w:r>
        <w:rPr>
          <w:rFonts w:hint="eastAsia" w:ascii="Times New Roman" w:hAnsi="Times New Roman"/>
          <w:spacing w:val="-2"/>
          <w:kern w:val="0"/>
          <w:sz w:val="24"/>
          <w:szCs w:val="20"/>
          <w:u w:val="single"/>
        </w:rPr>
        <w:t>项目烘干烟气、车间粉尘等3套袋式除尘系统定期更换下来的废布袋，从原料主要成分、产生环节等角度分析，本项目布袋除尘系统更换下来的废布袋沾染的主要物质为收尘粉尘。经前文分析，各环节产生的除尘系统收集粉尘属于一般固废，故本项目废布袋不属于列入《国家危险废物名录》代码为 900-041-49“含有或沾染毒性、感染性危险废物的废弃包装物、容器、过滤吸附介质”的情况，因此废布袋也属于一般工业固体废物。</w:t>
      </w:r>
    </w:p>
    <w:p w14:paraId="0A8FDB76">
      <w:pPr>
        <w:snapToGrid w:val="0"/>
        <w:spacing w:line="360" w:lineRule="auto"/>
        <w:ind w:firstLine="472" w:firstLineChars="200"/>
        <w:rPr>
          <w:rFonts w:ascii="Times New Roman" w:hAnsi="Times New Roman"/>
          <w:spacing w:val="-2"/>
          <w:kern w:val="0"/>
          <w:sz w:val="24"/>
          <w:szCs w:val="20"/>
          <w:u w:val="single"/>
        </w:rPr>
      </w:pPr>
      <w:r>
        <w:rPr>
          <w:rFonts w:hint="eastAsia" w:ascii="Times New Roman" w:hAnsi="Times New Roman"/>
          <w:spacing w:val="-2"/>
          <w:kern w:val="0"/>
          <w:sz w:val="24"/>
          <w:szCs w:val="20"/>
          <w:u w:val="single"/>
        </w:rPr>
        <w:t>除尘系统废除尘袋清出布袋内的粉尘后，仍有少量放射性物质附着在废除尘袋上，含量较少，其天然放射性核素的比活度远小于1</w:t>
      </w:r>
      <w:r>
        <w:t xml:space="preserve"> </w:t>
      </w:r>
      <w:r>
        <w:rPr>
          <w:rFonts w:ascii="Times New Roman" w:hAnsi="Times New Roman"/>
          <w:spacing w:val="-2"/>
          <w:kern w:val="0"/>
          <w:sz w:val="24"/>
          <w:szCs w:val="20"/>
          <w:u w:val="single"/>
        </w:rPr>
        <w:t>Bq/g</w:t>
      </w:r>
      <w:r>
        <w:rPr>
          <w:rFonts w:hint="eastAsia" w:ascii="Times New Roman" w:hAnsi="Times New Roman"/>
          <w:spacing w:val="-2"/>
          <w:kern w:val="0"/>
          <w:sz w:val="24"/>
          <w:szCs w:val="20"/>
          <w:u w:val="single"/>
        </w:rPr>
        <w:t>，根据《可免于辐射防护监管的物料中放射性核素活度浓度》（GB27742-2011），凡是涉及物料中的天然放射性核素的活动浓度小于表B.1所列数值（1Bq/g）的活动，通常无需进行辐射监管。</w:t>
      </w:r>
    </w:p>
    <w:p w14:paraId="0206C885">
      <w:pPr>
        <w:snapToGrid w:val="0"/>
        <w:spacing w:line="360" w:lineRule="auto"/>
        <w:ind w:firstLine="472" w:firstLineChars="200"/>
        <w:rPr>
          <w:rFonts w:ascii="Times New Roman" w:hAnsi="Times New Roman"/>
          <w:spacing w:val="-2"/>
          <w:kern w:val="0"/>
          <w:sz w:val="24"/>
          <w:szCs w:val="20"/>
          <w:u w:val="single"/>
        </w:rPr>
      </w:pPr>
      <w:r>
        <w:rPr>
          <w:rFonts w:hint="eastAsia" w:ascii="Times New Roman" w:hAnsi="Times New Roman"/>
          <w:spacing w:val="-2"/>
          <w:kern w:val="0"/>
          <w:sz w:val="24"/>
          <w:szCs w:val="20"/>
          <w:u w:val="single"/>
        </w:rPr>
        <w:t>（5）废机油</w:t>
      </w:r>
    </w:p>
    <w:p w14:paraId="083EC737">
      <w:pPr>
        <w:snapToGrid w:val="0"/>
        <w:spacing w:line="360" w:lineRule="auto"/>
        <w:ind w:firstLine="472" w:firstLineChars="200"/>
        <w:rPr>
          <w:rFonts w:ascii="Times New Roman" w:hAnsi="Times New Roman"/>
          <w:kern w:val="0"/>
          <w:sz w:val="24"/>
          <w:szCs w:val="24"/>
          <w:u w:val="single"/>
        </w:rPr>
      </w:pPr>
      <w:r>
        <w:rPr>
          <w:rFonts w:hint="eastAsia" w:ascii="Times New Roman" w:hAnsi="Times New Roman"/>
          <w:spacing w:val="-2"/>
          <w:kern w:val="0"/>
          <w:sz w:val="24"/>
          <w:szCs w:val="20"/>
          <w:u w:val="single"/>
        </w:rPr>
        <w:t>项目机械检修的废机油，根据</w:t>
      </w:r>
      <w:r>
        <w:rPr>
          <w:rFonts w:hint="eastAsia" w:ascii="Times New Roman" w:hAnsi="Times New Roman"/>
          <w:spacing w:val="-2"/>
          <w:kern w:val="0"/>
          <w:sz w:val="24"/>
          <w:szCs w:val="24"/>
          <w:u w:val="single"/>
        </w:rPr>
        <w:t>《国家危险废物名录》</w:t>
      </w:r>
      <w:r>
        <w:rPr>
          <w:rFonts w:hint="eastAsia" w:ascii="Times New Roman" w:hAnsi="Times New Roman"/>
          <w:spacing w:val="-2"/>
          <w:kern w:val="0"/>
          <w:sz w:val="24"/>
          <w:szCs w:val="20"/>
          <w:u w:val="single"/>
        </w:rPr>
        <w:t>废机油属于危险废物，危险废物代码HW08（900-214-08）。</w:t>
      </w:r>
    </w:p>
    <w:p w14:paraId="6B6D442C">
      <w:pPr>
        <w:pStyle w:val="7"/>
        <w:numPr>
          <w:ilvl w:val="3"/>
          <w:numId w:val="3"/>
        </w:numPr>
      </w:pPr>
      <w:r>
        <w:t>烘干炉炉渣</w:t>
      </w:r>
    </w:p>
    <w:p w14:paraId="59DD38DB">
      <w:pPr>
        <w:widowControl/>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项目烘干炉采用</w:t>
      </w:r>
      <w:r>
        <w:rPr>
          <w:rFonts w:hint="eastAsia" w:ascii="Times New Roman" w:hAnsi="Times New Roman"/>
          <w:spacing w:val="-2"/>
          <w:kern w:val="0"/>
          <w:sz w:val="24"/>
          <w:szCs w:val="24"/>
        </w:rPr>
        <w:t>成型</w:t>
      </w:r>
      <w:r>
        <w:rPr>
          <w:rFonts w:ascii="Times New Roman" w:hAnsi="Times New Roman"/>
          <w:spacing w:val="-2"/>
          <w:kern w:val="0"/>
          <w:sz w:val="24"/>
          <w:szCs w:val="24"/>
        </w:rPr>
        <w:t>生物质颗粒燃料，产生</w:t>
      </w:r>
      <w:r>
        <w:rPr>
          <w:rFonts w:hint="eastAsia" w:ascii="Times New Roman" w:hAnsi="Times New Roman"/>
          <w:spacing w:val="-2"/>
          <w:kern w:val="0"/>
          <w:sz w:val="24"/>
          <w:szCs w:val="24"/>
        </w:rPr>
        <w:t>一定</w:t>
      </w:r>
      <w:r>
        <w:rPr>
          <w:rFonts w:ascii="Times New Roman" w:hAnsi="Times New Roman"/>
          <w:spacing w:val="-2"/>
          <w:kern w:val="0"/>
          <w:sz w:val="24"/>
          <w:szCs w:val="24"/>
        </w:rPr>
        <w:t>量</w:t>
      </w:r>
      <w:r>
        <w:rPr>
          <w:rFonts w:hint="eastAsia" w:ascii="Times New Roman" w:hAnsi="Times New Roman"/>
          <w:spacing w:val="-2"/>
          <w:kern w:val="0"/>
          <w:sz w:val="24"/>
          <w:szCs w:val="24"/>
        </w:rPr>
        <w:t>的</w:t>
      </w:r>
      <w:r>
        <w:rPr>
          <w:rFonts w:ascii="Times New Roman" w:hAnsi="Times New Roman"/>
          <w:spacing w:val="-2"/>
          <w:kern w:val="0"/>
          <w:sz w:val="24"/>
          <w:szCs w:val="24"/>
        </w:rPr>
        <w:t>炉渣，项目炉渣参照《污染源源强核算技术指南 锅炉》（HJ991-2018）中的8.1固体废物源强核算的物料衡算法公式进行估算，计算公式如下：</w:t>
      </w:r>
    </w:p>
    <w:p w14:paraId="16DB008E">
      <w:pPr>
        <w:spacing w:line="360" w:lineRule="auto"/>
        <w:ind w:firstLine="480" w:firstLineChars="200"/>
        <w:rPr>
          <w:rFonts w:ascii="Times New Roman" w:hAnsi="Times New Roman"/>
          <w:bCs/>
          <w:sz w:val="24"/>
        </w:rPr>
      </w:pPr>
      <m:oMathPara>
        <m:oMath>
          <m:sSub>
            <m:sSubPr>
              <m:ctrlPr>
                <w:rPr>
                  <w:rFonts w:ascii="Cambria Math" w:hAnsi="Cambria Math"/>
                  <w:bCs/>
                  <w:sz w:val="24"/>
                </w:rPr>
              </m:ctrlPr>
            </m:sSubPr>
            <m:e>
              <m:r>
                <m:rPr/>
                <w:rPr>
                  <w:rFonts w:ascii="Cambria Math" w:hAnsi="Cambria Math"/>
                  <w:sz w:val="24"/>
                </w:rPr>
                <m:t>E</m:t>
              </m:r>
              <m:ctrlPr>
                <w:rPr>
                  <w:rFonts w:ascii="Cambria Math" w:hAnsi="Cambria Math"/>
                  <w:bCs/>
                  <w:sz w:val="24"/>
                </w:rPr>
              </m:ctrlPr>
            </m:e>
            <m:sub>
              <m:r>
                <m:rPr/>
                <w:rPr>
                  <w:rFonts w:ascii="Cambria Math" w:hAnsi="Cambria Math" w:eastAsia="MS Gothic"/>
                  <w:sz w:val="24"/>
                </w:rPr>
                <m:t>ℎ</m:t>
              </m:r>
              <m:r>
                <m:rPr/>
                <w:rPr>
                  <w:rFonts w:ascii="Cambria Math" w:hAnsi="Cambria Math"/>
                  <w:sz w:val="24"/>
                </w:rPr>
                <m:t>Z</m:t>
              </m:r>
              <m:ctrlPr>
                <w:rPr>
                  <w:rFonts w:ascii="Cambria Math" w:hAnsi="Cambria Math"/>
                  <w:bCs/>
                  <w:sz w:val="24"/>
                </w:rPr>
              </m:ctrlPr>
            </m:sub>
          </m:sSub>
          <m:r>
            <m:rPr/>
            <w:rPr>
              <w:rFonts w:ascii="Cambria Math" w:hAnsi="Cambria Math"/>
              <w:sz w:val="24"/>
            </w:rPr>
            <m:t>=R×</m:t>
          </m:r>
          <m:d>
            <m:dPr>
              <m:ctrlPr>
                <w:rPr>
                  <w:rFonts w:ascii="Cambria Math" w:hAnsi="Cambria Math"/>
                  <w:bCs/>
                  <w:i/>
                  <w:sz w:val="24"/>
                </w:rPr>
              </m:ctrlPr>
            </m:dPr>
            <m:e>
              <m:f>
                <m:fPr>
                  <m:ctrlPr>
                    <w:rPr>
                      <w:rFonts w:ascii="Cambria Math" w:hAnsi="Cambria Math"/>
                      <w:bCs/>
                      <w:i/>
                      <w:sz w:val="24"/>
                    </w:rPr>
                  </m:ctrlPr>
                </m:fPr>
                <m:num>
                  <m:sSub>
                    <m:sSubPr>
                      <m:ctrlPr>
                        <w:rPr>
                          <w:rFonts w:ascii="Cambria Math" w:hAnsi="Cambria Math"/>
                          <w:bCs/>
                          <w:i/>
                          <w:sz w:val="24"/>
                        </w:rPr>
                      </m:ctrlPr>
                    </m:sSubPr>
                    <m:e>
                      <m:r>
                        <m:rPr/>
                        <w:rPr>
                          <w:rFonts w:ascii="Cambria Math" w:hAnsi="Cambria Math"/>
                          <w:sz w:val="24"/>
                        </w:rPr>
                        <m:t>A</m:t>
                      </m:r>
                      <m:ctrlPr>
                        <w:rPr>
                          <w:rFonts w:ascii="Cambria Math" w:hAnsi="Cambria Math"/>
                          <w:bCs/>
                          <w:i/>
                          <w:sz w:val="24"/>
                        </w:rPr>
                      </m:ctrlPr>
                    </m:e>
                    <m:sub>
                      <m:r>
                        <m:rPr/>
                        <w:rPr>
                          <w:rFonts w:ascii="Cambria Math" w:hAnsi="Cambria Math"/>
                          <w:sz w:val="24"/>
                        </w:rPr>
                        <m:t>ar</m:t>
                      </m:r>
                      <m:ctrlPr>
                        <w:rPr>
                          <w:rFonts w:ascii="Cambria Math" w:hAnsi="Cambria Math"/>
                          <w:bCs/>
                          <w:i/>
                          <w:sz w:val="24"/>
                        </w:rPr>
                      </m:ctrlPr>
                    </m:sub>
                  </m:sSub>
                  <m:ctrlPr>
                    <w:rPr>
                      <w:rFonts w:ascii="Cambria Math" w:hAnsi="Cambria Math"/>
                      <w:bCs/>
                      <w:i/>
                      <w:sz w:val="24"/>
                    </w:rPr>
                  </m:ctrlPr>
                </m:num>
                <m:den>
                  <m:r>
                    <m:rPr/>
                    <w:rPr>
                      <w:rFonts w:ascii="Cambria Math" w:hAnsi="Cambria Math"/>
                      <w:sz w:val="24"/>
                    </w:rPr>
                    <m:t>100</m:t>
                  </m:r>
                  <m:ctrlPr>
                    <w:rPr>
                      <w:rFonts w:ascii="Cambria Math" w:hAnsi="Cambria Math"/>
                      <w:bCs/>
                      <w:i/>
                      <w:sz w:val="24"/>
                    </w:rPr>
                  </m:ctrlPr>
                </m:den>
              </m:f>
              <m:r>
                <m:rPr/>
                <w:rPr>
                  <w:rFonts w:ascii="Cambria Math" w:hAnsi="Cambria Math"/>
                  <w:sz w:val="24"/>
                </w:rPr>
                <m:t>+</m:t>
              </m:r>
              <m:f>
                <m:fPr>
                  <m:ctrlPr>
                    <w:rPr>
                      <w:rFonts w:ascii="Cambria Math" w:hAnsi="Cambria Math"/>
                      <w:bCs/>
                      <w:i/>
                      <w:sz w:val="24"/>
                    </w:rPr>
                  </m:ctrlPr>
                </m:fPr>
                <m:num>
                  <m:sSub>
                    <m:sSubPr>
                      <m:ctrlPr>
                        <w:rPr>
                          <w:rFonts w:ascii="Cambria Math" w:hAnsi="Cambria Math"/>
                          <w:bCs/>
                          <w:i/>
                          <w:sz w:val="24"/>
                        </w:rPr>
                      </m:ctrlPr>
                    </m:sSubPr>
                    <m:e>
                      <m:r>
                        <m:rPr/>
                        <w:rPr>
                          <w:rFonts w:ascii="Cambria Math" w:hAnsi="Cambria Math"/>
                          <w:sz w:val="24"/>
                        </w:rPr>
                        <m:t>q</m:t>
                      </m:r>
                      <m:ctrlPr>
                        <w:rPr>
                          <w:rFonts w:ascii="Cambria Math" w:hAnsi="Cambria Math"/>
                          <w:bCs/>
                          <w:i/>
                          <w:sz w:val="24"/>
                        </w:rPr>
                      </m:ctrlPr>
                    </m:e>
                    <m:sub>
                      <m:r>
                        <m:rPr/>
                        <w:rPr>
                          <w:rFonts w:ascii="Cambria Math" w:hAnsi="Cambria Math"/>
                          <w:sz w:val="24"/>
                        </w:rPr>
                        <m:t>4</m:t>
                      </m:r>
                      <m:ctrlPr>
                        <w:rPr>
                          <w:rFonts w:ascii="Cambria Math" w:hAnsi="Cambria Math"/>
                          <w:bCs/>
                          <w:i/>
                          <w:sz w:val="24"/>
                        </w:rPr>
                      </m:ctrlPr>
                    </m:sub>
                  </m:sSub>
                  <m:r>
                    <m:rPr/>
                    <w:rPr>
                      <w:rFonts w:ascii="Cambria Math" w:hAnsi="Cambria Math"/>
                      <w:sz w:val="24"/>
                    </w:rPr>
                    <m:t>×</m:t>
                  </m:r>
                  <m:sSub>
                    <m:sSubPr>
                      <m:ctrlPr>
                        <w:rPr>
                          <w:rFonts w:ascii="Cambria Math" w:hAnsi="Cambria Math"/>
                          <w:bCs/>
                          <w:i/>
                          <w:sz w:val="24"/>
                        </w:rPr>
                      </m:ctrlPr>
                    </m:sSubPr>
                    <m:e>
                      <m:r>
                        <m:rPr/>
                        <w:rPr>
                          <w:rFonts w:ascii="Cambria Math" w:hAnsi="Cambria Math"/>
                          <w:sz w:val="24"/>
                        </w:rPr>
                        <m:t>Q</m:t>
                      </m:r>
                      <m:ctrlPr>
                        <w:rPr>
                          <w:rFonts w:ascii="Cambria Math" w:hAnsi="Cambria Math"/>
                          <w:bCs/>
                          <w:i/>
                          <w:sz w:val="24"/>
                        </w:rPr>
                      </m:ctrlPr>
                    </m:e>
                    <m:sub>
                      <m:r>
                        <m:rPr/>
                        <w:rPr>
                          <w:rFonts w:ascii="Cambria Math" w:hAnsi="Cambria Math"/>
                          <w:sz w:val="24"/>
                        </w:rPr>
                        <m:t>net,ar</m:t>
                      </m:r>
                      <m:ctrlPr>
                        <w:rPr>
                          <w:rFonts w:ascii="Cambria Math" w:hAnsi="Cambria Math"/>
                          <w:bCs/>
                          <w:i/>
                          <w:sz w:val="24"/>
                        </w:rPr>
                      </m:ctrlPr>
                    </m:sub>
                  </m:sSub>
                  <m:ctrlPr>
                    <w:rPr>
                      <w:rFonts w:ascii="Cambria Math" w:hAnsi="Cambria Math"/>
                      <w:bCs/>
                      <w:i/>
                      <w:sz w:val="24"/>
                    </w:rPr>
                  </m:ctrlPr>
                </m:num>
                <m:den>
                  <m:r>
                    <m:rPr/>
                    <w:rPr>
                      <w:rFonts w:ascii="Cambria Math" w:hAnsi="Cambria Math"/>
                      <w:sz w:val="24"/>
                    </w:rPr>
                    <m:t>100×33870</m:t>
                  </m:r>
                  <m:ctrlPr>
                    <w:rPr>
                      <w:rFonts w:ascii="Cambria Math" w:hAnsi="Cambria Math"/>
                      <w:bCs/>
                      <w:i/>
                      <w:sz w:val="24"/>
                    </w:rPr>
                  </m:ctrlPr>
                </m:den>
              </m:f>
              <m:ctrlPr>
                <w:rPr>
                  <w:rFonts w:ascii="Cambria Math" w:hAnsi="Cambria Math"/>
                  <w:bCs/>
                  <w:i/>
                  <w:sz w:val="24"/>
                </w:rPr>
              </m:ctrlPr>
            </m:e>
          </m:d>
        </m:oMath>
      </m:oMathPara>
    </w:p>
    <w:p w14:paraId="6AB0F6A3">
      <w:pPr>
        <w:spacing w:line="360" w:lineRule="auto"/>
        <w:ind w:firstLine="480" w:firstLineChars="200"/>
        <w:rPr>
          <w:rFonts w:ascii="Times New Roman" w:hAnsi="Times New Roman"/>
          <w:bCs/>
          <w:sz w:val="24"/>
        </w:rPr>
      </w:pPr>
      <w:r>
        <w:rPr>
          <w:rFonts w:ascii="Times New Roman" w:hAnsi="Times New Roman"/>
          <w:bCs/>
          <w:sz w:val="24"/>
        </w:rPr>
        <w:t>式中：</w:t>
      </w:r>
    </w:p>
    <w:p w14:paraId="21F2CE1E">
      <w:pPr>
        <w:spacing w:line="360" w:lineRule="auto"/>
        <w:ind w:firstLine="480" w:firstLineChars="200"/>
        <w:rPr>
          <w:rFonts w:ascii="Times New Roman" w:hAnsi="Times New Roman"/>
          <w:bCs/>
          <w:sz w:val="24"/>
        </w:rPr>
      </w:pPr>
      <w:r>
        <w:rPr>
          <w:rFonts w:ascii="Times New Roman" w:hAnsi="Times New Roman"/>
          <w:bCs/>
          <w:sz w:val="24"/>
        </w:rPr>
        <w:t>E</w:t>
      </w:r>
      <w:r>
        <w:rPr>
          <w:rFonts w:ascii="Times New Roman" w:hAnsi="Times New Roman"/>
          <w:bCs/>
          <w:sz w:val="24"/>
          <w:vertAlign w:val="subscript"/>
        </w:rPr>
        <w:t>hZ</w:t>
      </w:r>
      <w:r>
        <w:rPr>
          <w:rFonts w:ascii="Times New Roman" w:hAnsi="Times New Roman"/>
          <w:bCs/>
          <w:sz w:val="24"/>
        </w:rPr>
        <w:t>——核算时段内灰渣产生量，t；</w:t>
      </w:r>
    </w:p>
    <w:p w14:paraId="7ADA14E2">
      <w:pPr>
        <w:spacing w:line="360" w:lineRule="auto"/>
        <w:ind w:firstLine="480" w:firstLineChars="200"/>
        <w:rPr>
          <w:rFonts w:ascii="Times New Roman" w:hAnsi="Times New Roman"/>
          <w:bCs/>
          <w:sz w:val="24"/>
        </w:rPr>
      </w:pPr>
      <w:r>
        <w:rPr>
          <w:rFonts w:ascii="Times New Roman" w:hAnsi="Times New Roman"/>
          <w:bCs/>
          <w:sz w:val="24"/>
        </w:rPr>
        <w:t>R——核算时段内锅炉燃料耗量，t；</w:t>
      </w:r>
      <w:r>
        <w:rPr>
          <w:rFonts w:ascii="Times New Roman" w:hAnsi="Times New Roman"/>
          <w:bCs/>
          <w:sz w:val="24"/>
          <w:u w:val="single"/>
        </w:rPr>
        <w:t>本项目生物质燃料年用量</w:t>
      </w:r>
      <w:r>
        <w:rPr>
          <w:rFonts w:hint="eastAsia" w:ascii="Times New Roman" w:hAnsi="Times New Roman"/>
          <w:bCs/>
          <w:sz w:val="24"/>
          <w:u w:val="single"/>
        </w:rPr>
        <w:t>613.42</w:t>
      </w:r>
      <w:r>
        <w:rPr>
          <w:rFonts w:ascii="Times New Roman" w:hAnsi="Times New Roman"/>
          <w:bCs/>
          <w:sz w:val="24"/>
          <w:u w:val="single"/>
        </w:rPr>
        <w:t>t。</w:t>
      </w:r>
    </w:p>
    <w:p w14:paraId="1B6026F4">
      <w:pPr>
        <w:spacing w:line="360" w:lineRule="auto"/>
        <w:ind w:firstLine="480" w:firstLineChars="200"/>
        <w:rPr>
          <w:rFonts w:ascii="Times New Roman" w:hAnsi="Times New Roman"/>
          <w:bCs/>
          <w:sz w:val="24"/>
        </w:rPr>
      </w:pPr>
      <w:r>
        <w:rPr>
          <w:rFonts w:ascii="Times New Roman" w:hAnsi="Times New Roman"/>
          <w:bCs/>
          <w:sz w:val="24"/>
        </w:rPr>
        <w:t>A</w:t>
      </w:r>
      <w:r>
        <w:rPr>
          <w:rFonts w:ascii="Times New Roman" w:hAnsi="Times New Roman"/>
          <w:bCs/>
          <w:sz w:val="24"/>
          <w:vertAlign w:val="subscript"/>
        </w:rPr>
        <w:t>ar</w:t>
      </w:r>
      <w:r>
        <w:rPr>
          <w:rFonts w:ascii="Times New Roman" w:hAnsi="Times New Roman"/>
          <w:bCs/>
          <w:sz w:val="24"/>
        </w:rPr>
        <w:t>——收到基灰分的质量分数，%；生物质燃料取</w:t>
      </w:r>
      <w:r>
        <w:rPr>
          <w:rFonts w:hint="eastAsia" w:ascii="Times New Roman" w:hAnsi="Times New Roman"/>
          <w:bCs/>
          <w:sz w:val="24"/>
        </w:rPr>
        <w:t>6.0</w:t>
      </w:r>
      <w:r>
        <w:rPr>
          <w:rFonts w:ascii="Times New Roman" w:hAnsi="Times New Roman"/>
          <w:bCs/>
          <w:sz w:val="24"/>
        </w:rPr>
        <w:t>。</w:t>
      </w:r>
    </w:p>
    <w:p w14:paraId="52C31410">
      <w:pPr>
        <w:spacing w:line="360" w:lineRule="auto"/>
        <w:ind w:firstLine="480" w:firstLineChars="200"/>
        <w:rPr>
          <w:rFonts w:ascii="Times New Roman" w:hAnsi="Times New Roman"/>
          <w:bCs/>
          <w:sz w:val="24"/>
        </w:rPr>
      </w:pPr>
      <w:r>
        <w:rPr>
          <w:rFonts w:ascii="Times New Roman" w:hAnsi="Times New Roman"/>
          <w:bCs/>
          <w:sz w:val="24"/>
        </w:rPr>
        <w:t>q</w:t>
      </w:r>
      <w:r>
        <w:rPr>
          <w:rFonts w:ascii="Times New Roman" w:hAnsi="Times New Roman"/>
          <w:bCs/>
          <w:sz w:val="24"/>
          <w:vertAlign w:val="subscript"/>
        </w:rPr>
        <w:t>4</w:t>
      </w:r>
      <w:r>
        <w:rPr>
          <w:rFonts w:ascii="Times New Roman" w:hAnsi="Times New Roman"/>
          <w:bCs/>
          <w:sz w:val="24"/>
        </w:rPr>
        <w:t>——锅炉机械不完全燃烧热损失，%；按10计算；</w:t>
      </w:r>
    </w:p>
    <w:p w14:paraId="20E59736">
      <w:pPr>
        <w:spacing w:line="360" w:lineRule="auto"/>
        <w:ind w:firstLine="480" w:firstLineChars="200"/>
        <w:rPr>
          <w:rFonts w:ascii="Times New Roman" w:hAnsi="Times New Roman"/>
          <w:bCs/>
          <w:sz w:val="24"/>
        </w:rPr>
      </w:pPr>
      <w:r>
        <w:rPr>
          <w:rFonts w:ascii="Times New Roman" w:hAnsi="Times New Roman"/>
          <w:bCs/>
          <w:sz w:val="24"/>
        </w:rPr>
        <w:t>Q</w:t>
      </w:r>
      <w:r>
        <w:rPr>
          <w:rFonts w:ascii="Times New Roman" w:hAnsi="Times New Roman"/>
          <w:bCs/>
          <w:sz w:val="24"/>
          <w:vertAlign w:val="subscript"/>
        </w:rPr>
        <w:t>net，ar</w:t>
      </w:r>
      <w:r>
        <w:rPr>
          <w:rFonts w:ascii="Times New Roman" w:hAnsi="Times New Roman"/>
          <w:bCs/>
          <w:sz w:val="24"/>
        </w:rPr>
        <w:t>——燃料收到基低位发热量，kJ/kg</w:t>
      </w:r>
      <w:bookmarkStart w:id="124" w:name="OLE_LINK15"/>
      <w:r>
        <w:rPr>
          <w:rFonts w:ascii="Times New Roman" w:hAnsi="Times New Roman"/>
          <w:bCs/>
          <w:sz w:val="24"/>
        </w:rPr>
        <w:t>；生物质燃料</w:t>
      </w:r>
      <w:r>
        <w:rPr>
          <w:rFonts w:hint="eastAsia" w:ascii="Times New Roman" w:hAnsi="Times New Roman"/>
          <w:bCs/>
          <w:sz w:val="24"/>
        </w:rPr>
        <w:t>取14600</w:t>
      </w:r>
      <w:r>
        <w:rPr>
          <w:rFonts w:ascii="Times New Roman" w:hAnsi="Times New Roman"/>
          <w:bCs/>
          <w:sz w:val="24"/>
        </w:rPr>
        <w:t>kJ/kg</w:t>
      </w:r>
      <w:bookmarkEnd w:id="124"/>
      <w:r>
        <w:rPr>
          <w:rFonts w:ascii="Times New Roman" w:hAnsi="Times New Roman"/>
          <w:bCs/>
          <w:sz w:val="24"/>
        </w:rPr>
        <w:t>。</w:t>
      </w:r>
    </w:p>
    <w:p w14:paraId="22E6AD96">
      <w:pPr>
        <w:widowControl/>
        <w:spacing w:line="360" w:lineRule="auto"/>
        <w:ind w:firstLine="480" w:firstLineChars="200"/>
        <w:rPr>
          <w:rFonts w:ascii="Times New Roman" w:hAnsi="Times New Roman"/>
          <w:spacing w:val="-2"/>
          <w:kern w:val="0"/>
          <w:sz w:val="24"/>
        </w:rPr>
      </w:pPr>
      <w:r>
        <w:rPr>
          <w:rFonts w:ascii="Times New Roman" w:hAnsi="Times New Roman"/>
          <w:sz w:val="24"/>
        </w:rPr>
        <w:t>参考《污染源源强核算技术指南 锅炉》（HJ991-2018）物料衡算公式估算结果，</w:t>
      </w:r>
      <w:r>
        <w:rPr>
          <w:rFonts w:ascii="Times New Roman" w:hAnsi="Times New Roman"/>
          <w:sz w:val="24"/>
          <w:u w:val="single"/>
        </w:rPr>
        <w:t>项目灰渣产生量约为</w:t>
      </w:r>
      <w:r>
        <w:rPr>
          <w:rFonts w:hint="eastAsia" w:ascii="Times New Roman" w:hAnsi="Times New Roman"/>
          <w:spacing w:val="-2"/>
          <w:kern w:val="0"/>
          <w:sz w:val="24"/>
          <w:szCs w:val="24"/>
          <w:u w:val="single"/>
        </w:rPr>
        <w:t>63.2473</w:t>
      </w:r>
      <w:r>
        <w:rPr>
          <w:rFonts w:ascii="Times New Roman" w:hAnsi="Times New Roman"/>
          <w:spacing w:val="-2"/>
          <w:kern w:val="0"/>
          <w:sz w:val="24"/>
          <w:szCs w:val="24"/>
          <w:u w:val="single"/>
        </w:rPr>
        <w:t>t/a，</w:t>
      </w:r>
      <w:r>
        <w:rPr>
          <w:rFonts w:ascii="Times New Roman" w:hAnsi="Times New Roman"/>
          <w:spacing w:val="-2"/>
          <w:kern w:val="0"/>
          <w:sz w:val="24"/>
        </w:rPr>
        <w:t>生物质颗粒燃烧后产生的灰渣主要成分为硅、钾、钙等氧化物。这些氧化物在燃烧过程中不易分解，因此成为灰渣的主要成分，此外，灰渣中还含有一定量的未燃尽的碳和有机物，这些有机物在燃烧过程中未完全氧化，因此残留在灰渣中，灰渣不含重金属等有害成分。灰渣经人工采用编织袋袋装收集后，暂存于车间内的灰渣临时堆放点，</w:t>
      </w:r>
      <w:r>
        <w:rPr>
          <w:rFonts w:hint="eastAsia" w:ascii="Times New Roman" w:hAnsi="Times New Roman"/>
          <w:spacing w:val="-2"/>
          <w:kern w:val="0"/>
          <w:sz w:val="24"/>
        </w:rPr>
        <w:t>作为有机肥原料</w:t>
      </w:r>
      <w:r>
        <w:rPr>
          <w:rFonts w:ascii="Times New Roman" w:hAnsi="Times New Roman"/>
          <w:spacing w:val="-2"/>
          <w:kern w:val="0"/>
          <w:sz w:val="24"/>
        </w:rPr>
        <w:t>定期</w:t>
      </w:r>
      <w:r>
        <w:rPr>
          <w:rFonts w:hint="eastAsia" w:ascii="Times New Roman" w:hAnsi="Times New Roman"/>
          <w:spacing w:val="-2"/>
          <w:kern w:val="0"/>
          <w:sz w:val="24"/>
        </w:rPr>
        <w:t>外售</w:t>
      </w:r>
      <w:r>
        <w:rPr>
          <w:rFonts w:ascii="Times New Roman" w:hAnsi="Times New Roman"/>
          <w:spacing w:val="-2"/>
          <w:kern w:val="0"/>
          <w:sz w:val="24"/>
        </w:rPr>
        <w:t>给</w:t>
      </w:r>
      <w:r>
        <w:rPr>
          <w:rFonts w:hint="eastAsia" w:ascii="Times New Roman" w:hAnsi="Times New Roman"/>
          <w:spacing w:val="-2"/>
          <w:kern w:val="0"/>
          <w:sz w:val="24"/>
        </w:rPr>
        <w:t>有机肥生产企业</w:t>
      </w:r>
      <w:r>
        <w:rPr>
          <w:rFonts w:ascii="Times New Roman" w:hAnsi="Times New Roman"/>
          <w:spacing w:val="-2"/>
          <w:kern w:val="0"/>
          <w:sz w:val="24"/>
        </w:rPr>
        <w:t>。</w:t>
      </w:r>
    </w:p>
    <w:p w14:paraId="069E2B76">
      <w:pPr>
        <w:pStyle w:val="7"/>
        <w:numPr>
          <w:ilvl w:val="3"/>
          <w:numId w:val="3"/>
        </w:numPr>
      </w:pPr>
      <w:r>
        <w:t>烘干炉除尘器收集粉尘</w:t>
      </w:r>
    </w:p>
    <w:p w14:paraId="7CF60AC8">
      <w:pPr>
        <w:widowControl/>
        <w:spacing w:line="360" w:lineRule="auto"/>
        <w:ind w:firstLine="472" w:firstLineChars="200"/>
        <w:rPr>
          <w:rFonts w:ascii="Times New Roman" w:hAnsi="Times New Roman"/>
          <w:spacing w:val="-2"/>
          <w:kern w:val="0"/>
          <w:sz w:val="24"/>
          <w:szCs w:val="24"/>
          <w:u w:val="single"/>
        </w:rPr>
      </w:pPr>
      <w:r>
        <w:rPr>
          <w:rFonts w:ascii="Times New Roman" w:hAnsi="Times New Roman"/>
          <w:spacing w:val="-2"/>
          <w:kern w:val="0"/>
          <w:sz w:val="24"/>
          <w:szCs w:val="24"/>
        </w:rPr>
        <w:t>项目烘干炉配套袋式除尘系统，根据烘干炉废气颗粒物产生量及袋式除尘器的颗粒物去除率，</w:t>
      </w:r>
      <w:r>
        <w:rPr>
          <w:rFonts w:ascii="Times New Roman" w:hAnsi="Times New Roman"/>
          <w:spacing w:val="-2"/>
          <w:kern w:val="0"/>
          <w:sz w:val="24"/>
          <w:szCs w:val="24"/>
          <w:u w:val="single"/>
        </w:rPr>
        <w:t>烘干炉袋式除尘器在烘干炉废气中截留收集的粉尘量约为</w:t>
      </w:r>
      <w:r>
        <w:rPr>
          <w:rFonts w:hint="eastAsia" w:ascii="Times New Roman" w:hAnsi="Times New Roman"/>
          <w:spacing w:val="-2"/>
          <w:kern w:val="0"/>
          <w:sz w:val="24"/>
          <w:szCs w:val="24"/>
          <w:u w:val="single"/>
        </w:rPr>
        <w:t>8.3591</w:t>
      </w:r>
      <w:r>
        <w:rPr>
          <w:rFonts w:ascii="Times New Roman" w:hAnsi="Times New Roman"/>
          <w:spacing w:val="-2"/>
          <w:kern w:val="0"/>
          <w:sz w:val="24"/>
          <w:szCs w:val="24"/>
          <w:u w:val="single"/>
        </w:rPr>
        <w:t>t/a，粉尘</w:t>
      </w:r>
      <w:r>
        <w:rPr>
          <w:rFonts w:hint="eastAsia" w:ascii="Times New Roman" w:hAnsi="Times New Roman"/>
          <w:spacing w:val="-2"/>
          <w:kern w:val="0"/>
          <w:sz w:val="24"/>
          <w:szCs w:val="24"/>
          <w:u w:val="single"/>
        </w:rPr>
        <w:t>主要为生物质燃料灰渣，少量金属粉尘，收集后</w:t>
      </w:r>
      <w:r>
        <w:rPr>
          <w:rFonts w:ascii="Times New Roman" w:hAnsi="Times New Roman"/>
          <w:spacing w:val="-2"/>
          <w:kern w:val="0"/>
          <w:sz w:val="24"/>
          <w:szCs w:val="24"/>
          <w:u w:val="single"/>
        </w:rPr>
        <w:t>掺入</w:t>
      </w:r>
      <w:r>
        <w:rPr>
          <w:rFonts w:hint="eastAsia" w:ascii="Times New Roman" w:hAnsi="Times New Roman"/>
          <w:spacing w:val="-2"/>
          <w:kern w:val="0"/>
          <w:sz w:val="24"/>
          <w:szCs w:val="24"/>
          <w:u w:val="single"/>
        </w:rPr>
        <w:t>锆中矿</w:t>
      </w:r>
      <w:r>
        <w:rPr>
          <w:rFonts w:ascii="Times New Roman" w:hAnsi="Times New Roman"/>
          <w:spacing w:val="-2"/>
          <w:kern w:val="0"/>
          <w:sz w:val="24"/>
          <w:szCs w:val="24"/>
          <w:u w:val="single"/>
        </w:rPr>
        <w:t>堆放区，与</w:t>
      </w:r>
      <w:r>
        <w:rPr>
          <w:rFonts w:hint="eastAsia" w:ascii="Times New Roman" w:hAnsi="Times New Roman"/>
          <w:spacing w:val="-2"/>
          <w:kern w:val="0"/>
          <w:sz w:val="24"/>
          <w:szCs w:val="24"/>
          <w:u w:val="single"/>
        </w:rPr>
        <w:t>锆中矿</w:t>
      </w:r>
      <w:r>
        <w:rPr>
          <w:rFonts w:ascii="Times New Roman" w:hAnsi="Times New Roman"/>
          <w:spacing w:val="-2"/>
          <w:kern w:val="0"/>
          <w:sz w:val="24"/>
          <w:szCs w:val="24"/>
          <w:u w:val="single"/>
        </w:rPr>
        <w:t>一并外售给深度分选加工企业综合利用。</w:t>
      </w:r>
    </w:p>
    <w:p w14:paraId="06088E59">
      <w:pPr>
        <w:pStyle w:val="7"/>
        <w:numPr>
          <w:ilvl w:val="3"/>
          <w:numId w:val="3"/>
        </w:numPr>
      </w:pPr>
      <w:r>
        <w:t>生产车间除尘器收集粉尘</w:t>
      </w:r>
    </w:p>
    <w:p w14:paraId="1149B132">
      <w:pPr>
        <w:widowControl/>
        <w:spacing w:line="360" w:lineRule="auto"/>
        <w:ind w:firstLine="472" w:firstLineChars="200"/>
        <w:rPr>
          <w:rFonts w:ascii="Times New Roman" w:hAnsi="Times New Roman"/>
          <w:spacing w:val="-2"/>
          <w:kern w:val="0"/>
          <w:sz w:val="24"/>
        </w:rPr>
      </w:pPr>
      <w:r>
        <w:rPr>
          <w:rFonts w:ascii="Times New Roman" w:hAnsi="Times New Roman"/>
          <w:spacing w:val="-2"/>
          <w:kern w:val="0"/>
          <w:sz w:val="24"/>
          <w:szCs w:val="24"/>
        </w:rPr>
        <w:t>项目生产车间配套集气罩和袋式除尘系统，收集烘干机、磁选机进出料口产生的粉尘，生产车间粉尘经袋式除尘系统处理后，</w:t>
      </w:r>
      <w:r>
        <w:rPr>
          <w:rFonts w:ascii="Times New Roman" w:hAnsi="Times New Roman"/>
          <w:spacing w:val="-2"/>
          <w:kern w:val="0"/>
          <w:sz w:val="24"/>
          <w:szCs w:val="24"/>
          <w:u w:val="single"/>
        </w:rPr>
        <w:t>除尘器中截留收集的粉尘量约为</w:t>
      </w:r>
      <w:r>
        <w:rPr>
          <w:rFonts w:hint="eastAsia" w:ascii="Times New Roman" w:hAnsi="Times New Roman"/>
          <w:spacing w:val="-2"/>
          <w:kern w:val="0"/>
          <w:sz w:val="24"/>
          <w:szCs w:val="24"/>
          <w:u w:val="single"/>
        </w:rPr>
        <w:t>1.3998</w:t>
      </w:r>
      <w:r>
        <w:rPr>
          <w:rFonts w:ascii="Times New Roman" w:hAnsi="Times New Roman"/>
          <w:spacing w:val="-2"/>
          <w:kern w:val="0"/>
          <w:sz w:val="24"/>
          <w:szCs w:val="24"/>
          <w:u w:val="single"/>
        </w:rPr>
        <w:t>t/a。</w:t>
      </w:r>
      <w:r>
        <w:rPr>
          <w:rFonts w:ascii="Times New Roman" w:hAnsi="Times New Roman"/>
          <w:spacing w:val="-2"/>
          <w:kern w:val="0"/>
          <w:sz w:val="24"/>
          <w:szCs w:val="24"/>
        </w:rPr>
        <w:t>生产车间收集的粉尘含有一定量的钛铁等金属矿成分，仍有使用价值，收集后掺入</w:t>
      </w:r>
      <w:r>
        <w:rPr>
          <w:rFonts w:hint="eastAsia" w:ascii="Times New Roman" w:hAnsi="Times New Roman"/>
          <w:spacing w:val="-2"/>
          <w:kern w:val="0"/>
          <w:sz w:val="24"/>
          <w:szCs w:val="24"/>
        </w:rPr>
        <w:t>锆中矿</w:t>
      </w:r>
      <w:r>
        <w:rPr>
          <w:rFonts w:ascii="Times New Roman" w:hAnsi="Times New Roman"/>
          <w:spacing w:val="-2"/>
          <w:kern w:val="0"/>
          <w:sz w:val="24"/>
          <w:szCs w:val="24"/>
        </w:rPr>
        <w:t>堆放区，与</w:t>
      </w:r>
      <w:r>
        <w:rPr>
          <w:rFonts w:hint="eastAsia" w:ascii="Times New Roman" w:hAnsi="Times New Roman"/>
          <w:spacing w:val="-2"/>
          <w:kern w:val="0"/>
          <w:sz w:val="24"/>
          <w:szCs w:val="24"/>
        </w:rPr>
        <w:t>锆中矿</w:t>
      </w:r>
      <w:r>
        <w:rPr>
          <w:rFonts w:ascii="Times New Roman" w:hAnsi="Times New Roman"/>
          <w:spacing w:val="-2"/>
          <w:kern w:val="0"/>
          <w:sz w:val="24"/>
          <w:szCs w:val="24"/>
        </w:rPr>
        <w:t>一并外售给深度分选加工企业综合利用。</w:t>
      </w:r>
    </w:p>
    <w:p w14:paraId="531F7BDE">
      <w:pPr>
        <w:pStyle w:val="7"/>
        <w:numPr>
          <w:ilvl w:val="3"/>
          <w:numId w:val="3"/>
        </w:numPr>
      </w:pPr>
      <w:r>
        <w:t>生产车间地面沉降粉尘</w:t>
      </w:r>
    </w:p>
    <w:p w14:paraId="79DFD008">
      <w:pPr>
        <w:widowControl/>
        <w:spacing w:line="360" w:lineRule="auto"/>
        <w:ind w:firstLine="472" w:firstLineChars="200"/>
        <w:rPr>
          <w:rFonts w:ascii="Times New Roman" w:hAnsi="Times New Roman"/>
          <w:spacing w:val="-2"/>
          <w:kern w:val="0"/>
          <w:sz w:val="24"/>
          <w:szCs w:val="24"/>
          <w:u w:val="single"/>
        </w:rPr>
      </w:pPr>
      <w:r>
        <w:rPr>
          <w:rFonts w:ascii="Times New Roman" w:hAnsi="Times New Roman"/>
          <w:spacing w:val="-2"/>
          <w:kern w:val="0"/>
          <w:sz w:val="24"/>
          <w:szCs w:val="24"/>
        </w:rPr>
        <w:t>项目生产车间粉尘比重较大，车间集气罩未收集到的粉尘大部分沉降在车间地面，粉尘中含有一定量的钛铁等金属矿成分，仍有使用价值。项目定期清扫收集地面含矿粉尘，</w:t>
      </w:r>
      <w:r>
        <w:rPr>
          <w:rFonts w:ascii="Times New Roman" w:hAnsi="Times New Roman"/>
          <w:kern w:val="0"/>
          <w:sz w:val="24"/>
          <w:szCs w:val="24"/>
        </w:rPr>
        <w:t>根据物料平衡分析，</w:t>
      </w:r>
      <w:r>
        <w:rPr>
          <w:rFonts w:ascii="Times New Roman" w:hAnsi="Times New Roman"/>
          <w:spacing w:val="-2"/>
          <w:kern w:val="0"/>
          <w:sz w:val="24"/>
          <w:szCs w:val="24"/>
          <w:u w:val="single"/>
        </w:rPr>
        <w:t>地面含矿粉尘收集量约为</w:t>
      </w:r>
      <w:r>
        <w:rPr>
          <w:rFonts w:hint="eastAsia" w:ascii="Times New Roman" w:hAnsi="Times New Roman"/>
          <w:spacing w:val="-2"/>
          <w:kern w:val="0"/>
          <w:sz w:val="24"/>
          <w:szCs w:val="24"/>
          <w:u w:val="single"/>
        </w:rPr>
        <w:t>3.5699</w:t>
      </w:r>
      <w:r>
        <w:rPr>
          <w:rFonts w:ascii="Times New Roman" w:hAnsi="Times New Roman"/>
          <w:spacing w:val="-2"/>
          <w:kern w:val="0"/>
          <w:sz w:val="24"/>
          <w:szCs w:val="24"/>
          <w:u w:val="single"/>
        </w:rPr>
        <w:t>t/a，收集后</w:t>
      </w:r>
      <w:r>
        <w:rPr>
          <w:rFonts w:hint="eastAsia" w:ascii="Times New Roman" w:hAnsi="Times New Roman"/>
          <w:spacing w:val="-2"/>
          <w:kern w:val="0"/>
          <w:sz w:val="24"/>
          <w:szCs w:val="24"/>
          <w:u w:val="single"/>
        </w:rPr>
        <w:t>放置到原料堆放区，作为原料重新投入到生产线进行分选。</w:t>
      </w:r>
    </w:p>
    <w:p w14:paraId="1A3CC1B0">
      <w:pPr>
        <w:pStyle w:val="7"/>
        <w:numPr>
          <w:ilvl w:val="3"/>
          <w:numId w:val="3"/>
        </w:numPr>
      </w:pPr>
      <w:r>
        <w:t>生活垃圾</w:t>
      </w:r>
    </w:p>
    <w:p w14:paraId="27DF3D4D">
      <w:pPr>
        <w:snapToGrid w:val="0"/>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项目劳动定员10人，年工作日300天，工作人员不在厂内食宿，生活垃圾产生量按0.3kg/（人•d）估算，生活垃圾产生量为0.9t/a。生活垃圾集中收集到创大进口汽车仓储物流园垃圾收集点后由环卫部门统一收运。</w:t>
      </w:r>
    </w:p>
    <w:p w14:paraId="3A3F8DF0">
      <w:pPr>
        <w:pStyle w:val="7"/>
        <w:numPr>
          <w:ilvl w:val="3"/>
          <w:numId w:val="3"/>
        </w:numPr>
      </w:pPr>
      <w:r>
        <w:t>除尘系统</w:t>
      </w:r>
      <w:bookmarkStart w:id="125" w:name="_Hlk187599716"/>
      <w:r>
        <w:t>废除尘袋</w:t>
      </w:r>
      <w:bookmarkEnd w:id="125"/>
    </w:p>
    <w:p w14:paraId="254A930C">
      <w:pPr>
        <w:snapToGri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项目</w:t>
      </w:r>
      <w:r>
        <w:rPr>
          <w:rFonts w:hint="eastAsia" w:ascii="Times New Roman" w:hAnsi="Times New Roman"/>
          <w:spacing w:val="-2"/>
          <w:kern w:val="0"/>
          <w:sz w:val="24"/>
          <w:szCs w:val="24"/>
        </w:rPr>
        <w:t>共</w:t>
      </w:r>
      <w:r>
        <w:rPr>
          <w:rFonts w:ascii="Times New Roman" w:hAnsi="Times New Roman"/>
          <w:spacing w:val="-2"/>
          <w:kern w:val="0"/>
          <w:sz w:val="24"/>
          <w:szCs w:val="24"/>
        </w:rPr>
        <w:t>设置有</w:t>
      </w:r>
      <w:r>
        <w:rPr>
          <w:rFonts w:hint="eastAsia" w:ascii="Times New Roman" w:hAnsi="Times New Roman"/>
          <w:spacing w:val="-2"/>
          <w:kern w:val="0"/>
          <w:sz w:val="24"/>
          <w:szCs w:val="24"/>
        </w:rPr>
        <w:t>3</w:t>
      </w:r>
      <w:r>
        <w:rPr>
          <w:rFonts w:ascii="Times New Roman" w:hAnsi="Times New Roman"/>
          <w:spacing w:val="-2"/>
          <w:kern w:val="0"/>
          <w:sz w:val="24"/>
          <w:szCs w:val="24"/>
        </w:rPr>
        <w:t>套袋式除尘系统，1套袋式除尘系统用于处理烘干炉燃烧烟气，</w:t>
      </w:r>
      <w:r>
        <w:rPr>
          <w:rFonts w:hint="eastAsia" w:ascii="Times New Roman" w:hAnsi="Times New Roman"/>
          <w:spacing w:val="-2"/>
          <w:kern w:val="0"/>
          <w:sz w:val="24"/>
          <w:szCs w:val="24"/>
        </w:rPr>
        <w:t>2</w:t>
      </w:r>
      <w:r>
        <w:rPr>
          <w:rFonts w:ascii="Times New Roman" w:hAnsi="Times New Roman"/>
          <w:spacing w:val="-2"/>
          <w:kern w:val="0"/>
          <w:sz w:val="24"/>
          <w:szCs w:val="24"/>
        </w:rPr>
        <w:t>套袋式除尘系统用于处理生产车间产生的粉尘。一般袋式除尘器中的除尘袋更换周期为18个月，估算每套袋式除尘系统年产生废除尘袋0.2t/a，主要成分为</w:t>
      </w:r>
      <w:bookmarkStart w:id="126" w:name="OLE_LINK17"/>
      <w:r>
        <w:rPr>
          <w:rFonts w:ascii="Times New Roman" w:hAnsi="Times New Roman"/>
          <w:spacing w:val="-2"/>
          <w:kern w:val="0"/>
          <w:sz w:val="24"/>
          <w:szCs w:val="24"/>
        </w:rPr>
        <w:t>针刺毡滤料</w:t>
      </w:r>
      <w:bookmarkEnd w:id="126"/>
      <w:r>
        <w:rPr>
          <w:rFonts w:ascii="Times New Roman" w:hAnsi="Times New Roman"/>
          <w:spacing w:val="-2"/>
          <w:kern w:val="0"/>
          <w:sz w:val="24"/>
          <w:szCs w:val="24"/>
        </w:rPr>
        <w:t>及除尘物料。</w:t>
      </w:r>
      <w:r>
        <w:rPr>
          <w:rFonts w:hint="eastAsia" w:ascii="Times New Roman" w:hAnsi="Times New Roman"/>
          <w:spacing w:val="-2"/>
          <w:kern w:val="0"/>
          <w:sz w:val="24"/>
          <w:szCs w:val="24"/>
          <w:u w:val="single"/>
        </w:rPr>
        <w:t>项目3套除尘系统废除尘袋产生量0.6t/a，含有少量的放射性，应妥善收集，暂存于专用贮存场地，定期外售综合利用或处置。</w:t>
      </w:r>
    </w:p>
    <w:p w14:paraId="38F7FD2A">
      <w:pPr>
        <w:pStyle w:val="7"/>
        <w:numPr>
          <w:ilvl w:val="3"/>
          <w:numId w:val="3"/>
        </w:numPr>
      </w:pPr>
      <w:r>
        <w:t>废机油</w:t>
      </w:r>
    </w:p>
    <w:p w14:paraId="1CB80AE1">
      <w:pPr>
        <w:snapToGri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0"/>
        </w:rPr>
        <w:t>项目由外单位人员来场内检修机械设备，</w:t>
      </w:r>
      <w:r>
        <w:rPr>
          <w:rFonts w:ascii="Times New Roman" w:hAnsi="Times New Roman"/>
          <w:spacing w:val="-2"/>
          <w:kern w:val="0"/>
          <w:sz w:val="24"/>
          <w:szCs w:val="20"/>
          <w:u w:val="single"/>
        </w:rPr>
        <w:t>检修过程产生废机油0.3t/a，</w:t>
      </w:r>
      <w:r>
        <w:rPr>
          <w:rFonts w:ascii="Times New Roman" w:hAnsi="Times New Roman"/>
          <w:spacing w:val="-2"/>
          <w:kern w:val="0"/>
          <w:sz w:val="24"/>
          <w:szCs w:val="20"/>
        </w:rPr>
        <w:t>属危险废物，废机油危险废物代码HW08（900-214-08），采用密封桶盛装，暂存于危险废物暂存</w:t>
      </w:r>
      <w:r>
        <w:rPr>
          <w:rFonts w:hint="eastAsia" w:ascii="Times New Roman" w:hAnsi="Times New Roman"/>
          <w:spacing w:val="-2"/>
          <w:kern w:val="0"/>
          <w:sz w:val="24"/>
          <w:szCs w:val="20"/>
        </w:rPr>
        <w:t>间</w:t>
      </w:r>
      <w:r>
        <w:rPr>
          <w:rFonts w:ascii="Times New Roman" w:hAnsi="Times New Roman"/>
          <w:spacing w:val="-2"/>
          <w:kern w:val="0"/>
          <w:sz w:val="24"/>
          <w:szCs w:val="20"/>
        </w:rPr>
        <w:t>，</w:t>
      </w:r>
      <w:r>
        <w:rPr>
          <w:rFonts w:ascii="Times New Roman" w:hAnsi="Times New Roman"/>
          <w:spacing w:val="-2"/>
          <w:kern w:val="0"/>
          <w:sz w:val="24"/>
          <w:szCs w:val="24"/>
        </w:rPr>
        <w:t>定期委托有资质的单位处置。</w:t>
      </w:r>
    </w:p>
    <w:p w14:paraId="5B860C50">
      <w:pPr>
        <w:pStyle w:val="7"/>
        <w:numPr>
          <w:ilvl w:val="3"/>
          <w:numId w:val="3"/>
        </w:numPr>
      </w:pPr>
      <w:r>
        <w:t>固废贮存情况</w:t>
      </w:r>
    </w:p>
    <w:p w14:paraId="40934A34">
      <w:pPr>
        <w:snapToGrid w:val="0"/>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4"/>
        </w:rPr>
        <w:t>项目产生的固废主要为生产车间</w:t>
      </w:r>
      <w:r>
        <w:rPr>
          <w:rFonts w:hint="eastAsia" w:ascii="Times New Roman" w:hAnsi="Times New Roman"/>
          <w:spacing w:val="-2"/>
          <w:kern w:val="0"/>
          <w:sz w:val="24"/>
          <w:szCs w:val="24"/>
        </w:rPr>
        <w:t>除尘器收集及车间地面收集</w:t>
      </w:r>
      <w:r>
        <w:rPr>
          <w:rFonts w:ascii="Times New Roman" w:hAnsi="Times New Roman"/>
          <w:spacing w:val="-2"/>
          <w:kern w:val="0"/>
          <w:sz w:val="24"/>
          <w:szCs w:val="24"/>
        </w:rPr>
        <w:t>的粉尘均与</w:t>
      </w:r>
      <w:r>
        <w:rPr>
          <w:rFonts w:hint="eastAsia" w:ascii="Times New Roman" w:hAnsi="Times New Roman"/>
          <w:spacing w:val="-2"/>
          <w:kern w:val="0"/>
          <w:sz w:val="24"/>
          <w:szCs w:val="24"/>
        </w:rPr>
        <w:t>锆中矿</w:t>
      </w:r>
      <w:r>
        <w:rPr>
          <w:rFonts w:ascii="Times New Roman" w:hAnsi="Times New Roman"/>
          <w:spacing w:val="-2"/>
          <w:kern w:val="0"/>
          <w:sz w:val="24"/>
          <w:szCs w:val="24"/>
        </w:rPr>
        <w:t>一并堆存，项目</w:t>
      </w:r>
      <w:r>
        <w:rPr>
          <w:rFonts w:ascii="Times New Roman" w:hAnsi="Times New Roman"/>
          <w:sz w:val="24"/>
          <w:szCs w:val="24"/>
        </w:rPr>
        <w:t>2#分选车间</w:t>
      </w:r>
      <w:r>
        <w:rPr>
          <w:rFonts w:hint="eastAsia" w:ascii="Times New Roman" w:hAnsi="Times New Roman"/>
          <w:sz w:val="24"/>
          <w:szCs w:val="24"/>
        </w:rPr>
        <w:t>内设置有</w:t>
      </w:r>
      <w:r>
        <w:rPr>
          <w:rFonts w:ascii="Times New Roman" w:hAnsi="Times New Roman"/>
          <w:sz w:val="24"/>
          <w:szCs w:val="24"/>
        </w:rPr>
        <w:t>2处</w:t>
      </w:r>
      <w:r>
        <w:rPr>
          <w:rFonts w:hint="eastAsia" w:ascii="Times New Roman" w:hAnsi="Times New Roman"/>
          <w:sz w:val="24"/>
          <w:szCs w:val="24"/>
        </w:rPr>
        <w:t>锆中矿</w:t>
      </w:r>
      <w:r>
        <w:rPr>
          <w:rFonts w:ascii="Times New Roman" w:hAnsi="Times New Roman"/>
          <w:sz w:val="24"/>
          <w:szCs w:val="24"/>
        </w:rPr>
        <w:t>堆放区，每处</w:t>
      </w:r>
      <w:r>
        <w:rPr>
          <w:rFonts w:hint="eastAsia" w:ascii="Times New Roman" w:hAnsi="Times New Roman"/>
          <w:sz w:val="24"/>
          <w:szCs w:val="24"/>
        </w:rPr>
        <w:t>锆中矿</w:t>
      </w:r>
      <w:r>
        <w:rPr>
          <w:rFonts w:ascii="Times New Roman" w:hAnsi="Times New Roman"/>
          <w:sz w:val="24"/>
          <w:szCs w:val="24"/>
        </w:rPr>
        <w:t>堆放区的面积约100.80m</w:t>
      </w:r>
      <w:r>
        <w:rPr>
          <w:rFonts w:ascii="Times New Roman" w:hAnsi="Times New Roman"/>
          <w:sz w:val="24"/>
          <w:szCs w:val="24"/>
          <w:vertAlign w:val="superscript"/>
        </w:rPr>
        <w:t>2</w:t>
      </w:r>
      <w:r>
        <w:rPr>
          <w:rFonts w:ascii="Times New Roman" w:hAnsi="Times New Roman"/>
          <w:sz w:val="24"/>
          <w:szCs w:val="24"/>
        </w:rPr>
        <w:t>，</w:t>
      </w:r>
      <w:r>
        <w:rPr>
          <w:rFonts w:hint="eastAsia" w:ascii="Times New Roman" w:hAnsi="Times New Roman"/>
          <w:sz w:val="24"/>
          <w:szCs w:val="24"/>
        </w:rPr>
        <w:t>可容纳除尘器收集及地面少量的粉尘。锆中矿</w:t>
      </w:r>
      <w:r>
        <w:rPr>
          <w:rFonts w:ascii="Times New Roman" w:hAnsi="Times New Roman"/>
          <w:sz w:val="24"/>
          <w:szCs w:val="24"/>
        </w:rPr>
        <w:t>堆放区域位于室内，</w:t>
      </w:r>
      <w:r>
        <w:rPr>
          <w:rFonts w:hint="eastAsia" w:ascii="Times New Roman" w:hAnsi="Times New Roman"/>
          <w:spacing w:val="-2"/>
          <w:kern w:val="0"/>
          <w:sz w:val="24"/>
          <w:szCs w:val="20"/>
        </w:rPr>
        <w:t>锆中矿</w:t>
      </w:r>
      <w:r>
        <w:rPr>
          <w:rFonts w:ascii="Times New Roman" w:hAnsi="Times New Roman"/>
          <w:spacing w:val="-2"/>
          <w:kern w:val="0"/>
          <w:sz w:val="24"/>
          <w:szCs w:val="20"/>
        </w:rPr>
        <w:t>堆放区按照《一般工业固体废物贮存和填埋污染控制标准》（GB 18599-2020）要求进行建设和管理，</w:t>
      </w:r>
      <w:r>
        <w:rPr>
          <w:rFonts w:ascii="Times New Roman" w:hAnsi="Times New Roman"/>
          <w:spacing w:val="-2"/>
          <w:kern w:val="0"/>
          <w:sz w:val="24"/>
          <w:szCs w:val="24"/>
        </w:rPr>
        <w:t>其贮存过程应满足防渗漏、防雨淋、防扬尘等环境保护要求</w:t>
      </w:r>
      <w:r>
        <w:rPr>
          <w:rFonts w:ascii="Times New Roman" w:hAnsi="Times New Roman"/>
          <w:spacing w:val="-2"/>
          <w:kern w:val="0"/>
          <w:sz w:val="24"/>
          <w:szCs w:val="20"/>
        </w:rPr>
        <w:t>。</w:t>
      </w:r>
    </w:p>
    <w:p w14:paraId="6D92915E">
      <w:pPr>
        <w:snapToGri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烘干炉炉渣及烘干炉除尘器粉尘，在项目内</w:t>
      </w:r>
      <w:r>
        <w:rPr>
          <w:rFonts w:hint="eastAsia" w:ascii="Times New Roman" w:hAnsi="Times New Roman"/>
          <w:spacing w:val="-2"/>
          <w:kern w:val="0"/>
          <w:sz w:val="24"/>
          <w:szCs w:val="24"/>
        </w:rPr>
        <w:t>定期</w:t>
      </w:r>
      <w:r>
        <w:rPr>
          <w:rFonts w:ascii="Times New Roman" w:hAnsi="Times New Roman"/>
          <w:spacing w:val="-2"/>
          <w:kern w:val="0"/>
          <w:sz w:val="24"/>
        </w:rPr>
        <w:t>采用编织袋袋装收集后，暂存于车间内的灰渣临时堆放点。灰渣堆放点规划在1#原料处理车间东北角，面积约为12m</w:t>
      </w:r>
      <w:r>
        <w:rPr>
          <w:rFonts w:ascii="Times New Roman" w:hAnsi="Times New Roman"/>
          <w:spacing w:val="-2"/>
          <w:kern w:val="0"/>
          <w:sz w:val="24"/>
          <w:vertAlign w:val="superscript"/>
        </w:rPr>
        <w:t>2</w:t>
      </w:r>
      <w:r>
        <w:rPr>
          <w:rFonts w:ascii="Times New Roman" w:hAnsi="Times New Roman"/>
          <w:spacing w:val="-2"/>
          <w:kern w:val="0"/>
          <w:sz w:val="24"/>
        </w:rPr>
        <w:t>。</w:t>
      </w:r>
    </w:p>
    <w:p w14:paraId="2ADFB33E">
      <w:pPr>
        <w:snapToGri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项目生活垃圾不在厂内设置收集点，在车间外大门侧设置小型垃圾桶，每天清理到</w:t>
      </w:r>
      <w:r>
        <w:rPr>
          <w:rFonts w:ascii="Times New Roman" w:hAnsi="Times New Roman"/>
          <w:spacing w:val="-2"/>
          <w:kern w:val="0"/>
          <w:sz w:val="24"/>
          <w:szCs w:val="20"/>
        </w:rPr>
        <w:t>创大进口汽车仓储物流园垃圾收集点。</w:t>
      </w:r>
    </w:p>
    <w:p w14:paraId="62EC212C">
      <w:pPr>
        <w:snapToGri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项目烘干炉除尘系统废除尘袋由厂家进行更换并回收，不在项目车间内暂存；生产车间</w:t>
      </w:r>
      <w:r>
        <w:rPr>
          <w:rFonts w:hint="eastAsia" w:ascii="Times New Roman" w:hAnsi="Times New Roman"/>
          <w:spacing w:val="-2"/>
          <w:kern w:val="0"/>
          <w:sz w:val="24"/>
          <w:szCs w:val="24"/>
        </w:rPr>
        <w:t>粉尘</w:t>
      </w:r>
      <w:r>
        <w:rPr>
          <w:rFonts w:ascii="Times New Roman" w:hAnsi="Times New Roman"/>
          <w:spacing w:val="-2"/>
          <w:kern w:val="0"/>
          <w:sz w:val="24"/>
          <w:szCs w:val="24"/>
        </w:rPr>
        <w:t>除尘系统</w:t>
      </w:r>
      <w:r>
        <w:rPr>
          <w:rFonts w:hint="eastAsia" w:ascii="Times New Roman" w:hAnsi="Times New Roman"/>
          <w:spacing w:val="-2"/>
          <w:kern w:val="0"/>
          <w:sz w:val="24"/>
          <w:szCs w:val="24"/>
        </w:rPr>
        <w:t>的</w:t>
      </w:r>
      <w:r>
        <w:rPr>
          <w:rFonts w:ascii="Times New Roman" w:hAnsi="Times New Roman"/>
          <w:spacing w:val="-2"/>
          <w:kern w:val="0"/>
          <w:sz w:val="24"/>
          <w:szCs w:val="24"/>
        </w:rPr>
        <w:t>废除尘袋</w:t>
      </w:r>
      <w:r>
        <w:rPr>
          <w:rFonts w:hint="eastAsia" w:ascii="Times New Roman" w:hAnsi="Times New Roman"/>
          <w:spacing w:val="-2"/>
          <w:kern w:val="0"/>
          <w:sz w:val="24"/>
          <w:szCs w:val="24"/>
        </w:rPr>
        <w:t>均</w:t>
      </w:r>
      <w:r>
        <w:rPr>
          <w:rFonts w:ascii="Times New Roman" w:hAnsi="Times New Roman"/>
          <w:spacing w:val="-2"/>
          <w:kern w:val="0"/>
          <w:sz w:val="24"/>
          <w:szCs w:val="24"/>
        </w:rPr>
        <w:t>含放射性物质，</w:t>
      </w:r>
      <w:bookmarkStart w:id="127" w:name="_Hlk187599790"/>
      <w:r>
        <w:rPr>
          <w:rFonts w:ascii="Times New Roman" w:hAnsi="Times New Roman"/>
          <w:spacing w:val="-2"/>
          <w:kern w:val="0"/>
          <w:sz w:val="24"/>
          <w:szCs w:val="24"/>
        </w:rPr>
        <w:t>在</w:t>
      </w:r>
      <w:r>
        <w:rPr>
          <w:rFonts w:ascii="Times New Roman" w:hAnsi="Times New Roman"/>
          <w:sz w:val="24"/>
          <w:szCs w:val="24"/>
        </w:rPr>
        <w:t>2#分选车间内部东北角规划一处专用暂存库进行存放，面积约为</w:t>
      </w:r>
      <w:r>
        <w:rPr>
          <w:rFonts w:hint="eastAsia" w:ascii="Times New Roman" w:hAnsi="Times New Roman"/>
          <w:sz w:val="24"/>
          <w:szCs w:val="24"/>
        </w:rPr>
        <w:t>3</w:t>
      </w:r>
      <w:r>
        <w:rPr>
          <w:rFonts w:ascii="Times New Roman" w:hAnsi="Times New Roman"/>
          <w:sz w:val="24"/>
          <w:szCs w:val="24"/>
        </w:rPr>
        <w:t>m</w:t>
      </w:r>
      <w:r>
        <w:rPr>
          <w:rFonts w:ascii="Times New Roman" w:hAnsi="Times New Roman"/>
          <w:sz w:val="24"/>
          <w:szCs w:val="24"/>
          <w:vertAlign w:val="superscript"/>
        </w:rPr>
        <w:t>2</w:t>
      </w:r>
      <w:r>
        <w:rPr>
          <w:rFonts w:ascii="Times New Roman" w:hAnsi="Times New Roman"/>
          <w:sz w:val="24"/>
          <w:szCs w:val="24"/>
        </w:rPr>
        <w:t>，</w:t>
      </w:r>
      <w:bookmarkEnd w:id="127"/>
      <w:r>
        <w:rPr>
          <w:rFonts w:ascii="Times New Roman" w:hAnsi="Times New Roman"/>
          <w:sz w:val="24"/>
          <w:szCs w:val="24"/>
        </w:rPr>
        <w:t>最大暂存量为</w:t>
      </w:r>
      <w:r>
        <w:rPr>
          <w:rFonts w:ascii="Times New Roman" w:hAnsi="Times New Roman"/>
          <w:spacing w:val="-2"/>
          <w:kern w:val="0"/>
          <w:sz w:val="24"/>
          <w:szCs w:val="24"/>
        </w:rPr>
        <w:t>1t/a，可满足暂存要求。</w:t>
      </w:r>
    </w:p>
    <w:p w14:paraId="17C1720C">
      <w:pPr>
        <w:snapToGri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项目设备检修过程产生的废机油，项目在</w:t>
      </w:r>
      <w:r>
        <w:rPr>
          <w:rFonts w:ascii="Times New Roman" w:hAnsi="Times New Roman"/>
          <w:sz w:val="24"/>
          <w:szCs w:val="24"/>
        </w:rPr>
        <w:t>2#分选车间内部东北角规划一处</w:t>
      </w:r>
      <w:r>
        <w:rPr>
          <w:rFonts w:ascii="Times New Roman" w:hAnsi="Times New Roman"/>
          <w:spacing w:val="-2"/>
          <w:kern w:val="0"/>
          <w:sz w:val="24"/>
          <w:szCs w:val="24"/>
        </w:rPr>
        <w:t>危废暂存库，面积约为</w:t>
      </w:r>
      <w:r>
        <w:rPr>
          <w:rFonts w:hint="eastAsia" w:ascii="Times New Roman" w:hAnsi="Times New Roman"/>
          <w:spacing w:val="-2"/>
          <w:kern w:val="0"/>
          <w:sz w:val="24"/>
          <w:szCs w:val="24"/>
        </w:rPr>
        <w:t>3</w:t>
      </w:r>
      <w:r>
        <w:rPr>
          <w:rFonts w:ascii="Times New Roman" w:hAnsi="Times New Roman"/>
          <w:spacing w:val="-2"/>
          <w:kern w:val="0"/>
          <w:sz w:val="24"/>
          <w:szCs w:val="24"/>
        </w:rPr>
        <w:t>m</w:t>
      </w:r>
      <w:r>
        <w:rPr>
          <w:rFonts w:ascii="Times New Roman" w:hAnsi="Times New Roman"/>
          <w:spacing w:val="-2"/>
          <w:kern w:val="0"/>
          <w:sz w:val="24"/>
          <w:szCs w:val="24"/>
          <w:vertAlign w:val="superscript"/>
        </w:rPr>
        <w:t>2</w:t>
      </w:r>
      <w:r>
        <w:rPr>
          <w:rFonts w:ascii="Times New Roman" w:hAnsi="Times New Roman"/>
          <w:spacing w:val="-2"/>
          <w:kern w:val="0"/>
          <w:sz w:val="24"/>
          <w:szCs w:val="24"/>
        </w:rPr>
        <w:t>，</w:t>
      </w:r>
      <w:r>
        <w:rPr>
          <w:rFonts w:ascii="Times New Roman" w:hAnsi="Times New Roman"/>
          <w:spacing w:val="-2"/>
          <w:kern w:val="0"/>
          <w:sz w:val="24"/>
          <w:szCs w:val="24"/>
          <w:u w:val="single"/>
        </w:rPr>
        <w:t>危险废物最大暂存量约为</w:t>
      </w:r>
      <w:bookmarkStart w:id="128" w:name="OLE_LINK22"/>
      <w:r>
        <w:rPr>
          <w:rFonts w:hint="eastAsia" w:ascii="Times New Roman" w:hAnsi="Times New Roman"/>
          <w:spacing w:val="-2"/>
          <w:kern w:val="0"/>
          <w:sz w:val="24"/>
          <w:szCs w:val="24"/>
          <w:u w:val="single"/>
        </w:rPr>
        <w:t>1</w:t>
      </w:r>
      <w:r>
        <w:rPr>
          <w:rFonts w:ascii="Times New Roman" w:hAnsi="Times New Roman"/>
          <w:spacing w:val="-2"/>
          <w:kern w:val="0"/>
          <w:sz w:val="24"/>
          <w:szCs w:val="24"/>
          <w:u w:val="single"/>
        </w:rPr>
        <w:t>t</w:t>
      </w:r>
      <w:r>
        <w:rPr>
          <w:rFonts w:ascii="Times New Roman" w:hAnsi="Times New Roman"/>
          <w:spacing w:val="-2"/>
          <w:kern w:val="0"/>
          <w:sz w:val="24"/>
          <w:szCs w:val="24"/>
        </w:rPr>
        <w:t>，</w:t>
      </w:r>
      <w:bookmarkEnd w:id="128"/>
      <w:r>
        <w:rPr>
          <w:rFonts w:ascii="Times New Roman" w:hAnsi="Times New Roman"/>
          <w:spacing w:val="-2"/>
          <w:kern w:val="0"/>
          <w:sz w:val="24"/>
          <w:szCs w:val="24"/>
        </w:rPr>
        <w:t>该危险废物暂存间存储能力可以满足生产要求。项目危险废物的收集、储存、转运和处置，按照《危险废物收集贮存运输技术规范》和《危险废物贮存污染控制标准》采取相应措施。危废外委处置之前，暂存于危废暂存场，采用桶装，最大贮存周期为</w:t>
      </w:r>
      <w:r>
        <w:rPr>
          <w:rFonts w:hint="eastAsia" w:ascii="Times New Roman" w:hAnsi="Times New Roman"/>
          <w:spacing w:val="-2"/>
          <w:kern w:val="0"/>
          <w:sz w:val="24"/>
          <w:szCs w:val="24"/>
        </w:rPr>
        <w:t>150d</w:t>
      </w:r>
      <w:r>
        <w:rPr>
          <w:rFonts w:ascii="Times New Roman" w:hAnsi="Times New Roman"/>
          <w:spacing w:val="-2"/>
          <w:kern w:val="0"/>
          <w:sz w:val="24"/>
          <w:szCs w:val="24"/>
        </w:rPr>
        <w:t>。</w:t>
      </w:r>
    </w:p>
    <w:p w14:paraId="734100C3">
      <w:pPr>
        <w:pStyle w:val="7"/>
        <w:numPr>
          <w:ilvl w:val="3"/>
          <w:numId w:val="3"/>
        </w:numPr>
      </w:pPr>
      <w:r>
        <w:t>固废排放情况汇总</w:t>
      </w:r>
    </w:p>
    <w:p w14:paraId="1FC720D8">
      <w:pPr>
        <w:snapToGri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拟建项目产生的固体废物种类、产生量及处理方式见表2.3-</w:t>
      </w:r>
      <w:r>
        <w:rPr>
          <w:rFonts w:hint="eastAsia" w:ascii="Times New Roman" w:hAnsi="Times New Roman"/>
          <w:spacing w:val="-2"/>
          <w:kern w:val="0"/>
          <w:sz w:val="24"/>
          <w:szCs w:val="24"/>
        </w:rPr>
        <w:t>18</w:t>
      </w:r>
      <w:r>
        <w:rPr>
          <w:rFonts w:ascii="Times New Roman" w:hAnsi="Times New Roman"/>
          <w:spacing w:val="-2"/>
          <w:kern w:val="0"/>
          <w:sz w:val="24"/>
          <w:szCs w:val="24"/>
        </w:rPr>
        <w:t>，危险废物汇总表2.3-</w:t>
      </w:r>
      <w:r>
        <w:rPr>
          <w:rFonts w:hint="eastAsia" w:ascii="Times New Roman" w:hAnsi="Times New Roman"/>
          <w:spacing w:val="-2"/>
          <w:kern w:val="0"/>
          <w:sz w:val="24"/>
          <w:szCs w:val="24"/>
        </w:rPr>
        <w:t>19</w:t>
      </w:r>
      <w:r>
        <w:rPr>
          <w:rFonts w:ascii="Times New Roman" w:hAnsi="Times New Roman"/>
          <w:spacing w:val="-2"/>
          <w:kern w:val="0"/>
          <w:sz w:val="24"/>
          <w:szCs w:val="24"/>
        </w:rPr>
        <w:t>。</w:t>
      </w:r>
    </w:p>
    <w:p w14:paraId="3543B671">
      <w:pPr>
        <w:snapToGrid w:val="0"/>
        <w:spacing w:line="360" w:lineRule="auto"/>
        <w:ind w:firstLine="472" w:firstLineChars="200"/>
        <w:rPr>
          <w:rFonts w:ascii="Times New Roman" w:hAnsi="Times New Roman"/>
          <w:spacing w:val="-2"/>
          <w:kern w:val="0"/>
          <w:sz w:val="24"/>
          <w:szCs w:val="24"/>
        </w:rPr>
      </w:pPr>
    </w:p>
    <w:p w14:paraId="01BADAD5">
      <w:pPr>
        <w:snapToGrid w:val="0"/>
        <w:spacing w:line="360" w:lineRule="auto"/>
        <w:ind w:firstLine="472" w:firstLineChars="200"/>
        <w:rPr>
          <w:rFonts w:ascii="Times New Roman" w:hAnsi="Times New Roman"/>
          <w:spacing w:val="-2"/>
          <w:kern w:val="0"/>
          <w:sz w:val="24"/>
          <w:szCs w:val="24"/>
        </w:rPr>
      </w:pPr>
    </w:p>
    <w:p w14:paraId="7869BF51">
      <w:pPr>
        <w:snapToGrid w:val="0"/>
        <w:spacing w:line="360" w:lineRule="auto"/>
        <w:ind w:firstLine="472" w:firstLineChars="200"/>
        <w:rPr>
          <w:rFonts w:ascii="Times New Roman" w:hAnsi="Times New Roman"/>
          <w:spacing w:val="-2"/>
          <w:kern w:val="0"/>
          <w:sz w:val="24"/>
          <w:szCs w:val="24"/>
        </w:rPr>
      </w:pPr>
    </w:p>
    <w:p w14:paraId="0BDD9180">
      <w:pPr>
        <w:snapToGrid w:val="0"/>
        <w:spacing w:line="360" w:lineRule="auto"/>
        <w:ind w:firstLine="472" w:firstLineChars="200"/>
        <w:rPr>
          <w:rFonts w:ascii="Times New Roman" w:hAnsi="Times New Roman"/>
          <w:spacing w:val="-2"/>
          <w:kern w:val="0"/>
          <w:sz w:val="24"/>
          <w:szCs w:val="24"/>
        </w:rPr>
      </w:pPr>
    </w:p>
    <w:p w14:paraId="4E23847C">
      <w:pPr>
        <w:snapToGrid w:val="0"/>
        <w:spacing w:line="360" w:lineRule="auto"/>
        <w:ind w:firstLine="472" w:firstLineChars="200"/>
        <w:rPr>
          <w:rFonts w:ascii="Times New Roman" w:hAnsi="Times New Roman"/>
          <w:spacing w:val="-2"/>
          <w:kern w:val="0"/>
          <w:sz w:val="24"/>
          <w:szCs w:val="20"/>
        </w:rPr>
        <w:sectPr>
          <w:pgSz w:w="11906" w:h="16838"/>
          <w:pgMar w:top="1418" w:right="1418" w:bottom="1418" w:left="1418" w:header="851" w:footer="737" w:gutter="0"/>
          <w:cols w:space="720" w:num="1"/>
          <w:docGrid w:linePitch="323" w:charSpace="0"/>
        </w:sectPr>
      </w:pPr>
    </w:p>
    <w:p w14:paraId="439E7099">
      <w:pPr>
        <w:pStyle w:val="8"/>
        <w:numPr>
          <w:ilvl w:val="4"/>
          <w:numId w:val="3"/>
        </w:numPr>
        <w:rPr>
          <w:spacing w:val="-2"/>
          <w:kern w:val="0"/>
          <w:sz w:val="24"/>
          <w:szCs w:val="20"/>
        </w:rPr>
      </w:pPr>
      <w:r>
        <w:rPr>
          <w:spacing w:val="-2"/>
          <w:kern w:val="0"/>
          <w:sz w:val="24"/>
          <w:szCs w:val="20"/>
        </w:rPr>
        <w:t>项目固体废物产生及处置情况</w:t>
      </w:r>
    </w:p>
    <w:tbl>
      <w:tblPr>
        <w:tblStyle w:val="88"/>
        <w:tblW w:w="1401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36"/>
        <w:gridCol w:w="2551"/>
        <w:gridCol w:w="1701"/>
        <w:gridCol w:w="2127"/>
        <w:gridCol w:w="708"/>
        <w:gridCol w:w="1418"/>
        <w:gridCol w:w="1134"/>
        <w:gridCol w:w="2268"/>
        <w:gridCol w:w="1276"/>
      </w:tblGrid>
      <w:tr w14:paraId="71F3F3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36" w:type="dxa"/>
            <w:shd w:val="clear" w:color="auto" w:fill="auto"/>
            <w:vAlign w:val="center"/>
          </w:tcPr>
          <w:p w14:paraId="30527879">
            <w:pPr>
              <w:widowControl/>
              <w:jc w:val="center"/>
              <w:rPr>
                <w:rFonts w:ascii="Times New Roman" w:hAnsi="Times New Roman"/>
                <w:b/>
                <w:bCs/>
                <w:kern w:val="0"/>
                <w:szCs w:val="21"/>
              </w:rPr>
            </w:pPr>
            <w:r>
              <w:rPr>
                <w:rFonts w:ascii="Times New Roman" w:hAnsi="Times New Roman"/>
                <w:b/>
                <w:bCs/>
                <w:kern w:val="0"/>
                <w:szCs w:val="21"/>
              </w:rPr>
              <w:t>固废编号</w:t>
            </w:r>
          </w:p>
        </w:tc>
        <w:tc>
          <w:tcPr>
            <w:tcW w:w="2551" w:type="dxa"/>
            <w:shd w:val="clear" w:color="auto" w:fill="auto"/>
            <w:vAlign w:val="center"/>
          </w:tcPr>
          <w:p w14:paraId="66E47A18">
            <w:pPr>
              <w:widowControl/>
              <w:jc w:val="center"/>
              <w:rPr>
                <w:rFonts w:ascii="Times New Roman" w:hAnsi="Times New Roman"/>
                <w:b/>
                <w:bCs/>
                <w:kern w:val="0"/>
                <w:szCs w:val="21"/>
              </w:rPr>
            </w:pPr>
            <w:r>
              <w:rPr>
                <w:rFonts w:ascii="Times New Roman" w:hAnsi="Times New Roman"/>
                <w:b/>
                <w:bCs/>
                <w:kern w:val="0"/>
                <w:szCs w:val="21"/>
              </w:rPr>
              <w:t>名称</w:t>
            </w:r>
          </w:p>
        </w:tc>
        <w:tc>
          <w:tcPr>
            <w:tcW w:w="1701" w:type="dxa"/>
            <w:shd w:val="clear" w:color="auto" w:fill="auto"/>
            <w:vAlign w:val="center"/>
          </w:tcPr>
          <w:p w14:paraId="662CD723">
            <w:pPr>
              <w:widowControl/>
              <w:jc w:val="center"/>
              <w:rPr>
                <w:rFonts w:ascii="Times New Roman" w:hAnsi="Times New Roman"/>
                <w:b/>
                <w:bCs/>
                <w:kern w:val="0"/>
                <w:szCs w:val="21"/>
              </w:rPr>
            </w:pPr>
            <w:r>
              <w:rPr>
                <w:rFonts w:ascii="Times New Roman" w:hAnsi="Times New Roman"/>
                <w:b/>
                <w:bCs/>
                <w:kern w:val="0"/>
                <w:szCs w:val="21"/>
              </w:rPr>
              <w:t>固废类别</w:t>
            </w:r>
          </w:p>
        </w:tc>
        <w:tc>
          <w:tcPr>
            <w:tcW w:w="2127" w:type="dxa"/>
            <w:shd w:val="clear" w:color="auto" w:fill="auto"/>
            <w:vAlign w:val="center"/>
          </w:tcPr>
          <w:p w14:paraId="6146538C">
            <w:pPr>
              <w:widowControl/>
              <w:jc w:val="center"/>
              <w:rPr>
                <w:rFonts w:ascii="Times New Roman" w:hAnsi="Times New Roman"/>
                <w:b/>
                <w:bCs/>
                <w:kern w:val="0"/>
                <w:szCs w:val="21"/>
              </w:rPr>
            </w:pPr>
            <w:r>
              <w:rPr>
                <w:rFonts w:ascii="Times New Roman" w:hAnsi="Times New Roman"/>
                <w:b/>
                <w:bCs/>
                <w:kern w:val="0"/>
                <w:szCs w:val="21"/>
              </w:rPr>
              <w:t>主要成分</w:t>
            </w:r>
          </w:p>
        </w:tc>
        <w:tc>
          <w:tcPr>
            <w:tcW w:w="708" w:type="dxa"/>
            <w:shd w:val="clear" w:color="auto" w:fill="auto"/>
            <w:vAlign w:val="center"/>
          </w:tcPr>
          <w:p w14:paraId="62000909">
            <w:pPr>
              <w:widowControl/>
              <w:jc w:val="center"/>
              <w:rPr>
                <w:rFonts w:ascii="Times New Roman" w:hAnsi="Times New Roman"/>
                <w:b/>
                <w:bCs/>
                <w:kern w:val="0"/>
                <w:szCs w:val="21"/>
              </w:rPr>
            </w:pPr>
            <w:r>
              <w:rPr>
                <w:rFonts w:ascii="Times New Roman" w:hAnsi="Times New Roman"/>
                <w:b/>
                <w:bCs/>
                <w:kern w:val="0"/>
                <w:szCs w:val="21"/>
              </w:rPr>
              <w:t>性状</w:t>
            </w:r>
          </w:p>
        </w:tc>
        <w:tc>
          <w:tcPr>
            <w:tcW w:w="1418" w:type="dxa"/>
            <w:shd w:val="clear" w:color="auto" w:fill="auto"/>
            <w:vAlign w:val="center"/>
          </w:tcPr>
          <w:p w14:paraId="36677CAE">
            <w:pPr>
              <w:widowControl/>
              <w:jc w:val="center"/>
              <w:rPr>
                <w:rFonts w:ascii="Times New Roman" w:hAnsi="Times New Roman"/>
                <w:b/>
                <w:bCs/>
                <w:kern w:val="0"/>
                <w:szCs w:val="21"/>
              </w:rPr>
            </w:pPr>
            <w:r>
              <w:rPr>
                <w:rFonts w:ascii="Times New Roman" w:hAnsi="Times New Roman"/>
                <w:b/>
                <w:bCs/>
                <w:kern w:val="0"/>
                <w:szCs w:val="21"/>
              </w:rPr>
              <w:t>排放规律</w:t>
            </w:r>
          </w:p>
        </w:tc>
        <w:tc>
          <w:tcPr>
            <w:tcW w:w="1134" w:type="dxa"/>
            <w:shd w:val="clear" w:color="auto" w:fill="auto"/>
            <w:vAlign w:val="center"/>
          </w:tcPr>
          <w:p w14:paraId="3B26F3F5">
            <w:pPr>
              <w:widowControl/>
              <w:jc w:val="center"/>
              <w:rPr>
                <w:rFonts w:ascii="Times New Roman" w:hAnsi="Times New Roman"/>
                <w:b/>
                <w:bCs/>
                <w:kern w:val="0"/>
                <w:szCs w:val="21"/>
              </w:rPr>
            </w:pPr>
            <w:r>
              <w:rPr>
                <w:rFonts w:ascii="Times New Roman" w:hAnsi="Times New Roman"/>
                <w:b/>
                <w:bCs/>
                <w:kern w:val="0"/>
                <w:szCs w:val="21"/>
              </w:rPr>
              <w:t>产生量（t/a）</w:t>
            </w:r>
          </w:p>
        </w:tc>
        <w:tc>
          <w:tcPr>
            <w:tcW w:w="2268" w:type="dxa"/>
            <w:shd w:val="clear" w:color="auto" w:fill="auto"/>
            <w:vAlign w:val="center"/>
          </w:tcPr>
          <w:p w14:paraId="6069C230">
            <w:pPr>
              <w:widowControl/>
              <w:jc w:val="center"/>
              <w:rPr>
                <w:rFonts w:ascii="Times New Roman" w:hAnsi="Times New Roman"/>
                <w:b/>
                <w:bCs/>
                <w:kern w:val="0"/>
                <w:szCs w:val="21"/>
              </w:rPr>
            </w:pPr>
            <w:r>
              <w:rPr>
                <w:rFonts w:ascii="Times New Roman" w:hAnsi="Times New Roman"/>
                <w:b/>
                <w:bCs/>
                <w:kern w:val="0"/>
                <w:szCs w:val="21"/>
              </w:rPr>
              <w:t>处置方式</w:t>
            </w:r>
          </w:p>
        </w:tc>
        <w:tc>
          <w:tcPr>
            <w:tcW w:w="1276" w:type="dxa"/>
            <w:shd w:val="clear" w:color="auto" w:fill="auto"/>
            <w:vAlign w:val="center"/>
          </w:tcPr>
          <w:p w14:paraId="544B9084">
            <w:pPr>
              <w:widowControl/>
              <w:jc w:val="center"/>
              <w:rPr>
                <w:rFonts w:ascii="Times New Roman" w:hAnsi="Times New Roman"/>
                <w:b/>
                <w:bCs/>
                <w:kern w:val="0"/>
                <w:szCs w:val="21"/>
              </w:rPr>
            </w:pPr>
            <w:r>
              <w:rPr>
                <w:rFonts w:ascii="Times New Roman" w:hAnsi="Times New Roman"/>
                <w:b/>
                <w:bCs/>
                <w:kern w:val="0"/>
                <w:szCs w:val="21"/>
              </w:rPr>
              <w:t>排放量（t/a）</w:t>
            </w:r>
          </w:p>
        </w:tc>
      </w:tr>
      <w:tr w14:paraId="0882F7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36" w:type="dxa"/>
            <w:shd w:val="clear" w:color="auto" w:fill="auto"/>
            <w:vAlign w:val="center"/>
          </w:tcPr>
          <w:p w14:paraId="36C0A838">
            <w:pPr>
              <w:widowControl/>
              <w:jc w:val="center"/>
              <w:rPr>
                <w:rFonts w:ascii="Times New Roman" w:hAnsi="Times New Roman"/>
                <w:kern w:val="0"/>
                <w:szCs w:val="21"/>
              </w:rPr>
            </w:pPr>
            <w:r>
              <w:rPr>
                <w:rFonts w:ascii="Times New Roman" w:hAnsi="Times New Roman"/>
                <w:kern w:val="0"/>
                <w:szCs w:val="21"/>
              </w:rPr>
              <w:t>S</w:t>
            </w:r>
            <w:r>
              <w:rPr>
                <w:rFonts w:hint="eastAsia" w:ascii="Times New Roman" w:hAnsi="Times New Roman"/>
                <w:kern w:val="0"/>
                <w:szCs w:val="21"/>
              </w:rPr>
              <w:t>1</w:t>
            </w:r>
          </w:p>
        </w:tc>
        <w:tc>
          <w:tcPr>
            <w:tcW w:w="2551" w:type="dxa"/>
            <w:shd w:val="clear" w:color="auto" w:fill="auto"/>
            <w:vAlign w:val="center"/>
          </w:tcPr>
          <w:p w14:paraId="18024C7B">
            <w:pPr>
              <w:widowControl/>
              <w:jc w:val="center"/>
              <w:rPr>
                <w:rFonts w:ascii="Times New Roman" w:hAnsi="Times New Roman"/>
                <w:kern w:val="0"/>
                <w:szCs w:val="21"/>
              </w:rPr>
            </w:pPr>
            <w:r>
              <w:rPr>
                <w:rFonts w:ascii="Times New Roman" w:hAnsi="Times New Roman"/>
                <w:kern w:val="0"/>
                <w:szCs w:val="21"/>
              </w:rPr>
              <w:t>烘干炉炉渣</w:t>
            </w:r>
          </w:p>
        </w:tc>
        <w:tc>
          <w:tcPr>
            <w:tcW w:w="1701" w:type="dxa"/>
            <w:shd w:val="clear" w:color="auto" w:fill="auto"/>
            <w:vAlign w:val="center"/>
          </w:tcPr>
          <w:p w14:paraId="2B3CBFE2">
            <w:pPr>
              <w:widowControl/>
              <w:jc w:val="center"/>
              <w:rPr>
                <w:rFonts w:ascii="Times New Roman" w:hAnsi="Times New Roman"/>
                <w:kern w:val="0"/>
                <w:szCs w:val="21"/>
              </w:rPr>
            </w:pPr>
            <w:r>
              <w:rPr>
                <w:rFonts w:ascii="Times New Roman" w:hAnsi="Times New Roman"/>
                <w:kern w:val="0"/>
                <w:szCs w:val="21"/>
              </w:rPr>
              <w:t>一般固废</w:t>
            </w:r>
          </w:p>
        </w:tc>
        <w:tc>
          <w:tcPr>
            <w:tcW w:w="2127" w:type="dxa"/>
            <w:shd w:val="clear" w:color="auto" w:fill="auto"/>
            <w:vAlign w:val="center"/>
          </w:tcPr>
          <w:p w14:paraId="549A1997">
            <w:pPr>
              <w:widowControl/>
              <w:jc w:val="center"/>
              <w:rPr>
                <w:rFonts w:ascii="Times New Roman" w:hAnsi="Times New Roman"/>
                <w:kern w:val="0"/>
                <w:szCs w:val="21"/>
              </w:rPr>
            </w:pPr>
            <w:r>
              <w:rPr>
                <w:rFonts w:ascii="Times New Roman" w:hAnsi="Times New Roman"/>
                <w:kern w:val="0"/>
                <w:szCs w:val="21"/>
              </w:rPr>
              <w:t>硅、钾、钙等氧化物</w:t>
            </w:r>
          </w:p>
        </w:tc>
        <w:tc>
          <w:tcPr>
            <w:tcW w:w="708" w:type="dxa"/>
            <w:shd w:val="clear" w:color="auto" w:fill="auto"/>
            <w:vAlign w:val="center"/>
          </w:tcPr>
          <w:p w14:paraId="36D4A38D">
            <w:pPr>
              <w:widowControl/>
              <w:jc w:val="center"/>
              <w:rPr>
                <w:rFonts w:ascii="Times New Roman" w:hAnsi="Times New Roman"/>
                <w:kern w:val="0"/>
                <w:szCs w:val="21"/>
              </w:rPr>
            </w:pPr>
            <w:r>
              <w:rPr>
                <w:rFonts w:ascii="Times New Roman" w:hAnsi="Times New Roman"/>
                <w:kern w:val="0"/>
                <w:szCs w:val="21"/>
              </w:rPr>
              <w:t>固</w:t>
            </w:r>
          </w:p>
        </w:tc>
        <w:tc>
          <w:tcPr>
            <w:tcW w:w="1418" w:type="dxa"/>
            <w:shd w:val="clear" w:color="auto" w:fill="auto"/>
            <w:vAlign w:val="center"/>
          </w:tcPr>
          <w:p w14:paraId="16932F11">
            <w:pPr>
              <w:widowControl/>
              <w:jc w:val="center"/>
              <w:rPr>
                <w:rFonts w:ascii="Times New Roman" w:hAnsi="Times New Roman"/>
                <w:kern w:val="0"/>
                <w:szCs w:val="21"/>
              </w:rPr>
            </w:pPr>
            <w:r>
              <w:rPr>
                <w:rFonts w:ascii="Times New Roman" w:hAnsi="Times New Roman"/>
                <w:kern w:val="0"/>
                <w:szCs w:val="21"/>
              </w:rPr>
              <w:t>连续</w:t>
            </w:r>
          </w:p>
        </w:tc>
        <w:tc>
          <w:tcPr>
            <w:tcW w:w="1134" w:type="dxa"/>
            <w:shd w:val="clear" w:color="auto" w:fill="auto"/>
            <w:vAlign w:val="center"/>
          </w:tcPr>
          <w:p w14:paraId="278166A9">
            <w:pPr>
              <w:widowControl/>
              <w:jc w:val="center"/>
              <w:rPr>
                <w:rFonts w:ascii="Times New Roman" w:hAnsi="Times New Roman"/>
                <w:kern w:val="0"/>
                <w:szCs w:val="21"/>
                <w:u w:val="single"/>
              </w:rPr>
            </w:pPr>
            <w:r>
              <w:rPr>
                <w:rFonts w:hint="eastAsia" w:ascii="Times New Roman" w:hAnsi="Times New Roman"/>
                <w:kern w:val="0"/>
                <w:szCs w:val="21"/>
                <w:u w:val="single"/>
              </w:rPr>
              <w:t>63.2472</w:t>
            </w:r>
          </w:p>
        </w:tc>
        <w:tc>
          <w:tcPr>
            <w:tcW w:w="2268" w:type="dxa"/>
            <w:shd w:val="clear" w:color="auto" w:fill="auto"/>
            <w:vAlign w:val="center"/>
          </w:tcPr>
          <w:p w14:paraId="2A4C1FD0">
            <w:pPr>
              <w:widowControl/>
              <w:jc w:val="center"/>
              <w:rPr>
                <w:rFonts w:ascii="Times New Roman" w:hAnsi="Times New Roman"/>
                <w:kern w:val="0"/>
                <w:szCs w:val="21"/>
              </w:rPr>
            </w:pPr>
            <w:r>
              <w:rPr>
                <w:rFonts w:hint="eastAsia" w:ascii="Times New Roman" w:hAnsi="Times New Roman"/>
                <w:kern w:val="0"/>
                <w:szCs w:val="21"/>
              </w:rPr>
              <w:t>作为有机肥原料出售</w:t>
            </w:r>
          </w:p>
        </w:tc>
        <w:tc>
          <w:tcPr>
            <w:tcW w:w="1276" w:type="dxa"/>
            <w:shd w:val="clear" w:color="auto" w:fill="auto"/>
            <w:vAlign w:val="center"/>
          </w:tcPr>
          <w:p w14:paraId="456D2DCD">
            <w:pPr>
              <w:widowControl/>
              <w:jc w:val="center"/>
              <w:rPr>
                <w:rFonts w:ascii="Times New Roman" w:hAnsi="Times New Roman"/>
                <w:kern w:val="0"/>
                <w:szCs w:val="21"/>
              </w:rPr>
            </w:pPr>
            <w:r>
              <w:rPr>
                <w:rFonts w:ascii="Times New Roman" w:hAnsi="Times New Roman"/>
                <w:kern w:val="0"/>
                <w:szCs w:val="21"/>
              </w:rPr>
              <w:t>0</w:t>
            </w:r>
          </w:p>
        </w:tc>
      </w:tr>
      <w:tr w14:paraId="32E33E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36" w:type="dxa"/>
            <w:shd w:val="clear" w:color="auto" w:fill="auto"/>
            <w:vAlign w:val="center"/>
          </w:tcPr>
          <w:p w14:paraId="234A9990">
            <w:pPr>
              <w:widowControl/>
              <w:jc w:val="center"/>
              <w:rPr>
                <w:rFonts w:ascii="Times New Roman" w:hAnsi="Times New Roman"/>
                <w:kern w:val="0"/>
                <w:szCs w:val="21"/>
              </w:rPr>
            </w:pPr>
            <w:r>
              <w:rPr>
                <w:rFonts w:ascii="Times New Roman" w:hAnsi="Times New Roman"/>
                <w:kern w:val="0"/>
                <w:szCs w:val="21"/>
              </w:rPr>
              <w:t>S</w:t>
            </w:r>
            <w:r>
              <w:rPr>
                <w:rFonts w:hint="eastAsia" w:ascii="Times New Roman" w:hAnsi="Times New Roman"/>
                <w:kern w:val="0"/>
                <w:szCs w:val="21"/>
              </w:rPr>
              <w:t>2</w:t>
            </w:r>
          </w:p>
        </w:tc>
        <w:tc>
          <w:tcPr>
            <w:tcW w:w="2551" w:type="dxa"/>
            <w:shd w:val="clear" w:color="auto" w:fill="auto"/>
            <w:vAlign w:val="center"/>
          </w:tcPr>
          <w:p w14:paraId="7FF1E5A0">
            <w:pPr>
              <w:widowControl/>
              <w:jc w:val="center"/>
              <w:rPr>
                <w:rFonts w:ascii="Times New Roman" w:hAnsi="Times New Roman"/>
                <w:kern w:val="0"/>
                <w:szCs w:val="21"/>
              </w:rPr>
            </w:pPr>
            <w:r>
              <w:rPr>
                <w:rFonts w:ascii="Times New Roman" w:hAnsi="Times New Roman"/>
                <w:kern w:val="0"/>
                <w:szCs w:val="21"/>
              </w:rPr>
              <w:t>烘干炉除尘器收集粉尘</w:t>
            </w:r>
          </w:p>
        </w:tc>
        <w:tc>
          <w:tcPr>
            <w:tcW w:w="1701" w:type="dxa"/>
            <w:shd w:val="clear" w:color="auto" w:fill="auto"/>
            <w:vAlign w:val="center"/>
          </w:tcPr>
          <w:p w14:paraId="7E0333CA">
            <w:pPr>
              <w:widowControl/>
              <w:jc w:val="center"/>
              <w:rPr>
                <w:rFonts w:ascii="Times New Roman" w:hAnsi="Times New Roman"/>
                <w:kern w:val="0"/>
                <w:szCs w:val="21"/>
              </w:rPr>
            </w:pPr>
            <w:r>
              <w:rPr>
                <w:rFonts w:ascii="Times New Roman" w:hAnsi="Times New Roman"/>
                <w:kern w:val="0"/>
                <w:szCs w:val="21"/>
              </w:rPr>
              <w:t>一般固废</w:t>
            </w:r>
          </w:p>
        </w:tc>
        <w:tc>
          <w:tcPr>
            <w:tcW w:w="2127" w:type="dxa"/>
            <w:shd w:val="clear" w:color="auto" w:fill="auto"/>
            <w:vAlign w:val="center"/>
          </w:tcPr>
          <w:p w14:paraId="5BE6D893">
            <w:pPr>
              <w:widowControl/>
              <w:jc w:val="center"/>
              <w:rPr>
                <w:rFonts w:ascii="Times New Roman" w:hAnsi="Times New Roman"/>
                <w:kern w:val="0"/>
                <w:szCs w:val="21"/>
              </w:rPr>
            </w:pPr>
            <w:r>
              <w:rPr>
                <w:rFonts w:ascii="Times New Roman" w:hAnsi="Times New Roman"/>
                <w:kern w:val="0"/>
                <w:szCs w:val="21"/>
              </w:rPr>
              <w:t>硅、钾、钙等氧化物</w:t>
            </w:r>
          </w:p>
        </w:tc>
        <w:tc>
          <w:tcPr>
            <w:tcW w:w="708" w:type="dxa"/>
            <w:shd w:val="clear" w:color="auto" w:fill="auto"/>
            <w:vAlign w:val="center"/>
          </w:tcPr>
          <w:p w14:paraId="420F538C">
            <w:pPr>
              <w:widowControl/>
              <w:jc w:val="center"/>
              <w:rPr>
                <w:rFonts w:ascii="Times New Roman" w:hAnsi="Times New Roman"/>
                <w:kern w:val="0"/>
                <w:szCs w:val="21"/>
              </w:rPr>
            </w:pPr>
            <w:r>
              <w:rPr>
                <w:rFonts w:ascii="Times New Roman" w:hAnsi="Times New Roman"/>
                <w:kern w:val="0"/>
                <w:szCs w:val="21"/>
              </w:rPr>
              <w:t>固</w:t>
            </w:r>
          </w:p>
        </w:tc>
        <w:tc>
          <w:tcPr>
            <w:tcW w:w="1418" w:type="dxa"/>
            <w:shd w:val="clear" w:color="auto" w:fill="auto"/>
            <w:vAlign w:val="center"/>
          </w:tcPr>
          <w:p w14:paraId="6104FB06">
            <w:pPr>
              <w:widowControl/>
              <w:jc w:val="center"/>
              <w:rPr>
                <w:rFonts w:ascii="Times New Roman" w:hAnsi="Times New Roman"/>
                <w:kern w:val="0"/>
                <w:szCs w:val="21"/>
              </w:rPr>
            </w:pPr>
            <w:r>
              <w:rPr>
                <w:rFonts w:ascii="Times New Roman" w:hAnsi="Times New Roman"/>
                <w:kern w:val="0"/>
                <w:szCs w:val="21"/>
              </w:rPr>
              <w:t>连续</w:t>
            </w:r>
          </w:p>
        </w:tc>
        <w:tc>
          <w:tcPr>
            <w:tcW w:w="1134" w:type="dxa"/>
            <w:shd w:val="clear" w:color="auto" w:fill="auto"/>
            <w:vAlign w:val="center"/>
          </w:tcPr>
          <w:p w14:paraId="171EF4DE">
            <w:pPr>
              <w:widowControl/>
              <w:jc w:val="center"/>
              <w:rPr>
                <w:rFonts w:ascii="Times New Roman" w:hAnsi="Times New Roman"/>
                <w:kern w:val="0"/>
                <w:szCs w:val="21"/>
                <w:u w:val="single"/>
              </w:rPr>
            </w:pPr>
            <w:r>
              <w:rPr>
                <w:rFonts w:hint="eastAsia" w:ascii="Times New Roman" w:hAnsi="Times New Roman"/>
                <w:kern w:val="0"/>
                <w:szCs w:val="21"/>
                <w:u w:val="single"/>
              </w:rPr>
              <w:t>8.3591</w:t>
            </w:r>
          </w:p>
        </w:tc>
        <w:tc>
          <w:tcPr>
            <w:tcW w:w="2268" w:type="dxa"/>
            <w:shd w:val="clear" w:color="auto" w:fill="auto"/>
            <w:vAlign w:val="center"/>
          </w:tcPr>
          <w:p w14:paraId="19A49A67">
            <w:pPr>
              <w:widowControl/>
              <w:jc w:val="center"/>
              <w:rPr>
                <w:rFonts w:ascii="Times New Roman" w:hAnsi="Times New Roman"/>
                <w:kern w:val="0"/>
                <w:szCs w:val="21"/>
                <w:u w:val="single"/>
              </w:rPr>
            </w:pPr>
            <w:r>
              <w:rPr>
                <w:rFonts w:ascii="Times New Roman" w:hAnsi="Times New Roman"/>
                <w:kern w:val="0"/>
                <w:szCs w:val="21"/>
                <w:u w:val="single"/>
              </w:rPr>
              <w:t>掺入</w:t>
            </w:r>
            <w:r>
              <w:rPr>
                <w:rFonts w:hint="eastAsia" w:ascii="Times New Roman" w:hAnsi="Times New Roman"/>
                <w:kern w:val="0"/>
                <w:szCs w:val="21"/>
                <w:u w:val="single"/>
              </w:rPr>
              <w:t>锆中矿</w:t>
            </w:r>
            <w:r>
              <w:rPr>
                <w:rFonts w:ascii="Times New Roman" w:hAnsi="Times New Roman"/>
                <w:kern w:val="0"/>
                <w:szCs w:val="21"/>
                <w:u w:val="single"/>
              </w:rPr>
              <w:t>一并外售</w:t>
            </w:r>
          </w:p>
        </w:tc>
        <w:tc>
          <w:tcPr>
            <w:tcW w:w="1276" w:type="dxa"/>
            <w:shd w:val="clear" w:color="auto" w:fill="auto"/>
            <w:vAlign w:val="center"/>
          </w:tcPr>
          <w:p w14:paraId="5AC42C45">
            <w:pPr>
              <w:widowControl/>
              <w:jc w:val="center"/>
              <w:rPr>
                <w:rFonts w:ascii="Times New Roman" w:hAnsi="Times New Roman"/>
                <w:kern w:val="0"/>
                <w:szCs w:val="21"/>
              </w:rPr>
            </w:pPr>
            <w:r>
              <w:rPr>
                <w:rFonts w:ascii="Times New Roman" w:hAnsi="Times New Roman"/>
                <w:kern w:val="0"/>
                <w:szCs w:val="21"/>
              </w:rPr>
              <w:t>0</w:t>
            </w:r>
          </w:p>
        </w:tc>
      </w:tr>
      <w:tr w14:paraId="63F479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36" w:type="dxa"/>
            <w:shd w:val="clear" w:color="auto" w:fill="auto"/>
            <w:vAlign w:val="center"/>
          </w:tcPr>
          <w:p w14:paraId="52E21390">
            <w:pPr>
              <w:widowControl/>
              <w:jc w:val="center"/>
              <w:rPr>
                <w:rFonts w:ascii="Times New Roman" w:hAnsi="Times New Roman"/>
                <w:kern w:val="0"/>
                <w:szCs w:val="21"/>
              </w:rPr>
            </w:pPr>
            <w:r>
              <w:rPr>
                <w:rFonts w:ascii="Times New Roman" w:hAnsi="Times New Roman"/>
                <w:kern w:val="0"/>
                <w:szCs w:val="21"/>
              </w:rPr>
              <w:t>S</w:t>
            </w:r>
            <w:r>
              <w:rPr>
                <w:rFonts w:hint="eastAsia" w:ascii="Times New Roman" w:hAnsi="Times New Roman"/>
                <w:kern w:val="0"/>
                <w:szCs w:val="21"/>
              </w:rPr>
              <w:t>3</w:t>
            </w:r>
          </w:p>
        </w:tc>
        <w:tc>
          <w:tcPr>
            <w:tcW w:w="2551" w:type="dxa"/>
            <w:shd w:val="clear" w:color="auto" w:fill="auto"/>
            <w:vAlign w:val="center"/>
          </w:tcPr>
          <w:p w14:paraId="46154B56">
            <w:pPr>
              <w:widowControl/>
              <w:jc w:val="center"/>
              <w:rPr>
                <w:rFonts w:ascii="Times New Roman" w:hAnsi="Times New Roman"/>
                <w:kern w:val="0"/>
                <w:szCs w:val="21"/>
              </w:rPr>
            </w:pPr>
            <w:r>
              <w:rPr>
                <w:rFonts w:ascii="Times New Roman" w:hAnsi="Times New Roman"/>
                <w:kern w:val="0"/>
                <w:szCs w:val="21"/>
              </w:rPr>
              <w:t>生产车间除尘器收集粉尘</w:t>
            </w:r>
          </w:p>
        </w:tc>
        <w:tc>
          <w:tcPr>
            <w:tcW w:w="1701" w:type="dxa"/>
            <w:shd w:val="clear" w:color="auto" w:fill="auto"/>
            <w:vAlign w:val="center"/>
          </w:tcPr>
          <w:p w14:paraId="39F7FBC8">
            <w:pPr>
              <w:widowControl/>
              <w:jc w:val="center"/>
              <w:rPr>
                <w:rFonts w:ascii="Times New Roman" w:hAnsi="Times New Roman"/>
                <w:kern w:val="0"/>
                <w:szCs w:val="21"/>
              </w:rPr>
            </w:pPr>
            <w:r>
              <w:rPr>
                <w:rFonts w:ascii="Times New Roman" w:hAnsi="Times New Roman"/>
                <w:kern w:val="0"/>
                <w:szCs w:val="21"/>
              </w:rPr>
              <w:t>一般固废</w:t>
            </w:r>
          </w:p>
        </w:tc>
        <w:tc>
          <w:tcPr>
            <w:tcW w:w="2127" w:type="dxa"/>
            <w:shd w:val="clear" w:color="auto" w:fill="auto"/>
            <w:vAlign w:val="center"/>
          </w:tcPr>
          <w:p w14:paraId="798303D1">
            <w:pPr>
              <w:widowControl/>
              <w:jc w:val="center"/>
              <w:rPr>
                <w:rFonts w:ascii="Times New Roman" w:hAnsi="Times New Roman"/>
                <w:kern w:val="0"/>
                <w:szCs w:val="21"/>
              </w:rPr>
            </w:pPr>
            <w:r>
              <w:rPr>
                <w:rFonts w:ascii="Times New Roman" w:hAnsi="Times New Roman"/>
                <w:kern w:val="0"/>
                <w:szCs w:val="21"/>
              </w:rPr>
              <w:t>钛、铁、锆、硅、钍等化合物</w:t>
            </w:r>
          </w:p>
        </w:tc>
        <w:tc>
          <w:tcPr>
            <w:tcW w:w="708" w:type="dxa"/>
            <w:shd w:val="clear" w:color="auto" w:fill="auto"/>
            <w:vAlign w:val="center"/>
          </w:tcPr>
          <w:p w14:paraId="323652CD">
            <w:pPr>
              <w:widowControl/>
              <w:jc w:val="center"/>
              <w:rPr>
                <w:rFonts w:ascii="Times New Roman" w:hAnsi="Times New Roman"/>
                <w:kern w:val="0"/>
                <w:szCs w:val="21"/>
              </w:rPr>
            </w:pPr>
            <w:r>
              <w:rPr>
                <w:rFonts w:ascii="Times New Roman" w:hAnsi="Times New Roman"/>
                <w:kern w:val="0"/>
                <w:szCs w:val="21"/>
              </w:rPr>
              <w:t>固</w:t>
            </w:r>
          </w:p>
        </w:tc>
        <w:tc>
          <w:tcPr>
            <w:tcW w:w="1418" w:type="dxa"/>
            <w:shd w:val="clear" w:color="auto" w:fill="auto"/>
            <w:vAlign w:val="center"/>
          </w:tcPr>
          <w:p w14:paraId="69134F46">
            <w:pPr>
              <w:widowControl/>
              <w:jc w:val="center"/>
              <w:rPr>
                <w:rFonts w:ascii="Times New Roman" w:hAnsi="Times New Roman"/>
                <w:kern w:val="0"/>
                <w:szCs w:val="21"/>
              </w:rPr>
            </w:pPr>
            <w:r>
              <w:rPr>
                <w:rFonts w:ascii="Times New Roman" w:hAnsi="Times New Roman"/>
                <w:kern w:val="0"/>
                <w:szCs w:val="21"/>
              </w:rPr>
              <w:t>连续</w:t>
            </w:r>
          </w:p>
        </w:tc>
        <w:tc>
          <w:tcPr>
            <w:tcW w:w="1134" w:type="dxa"/>
            <w:shd w:val="clear" w:color="auto" w:fill="auto"/>
            <w:vAlign w:val="center"/>
          </w:tcPr>
          <w:p w14:paraId="24D5113D">
            <w:pPr>
              <w:widowControl/>
              <w:jc w:val="center"/>
              <w:rPr>
                <w:rFonts w:ascii="Times New Roman" w:hAnsi="Times New Roman"/>
                <w:kern w:val="0"/>
                <w:szCs w:val="21"/>
                <w:u w:val="single"/>
              </w:rPr>
            </w:pPr>
            <w:r>
              <w:rPr>
                <w:rFonts w:hint="eastAsia" w:ascii="Times New Roman" w:hAnsi="Times New Roman"/>
                <w:kern w:val="0"/>
                <w:szCs w:val="21"/>
                <w:u w:val="single"/>
              </w:rPr>
              <w:t>1.3998</w:t>
            </w:r>
          </w:p>
        </w:tc>
        <w:tc>
          <w:tcPr>
            <w:tcW w:w="2268" w:type="dxa"/>
            <w:shd w:val="clear" w:color="auto" w:fill="auto"/>
            <w:vAlign w:val="center"/>
          </w:tcPr>
          <w:p w14:paraId="1D031EB7">
            <w:pPr>
              <w:widowControl/>
              <w:jc w:val="center"/>
              <w:rPr>
                <w:rFonts w:ascii="Times New Roman" w:hAnsi="Times New Roman"/>
                <w:kern w:val="0"/>
                <w:szCs w:val="21"/>
              </w:rPr>
            </w:pPr>
            <w:r>
              <w:rPr>
                <w:rFonts w:ascii="Times New Roman" w:hAnsi="Times New Roman"/>
                <w:kern w:val="0"/>
                <w:szCs w:val="21"/>
              </w:rPr>
              <w:t>掺入</w:t>
            </w:r>
            <w:r>
              <w:rPr>
                <w:rFonts w:hint="eastAsia" w:ascii="Times New Roman" w:hAnsi="Times New Roman"/>
                <w:kern w:val="0"/>
                <w:szCs w:val="21"/>
              </w:rPr>
              <w:t>锆中矿</w:t>
            </w:r>
            <w:r>
              <w:rPr>
                <w:rFonts w:ascii="Times New Roman" w:hAnsi="Times New Roman"/>
                <w:kern w:val="0"/>
                <w:szCs w:val="21"/>
              </w:rPr>
              <w:t>一并外售</w:t>
            </w:r>
          </w:p>
        </w:tc>
        <w:tc>
          <w:tcPr>
            <w:tcW w:w="1276" w:type="dxa"/>
            <w:shd w:val="clear" w:color="auto" w:fill="auto"/>
            <w:vAlign w:val="center"/>
          </w:tcPr>
          <w:p w14:paraId="1BBE05E2">
            <w:pPr>
              <w:widowControl/>
              <w:jc w:val="center"/>
              <w:rPr>
                <w:rFonts w:ascii="Times New Roman" w:hAnsi="Times New Roman"/>
                <w:kern w:val="0"/>
                <w:szCs w:val="21"/>
              </w:rPr>
            </w:pPr>
            <w:r>
              <w:rPr>
                <w:rFonts w:ascii="Times New Roman" w:hAnsi="Times New Roman"/>
                <w:kern w:val="0"/>
                <w:szCs w:val="21"/>
              </w:rPr>
              <w:t>0</w:t>
            </w:r>
          </w:p>
        </w:tc>
      </w:tr>
      <w:tr w14:paraId="217FFD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36" w:type="dxa"/>
            <w:shd w:val="clear" w:color="auto" w:fill="auto"/>
            <w:vAlign w:val="center"/>
          </w:tcPr>
          <w:p w14:paraId="34F1B159">
            <w:pPr>
              <w:widowControl/>
              <w:jc w:val="center"/>
              <w:rPr>
                <w:rFonts w:ascii="Times New Roman" w:hAnsi="Times New Roman"/>
                <w:kern w:val="0"/>
                <w:szCs w:val="21"/>
              </w:rPr>
            </w:pPr>
            <w:r>
              <w:rPr>
                <w:rFonts w:ascii="Times New Roman" w:hAnsi="Times New Roman"/>
                <w:kern w:val="0"/>
                <w:szCs w:val="21"/>
              </w:rPr>
              <w:t>S</w:t>
            </w:r>
            <w:r>
              <w:rPr>
                <w:rFonts w:hint="eastAsia" w:ascii="Times New Roman" w:hAnsi="Times New Roman"/>
                <w:kern w:val="0"/>
                <w:szCs w:val="21"/>
              </w:rPr>
              <w:t>4</w:t>
            </w:r>
          </w:p>
        </w:tc>
        <w:tc>
          <w:tcPr>
            <w:tcW w:w="2551" w:type="dxa"/>
            <w:shd w:val="clear" w:color="auto" w:fill="auto"/>
            <w:vAlign w:val="center"/>
          </w:tcPr>
          <w:p w14:paraId="372D712F">
            <w:pPr>
              <w:widowControl/>
              <w:jc w:val="center"/>
              <w:rPr>
                <w:rFonts w:ascii="Times New Roman" w:hAnsi="Times New Roman"/>
                <w:kern w:val="0"/>
                <w:szCs w:val="21"/>
              </w:rPr>
            </w:pPr>
            <w:r>
              <w:rPr>
                <w:rFonts w:ascii="Times New Roman" w:hAnsi="Times New Roman"/>
                <w:kern w:val="0"/>
                <w:szCs w:val="21"/>
              </w:rPr>
              <w:t>生产车间地面沉降粉尘</w:t>
            </w:r>
          </w:p>
        </w:tc>
        <w:tc>
          <w:tcPr>
            <w:tcW w:w="1701" w:type="dxa"/>
            <w:shd w:val="clear" w:color="auto" w:fill="auto"/>
            <w:vAlign w:val="center"/>
          </w:tcPr>
          <w:p w14:paraId="655BE759">
            <w:pPr>
              <w:widowControl/>
              <w:jc w:val="center"/>
              <w:rPr>
                <w:rFonts w:ascii="Times New Roman" w:hAnsi="Times New Roman"/>
                <w:kern w:val="0"/>
                <w:szCs w:val="21"/>
              </w:rPr>
            </w:pPr>
            <w:r>
              <w:rPr>
                <w:rFonts w:ascii="Times New Roman" w:hAnsi="Times New Roman"/>
                <w:kern w:val="0"/>
                <w:szCs w:val="21"/>
              </w:rPr>
              <w:t>一般固废</w:t>
            </w:r>
          </w:p>
        </w:tc>
        <w:tc>
          <w:tcPr>
            <w:tcW w:w="2127" w:type="dxa"/>
            <w:shd w:val="clear" w:color="auto" w:fill="auto"/>
            <w:vAlign w:val="center"/>
          </w:tcPr>
          <w:p w14:paraId="11C721EB">
            <w:pPr>
              <w:widowControl/>
              <w:jc w:val="center"/>
              <w:rPr>
                <w:rFonts w:ascii="Times New Roman" w:hAnsi="Times New Roman"/>
                <w:kern w:val="0"/>
                <w:szCs w:val="21"/>
              </w:rPr>
            </w:pPr>
            <w:r>
              <w:rPr>
                <w:rFonts w:ascii="Times New Roman" w:hAnsi="Times New Roman"/>
                <w:kern w:val="0"/>
                <w:szCs w:val="21"/>
              </w:rPr>
              <w:t>钛、铁、锆、硅、钍等化合物</w:t>
            </w:r>
          </w:p>
        </w:tc>
        <w:tc>
          <w:tcPr>
            <w:tcW w:w="708" w:type="dxa"/>
            <w:shd w:val="clear" w:color="auto" w:fill="auto"/>
            <w:vAlign w:val="center"/>
          </w:tcPr>
          <w:p w14:paraId="1F6CED05">
            <w:pPr>
              <w:widowControl/>
              <w:jc w:val="center"/>
              <w:rPr>
                <w:rFonts w:ascii="Times New Roman" w:hAnsi="Times New Roman"/>
                <w:kern w:val="0"/>
                <w:szCs w:val="21"/>
              </w:rPr>
            </w:pPr>
            <w:r>
              <w:rPr>
                <w:rFonts w:ascii="Times New Roman" w:hAnsi="Times New Roman"/>
                <w:kern w:val="0"/>
                <w:szCs w:val="21"/>
              </w:rPr>
              <w:t>固</w:t>
            </w:r>
          </w:p>
        </w:tc>
        <w:tc>
          <w:tcPr>
            <w:tcW w:w="1418" w:type="dxa"/>
            <w:shd w:val="clear" w:color="auto" w:fill="auto"/>
            <w:vAlign w:val="center"/>
          </w:tcPr>
          <w:p w14:paraId="30CD9895">
            <w:pPr>
              <w:widowControl/>
              <w:jc w:val="center"/>
              <w:rPr>
                <w:rFonts w:ascii="Times New Roman" w:hAnsi="Times New Roman"/>
                <w:kern w:val="0"/>
                <w:szCs w:val="21"/>
              </w:rPr>
            </w:pPr>
            <w:r>
              <w:rPr>
                <w:rFonts w:ascii="Times New Roman" w:hAnsi="Times New Roman"/>
                <w:kern w:val="0"/>
                <w:szCs w:val="21"/>
              </w:rPr>
              <w:t>连续</w:t>
            </w:r>
          </w:p>
        </w:tc>
        <w:tc>
          <w:tcPr>
            <w:tcW w:w="1134" w:type="dxa"/>
            <w:shd w:val="clear" w:color="auto" w:fill="auto"/>
            <w:vAlign w:val="center"/>
          </w:tcPr>
          <w:p w14:paraId="5A6355B5">
            <w:pPr>
              <w:widowControl/>
              <w:jc w:val="center"/>
              <w:rPr>
                <w:rFonts w:ascii="Times New Roman" w:hAnsi="Times New Roman"/>
                <w:kern w:val="0"/>
                <w:szCs w:val="21"/>
                <w:u w:val="single"/>
              </w:rPr>
            </w:pPr>
            <w:r>
              <w:rPr>
                <w:rFonts w:hint="eastAsia" w:ascii="Times New Roman" w:hAnsi="Times New Roman"/>
                <w:kern w:val="0"/>
                <w:szCs w:val="21"/>
                <w:u w:val="single"/>
              </w:rPr>
              <w:t>3.5699</w:t>
            </w:r>
          </w:p>
        </w:tc>
        <w:tc>
          <w:tcPr>
            <w:tcW w:w="2268" w:type="dxa"/>
            <w:shd w:val="clear" w:color="auto" w:fill="auto"/>
            <w:vAlign w:val="center"/>
          </w:tcPr>
          <w:p w14:paraId="2FDBE8D5">
            <w:pPr>
              <w:widowControl/>
              <w:jc w:val="center"/>
              <w:rPr>
                <w:rFonts w:ascii="Times New Roman" w:hAnsi="Times New Roman"/>
                <w:kern w:val="0"/>
                <w:szCs w:val="21"/>
                <w:u w:val="single"/>
              </w:rPr>
            </w:pPr>
            <w:r>
              <w:rPr>
                <w:rFonts w:hint="eastAsia" w:ascii="Times New Roman" w:hAnsi="Times New Roman"/>
                <w:kern w:val="0"/>
                <w:szCs w:val="21"/>
                <w:u w:val="single"/>
              </w:rPr>
              <w:t>作为原料重新分选</w:t>
            </w:r>
          </w:p>
        </w:tc>
        <w:tc>
          <w:tcPr>
            <w:tcW w:w="1276" w:type="dxa"/>
            <w:shd w:val="clear" w:color="auto" w:fill="auto"/>
            <w:vAlign w:val="center"/>
          </w:tcPr>
          <w:p w14:paraId="227FF252">
            <w:pPr>
              <w:widowControl/>
              <w:jc w:val="center"/>
              <w:rPr>
                <w:rFonts w:ascii="Times New Roman" w:hAnsi="Times New Roman"/>
                <w:kern w:val="0"/>
                <w:szCs w:val="21"/>
              </w:rPr>
            </w:pPr>
            <w:r>
              <w:rPr>
                <w:rFonts w:ascii="Times New Roman" w:hAnsi="Times New Roman"/>
                <w:kern w:val="0"/>
                <w:szCs w:val="21"/>
              </w:rPr>
              <w:t>0</w:t>
            </w:r>
          </w:p>
        </w:tc>
      </w:tr>
      <w:tr w14:paraId="45A9EB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36" w:type="dxa"/>
            <w:shd w:val="clear" w:color="auto" w:fill="auto"/>
            <w:vAlign w:val="center"/>
          </w:tcPr>
          <w:p w14:paraId="462AC718">
            <w:pPr>
              <w:widowControl/>
              <w:jc w:val="center"/>
              <w:rPr>
                <w:rFonts w:ascii="Times New Roman" w:hAnsi="Times New Roman"/>
                <w:kern w:val="0"/>
                <w:szCs w:val="21"/>
              </w:rPr>
            </w:pPr>
            <w:r>
              <w:rPr>
                <w:rFonts w:ascii="Times New Roman" w:hAnsi="Times New Roman"/>
                <w:kern w:val="0"/>
                <w:szCs w:val="21"/>
              </w:rPr>
              <w:t>S</w:t>
            </w:r>
            <w:r>
              <w:rPr>
                <w:rFonts w:hint="eastAsia" w:ascii="Times New Roman" w:hAnsi="Times New Roman"/>
                <w:kern w:val="0"/>
                <w:szCs w:val="21"/>
              </w:rPr>
              <w:t>5</w:t>
            </w:r>
          </w:p>
        </w:tc>
        <w:tc>
          <w:tcPr>
            <w:tcW w:w="2551" w:type="dxa"/>
            <w:shd w:val="clear" w:color="auto" w:fill="auto"/>
            <w:vAlign w:val="center"/>
          </w:tcPr>
          <w:p w14:paraId="7224C4E6">
            <w:pPr>
              <w:widowControl/>
              <w:jc w:val="center"/>
              <w:rPr>
                <w:rFonts w:ascii="Times New Roman" w:hAnsi="Times New Roman"/>
                <w:kern w:val="0"/>
                <w:szCs w:val="21"/>
              </w:rPr>
            </w:pPr>
            <w:r>
              <w:rPr>
                <w:rFonts w:ascii="Times New Roman" w:hAnsi="Times New Roman"/>
                <w:kern w:val="0"/>
                <w:szCs w:val="21"/>
              </w:rPr>
              <w:t>生活垃圾</w:t>
            </w:r>
          </w:p>
        </w:tc>
        <w:tc>
          <w:tcPr>
            <w:tcW w:w="1701" w:type="dxa"/>
            <w:shd w:val="clear" w:color="auto" w:fill="auto"/>
            <w:vAlign w:val="center"/>
          </w:tcPr>
          <w:p w14:paraId="07A29BF3">
            <w:pPr>
              <w:widowControl/>
              <w:jc w:val="center"/>
              <w:rPr>
                <w:rFonts w:ascii="Times New Roman" w:hAnsi="Times New Roman"/>
                <w:kern w:val="0"/>
                <w:szCs w:val="21"/>
              </w:rPr>
            </w:pPr>
            <w:r>
              <w:rPr>
                <w:rFonts w:ascii="Times New Roman" w:hAnsi="Times New Roman"/>
                <w:kern w:val="0"/>
                <w:szCs w:val="21"/>
              </w:rPr>
              <w:t>/</w:t>
            </w:r>
          </w:p>
        </w:tc>
        <w:tc>
          <w:tcPr>
            <w:tcW w:w="2127" w:type="dxa"/>
            <w:shd w:val="clear" w:color="auto" w:fill="auto"/>
            <w:vAlign w:val="center"/>
          </w:tcPr>
          <w:p w14:paraId="04457E71">
            <w:pPr>
              <w:widowControl/>
              <w:jc w:val="center"/>
              <w:rPr>
                <w:rFonts w:ascii="Times New Roman" w:hAnsi="Times New Roman"/>
                <w:kern w:val="0"/>
                <w:szCs w:val="21"/>
              </w:rPr>
            </w:pPr>
            <w:r>
              <w:rPr>
                <w:rFonts w:ascii="Times New Roman" w:hAnsi="Times New Roman"/>
                <w:kern w:val="0"/>
                <w:szCs w:val="21"/>
              </w:rPr>
              <w:t>/</w:t>
            </w:r>
          </w:p>
        </w:tc>
        <w:tc>
          <w:tcPr>
            <w:tcW w:w="708" w:type="dxa"/>
            <w:shd w:val="clear" w:color="auto" w:fill="auto"/>
            <w:vAlign w:val="center"/>
          </w:tcPr>
          <w:p w14:paraId="79105B43">
            <w:pPr>
              <w:widowControl/>
              <w:jc w:val="center"/>
              <w:rPr>
                <w:rFonts w:ascii="Times New Roman" w:hAnsi="Times New Roman"/>
                <w:kern w:val="0"/>
                <w:szCs w:val="21"/>
              </w:rPr>
            </w:pPr>
            <w:r>
              <w:rPr>
                <w:rFonts w:ascii="Times New Roman" w:hAnsi="Times New Roman"/>
                <w:kern w:val="0"/>
                <w:szCs w:val="21"/>
              </w:rPr>
              <w:t>固</w:t>
            </w:r>
          </w:p>
        </w:tc>
        <w:tc>
          <w:tcPr>
            <w:tcW w:w="1418" w:type="dxa"/>
            <w:shd w:val="clear" w:color="auto" w:fill="auto"/>
            <w:vAlign w:val="center"/>
          </w:tcPr>
          <w:p w14:paraId="038A0B9C">
            <w:pPr>
              <w:widowControl/>
              <w:jc w:val="center"/>
              <w:rPr>
                <w:rFonts w:ascii="Times New Roman" w:hAnsi="Times New Roman"/>
                <w:kern w:val="0"/>
                <w:szCs w:val="21"/>
              </w:rPr>
            </w:pPr>
            <w:r>
              <w:rPr>
                <w:rFonts w:ascii="Times New Roman" w:hAnsi="Times New Roman"/>
                <w:kern w:val="0"/>
                <w:szCs w:val="21"/>
              </w:rPr>
              <w:t>间歇</w:t>
            </w:r>
          </w:p>
        </w:tc>
        <w:tc>
          <w:tcPr>
            <w:tcW w:w="1134" w:type="dxa"/>
            <w:shd w:val="clear" w:color="auto" w:fill="auto"/>
            <w:vAlign w:val="center"/>
          </w:tcPr>
          <w:p w14:paraId="61EC134C">
            <w:pPr>
              <w:widowControl/>
              <w:jc w:val="center"/>
              <w:rPr>
                <w:rFonts w:ascii="Times New Roman" w:hAnsi="Times New Roman"/>
                <w:kern w:val="0"/>
                <w:szCs w:val="21"/>
              </w:rPr>
            </w:pPr>
            <w:r>
              <w:rPr>
                <w:rFonts w:hint="eastAsia" w:ascii="Times New Roman" w:hAnsi="Times New Roman"/>
                <w:kern w:val="0"/>
                <w:szCs w:val="21"/>
              </w:rPr>
              <w:t>0.9</w:t>
            </w:r>
          </w:p>
        </w:tc>
        <w:tc>
          <w:tcPr>
            <w:tcW w:w="2268" w:type="dxa"/>
            <w:shd w:val="clear" w:color="auto" w:fill="auto"/>
            <w:vAlign w:val="center"/>
          </w:tcPr>
          <w:p w14:paraId="38AD2A38">
            <w:pPr>
              <w:widowControl/>
              <w:jc w:val="center"/>
              <w:rPr>
                <w:rFonts w:ascii="Times New Roman" w:hAnsi="Times New Roman"/>
                <w:kern w:val="0"/>
                <w:szCs w:val="21"/>
              </w:rPr>
            </w:pPr>
            <w:r>
              <w:rPr>
                <w:rFonts w:ascii="Times New Roman" w:hAnsi="Times New Roman"/>
                <w:kern w:val="0"/>
                <w:szCs w:val="21"/>
              </w:rPr>
              <w:t>环卫部门收集处理</w:t>
            </w:r>
          </w:p>
        </w:tc>
        <w:tc>
          <w:tcPr>
            <w:tcW w:w="1276" w:type="dxa"/>
            <w:shd w:val="clear" w:color="auto" w:fill="auto"/>
            <w:vAlign w:val="center"/>
          </w:tcPr>
          <w:p w14:paraId="6639777D">
            <w:pPr>
              <w:widowControl/>
              <w:jc w:val="center"/>
              <w:rPr>
                <w:rFonts w:ascii="Times New Roman" w:hAnsi="Times New Roman"/>
                <w:kern w:val="0"/>
                <w:szCs w:val="21"/>
              </w:rPr>
            </w:pPr>
            <w:r>
              <w:rPr>
                <w:rFonts w:ascii="Times New Roman" w:hAnsi="Times New Roman"/>
                <w:kern w:val="0"/>
                <w:szCs w:val="21"/>
              </w:rPr>
              <w:t>0</w:t>
            </w:r>
          </w:p>
        </w:tc>
      </w:tr>
      <w:tr w14:paraId="3F36C5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36" w:type="dxa"/>
            <w:shd w:val="clear" w:color="auto" w:fill="auto"/>
            <w:vAlign w:val="center"/>
          </w:tcPr>
          <w:p w14:paraId="22C5E976">
            <w:pPr>
              <w:widowControl/>
              <w:jc w:val="center"/>
              <w:rPr>
                <w:rFonts w:ascii="Times New Roman" w:hAnsi="Times New Roman"/>
                <w:kern w:val="0"/>
                <w:szCs w:val="21"/>
              </w:rPr>
            </w:pPr>
            <w:r>
              <w:rPr>
                <w:rFonts w:ascii="Times New Roman" w:hAnsi="Times New Roman"/>
                <w:kern w:val="0"/>
                <w:szCs w:val="21"/>
              </w:rPr>
              <w:t>S</w:t>
            </w:r>
            <w:r>
              <w:rPr>
                <w:rFonts w:hint="eastAsia" w:ascii="Times New Roman" w:hAnsi="Times New Roman"/>
                <w:kern w:val="0"/>
                <w:szCs w:val="21"/>
              </w:rPr>
              <w:t>6</w:t>
            </w:r>
          </w:p>
        </w:tc>
        <w:tc>
          <w:tcPr>
            <w:tcW w:w="2551" w:type="dxa"/>
            <w:shd w:val="clear" w:color="auto" w:fill="auto"/>
            <w:vAlign w:val="center"/>
          </w:tcPr>
          <w:p w14:paraId="1D9A1D00">
            <w:pPr>
              <w:widowControl/>
              <w:jc w:val="center"/>
              <w:rPr>
                <w:rFonts w:ascii="Times New Roman" w:hAnsi="Times New Roman"/>
                <w:kern w:val="0"/>
                <w:szCs w:val="21"/>
              </w:rPr>
            </w:pPr>
            <w:r>
              <w:rPr>
                <w:rFonts w:ascii="Times New Roman" w:hAnsi="Times New Roman"/>
                <w:kern w:val="0"/>
                <w:szCs w:val="21"/>
              </w:rPr>
              <w:t>除尘器废除尘袋</w:t>
            </w:r>
          </w:p>
        </w:tc>
        <w:tc>
          <w:tcPr>
            <w:tcW w:w="1701" w:type="dxa"/>
            <w:shd w:val="clear" w:color="auto" w:fill="auto"/>
            <w:vAlign w:val="center"/>
          </w:tcPr>
          <w:p w14:paraId="3C574744">
            <w:pPr>
              <w:widowControl/>
              <w:jc w:val="center"/>
              <w:rPr>
                <w:rFonts w:ascii="Times New Roman" w:hAnsi="Times New Roman"/>
                <w:kern w:val="0"/>
                <w:szCs w:val="21"/>
              </w:rPr>
            </w:pPr>
            <w:r>
              <w:rPr>
                <w:rFonts w:ascii="Times New Roman" w:hAnsi="Times New Roman"/>
                <w:kern w:val="0"/>
                <w:szCs w:val="21"/>
              </w:rPr>
              <w:t>一般固废</w:t>
            </w:r>
          </w:p>
        </w:tc>
        <w:tc>
          <w:tcPr>
            <w:tcW w:w="2127" w:type="dxa"/>
            <w:shd w:val="clear" w:color="auto" w:fill="auto"/>
            <w:vAlign w:val="center"/>
          </w:tcPr>
          <w:p w14:paraId="7B55D35E">
            <w:pPr>
              <w:widowControl/>
              <w:jc w:val="center"/>
              <w:rPr>
                <w:rFonts w:ascii="Times New Roman" w:hAnsi="Times New Roman"/>
                <w:kern w:val="0"/>
                <w:szCs w:val="21"/>
              </w:rPr>
            </w:pPr>
            <w:r>
              <w:rPr>
                <w:rFonts w:ascii="Times New Roman" w:hAnsi="Times New Roman"/>
                <w:kern w:val="0"/>
                <w:szCs w:val="21"/>
              </w:rPr>
              <w:t>针刺毡滤料、少量烟灰</w:t>
            </w:r>
          </w:p>
        </w:tc>
        <w:tc>
          <w:tcPr>
            <w:tcW w:w="708" w:type="dxa"/>
            <w:shd w:val="clear" w:color="auto" w:fill="auto"/>
            <w:vAlign w:val="center"/>
          </w:tcPr>
          <w:p w14:paraId="269AAAEC">
            <w:pPr>
              <w:widowControl/>
              <w:jc w:val="center"/>
              <w:rPr>
                <w:rFonts w:ascii="Times New Roman" w:hAnsi="Times New Roman"/>
                <w:kern w:val="0"/>
                <w:szCs w:val="21"/>
              </w:rPr>
            </w:pPr>
            <w:r>
              <w:rPr>
                <w:rFonts w:ascii="Times New Roman" w:hAnsi="Times New Roman"/>
                <w:kern w:val="0"/>
                <w:szCs w:val="21"/>
              </w:rPr>
              <w:t>固</w:t>
            </w:r>
          </w:p>
        </w:tc>
        <w:tc>
          <w:tcPr>
            <w:tcW w:w="1418" w:type="dxa"/>
            <w:shd w:val="clear" w:color="auto" w:fill="auto"/>
            <w:vAlign w:val="center"/>
          </w:tcPr>
          <w:p w14:paraId="169BD742">
            <w:pPr>
              <w:widowControl/>
              <w:jc w:val="center"/>
              <w:rPr>
                <w:rFonts w:ascii="Times New Roman" w:hAnsi="Times New Roman"/>
                <w:kern w:val="0"/>
                <w:szCs w:val="21"/>
              </w:rPr>
            </w:pPr>
            <w:r>
              <w:rPr>
                <w:rFonts w:ascii="Times New Roman" w:hAnsi="Times New Roman"/>
                <w:kern w:val="0"/>
                <w:szCs w:val="21"/>
              </w:rPr>
              <w:t>1.5年1次</w:t>
            </w:r>
          </w:p>
        </w:tc>
        <w:tc>
          <w:tcPr>
            <w:tcW w:w="1134" w:type="dxa"/>
            <w:shd w:val="clear" w:color="auto" w:fill="auto"/>
            <w:vAlign w:val="center"/>
          </w:tcPr>
          <w:p w14:paraId="739DC94D">
            <w:pPr>
              <w:widowControl/>
              <w:jc w:val="center"/>
              <w:rPr>
                <w:rFonts w:ascii="Times New Roman" w:hAnsi="Times New Roman"/>
                <w:kern w:val="0"/>
                <w:szCs w:val="21"/>
              </w:rPr>
            </w:pPr>
            <w:r>
              <w:rPr>
                <w:rFonts w:hint="eastAsia" w:ascii="Times New Roman" w:hAnsi="Times New Roman"/>
                <w:kern w:val="0"/>
                <w:szCs w:val="21"/>
              </w:rPr>
              <w:t>0.6</w:t>
            </w:r>
          </w:p>
        </w:tc>
        <w:tc>
          <w:tcPr>
            <w:tcW w:w="2268" w:type="dxa"/>
            <w:shd w:val="clear" w:color="auto" w:fill="auto"/>
            <w:vAlign w:val="center"/>
          </w:tcPr>
          <w:p w14:paraId="0740965F">
            <w:pPr>
              <w:widowControl/>
              <w:jc w:val="center"/>
              <w:rPr>
                <w:rFonts w:ascii="Times New Roman" w:hAnsi="Times New Roman"/>
                <w:kern w:val="0"/>
                <w:szCs w:val="21"/>
              </w:rPr>
            </w:pPr>
            <w:r>
              <w:rPr>
                <w:rFonts w:hint="eastAsia" w:ascii="Times New Roman" w:hAnsi="Times New Roman"/>
                <w:kern w:val="0"/>
                <w:szCs w:val="21"/>
              </w:rPr>
              <w:t>定期外售综合利用或处置</w:t>
            </w:r>
          </w:p>
        </w:tc>
        <w:tc>
          <w:tcPr>
            <w:tcW w:w="1276" w:type="dxa"/>
            <w:shd w:val="clear" w:color="auto" w:fill="auto"/>
            <w:vAlign w:val="center"/>
          </w:tcPr>
          <w:p w14:paraId="53D576AE">
            <w:pPr>
              <w:widowControl/>
              <w:jc w:val="center"/>
              <w:rPr>
                <w:rFonts w:ascii="Times New Roman" w:hAnsi="Times New Roman"/>
                <w:kern w:val="0"/>
                <w:szCs w:val="21"/>
              </w:rPr>
            </w:pPr>
            <w:r>
              <w:rPr>
                <w:rFonts w:ascii="Times New Roman" w:hAnsi="Times New Roman"/>
                <w:kern w:val="0"/>
                <w:szCs w:val="21"/>
              </w:rPr>
              <w:t>0</w:t>
            </w:r>
          </w:p>
        </w:tc>
      </w:tr>
      <w:tr w14:paraId="4EE637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36" w:type="dxa"/>
            <w:shd w:val="clear" w:color="auto" w:fill="auto"/>
            <w:vAlign w:val="center"/>
          </w:tcPr>
          <w:p w14:paraId="28A2E312">
            <w:pPr>
              <w:widowControl/>
              <w:jc w:val="center"/>
              <w:rPr>
                <w:rFonts w:ascii="Times New Roman" w:hAnsi="Times New Roman"/>
                <w:kern w:val="0"/>
                <w:szCs w:val="21"/>
              </w:rPr>
            </w:pPr>
            <w:r>
              <w:rPr>
                <w:rFonts w:ascii="Times New Roman" w:hAnsi="Times New Roman"/>
                <w:kern w:val="0"/>
                <w:szCs w:val="21"/>
              </w:rPr>
              <w:t>S</w:t>
            </w:r>
            <w:r>
              <w:rPr>
                <w:rFonts w:hint="eastAsia" w:ascii="Times New Roman" w:hAnsi="Times New Roman"/>
                <w:kern w:val="0"/>
                <w:szCs w:val="21"/>
              </w:rPr>
              <w:t>7</w:t>
            </w:r>
          </w:p>
        </w:tc>
        <w:tc>
          <w:tcPr>
            <w:tcW w:w="2551" w:type="dxa"/>
            <w:shd w:val="clear" w:color="auto" w:fill="auto"/>
            <w:vAlign w:val="center"/>
          </w:tcPr>
          <w:p w14:paraId="0BEDF67E">
            <w:pPr>
              <w:widowControl/>
              <w:jc w:val="center"/>
              <w:rPr>
                <w:rFonts w:ascii="Times New Roman" w:hAnsi="Times New Roman"/>
                <w:kern w:val="0"/>
                <w:szCs w:val="21"/>
              </w:rPr>
            </w:pPr>
            <w:r>
              <w:rPr>
                <w:rFonts w:ascii="Times New Roman" w:hAnsi="Times New Roman"/>
                <w:kern w:val="0"/>
                <w:szCs w:val="21"/>
              </w:rPr>
              <w:t>废机油</w:t>
            </w:r>
          </w:p>
        </w:tc>
        <w:tc>
          <w:tcPr>
            <w:tcW w:w="1701" w:type="dxa"/>
            <w:shd w:val="clear" w:color="auto" w:fill="auto"/>
            <w:vAlign w:val="center"/>
          </w:tcPr>
          <w:p w14:paraId="43160828">
            <w:pPr>
              <w:widowControl/>
              <w:jc w:val="center"/>
              <w:rPr>
                <w:rFonts w:ascii="Times New Roman" w:hAnsi="Times New Roman"/>
                <w:kern w:val="0"/>
                <w:szCs w:val="21"/>
              </w:rPr>
            </w:pPr>
            <w:r>
              <w:rPr>
                <w:rFonts w:ascii="Times New Roman" w:hAnsi="Times New Roman"/>
                <w:kern w:val="0"/>
                <w:szCs w:val="21"/>
              </w:rPr>
              <w:t>危险废物</w:t>
            </w:r>
          </w:p>
        </w:tc>
        <w:tc>
          <w:tcPr>
            <w:tcW w:w="2127" w:type="dxa"/>
            <w:shd w:val="clear" w:color="auto" w:fill="auto"/>
            <w:vAlign w:val="center"/>
          </w:tcPr>
          <w:p w14:paraId="3F43ABD7">
            <w:pPr>
              <w:widowControl/>
              <w:jc w:val="center"/>
              <w:rPr>
                <w:rFonts w:ascii="Times New Roman" w:hAnsi="Times New Roman"/>
                <w:kern w:val="0"/>
                <w:szCs w:val="21"/>
              </w:rPr>
            </w:pPr>
            <w:r>
              <w:rPr>
                <w:rFonts w:ascii="Times New Roman" w:hAnsi="Times New Roman"/>
                <w:kern w:val="0"/>
                <w:szCs w:val="21"/>
              </w:rPr>
              <w:t>有机溶剂</w:t>
            </w:r>
          </w:p>
        </w:tc>
        <w:tc>
          <w:tcPr>
            <w:tcW w:w="708" w:type="dxa"/>
            <w:shd w:val="clear" w:color="auto" w:fill="auto"/>
            <w:vAlign w:val="center"/>
          </w:tcPr>
          <w:p w14:paraId="2224319F">
            <w:pPr>
              <w:widowControl/>
              <w:jc w:val="center"/>
              <w:rPr>
                <w:rFonts w:ascii="Times New Roman" w:hAnsi="Times New Roman"/>
                <w:kern w:val="0"/>
                <w:szCs w:val="21"/>
              </w:rPr>
            </w:pPr>
            <w:r>
              <w:rPr>
                <w:rFonts w:ascii="Times New Roman" w:hAnsi="Times New Roman"/>
                <w:kern w:val="0"/>
                <w:szCs w:val="21"/>
              </w:rPr>
              <w:t>固</w:t>
            </w:r>
          </w:p>
        </w:tc>
        <w:tc>
          <w:tcPr>
            <w:tcW w:w="1418" w:type="dxa"/>
            <w:shd w:val="clear" w:color="auto" w:fill="auto"/>
            <w:vAlign w:val="center"/>
          </w:tcPr>
          <w:p w14:paraId="6190646C">
            <w:pPr>
              <w:widowControl/>
              <w:jc w:val="center"/>
              <w:rPr>
                <w:rFonts w:ascii="Times New Roman" w:hAnsi="Times New Roman"/>
                <w:kern w:val="0"/>
                <w:szCs w:val="21"/>
              </w:rPr>
            </w:pPr>
            <w:r>
              <w:rPr>
                <w:rFonts w:ascii="Times New Roman" w:hAnsi="Times New Roman"/>
                <w:kern w:val="0"/>
                <w:szCs w:val="21"/>
              </w:rPr>
              <w:t>间歇</w:t>
            </w:r>
          </w:p>
        </w:tc>
        <w:tc>
          <w:tcPr>
            <w:tcW w:w="1134" w:type="dxa"/>
            <w:shd w:val="clear" w:color="auto" w:fill="auto"/>
            <w:vAlign w:val="center"/>
          </w:tcPr>
          <w:p w14:paraId="7B695DE5">
            <w:pPr>
              <w:widowControl/>
              <w:jc w:val="center"/>
              <w:rPr>
                <w:rFonts w:ascii="Times New Roman" w:hAnsi="Times New Roman"/>
                <w:kern w:val="0"/>
                <w:szCs w:val="21"/>
                <w:u w:val="single"/>
              </w:rPr>
            </w:pPr>
            <w:r>
              <w:rPr>
                <w:rFonts w:hint="eastAsia" w:ascii="Times New Roman" w:hAnsi="Times New Roman"/>
                <w:kern w:val="0"/>
                <w:szCs w:val="21"/>
                <w:u w:val="single"/>
              </w:rPr>
              <w:t>0.3</w:t>
            </w:r>
          </w:p>
        </w:tc>
        <w:tc>
          <w:tcPr>
            <w:tcW w:w="2268" w:type="dxa"/>
            <w:shd w:val="clear" w:color="auto" w:fill="auto"/>
            <w:vAlign w:val="center"/>
          </w:tcPr>
          <w:p w14:paraId="14441228">
            <w:pPr>
              <w:widowControl/>
              <w:jc w:val="center"/>
              <w:rPr>
                <w:rFonts w:ascii="Times New Roman" w:hAnsi="Times New Roman"/>
                <w:kern w:val="0"/>
                <w:szCs w:val="21"/>
              </w:rPr>
            </w:pPr>
            <w:r>
              <w:rPr>
                <w:rFonts w:ascii="Times New Roman" w:hAnsi="Times New Roman"/>
                <w:kern w:val="0"/>
                <w:szCs w:val="21"/>
              </w:rPr>
              <w:t>委托有资质单位处置</w:t>
            </w:r>
          </w:p>
        </w:tc>
        <w:tc>
          <w:tcPr>
            <w:tcW w:w="1276" w:type="dxa"/>
            <w:shd w:val="clear" w:color="auto" w:fill="auto"/>
            <w:vAlign w:val="center"/>
          </w:tcPr>
          <w:p w14:paraId="127934AB">
            <w:pPr>
              <w:widowControl/>
              <w:jc w:val="center"/>
              <w:rPr>
                <w:rFonts w:ascii="Times New Roman" w:hAnsi="Times New Roman"/>
                <w:kern w:val="0"/>
                <w:szCs w:val="21"/>
              </w:rPr>
            </w:pPr>
            <w:r>
              <w:rPr>
                <w:rFonts w:ascii="Times New Roman" w:hAnsi="Times New Roman"/>
                <w:kern w:val="0"/>
                <w:szCs w:val="21"/>
              </w:rPr>
              <w:t>0</w:t>
            </w:r>
          </w:p>
        </w:tc>
      </w:tr>
    </w:tbl>
    <w:p w14:paraId="70DB9B28">
      <w:pPr>
        <w:snapToGrid w:val="0"/>
        <w:spacing w:line="360" w:lineRule="auto"/>
        <w:ind w:firstLine="472" w:firstLineChars="200"/>
        <w:rPr>
          <w:rFonts w:ascii="Times New Roman" w:hAnsi="Times New Roman"/>
          <w:spacing w:val="-2"/>
          <w:kern w:val="0"/>
          <w:sz w:val="24"/>
          <w:szCs w:val="20"/>
        </w:rPr>
      </w:pPr>
    </w:p>
    <w:p w14:paraId="33DC43C5">
      <w:pPr>
        <w:pStyle w:val="8"/>
        <w:numPr>
          <w:ilvl w:val="4"/>
          <w:numId w:val="3"/>
        </w:numPr>
        <w:rPr>
          <w:spacing w:val="-2"/>
          <w:kern w:val="0"/>
          <w:sz w:val="24"/>
          <w:szCs w:val="20"/>
        </w:rPr>
      </w:pPr>
      <w:r>
        <w:rPr>
          <w:spacing w:val="-2"/>
          <w:kern w:val="0"/>
          <w:sz w:val="24"/>
          <w:szCs w:val="20"/>
        </w:rPr>
        <w:t>危险废物汇总</w:t>
      </w:r>
    </w:p>
    <w:tbl>
      <w:tblPr>
        <w:tblStyle w:val="88"/>
        <w:tblW w:w="1404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52"/>
        <w:gridCol w:w="1134"/>
        <w:gridCol w:w="993"/>
        <w:gridCol w:w="1275"/>
        <w:gridCol w:w="993"/>
        <w:gridCol w:w="1134"/>
        <w:gridCol w:w="708"/>
        <w:gridCol w:w="1134"/>
        <w:gridCol w:w="1134"/>
        <w:gridCol w:w="851"/>
        <w:gridCol w:w="850"/>
        <w:gridCol w:w="1560"/>
        <w:gridCol w:w="1722"/>
      </w:tblGrid>
      <w:tr w14:paraId="16B23F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52" w:type="dxa"/>
            <w:shd w:val="clear" w:color="auto" w:fill="auto"/>
            <w:vAlign w:val="center"/>
          </w:tcPr>
          <w:p w14:paraId="2420A852">
            <w:pPr>
              <w:widowControl/>
              <w:jc w:val="center"/>
              <w:rPr>
                <w:rFonts w:ascii="Times New Roman" w:hAnsi="Times New Roman"/>
                <w:b/>
                <w:bCs/>
                <w:kern w:val="0"/>
                <w:szCs w:val="21"/>
              </w:rPr>
            </w:pPr>
            <w:r>
              <w:rPr>
                <w:rFonts w:ascii="Times New Roman" w:hAnsi="Times New Roman"/>
                <w:b/>
                <w:bCs/>
                <w:kern w:val="0"/>
                <w:szCs w:val="21"/>
              </w:rPr>
              <w:t>序号</w:t>
            </w:r>
          </w:p>
        </w:tc>
        <w:tc>
          <w:tcPr>
            <w:tcW w:w="1134" w:type="dxa"/>
            <w:shd w:val="clear" w:color="auto" w:fill="auto"/>
            <w:vAlign w:val="center"/>
          </w:tcPr>
          <w:p w14:paraId="13E61DC5">
            <w:pPr>
              <w:widowControl/>
              <w:jc w:val="center"/>
              <w:rPr>
                <w:rFonts w:ascii="Times New Roman" w:hAnsi="Times New Roman"/>
                <w:b/>
                <w:bCs/>
                <w:kern w:val="0"/>
                <w:szCs w:val="21"/>
              </w:rPr>
            </w:pPr>
            <w:r>
              <w:rPr>
                <w:rFonts w:ascii="Times New Roman" w:hAnsi="Times New Roman"/>
                <w:b/>
                <w:bCs/>
                <w:kern w:val="0"/>
                <w:szCs w:val="21"/>
              </w:rPr>
              <w:t>危险废物名称</w:t>
            </w:r>
          </w:p>
        </w:tc>
        <w:tc>
          <w:tcPr>
            <w:tcW w:w="993" w:type="dxa"/>
            <w:shd w:val="clear" w:color="auto" w:fill="auto"/>
            <w:vAlign w:val="center"/>
          </w:tcPr>
          <w:p w14:paraId="7E10C915">
            <w:pPr>
              <w:widowControl/>
              <w:jc w:val="center"/>
              <w:rPr>
                <w:rFonts w:ascii="Times New Roman" w:hAnsi="Times New Roman"/>
                <w:b/>
                <w:bCs/>
                <w:kern w:val="0"/>
                <w:szCs w:val="21"/>
              </w:rPr>
            </w:pPr>
            <w:r>
              <w:rPr>
                <w:rFonts w:ascii="Times New Roman" w:hAnsi="Times New Roman"/>
                <w:b/>
                <w:bCs/>
                <w:kern w:val="0"/>
                <w:szCs w:val="21"/>
              </w:rPr>
              <w:t>危险废物类别</w:t>
            </w:r>
          </w:p>
        </w:tc>
        <w:tc>
          <w:tcPr>
            <w:tcW w:w="1275" w:type="dxa"/>
            <w:shd w:val="clear" w:color="auto" w:fill="auto"/>
            <w:vAlign w:val="center"/>
          </w:tcPr>
          <w:p w14:paraId="64FF2582">
            <w:pPr>
              <w:widowControl/>
              <w:jc w:val="center"/>
              <w:rPr>
                <w:rFonts w:ascii="Times New Roman" w:hAnsi="Times New Roman"/>
                <w:b/>
                <w:bCs/>
                <w:kern w:val="0"/>
                <w:szCs w:val="21"/>
              </w:rPr>
            </w:pPr>
            <w:r>
              <w:rPr>
                <w:rFonts w:ascii="Times New Roman" w:hAnsi="Times New Roman"/>
                <w:b/>
                <w:bCs/>
                <w:kern w:val="0"/>
                <w:szCs w:val="21"/>
              </w:rPr>
              <w:t>危险废物代码</w:t>
            </w:r>
          </w:p>
        </w:tc>
        <w:tc>
          <w:tcPr>
            <w:tcW w:w="993" w:type="dxa"/>
            <w:shd w:val="clear" w:color="auto" w:fill="auto"/>
            <w:vAlign w:val="center"/>
          </w:tcPr>
          <w:p w14:paraId="2B4EE83C">
            <w:pPr>
              <w:widowControl/>
              <w:jc w:val="center"/>
              <w:rPr>
                <w:rFonts w:ascii="Times New Roman" w:hAnsi="Times New Roman"/>
                <w:b/>
                <w:bCs/>
                <w:kern w:val="0"/>
                <w:szCs w:val="21"/>
              </w:rPr>
            </w:pPr>
            <w:r>
              <w:rPr>
                <w:rFonts w:ascii="Times New Roman" w:hAnsi="Times New Roman"/>
                <w:b/>
                <w:bCs/>
                <w:kern w:val="0"/>
                <w:szCs w:val="21"/>
              </w:rPr>
              <w:t>产生量 (t/a)</w:t>
            </w:r>
          </w:p>
        </w:tc>
        <w:tc>
          <w:tcPr>
            <w:tcW w:w="1134" w:type="dxa"/>
            <w:shd w:val="clear" w:color="auto" w:fill="auto"/>
            <w:vAlign w:val="center"/>
          </w:tcPr>
          <w:p w14:paraId="0D3010E1">
            <w:pPr>
              <w:widowControl/>
              <w:jc w:val="center"/>
              <w:rPr>
                <w:rFonts w:ascii="Times New Roman" w:hAnsi="Times New Roman"/>
                <w:b/>
                <w:bCs/>
                <w:kern w:val="0"/>
                <w:szCs w:val="21"/>
              </w:rPr>
            </w:pPr>
            <w:r>
              <w:rPr>
                <w:rFonts w:ascii="Times New Roman" w:hAnsi="Times New Roman"/>
                <w:b/>
                <w:bCs/>
                <w:kern w:val="0"/>
                <w:szCs w:val="21"/>
              </w:rPr>
              <w:t>产生工序及装置</w:t>
            </w:r>
          </w:p>
        </w:tc>
        <w:tc>
          <w:tcPr>
            <w:tcW w:w="708" w:type="dxa"/>
            <w:shd w:val="clear" w:color="auto" w:fill="auto"/>
            <w:vAlign w:val="center"/>
          </w:tcPr>
          <w:p w14:paraId="08043B5E">
            <w:pPr>
              <w:widowControl/>
              <w:jc w:val="center"/>
              <w:rPr>
                <w:rFonts w:ascii="Times New Roman" w:hAnsi="Times New Roman"/>
                <w:b/>
                <w:bCs/>
                <w:kern w:val="0"/>
                <w:szCs w:val="21"/>
              </w:rPr>
            </w:pPr>
            <w:r>
              <w:rPr>
                <w:rFonts w:ascii="Times New Roman" w:hAnsi="Times New Roman"/>
                <w:b/>
                <w:bCs/>
                <w:kern w:val="0"/>
                <w:szCs w:val="21"/>
              </w:rPr>
              <w:t>形态</w:t>
            </w:r>
          </w:p>
        </w:tc>
        <w:tc>
          <w:tcPr>
            <w:tcW w:w="1134" w:type="dxa"/>
            <w:shd w:val="clear" w:color="auto" w:fill="auto"/>
            <w:vAlign w:val="center"/>
          </w:tcPr>
          <w:p w14:paraId="25663E65">
            <w:pPr>
              <w:widowControl/>
              <w:jc w:val="center"/>
              <w:rPr>
                <w:rFonts w:ascii="Times New Roman" w:hAnsi="Times New Roman"/>
                <w:b/>
                <w:bCs/>
                <w:kern w:val="0"/>
                <w:szCs w:val="21"/>
              </w:rPr>
            </w:pPr>
            <w:r>
              <w:rPr>
                <w:rFonts w:ascii="Times New Roman" w:hAnsi="Times New Roman"/>
                <w:b/>
                <w:bCs/>
                <w:kern w:val="0"/>
                <w:szCs w:val="21"/>
              </w:rPr>
              <w:t>主要成分</w:t>
            </w:r>
          </w:p>
        </w:tc>
        <w:tc>
          <w:tcPr>
            <w:tcW w:w="1134" w:type="dxa"/>
            <w:shd w:val="clear" w:color="auto" w:fill="auto"/>
            <w:vAlign w:val="center"/>
          </w:tcPr>
          <w:p w14:paraId="5E7479D6">
            <w:pPr>
              <w:widowControl/>
              <w:jc w:val="center"/>
              <w:rPr>
                <w:rFonts w:ascii="Times New Roman" w:hAnsi="Times New Roman"/>
                <w:b/>
                <w:bCs/>
                <w:kern w:val="0"/>
                <w:szCs w:val="21"/>
              </w:rPr>
            </w:pPr>
            <w:r>
              <w:rPr>
                <w:rFonts w:ascii="Times New Roman" w:hAnsi="Times New Roman"/>
                <w:b/>
                <w:bCs/>
                <w:kern w:val="0"/>
                <w:szCs w:val="21"/>
              </w:rPr>
              <w:t>有害成分</w:t>
            </w:r>
          </w:p>
        </w:tc>
        <w:tc>
          <w:tcPr>
            <w:tcW w:w="851" w:type="dxa"/>
            <w:shd w:val="clear" w:color="auto" w:fill="auto"/>
            <w:vAlign w:val="center"/>
          </w:tcPr>
          <w:p w14:paraId="3572FC15">
            <w:pPr>
              <w:widowControl/>
              <w:jc w:val="center"/>
              <w:rPr>
                <w:rFonts w:ascii="Times New Roman" w:hAnsi="Times New Roman"/>
                <w:b/>
                <w:bCs/>
                <w:kern w:val="0"/>
                <w:szCs w:val="21"/>
              </w:rPr>
            </w:pPr>
            <w:r>
              <w:rPr>
                <w:rFonts w:ascii="Times New Roman" w:hAnsi="Times New Roman"/>
                <w:b/>
                <w:bCs/>
                <w:kern w:val="0"/>
                <w:szCs w:val="21"/>
              </w:rPr>
              <w:t>产废</w:t>
            </w:r>
          </w:p>
          <w:p w14:paraId="173D7657">
            <w:pPr>
              <w:widowControl/>
              <w:jc w:val="center"/>
              <w:rPr>
                <w:rFonts w:ascii="Times New Roman" w:hAnsi="Times New Roman"/>
                <w:b/>
                <w:bCs/>
                <w:kern w:val="0"/>
                <w:szCs w:val="21"/>
              </w:rPr>
            </w:pPr>
            <w:r>
              <w:rPr>
                <w:rFonts w:ascii="Times New Roman" w:hAnsi="Times New Roman"/>
                <w:b/>
                <w:bCs/>
                <w:kern w:val="0"/>
                <w:szCs w:val="21"/>
              </w:rPr>
              <w:t>周期</w:t>
            </w:r>
          </w:p>
        </w:tc>
        <w:tc>
          <w:tcPr>
            <w:tcW w:w="850" w:type="dxa"/>
            <w:shd w:val="clear" w:color="auto" w:fill="auto"/>
            <w:vAlign w:val="center"/>
          </w:tcPr>
          <w:p w14:paraId="2BF1B0BD">
            <w:pPr>
              <w:widowControl/>
              <w:jc w:val="center"/>
              <w:rPr>
                <w:rFonts w:ascii="Times New Roman" w:hAnsi="Times New Roman"/>
                <w:b/>
                <w:bCs/>
                <w:kern w:val="0"/>
                <w:szCs w:val="21"/>
              </w:rPr>
            </w:pPr>
            <w:r>
              <w:rPr>
                <w:rFonts w:ascii="Times New Roman" w:hAnsi="Times New Roman"/>
                <w:b/>
                <w:bCs/>
                <w:kern w:val="0"/>
                <w:szCs w:val="21"/>
              </w:rPr>
              <w:t>危险</w:t>
            </w:r>
          </w:p>
          <w:p w14:paraId="721600EC">
            <w:pPr>
              <w:widowControl/>
              <w:jc w:val="center"/>
              <w:rPr>
                <w:rFonts w:ascii="Times New Roman" w:hAnsi="Times New Roman"/>
                <w:b/>
                <w:bCs/>
                <w:kern w:val="0"/>
                <w:szCs w:val="21"/>
              </w:rPr>
            </w:pPr>
            <w:r>
              <w:rPr>
                <w:rFonts w:ascii="Times New Roman" w:hAnsi="Times New Roman"/>
                <w:b/>
                <w:bCs/>
                <w:kern w:val="0"/>
                <w:szCs w:val="21"/>
              </w:rPr>
              <w:t>特性</w:t>
            </w:r>
          </w:p>
        </w:tc>
        <w:tc>
          <w:tcPr>
            <w:tcW w:w="1560" w:type="dxa"/>
            <w:shd w:val="clear" w:color="auto" w:fill="auto"/>
            <w:vAlign w:val="center"/>
          </w:tcPr>
          <w:p w14:paraId="512E5BC3">
            <w:pPr>
              <w:widowControl/>
              <w:jc w:val="center"/>
              <w:rPr>
                <w:rFonts w:ascii="Times New Roman" w:hAnsi="Times New Roman"/>
                <w:b/>
                <w:bCs/>
                <w:kern w:val="0"/>
                <w:szCs w:val="21"/>
              </w:rPr>
            </w:pPr>
            <w:r>
              <w:rPr>
                <w:rFonts w:ascii="Times New Roman" w:hAnsi="Times New Roman"/>
                <w:b/>
                <w:bCs/>
                <w:kern w:val="0"/>
                <w:szCs w:val="21"/>
              </w:rPr>
              <w:t>处置方式</w:t>
            </w:r>
          </w:p>
        </w:tc>
        <w:tc>
          <w:tcPr>
            <w:tcW w:w="1722" w:type="dxa"/>
            <w:shd w:val="clear" w:color="auto" w:fill="auto"/>
            <w:vAlign w:val="center"/>
          </w:tcPr>
          <w:p w14:paraId="7A8335C2">
            <w:pPr>
              <w:widowControl/>
              <w:jc w:val="center"/>
              <w:rPr>
                <w:rFonts w:ascii="Times New Roman" w:hAnsi="Times New Roman"/>
                <w:b/>
                <w:bCs/>
                <w:kern w:val="0"/>
                <w:szCs w:val="21"/>
              </w:rPr>
            </w:pPr>
            <w:r>
              <w:rPr>
                <w:rFonts w:ascii="Times New Roman" w:hAnsi="Times New Roman"/>
                <w:b/>
                <w:bCs/>
                <w:kern w:val="0"/>
                <w:szCs w:val="21"/>
              </w:rPr>
              <w:t>贮存方式</w:t>
            </w:r>
          </w:p>
        </w:tc>
      </w:tr>
      <w:tr w14:paraId="7D9E13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52" w:type="dxa"/>
            <w:shd w:val="clear" w:color="auto" w:fill="auto"/>
            <w:vAlign w:val="center"/>
          </w:tcPr>
          <w:p w14:paraId="4F304F57">
            <w:pPr>
              <w:widowControl/>
              <w:jc w:val="center"/>
              <w:rPr>
                <w:rFonts w:ascii="Times New Roman" w:hAnsi="Times New Roman"/>
                <w:kern w:val="0"/>
                <w:szCs w:val="21"/>
              </w:rPr>
            </w:pPr>
            <w:r>
              <w:rPr>
                <w:rFonts w:ascii="Times New Roman" w:hAnsi="Times New Roman"/>
                <w:kern w:val="0"/>
                <w:szCs w:val="21"/>
              </w:rPr>
              <w:t>1</w:t>
            </w:r>
          </w:p>
        </w:tc>
        <w:tc>
          <w:tcPr>
            <w:tcW w:w="1134" w:type="dxa"/>
            <w:shd w:val="clear" w:color="auto" w:fill="auto"/>
            <w:vAlign w:val="center"/>
          </w:tcPr>
          <w:p w14:paraId="0B608A16">
            <w:pPr>
              <w:widowControl/>
              <w:jc w:val="center"/>
              <w:rPr>
                <w:rFonts w:ascii="Times New Roman" w:hAnsi="Times New Roman"/>
                <w:kern w:val="0"/>
                <w:szCs w:val="21"/>
              </w:rPr>
            </w:pPr>
            <w:r>
              <w:rPr>
                <w:rFonts w:ascii="Times New Roman" w:hAnsi="Times New Roman"/>
                <w:kern w:val="0"/>
                <w:szCs w:val="21"/>
              </w:rPr>
              <w:t>废机油</w:t>
            </w:r>
          </w:p>
        </w:tc>
        <w:tc>
          <w:tcPr>
            <w:tcW w:w="993" w:type="dxa"/>
            <w:shd w:val="clear" w:color="auto" w:fill="auto"/>
            <w:vAlign w:val="center"/>
          </w:tcPr>
          <w:p w14:paraId="119E1A6E">
            <w:pPr>
              <w:widowControl/>
              <w:jc w:val="center"/>
              <w:rPr>
                <w:rFonts w:ascii="Times New Roman" w:hAnsi="Times New Roman"/>
                <w:kern w:val="0"/>
                <w:szCs w:val="21"/>
              </w:rPr>
            </w:pPr>
            <w:r>
              <w:rPr>
                <w:rFonts w:ascii="Times New Roman" w:hAnsi="Times New Roman"/>
                <w:kern w:val="0"/>
                <w:szCs w:val="21"/>
              </w:rPr>
              <w:t>HW08</w:t>
            </w:r>
          </w:p>
        </w:tc>
        <w:tc>
          <w:tcPr>
            <w:tcW w:w="1275" w:type="dxa"/>
            <w:shd w:val="clear" w:color="auto" w:fill="auto"/>
            <w:vAlign w:val="center"/>
          </w:tcPr>
          <w:p w14:paraId="7968966B">
            <w:pPr>
              <w:widowControl/>
              <w:jc w:val="center"/>
              <w:rPr>
                <w:rFonts w:ascii="Times New Roman" w:hAnsi="Times New Roman"/>
                <w:kern w:val="0"/>
                <w:szCs w:val="21"/>
              </w:rPr>
            </w:pPr>
            <w:r>
              <w:rPr>
                <w:rFonts w:ascii="Times New Roman" w:hAnsi="Times New Roman"/>
                <w:kern w:val="0"/>
                <w:szCs w:val="21"/>
              </w:rPr>
              <w:t>900-249-08</w:t>
            </w:r>
          </w:p>
        </w:tc>
        <w:tc>
          <w:tcPr>
            <w:tcW w:w="993" w:type="dxa"/>
            <w:shd w:val="clear" w:color="auto" w:fill="auto"/>
            <w:vAlign w:val="center"/>
          </w:tcPr>
          <w:p w14:paraId="3C5F8A5F">
            <w:pPr>
              <w:widowControl/>
              <w:jc w:val="center"/>
              <w:rPr>
                <w:rFonts w:ascii="Times New Roman" w:hAnsi="Times New Roman"/>
                <w:kern w:val="0"/>
                <w:szCs w:val="21"/>
                <w:u w:val="single"/>
              </w:rPr>
            </w:pPr>
            <w:r>
              <w:rPr>
                <w:rFonts w:ascii="Times New Roman" w:hAnsi="Times New Roman"/>
                <w:kern w:val="0"/>
                <w:szCs w:val="21"/>
                <w:u w:val="single"/>
              </w:rPr>
              <w:t>0.</w:t>
            </w:r>
            <w:r>
              <w:rPr>
                <w:rFonts w:hint="eastAsia" w:ascii="Times New Roman" w:hAnsi="Times New Roman"/>
                <w:kern w:val="0"/>
                <w:szCs w:val="21"/>
                <w:u w:val="single"/>
              </w:rPr>
              <w:t>3</w:t>
            </w:r>
          </w:p>
        </w:tc>
        <w:tc>
          <w:tcPr>
            <w:tcW w:w="1134" w:type="dxa"/>
            <w:shd w:val="clear" w:color="auto" w:fill="auto"/>
            <w:vAlign w:val="center"/>
          </w:tcPr>
          <w:p w14:paraId="384C2FF6">
            <w:pPr>
              <w:widowControl/>
              <w:jc w:val="center"/>
              <w:rPr>
                <w:rFonts w:ascii="Times New Roman" w:hAnsi="Times New Roman"/>
                <w:kern w:val="0"/>
                <w:szCs w:val="21"/>
              </w:rPr>
            </w:pPr>
            <w:r>
              <w:rPr>
                <w:rFonts w:ascii="Times New Roman" w:hAnsi="Times New Roman"/>
                <w:kern w:val="0"/>
                <w:szCs w:val="21"/>
              </w:rPr>
              <w:t>机修</w:t>
            </w:r>
          </w:p>
        </w:tc>
        <w:tc>
          <w:tcPr>
            <w:tcW w:w="708" w:type="dxa"/>
            <w:shd w:val="clear" w:color="auto" w:fill="auto"/>
            <w:vAlign w:val="center"/>
          </w:tcPr>
          <w:p w14:paraId="5DD8B4DA">
            <w:pPr>
              <w:widowControl/>
              <w:jc w:val="center"/>
              <w:rPr>
                <w:rFonts w:ascii="Times New Roman" w:hAnsi="Times New Roman"/>
                <w:kern w:val="0"/>
                <w:szCs w:val="21"/>
              </w:rPr>
            </w:pPr>
            <w:r>
              <w:rPr>
                <w:rFonts w:ascii="Times New Roman" w:hAnsi="Times New Roman"/>
                <w:kern w:val="0"/>
                <w:szCs w:val="21"/>
              </w:rPr>
              <w:t>固</w:t>
            </w:r>
          </w:p>
        </w:tc>
        <w:tc>
          <w:tcPr>
            <w:tcW w:w="1134" w:type="dxa"/>
            <w:shd w:val="clear" w:color="auto" w:fill="auto"/>
            <w:vAlign w:val="center"/>
          </w:tcPr>
          <w:p w14:paraId="5D9EE9C8">
            <w:pPr>
              <w:widowControl/>
              <w:jc w:val="center"/>
              <w:rPr>
                <w:rFonts w:ascii="Times New Roman" w:hAnsi="Times New Roman"/>
                <w:kern w:val="0"/>
                <w:szCs w:val="21"/>
              </w:rPr>
            </w:pPr>
            <w:r>
              <w:rPr>
                <w:rFonts w:ascii="Times New Roman" w:hAnsi="Times New Roman"/>
                <w:kern w:val="0"/>
                <w:szCs w:val="21"/>
              </w:rPr>
              <w:t>有机溶剂</w:t>
            </w:r>
          </w:p>
        </w:tc>
        <w:tc>
          <w:tcPr>
            <w:tcW w:w="1134" w:type="dxa"/>
            <w:shd w:val="clear" w:color="auto" w:fill="auto"/>
            <w:vAlign w:val="center"/>
          </w:tcPr>
          <w:p w14:paraId="347B8EA6">
            <w:pPr>
              <w:widowControl/>
              <w:jc w:val="center"/>
              <w:rPr>
                <w:rFonts w:ascii="Times New Roman" w:hAnsi="Times New Roman"/>
                <w:kern w:val="0"/>
                <w:szCs w:val="21"/>
              </w:rPr>
            </w:pPr>
            <w:r>
              <w:rPr>
                <w:rFonts w:ascii="Times New Roman" w:hAnsi="Times New Roman"/>
                <w:kern w:val="0"/>
                <w:szCs w:val="21"/>
              </w:rPr>
              <w:t>矿物油</w:t>
            </w:r>
          </w:p>
        </w:tc>
        <w:tc>
          <w:tcPr>
            <w:tcW w:w="851" w:type="dxa"/>
            <w:shd w:val="clear" w:color="auto" w:fill="auto"/>
            <w:vAlign w:val="center"/>
          </w:tcPr>
          <w:p w14:paraId="031C4CDA">
            <w:pPr>
              <w:widowControl/>
              <w:jc w:val="center"/>
              <w:rPr>
                <w:rFonts w:ascii="Times New Roman" w:hAnsi="Times New Roman"/>
                <w:kern w:val="0"/>
                <w:szCs w:val="21"/>
              </w:rPr>
            </w:pPr>
            <w:r>
              <w:rPr>
                <w:rFonts w:ascii="Times New Roman" w:hAnsi="Times New Roman"/>
                <w:kern w:val="0"/>
                <w:szCs w:val="21"/>
              </w:rPr>
              <w:t>间歇</w:t>
            </w:r>
          </w:p>
        </w:tc>
        <w:tc>
          <w:tcPr>
            <w:tcW w:w="850" w:type="dxa"/>
            <w:shd w:val="clear" w:color="auto" w:fill="auto"/>
            <w:vAlign w:val="center"/>
          </w:tcPr>
          <w:p w14:paraId="6FBCF2CD">
            <w:pPr>
              <w:widowControl/>
              <w:jc w:val="center"/>
              <w:rPr>
                <w:rFonts w:ascii="Times New Roman" w:hAnsi="Times New Roman"/>
                <w:kern w:val="0"/>
                <w:szCs w:val="21"/>
              </w:rPr>
            </w:pPr>
            <w:r>
              <w:rPr>
                <w:rFonts w:ascii="Times New Roman" w:hAnsi="Times New Roman"/>
                <w:kern w:val="0"/>
                <w:szCs w:val="21"/>
              </w:rPr>
              <w:t>T，I</w:t>
            </w:r>
          </w:p>
        </w:tc>
        <w:tc>
          <w:tcPr>
            <w:tcW w:w="1560" w:type="dxa"/>
            <w:shd w:val="clear" w:color="auto" w:fill="auto"/>
            <w:vAlign w:val="center"/>
          </w:tcPr>
          <w:p w14:paraId="3EBB97BD">
            <w:pPr>
              <w:widowControl/>
              <w:jc w:val="center"/>
              <w:rPr>
                <w:rFonts w:ascii="Times New Roman" w:hAnsi="Times New Roman"/>
                <w:kern w:val="0"/>
                <w:szCs w:val="21"/>
              </w:rPr>
            </w:pPr>
            <w:r>
              <w:rPr>
                <w:rFonts w:ascii="Times New Roman" w:hAnsi="Times New Roman"/>
                <w:kern w:val="0"/>
                <w:szCs w:val="21"/>
              </w:rPr>
              <w:t>委托有资质单位处置</w:t>
            </w:r>
          </w:p>
        </w:tc>
        <w:tc>
          <w:tcPr>
            <w:tcW w:w="1722" w:type="dxa"/>
            <w:shd w:val="clear" w:color="auto" w:fill="auto"/>
            <w:vAlign w:val="center"/>
          </w:tcPr>
          <w:p w14:paraId="3DB90268">
            <w:pPr>
              <w:widowControl/>
              <w:jc w:val="center"/>
              <w:rPr>
                <w:rFonts w:ascii="Times New Roman" w:hAnsi="Times New Roman"/>
                <w:kern w:val="0"/>
                <w:szCs w:val="21"/>
              </w:rPr>
            </w:pPr>
            <w:r>
              <w:rPr>
                <w:rFonts w:ascii="Times New Roman" w:hAnsi="Times New Roman"/>
                <w:kern w:val="0"/>
                <w:szCs w:val="21"/>
              </w:rPr>
              <w:t>桶装密闭，储存于危废间</w:t>
            </w:r>
          </w:p>
        </w:tc>
      </w:tr>
    </w:tbl>
    <w:p w14:paraId="3470CFCF">
      <w:pPr>
        <w:snapToGrid w:val="0"/>
        <w:spacing w:line="360" w:lineRule="auto"/>
        <w:ind w:firstLine="472" w:firstLineChars="200"/>
        <w:rPr>
          <w:rFonts w:ascii="Times New Roman" w:hAnsi="Times New Roman"/>
          <w:spacing w:val="-2"/>
          <w:kern w:val="0"/>
          <w:sz w:val="24"/>
          <w:szCs w:val="20"/>
        </w:rPr>
      </w:pPr>
    </w:p>
    <w:p w14:paraId="66E11363">
      <w:pPr>
        <w:snapToGrid w:val="0"/>
        <w:spacing w:line="360" w:lineRule="auto"/>
        <w:ind w:firstLine="472" w:firstLineChars="200"/>
        <w:rPr>
          <w:rFonts w:ascii="Times New Roman" w:hAnsi="Times New Roman"/>
          <w:spacing w:val="-2"/>
          <w:kern w:val="0"/>
          <w:sz w:val="24"/>
          <w:szCs w:val="20"/>
        </w:rPr>
      </w:pPr>
    </w:p>
    <w:p w14:paraId="63B198FA">
      <w:pPr>
        <w:snapToGrid w:val="0"/>
        <w:spacing w:line="360" w:lineRule="auto"/>
        <w:ind w:firstLine="472" w:firstLineChars="200"/>
        <w:rPr>
          <w:rFonts w:ascii="Times New Roman" w:hAnsi="Times New Roman"/>
          <w:spacing w:val="-2"/>
          <w:kern w:val="0"/>
          <w:sz w:val="24"/>
          <w:szCs w:val="20"/>
        </w:rPr>
        <w:sectPr>
          <w:pgSz w:w="16838" w:h="11906" w:orient="landscape"/>
          <w:pgMar w:top="1418" w:right="1418" w:bottom="1418" w:left="1418" w:header="851" w:footer="737" w:gutter="0"/>
          <w:cols w:space="720" w:num="1"/>
          <w:docGrid w:linePitch="323" w:charSpace="0"/>
        </w:sectPr>
      </w:pPr>
    </w:p>
    <w:p w14:paraId="2F468AC2">
      <w:pPr>
        <w:pStyle w:val="6"/>
        <w:numPr>
          <w:ilvl w:val="2"/>
          <w:numId w:val="3"/>
        </w:numPr>
        <w:jc w:val="left"/>
      </w:pPr>
      <w:r>
        <w:t>放射性分析</w:t>
      </w:r>
    </w:p>
    <w:p w14:paraId="40460972">
      <w:pPr>
        <w:spacing w:line="360" w:lineRule="auto"/>
        <w:ind w:firstLine="480" w:firstLineChars="200"/>
        <w:rPr>
          <w:rFonts w:ascii="Times New Roman" w:hAnsi="Times New Roman"/>
          <w:sz w:val="24"/>
          <w:szCs w:val="24"/>
        </w:rPr>
      </w:pPr>
      <w:r>
        <w:rPr>
          <w:rFonts w:hint="eastAsia" w:ascii="Times New Roman" w:hAnsi="Times New Roman"/>
          <w:sz w:val="24"/>
          <w:szCs w:val="24"/>
        </w:rPr>
        <w:t>根据</w:t>
      </w:r>
      <w:r>
        <w:rPr>
          <w:rFonts w:ascii="Times New Roman" w:hAnsi="Times New Roman"/>
          <w:sz w:val="24"/>
          <w:szCs w:val="24"/>
        </w:rPr>
        <w:t>《锆钛矿石分选加工项目辐射环境影响评价专篇》</w:t>
      </w:r>
      <w:r>
        <w:rPr>
          <w:rFonts w:hint="eastAsia" w:ascii="Times New Roman" w:hAnsi="Times New Roman"/>
          <w:sz w:val="24"/>
          <w:szCs w:val="24"/>
        </w:rPr>
        <w:t>分析，项目排放源项主要有气载流出物的氡排放、γ辐射、含铀、钍核素粉尘放射性，以及含放射性的</w:t>
      </w:r>
      <w:r>
        <w:rPr>
          <w:rFonts w:hint="eastAsia" w:ascii="Times New Roman" w:hAnsi="Times New Roman"/>
          <w:spacing w:val="-2"/>
          <w:sz w:val="24"/>
          <w:szCs w:val="20"/>
        </w:rPr>
        <w:t>生产车间除尘器粉尘、生产车间地面粉尘。具体分析</w:t>
      </w:r>
      <w:r>
        <w:rPr>
          <w:rFonts w:ascii="Times New Roman" w:hAnsi="Times New Roman"/>
          <w:sz w:val="24"/>
          <w:szCs w:val="24"/>
        </w:rPr>
        <w:t>详见《锆钛矿石分选加工项目辐射环境影响评价专篇》。</w:t>
      </w:r>
    </w:p>
    <w:p w14:paraId="59E53381">
      <w:pPr>
        <w:pStyle w:val="6"/>
        <w:numPr>
          <w:ilvl w:val="2"/>
          <w:numId w:val="3"/>
        </w:numPr>
      </w:pPr>
      <w:r>
        <w:t>运营期非正常排放</w:t>
      </w:r>
    </w:p>
    <w:p w14:paraId="48F5B494">
      <w:pPr>
        <w:spacing w:line="360" w:lineRule="auto"/>
        <w:ind w:firstLine="480" w:firstLineChars="200"/>
        <w:rPr>
          <w:rFonts w:ascii="Times New Roman" w:hAnsi="Times New Roman"/>
          <w:sz w:val="24"/>
          <w:szCs w:val="24"/>
        </w:rPr>
      </w:pPr>
      <w:r>
        <w:rPr>
          <w:rFonts w:ascii="Times New Roman" w:hAnsi="Times New Roman"/>
          <w:sz w:val="24"/>
          <w:szCs w:val="24"/>
        </w:rPr>
        <w:t>非正常工况排污环保设施运行不正常情况下的污染物排放，如处理不及时或处理方法不当，将会对环境造成严重影响。</w:t>
      </w:r>
    </w:p>
    <w:p w14:paraId="151D6E01">
      <w:pPr>
        <w:spacing w:line="360" w:lineRule="auto"/>
        <w:ind w:firstLine="480" w:firstLineChars="200"/>
        <w:rPr>
          <w:rFonts w:ascii="Times New Roman" w:hAnsi="Times New Roman"/>
          <w:sz w:val="24"/>
          <w:szCs w:val="24"/>
        </w:rPr>
      </w:pPr>
      <w:r>
        <w:rPr>
          <w:rFonts w:ascii="Times New Roman" w:hAnsi="Times New Roman"/>
          <w:sz w:val="24"/>
          <w:szCs w:val="24"/>
        </w:rPr>
        <w:t>项目非正常工况主要考虑项目废气处理装置年久失修效率下降的情况。非正常工况存在多种情景，全部废气处理装置同时发生非正常排放工况的可能性不大，本次评价选择具有代表性的、影响较大的情景：</w:t>
      </w:r>
    </w:p>
    <w:p w14:paraId="2511E6D8">
      <w:pPr>
        <w:spacing w:line="360" w:lineRule="auto"/>
        <w:ind w:firstLine="480" w:firstLineChars="200"/>
        <w:rPr>
          <w:rFonts w:ascii="Times New Roman" w:hAnsi="Times New Roman"/>
          <w:sz w:val="24"/>
          <w:szCs w:val="24"/>
        </w:rPr>
      </w:pPr>
      <w:r>
        <w:rPr>
          <w:rFonts w:ascii="Times New Roman" w:hAnsi="Times New Roman"/>
          <w:sz w:val="24"/>
          <w:szCs w:val="24"/>
        </w:rPr>
        <w:t>（1）烘干炉除尘系统布袋破损，除尘率降低50%的工况；</w:t>
      </w:r>
    </w:p>
    <w:p w14:paraId="3AD1B513">
      <w:pPr>
        <w:spacing w:line="360" w:lineRule="auto"/>
        <w:ind w:firstLine="480" w:firstLineChars="200"/>
        <w:rPr>
          <w:rFonts w:ascii="Times New Roman" w:hAnsi="Times New Roman"/>
          <w:sz w:val="24"/>
          <w:szCs w:val="24"/>
        </w:rPr>
      </w:pPr>
      <w:r>
        <w:rPr>
          <w:rFonts w:ascii="Times New Roman" w:hAnsi="Times New Roman"/>
          <w:sz w:val="24"/>
          <w:szCs w:val="24"/>
        </w:rPr>
        <w:t>（2）车间粉尘除尘系统布袋破损，除尘率降低50%的工况。</w:t>
      </w:r>
    </w:p>
    <w:p w14:paraId="1A1C741E">
      <w:pPr>
        <w:spacing w:line="360" w:lineRule="auto"/>
        <w:ind w:firstLine="480" w:firstLineChars="200"/>
        <w:rPr>
          <w:rFonts w:ascii="Times New Roman" w:hAnsi="Times New Roman"/>
          <w:sz w:val="24"/>
          <w:szCs w:val="24"/>
        </w:rPr>
      </w:pPr>
      <w:r>
        <w:rPr>
          <w:rFonts w:ascii="Times New Roman" w:hAnsi="Times New Roman"/>
          <w:sz w:val="24"/>
          <w:szCs w:val="24"/>
        </w:rPr>
        <w:t>非正常工况下废气污染物产排情况详见表</w:t>
      </w:r>
      <w:r>
        <w:rPr>
          <w:rFonts w:hint="eastAsia" w:ascii="Times New Roman" w:hAnsi="Times New Roman"/>
          <w:sz w:val="24"/>
          <w:szCs w:val="24"/>
        </w:rPr>
        <w:t>2.3-20。</w:t>
      </w:r>
    </w:p>
    <w:p w14:paraId="509F710C">
      <w:pPr>
        <w:pStyle w:val="8"/>
        <w:numPr>
          <w:ilvl w:val="4"/>
          <w:numId w:val="3"/>
        </w:numPr>
        <w:rPr>
          <w:spacing w:val="-2"/>
          <w:kern w:val="0"/>
          <w:sz w:val="24"/>
          <w:szCs w:val="20"/>
        </w:rPr>
      </w:pPr>
      <w:r>
        <w:rPr>
          <w:spacing w:val="-2"/>
          <w:kern w:val="0"/>
          <w:sz w:val="24"/>
          <w:szCs w:val="20"/>
        </w:rPr>
        <w:t>非正常工况废气排放情况</w:t>
      </w:r>
    </w:p>
    <w:tbl>
      <w:tblPr>
        <w:tblStyle w:val="88"/>
        <w:tblW w:w="932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78"/>
        <w:gridCol w:w="1559"/>
        <w:gridCol w:w="1356"/>
        <w:gridCol w:w="1357"/>
        <w:gridCol w:w="1356"/>
        <w:gridCol w:w="1357"/>
        <w:gridCol w:w="1357"/>
      </w:tblGrid>
      <w:tr w14:paraId="62FCDA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978" w:type="dxa"/>
            <w:shd w:val="clear" w:color="auto" w:fill="auto"/>
            <w:vAlign w:val="center"/>
          </w:tcPr>
          <w:p w14:paraId="0FC0C483">
            <w:pPr>
              <w:widowControl/>
              <w:jc w:val="center"/>
              <w:rPr>
                <w:rFonts w:ascii="Times New Roman" w:hAnsi="Times New Roman"/>
                <w:b/>
                <w:bCs/>
                <w:kern w:val="0"/>
                <w:szCs w:val="21"/>
              </w:rPr>
            </w:pPr>
            <w:r>
              <w:rPr>
                <w:rFonts w:ascii="Times New Roman" w:hAnsi="Times New Roman"/>
                <w:b/>
                <w:bCs/>
                <w:kern w:val="0"/>
                <w:szCs w:val="21"/>
              </w:rPr>
              <w:t>排放口编号</w:t>
            </w:r>
          </w:p>
        </w:tc>
        <w:tc>
          <w:tcPr>
            <w:tcW w:w="1559" w:type="dxa"/>
            <w:shd w:val="clear" w:color="auto" w:fill="auto"/>
            <w:vAlign w:val="center"/>
          </w:tcPr>
          <w:p w14:paraId="713F7F52">
            <w:pPr>
              <w:widowControl/>
              <w:jc w:val="center"/>
              <w:rPr>
                <w:rFonts w:ascii="Times New Roman" w:hAnsi="Times New Roman"/>
                <w:b/>
                <w:bCs/>
                <w:kern w:val="0"/>
                <w:szCs w:val="21"/>
              </w:rPr>
            </w:pPr>
            <w:r>
              <w:rPr>
                <w:rFonts w:ascii="Times New Roman" w:hAnsi="Times New Roman"/>
                <w:b/>
                <w:bCs/>
                <w:kern w:val="0"/>
                <w:szCs w:val="21"/>
              </w:rPr>
              <w:t>非正常排放源</w:t>
            </w:r>
          </w:p>
        </w:tc>
        <w:tc>
          <w:tcPr>
            <w:tcW w:w="1356" w:type="dxa"/>
            <w:shd w:val="clear" w:color="auto" w:fill="auto"/>
            <w:vAlign w:val="center"/>
          </w:tcPr>
          <w:p w14:paraId="2C0473A9">
            <w:pPr>
              <w:widowControl/>
              <w:jc w:val="center"/>
              <w:rPr>
                <w:rFonts w:ascii="Times New Roman" w:hAnsi="Times New Roman"/>
                <w:b/>
                <w:bCs/>
                <w:kern w:val="0"/>
                <w:szCs w:val="21"/>
              </w:rPr>
            </w:pPr>
            <w:r>
              <w:rPr>
                <w:rFonts w:ascii="Times New Roman" w:hAnsi="Times New Roman"/>
                <w:b/>
                <w:bCs/>
                <w:kern w:val="0"/>
                <w:szCs w:val="21"/>
              </w:rPr>
              <w:t>污染物</w:t>
            </w:r>
          </w:p>
        </w:tc>
        <w:tc>
          <w:tcPr>
            <w:tcW w:w="1357" w:type="dxa"/>
            <w:shd w:val="clear" w:color="auto" w:fill="auto"/>
            <w:vAlign w:val="center"/>
          </w:tcPr>
          <w:p w14:paraId="41D5F26F">
            <w:pPr>
              <w:widowControl/>
              <w:jc w:val="center"/>
              <w:rPr>
                <w:rFonts w:ascii="Times New Roman" w:hAnsi="Times New Roman"/>
                <w:b/>
                <w:bCs/>
                <w:kern w:val="0"/>
                <w:szCs w:val="21"/>
              </w:rPr>
            </w:pPr>
            <w:r>
              <w:rPr>
                <w:rFonts w:ascii="Times New Roman" w:hAnsi="Times New Roman"/>
                <w:b/>
                <w:bCs/>
                <w:kern w:val="0"/>
                <w:szCs w:val="21"/>
              </w:rPr>
              <w:t>排放速率（kg/h）</w:t>
            </w:r>
          </w:p>
        </w:tc>
        <w:tc>
          <w:tcPr>
            <w:tcW w:w="1356" w:type="dxa"/>
            <w:shd w:val="clear" w:color="auto" w:fill="auto"/>
            <w:vAlign w:val="center"/>
          </w:tcPr>
          <w:p w14:paraId="47C27693">
            <w:pPr>
              <w:widowControl/>
              <w:jc w:val="center"/>
              <w:rPr>
                <w:rFonts w:ascii="Times New Roman" w:hAnsi="Times New Roman"/>
                <w:b/>
                <w:bCs/>
                <w:kern w:val="0"/>
                <w:szCs w:val="21"/>
              </w:rPr>
            </w:pPr>
            <w:r>
              <w:rPr>
                <w:rFonts w:ascii="Times New Roman" w:hAnsi="Times New Roman"/>
                <w:b/>
                <w:bCs/>
                <w:kern w:val="0"/>
                <w:szCs w:val="21"/>
              </w:rPr>
              <w:t>排放浓度（mg/m</w:t>
            </w:r>
            <w:r>
              <w:rPr>
                <w:rFonts w:ascii="Times New Roman" w:hAnsi="Times New Roman"/>
                <w:b/>
                <w:bCs/>
                <w:kern w:val="0"/>
                <w:szCs w:val="21"/>
                <w:vertAlign w:val="superscript"/>
              </w:rPr>
              <w:t>3</w:t>
            </w:r>
            <w:r>
              <w:rPr>
                <w:rFonts w:ascii="Times New Roman" w:hAnsi="Times New Roman"/>
                <w:b/>
                <w:bCs/>
                <w:kern w:val="0"/>
                <w:szCs w:val="21"/>
              </w:rPr>
              <w:t>）</w:t>
            </w:r>
          </w:p>
        </w:tc>
        <w:tc>
          <w:tcPr>
            <w:tcW w:w="1357" w:type="dxa"/>
            <w:shd w:val="clear" w:color="auto" w:fill="auto"/>
            <w:vAlign w:val="center"/>
          </w:tcPr>
          <w:p w14:paraId="0A4BAE9C">
            <w:pPr>
              <w:widowControl/>
              <w:jc w:val="center"/>
              <w:rPr>
                <w:rFonts w:ascii="Times New Roman" w:hAnsi="Times New Roman"/>
                <w:b/>
                <w:bCs/>
                <w:kern w:val="0"/>
                <w:szCs w:val="21"/>
              </w:rPr>
            </w:pPr>
            <w:r>
              <w:rPr>
                <w:rFonts w:ascii="Times New Roman" w:hAnsi="Times New Roman"/>
                <w:b/>
                <w:bCs/>
                <w:kern w:val="0"/>
                <w:szCs w:val="21"/>
              </w:rPr>
              <w:t>单次持续时间（h）</w:t>
            </w:r>
          </w:p>
        </w:tc>
        <w:tc>
          <w:tcPr>
            <w:tcW w:w="1357" w:type="dxa"/>
            <w:shd w:val="clear" w:color="auto" w:fill="auto"/>
            <w:vAlign w:val="center"/>
          </w:tcPr>
          <w:p w14:paraId="14765BE9">
            <w:pPr>
              <w:widowControl/>
              <w:jc w:val="center"/>
              <w:rPr>
                <w:rFonts w:ascii="Times New Roman" w:hAnsi="Times New Roman"/>
                <w:b/>
                <w:bCs/>
                <w:kern w:val="0"/>
                <w:szCs w:val="21"/>
              </w:rPr>
            </w:pPr>
            <w:r>
              <w:rPr>
                <w:rFonts w:ascii="Times New Roman" w:hAnsi="Times New Roman"/>
                <w:b/>
                <w:bCs/>
                <w:kern w:val="0"/>
                <w:szCs w:val="21"/>
              </w:rPr>
              <w:t>排放量</w:t>
            </w:r>
          </w:p>
          <w:p w14:paraId="1BB0A6D4">
            <w:pPr>
              <w:widowControl/>
              <w:jc w:val="center"/>
              <w:rPr>
                <w:rFonts w:ascii="Times New Roman" w:hAnsi="Times New Roman"/>
                <w:b/>
                <w:bCs/>
                <w:kern w:val="0"/>
                <w:szCs w:val="21"/>
              </w:rPr>
            </w:pPr>
            <w:r>
              <w:rPr>
                <w:rFonts w:ascii="Times New Roman" w:hAnsi="Times New Roman"/>
                <w:b/>
                <w:bCs/>
                <w:kern w:val="0"/>
                <w:szCs w:val="21"/>
              </w:rPr>
              <w:t>（t）</w:t>
            </w:r>
          </w:p>
        </w:tc>
      </w:tr>
      <w:tr w14:paraId="0B4404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978" w:type="dxa"/>
            <w:vMerge w:val="restart"/>
            <w:shd w:val="clear" w:color="auto" w:fill="auto"/>
            <w:vAlign w:val="center"/>
          </w:tcPr>
          <w:p w14:paraId="19629E67">
            <w:pPr>
              <w:widowControl/>
              <w:jc w:val="center"/>
              <w:rPr>
                <w:rFonts w:ascii="Times New Roman" w:hAnsi="Times New Roman"/>
                <w:kern w:val="0"/>
                <w:szCs w:val="21"/>
              </w:rPr>
            </w:pPr>
            <w:r>
              <w:rPr>
                <w:rFonts w:ascii="Times New Roman" w:hAnsi="Times New Roman"/>
                <w:kern w:val="0"/>
                <w:szCs w:val="21"/>
              </w:rPr>
              <w:t>DA001</w:t>
            </w:r>
          </w:p>
        </w:tc>
        <w:tc>
          <w:tcPr>
            <w:tcW w:w="1559" w:type="dxa"/>
            <w:vMerge w:val="restart"/>
            <w:shd w:val="clear" w:color="auto" w:fill="auto"/>
            <w:vAlign w:val="center"/>
          </w:tcPr>
          <w:p w14:paraId="7763842C">
            <w:pPr>
              <w:widowControl/>
              <w:jc w:val="center"/>
              <w:rPr>
                <w:rFonts w:ascii="Times New Roman" w:hAnsi="Times New Roman"/>
                <w:kern w:val="0"/>
                <w:szCs w:val="21"/>
              </w:rPr>
            </w:pPr>
            <w:r>
              <w:rPr>
                <w:rFonts w:ascii="Times New Roman" w:hAnsi="Times New Roman"/>
                <w:kern w:val="0"/>
                <w:szCs w:val="21"/>
              </w:rPr>
              <w:t>烘干炉烟气</w:t>
            </w:r>
          </w:p>
        </w:tc>
        <w:tc>
          <w:tcPr>
            <w:tcW w:w="1356" w:type="dxa"/>
            <w:shd w:val="clear" w:color="auto" w:fill="auto"/>
            <w:vAlign w:val="center"/>
          </w:tcPr>
          <w:p w14:paraId="3FD27303">
            <w:pPr>
              <w:widowControl/>
              <w:jc w:val="center"/>
              <w:rPr>
                <w:rFonts w:ascii="Times New Roman" w:hAnsi="Times New Roman"/>
                <w:kern w:val="0"/>
                <w:szCs w:val="21"/>
              </w:rPr>
            </w:pPr>
            <w:r>
              <w:rPr>
                <w:rFonts w:ascii="Times New Roman" w:hAnsi="Times New Roman"/>
                <w:kern w:val="0"/>
                <w:szCs w:val="21"/>
              </w:rPr>
              <w:t>PM</w:t>
            </w:r>
            <w:r>
              <w:rPr>
                <w:rFonts w:ascii="Times New Roman" w:hAnsi="Times New Roman"/>
                <w:kern w:val="0"/>
                <w:szCs w:val="21"/>
                <w:vertAlign w:val="subscript"/>
              </w:rPr>
              <w:t>10</w:t>
            </w:r>
          </w:p>
        </w:tc>
        <w:tc>
          <w:tcPr>
            <w:tcW w:w="1357" w:type="dxa"/>
            <w:shd w:val="clear" w:color="auto" w:fill="auto"/>
            <w:vAlign w:val="center"/>
          </w:tcPr>
          <w:p w14:paraId="07930AA4">
            <w:pPr>
              <w:widowControl/>
              <w:jc w:val="center"/>
              <w:rPr>
                <w:rFonts w:ascii="Times New Roman" w:hAnsi="Times New Roman" w:eastAsia="等线"/>
                <w:szCs w:val="21"/>
                <w:u w:val="single"/>
              </w:rPr>
            </w:pPr>
            <w:r>
              <w:rPr>
                <w:rFonts w:ascii="Times New Roman" w:hAnsi="Times New Roman" w:eastAsia="等线"/>
                <w:szCs w:val="21"/>
                <w:u w:val="single"/>
              </w:rPr>
              <w:t>0.8884</w:t>
            </w:r>
          </w:p>
        </w:tc>
        <w:tc>
          <w:tcPr>
            <w:tcW w:w="1356" w:type="dxa"/>
            <w:shd w:val="clear" w:color="auto" w:fill="auto"/>
            <w:vAlign w:val="center"/>
          </w:tcPr>
          <w:p w14:paraId="2F0BF32C">
            <w:pPr>
              <w:widowControl/>
              <w:jc w:val="center"/>
              <w:rPr>
                <w:rFonts w:ascii="Times New Roman" w:hAnsi="Times New Roman" w:eastAsia="等线"/>
                <w:szCs w:val="21"/>
                <w:u w:val="single"/>
              </w:rPr>
            </w:pPr>
            <w:r>
              <w:rPr>
                <w:rFonts w:ascii="Times New Roman" w:hAnsi="Times New Roman" w:eastAsia="等线"/>
                <w:szCs w:val="21"/>
                <w:u w:val="single"/>
              </w:rPr>
              <w:t>177.7</w:t>
            </w:r>
          </w:p>
        </w:tc>
        <w:tc>
          <w:tcPr>
            <w:tcW w:w="1357" w:type="dxa"/>
            <w:vMerge w:val="restart"/>
            <w:shd w:val="clear" w:color="auto" w:fill="auto"/>
            <w:vAlign w:val="center"/>
          </w:tcPr>
          <w:p w14:paraId="787C9E4C">
            <w:pPr>
              <w:widowControl/>
              <w:jc w:val="center"/>
              <w:rPr>
                <w:rFonts w:ascii="Times New Roman" w:hAnsi="Times New Roman"/>
                <w:kern w:val="0"/>
                <w:szCs w:val="21"/>
              </w:rPr>
            </w:pPr>
            <w:r>
              <w:rPr>
                <w:rFonts w:ascii="Times New Roman" w:hAnsi="Times New Roman"/>
                <w:kern w:val="0"/>
                <w:szCs w:val="21"/>
              </w:rPr>
              <w:t>8</w:t>
            </w:r>
          </w:p>
        </w:tc>
        <w:tc>
          <w:tcPr>
            <w:tcW w:w="1357" w:type="dxa"/>
            <w:shd w:val="clear" w:color="auto" w:fill="auto"/>
            <w:vAlign w:val="center"/>
          </w:tcPr>
          <w:p w14:paraId="5FD1B61B">
            <w:pPr>
              <w:widowControl/>
              <w:jc w:val="center"/>
              <w:rPr>
                <w:rFonts w:ascii="Times New Roman" w:hAnsi="Times New Roman"/>
                <w:kern w:val="0"/>
                <w:szCs w:val="21"/>
                <w:u w:val="single"/>
              </w:rPr>
            </w:pPr>
            <w:r>
              <w:rPr>
                <w:rFonts w:ascii="Times New Roman" w:hAnsi="Times New Roman" w:eastAsia="等线"/>
                <w:szCs w:val="21"/>
                <w:u w:val="single"/>
              </w:rPr>
              <w:t>0.0071</w:t>
            </w:r>
          </w:p>
        </w:tc>
      </w:tr>
      <w:tr w14:paraId="08824E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978" w:type="dxa"/>
            <w:vMerge w:val="continue"/>
            <w:shd w:val="clear" w:color="auto" w:fill="auto"/>
            <w:vAlign w:val="center"/>
          </w:tcPr>
          <w:p w14:paraId="4B63C7F1">
            <w:pPr>
              <w:widowControl/>
              <w:jc w:val="left"/>
              <w:rPr>
                <w:rFonts w:ascii="Times New Roman" w:hAnsi="Times New Roman"/>
                <w:kern w:val="0"/>
                <w:szCs w:val="21"/>
              </w:rPr>
            </w:pPr>
          </w:p>
        </w:tc>
        <w:tc>
          <w:tcPr>
            <w:tcW w:w="1559" w:type="dxa"/>
            <w:vMerge w:val="continue"/>
            <w:shd w:val="clear" w:color="auto" w:fill="auto"/>
            <w:vAlign w:val="center"/>
          </w:tcPr>
          <w:p w14:paraId="4DFA4756">
            <w:pPr>
              <w:widowControl/>
              <w:jc w:val="left"/>
              <w:rPr>
                <w:rFonts w:ascii="Times New Roman" w:hAnsi="Times New Roman"/>
                <w:kern w:val="0"/>
                <w:szCs w:val="21"/>
              </w:rPr>
            </w:pPr>
          </w:p>
        </w:tc>
        <w:tc>
          <w:tcPr>
            <w:tcW w:w="1356" w:type="dxa"/>
            <w:shd w:val="clear" w:color="auto" w:fill="auto"/>
            <w:vAlign w:val="center"/>
          </w:tcPr>
          <w:p w14:paraId="158F7F78">
            <w:pPr>
              <w:widowControl/>
              <w:jc w:val="center"/>
              <w:rPr>
                <w:rFonts w:ascii="Times New Roman" w:hAnsi="Times New Roman"/>
                <w:kern w:val="0"/>
                <w:szCs w:val="21"/>
              </w:rPr>
            </w:pPr>
            <w:r>
              <w:rPr>
                <w:rFonts w:ascii="Times New Roman" w:hAnsi="Times New Roman"/>
                <w:kern w:val="0"/>
                <w:szCs w:val="21"/>
              </w:rPr>
              <w:t>SO</w:t>
            </w:r>
            <w:r>
              <w:rPr>
                <w:rFonts w:ascii="Times New Roman" w:hAnsi="Times New Roman"/>
                <w:kern w:val="0"/>
                <w:szCs w:val="21"/>
                <w:vertAlign w:val="subscript"/>
              </w:rPr>
              <w:t>2</w:t>
            </w:r>
          </w:p>
        </w:tc>
        <w:tc>
          <w:tcPr>
            <w:tcW w:w="1357" w:type="dxa"/>
            <w:shd w:val="clear" w:color="auto" w:fill="auto"/>
            <w:vAlign w:val="center"/>
          </w:tcPr>
          <w:p w14:paraId="3D19CE2C">
            <w:pPr>
              <w:widowControl/>
              <w:jc w:val="center"/>
              <w:rPr>
                <w:rFonts w:ascii="Times New Roman" w:hAnsi="Times New Roman" w:eastAsia="等线"/>
                <w:szCs w:val="21"/>
                <w:u w:val="single"/>
              </w:rPr>
            </w:pPr>
            <w:r>
              <w:rPr>
                <w:rFonts w:ascii="Times New Roman" w:hAnsi="Times New Roman" w:eastAsia="等线"/>
                <w:szCs w:val="21"/>
                <w:u w:val="single"/>
              </w:rPr>
              <w:t>0.0921</w:t>
            </w:r>
          </w:p>
        </w:tc>
        <w:tc>
          <w:tcPr>
            <w:tcW w:w="1356" w:type="dxa"/>
            <w:shd w:val="clear" w:color="auto" w:fill="auto"/>
            <w:vAlign w:val="center"/>
          </w:tcPr>
          <w:p w14:paraId="220754F0">
            <w:pPr>
              <w:widowControl/>
              <w:jc w:val="center"/>
              <w:rPr>
                <w:rFonts w:ascii="Times New Roman" w:hAnsi="Times New Roman" w:eastAsia="等线"/>
                <w:szCs w:val="21"/>
                <w:u w:val="single"/>
              </w:rPr>
            </w:pPr>
            <w:r>
              <w:rPr>
                <w:rFonts w:ascii="Times New Roman" w:hAnsi="Times New Roman" w:eastAsia="等线"/>
                <w:szCs w:val="21"/>
                <w:u w:val="single"/>
              </w:rPr>
              <w:t>18.4</w:t>
            </w:r>
          </w:p>
        </w:tc>
        <w:tc>
          <w:tcPr>
            <w:tcW w:w="1357" w:type="dxa"/>
            <w:vMerge w:val="continue"/>
            <w:shd w:val="clear" w:color="auto" w:fill="auto"/>
            <w:vAlign w:val="center"/>
          </w:tcPr>
          <w:p w14:paraId="0E5244B2">
            <w:pPr>
              <w:widowControl/>
              <w:jc w:val="center"/>
              <w:rPr>
                <w:rFonts w:ascii="Times New Roman" w:hAnsi="Times New Roman"/>
                <w:kern w:val="0"/>
                <w:szCs w:val="21"/>
              </w:rPr>
            </w:pPr>
          </w:p>
        </w:tc>
        <w:tc>
          <w:tcPr>
            <w:tcW w:w="1357" w:type="dxa"/>
            <w:shd w:val="clear" w:color="auto" w:fill="auto"/>
            <w:vAlign w:val="center"/>
          </w:tcPr>
          <w:p w14:paraId="05221B69">
            <w:pPr>
              <w:widowControl/>
              <w:jc w:val="center"/>
              <w:rPr>
                <w:rFonts w:ascii="Times New Roman" w:hAnsi="Times New Roman"/>
                <w:kern w:val="0"/>
                <w:szCs w:val="21"/>
                <w:u w:val="single"/>
              </w:rPr>
            </w:pPr>
            <w:r>
              <w:rPr>
                <w:rFonts w:ascii="Times New Roman" w:hAnsi="Times New Roman" w:eastAsia="等线"/>
                <w:szCs w:val="21"/>
                <w:u w:val="single"/>
              </w:rPr>
              <w:t>0.0007</w:t>
            </w:r>
          </w:p>
        </w:tc>
      </w:tr>
      <w:tr w14:paraId="66A14D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978" w:type="dxa"/>
            <w:vMerge w:val="continue"/>
            <w:shd w:val="clear" w:color="auto" w:fill="auto"/>
            <w:vAlign w:val="center"/>
          </w:tcPr>
          <w:p w14:paraId="09FF108A">
            <w:pPr>
              <w:widowControl/>
              <w:jc w:val="left"/>
              <w:rPr>
                <w:rFonts w:ascii="Times New Roman" w:hAnsi="Times New Roman"/>
                <w:kern w:val="0"/>
                <w:szCs w:val="21"/>
              </w:rPr>
            </w:pPr>
          </w:p>
        </w:tc>
        <w:tc>
          <w:tcPr>
            <w:tcW w:w="1559" w:type="dxa"/>
            <w:vMerge w:val="continue"/>
            <w:shd w:val="clear" w:color="auto" w:fill="auto"/>
            <w:vAlign w:val="center"/>
          </w:tcPr>
          <w:p w14:paraId="192A23F9">
            <w:pPr>
              <w:widowControl/>
              <w:jc w:val="left"/>
              <w:rPr>
                <w:rFonts w:ascii="Times New Roman" w:hAnsi="Times New Roman"/>
                <w:kern w:val="0"/>
                <w:szCs w:val="21"/>
              </w:rPr>
            </w:pPr>
          </w:p>
        </w:tc>
        <w:tc>
          <w:tcPr>
            <w:tcW w:w="1356" w:type="dxa"/>
            <w:shd w:val="clear" w:color="auto" w:fill="auto"/>
            <w:vAlign w:val="center"/>
          </w:tcPr>
          <w:p w14:paraId="00B2D6E3">
            <w:pPr>
              <w:widowControl/>
              <w:jc w:val="center"/>
              <w:rPr>
                <w:rFonts w:ascii="Times New Roman" w:hAnsi="Times New Roman"/>
                <w:kern w:val="0"/>
                <w:szCs w:val="21"/>
              </w:rPr>
            </w:pPr>
            <w:r>
              <w:rPr>
                <w:rFonts w:ascii="Times New Roman" w:hAnsi="Times New Roman"/>
                <w:kern w:val="0"/>
                <w:szCs w:val="21"/>
              </w:rPr>
              <w:t>NO</w:t>
            </w:r>
            <w:r>
              <w:rPr>
                <w:rFonts w:ascii="Times New Roman" w:hAnsi="Times New Roman"/>
                <w:kern w:val="0"/>
                <w:szCs w:val="21"/>
                <w:vertAlign w:val="subscript"/>
              </w:rPr>
              <w:t>x</w:t>
            </w:r>
          </w:p>
        </w:tc>
        <w:tc>
          <w:tcPr>
            <w:tcW w:w="1357" w:type="dxa"/>
            <w:shd w:val="clear" w:color="auto" w:fill="auto"/>
            <w:vAlign w:val="center"/>
          </w:tcPr>
          <w:p w14:paraId="67EA6441">
            <w:pPr>
              <w:widowControl/>
              <w:jc w:val="center"/>
              <w:rPr>
                <w:rFonts w:ascii="Times New Roman" w:hAnsi="Times New Roman" w:eastAsia="等线"/>
                <w:szCs w:val="21"/>
                <w:u w:val="single"/>
              </w:rPr>
            </w:pPr>
            <w:r>
              <w:rPr>
                <w:rFonts w:ascii="Times New Roman" w:hAnsi="Times New Roman" w:eastAsia="等线"/>
                <w:szCs w:val="21"/>
                <w:u w:val="single"/>
              </w:rPr>
              <w:t>0.5000</w:t>
            </w:r>
          </w:p>
        </w:tc>
        <w:tc>
          <w:tcPr>
            <w:tcW w:w="1356" w:type="dxa"/>
            <w:shd w:val="clear" w:color="auto" w:fill="auto"/>
            <w:vAlign w:val="center"/>
          </w:tcPr>
          <w:p w14:paraId="26150EBF">
            <w:pPr>
              <w:widowControl/>
              <w:jc w:val="center"/>
              <w:rPr>
                <w:rFonts w:ascii="Times New Roman" w:hAnsi="Times New Roman" w:eastAsia="等线"/>
                <w:szCs w:val="21"/>
                <w:u w:val="single"/>
              </w:rPr>
            </w:pPr>
            <w:r>
              <w:rPr>
                <w:rFonts w:ascii="Times New Roman" w:hAnsi="Times New Roman" w:eastAsia="等线"/>
                <w:szCs w:val="21"/>
                <w:u w:val="single"/>
              </w:rPr>
              <w:t>100.0</w:t>
            </w:r>
          </w:p>
        </w:tc>
        <w:tc>
          <w:tcPr>
            <w:tcW w:w="1357" w:type="dxa"/>
            <w:vMerge w:val="continue"/>
            <w:shd w:val="clear" w:color="auto" w:fill="auto"/>
            <w:vAlign w:val="center"/>
          </w:tcPr>
          <w:p w14:paraId="10E3815E">
            <w:pPr>
              <w:widowControl/>
              <w:jc w:val="center"/>
              <w:rPr>
                <w:rFonts w:ascii="Times New Roman" w:hAnsi="Times New Roman"/>
                <w:kern w:val="0"/>
                <w:szCs w:val="21"/>
              </w:rPr>
            </w:pPr>
          </w:p>
        </w:tc>
        <w:tc>
          <w:tcPr>
            <w:tcW w:w="1357" w:type="dxa"/>
            <w:shd w:val="clear" w:color="auto" w:fill="auto"/>
            <w:vAlign w:val="center"/>
          </w:tcPr>
          <w:p w14:paraId="02E6ADAC">
            <w:pPr>
              <w:widowControl/>
              <w:jc w:val="center"/>
              <w:rPr>
                <w:rFonts w:ascii="Times New Roman" w:hAnsi="Times New Roman"/>
                <w:kern w:val="0"/>
                <w:szCs w:val="21"/>
                <w:u w:val="single"/>
              </w:rPr>
            </w:pPr>
            <w:r>
              <w:rPr>
                <w:rFonts w:ascii="Times New Roman" w:hAnsi="Times New Roman" w:eastAsia="等线"/>
                <w:szCs w:val="21"/>
                <w:u w:val="single"/>
              </w:rPr>
              <w:t>0.0040</w:t>
            </w:r>
          </w:p>
        </w:tc>
      </w:tr>
      <w:tr w14:paraId="112434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978" w:type="dxa"/>
            <w:shd w:val="clear" w:color="auto" w:fill="auto"/>
            <w:vAlign w:val="center"/>
          </w:tcPr>
          <w:p w14:paraId="552C6239">
            <w:pPr>
              <w:widowControl/>
              <w:jc w:val="center"/>
              <w:rPr>
                <w:rFonts w:ascii="Times New Roman" w:hAnsi="Times New Roman"/>
                <w:kern w:val="0"/>
                <w:szCs w:val="21"/>
              </w:rPr>
            </w:pPr>
            <w:r>
              <w:rPr>
                <w:rFonts w:ascii="Times New Roman" w:hAnsi="Times New Roman"/>
                <w:kern w:val="0"/>
                <w:szCs w:val="21"/>
              </w:rPr>
              <w:t>DA002</w:t>
            </w:r>
          </w:p>
        </w:tc>
        <w:tc>
          <w:tcPr>
            <w:tcW w:w="1559" w:type="dxa"/>
            <w:shd w:val="clear" w:color="auto" w:fill="auto"/>
            <w:vAlign w:val="center"/>
          </w:tcPr>
          <w:p w14:paraId="22C106CA">
            <w:pPr>
              <w:widowControl/>
              <w:jc w:val="center"/>
              <w:rPr>
                <w:rFonts w:ascii="Times New Roman" w:hAnsi="Times New Roman"/>
                <w:kern w:val="0"/>
                <w:szCs w:val="21"/>
              </w:rPr>
            </w:pPr>
            <w:r>
              <w:rPr>
                <w:rFonts w:ascii="Times New Roman" w:hAnsi="Times New Roman"/>
                <w:kern w:val="0"/>
                <w:szCs w:val="21"/>
              </w:rPr>
              <w:t>车间粉尘</w:t>
            </w:r>
          </w:p>
        </w:tc>
        <w:tc>
          <w:tcPr>
            <w:tcW w:w="1356" w:type="dxa"/>
            <w:shd w:val="clear" w:color="auto" w:fill="auto"/>
            <w:vAlign w:val="center"/>
          </w:tcPr>
          <w:p w14:paraId="622E444E">
            <w:pPr>
              <w:widowControl/>
              <w:jc w:val="center"/>
              <w:rPr>
                <w:rFonts w:ascii="Times New Roman" w:hAnsi="Times New Roman"/>
                <w:kern w:val="0"/>
                <w:szCs w:val="21"/>
              </w:rPr>
            </w:pPr>
            <w:r>
              <w:rPr>
                <w:rFonts w:ascii="Times New Roman" w:hAnsi="Times New Roman"/>
                <w:kern w:val="0"/>
                <w:szCs w:val="21"/>
              </w:rPr>
              <w:t>PM</w:t>
            </w:r>
            <w:r>
              <w:rPr>
                <w:rFonts w:ascii="Times New Roman" w:hAnsi="Times New Roman"/>
                <w:kern w:val="0"/>
                <w:szCs w:val="21"/>
                <w:vertAlign w:val="subscript"/>
              </w:rPr>
              <w:t>10</w:t>
            </w:r>
          </w:p>
        </w:tc>
        <w:tc>
          <w:tcPr>
            <w:tcW w:w="1357" w:type="dxa"/>
            <w:shd w:val="clear" w:color="auto" w:fill="auto"/>
            <w:vAlign w:val="center"/>
          </w:tcPr>
          <w:p w14:paraId="23FF44C5">
            <w:pPr>
              <w:widowControl/>
              <w:jc w:val="center"/>
              <w:rPr>
                <w:rFonts w:ascii="Times New Roman" w:hAnsi="Times New Roman" w:eastAsia="等线"/>
                <w:szCs w:val="21"/>
                <w:u w:val="single"/>
              </w:rPr>
            </w:pPr>
            <w:r>
              <w:rPr>
                <w:rFonts w:ascii="Times New Roman" w:hAnsi="Times New Roman" w:eastAsia="等线"/>
                <w:szCs w:val="21"/>
                <w:u w:val="single"/>
              </w:rPr>
              <w:t>0.0648</w:t>
            </w:r>
          </w:p>
        </w:tc>
        <w:tc>
          <w:tcPr>
            <w:tcW w:w="1356" w:type="dxa"/>
            <w:shd w:val="clear" w:color="auto" w:fill="auto"/>
            <w:vAlign w:val="center"/>
          </w:tcPr>
          <w:p w14:paraId="12FE0AA4">
            <w:pPr>
              <w:widowControl/>
              <w:jc w:val="center"/>
              <w:rPr>
                <w:rFonts w:ascii="Times New Roman" w:hAnsi="Times New Roman" w:eastAsia="等线"/>
                <w:szCs w:val="21"/>
                <w:u w:val="single"/>
              </w:rPr>
            </w:pPr>
            <w:r>
              <w:rPr>
                <w:rFonts w:ascii="Times New Roman" w:hAnsi="Times New Roman" w:eastAsia="等线"/>
                <w:szCs w:val="21"/>
                <w:u w:val="single"/>
              </w:rPr>
              <w:t>8.1</w:t>
            </w:r>
          </w:p>
        </w:tc>
        <w:tc>
          <w:tcPr>
            <w:tcW w:w="1357" w:type="dxa"/>
            <w:shd w:val="clear" w:color="auto" w:fill="auto"/>
            <w:vAlign w:val="center"/>
          </w:tcPr>
          <w:p w14:paraId="36EAFD96">
            <w:pPr>
              <w:widowControl/>
              <w:jc w:val="center"/>
              <w:rPr>
                <w:rFonts w:ascii="Times New Roman" w:hAnsi="Times New Roman"/>
                <w:kern w:val="0"/>
                <w:szCs w:val="21"/>
              </w:rPr>
            </w:pPr>
            <w:r>
              <w:rPr>
                <w:rFonts w:ascii="Times New Roman" w:hAnsi="Times New Roman"/>
                <w:kern w:val="0"/>
                <w:szCs w:val="21"/>
              </w:rPr>
              <w:t>8</w:t>
            </w:r>
          </w:p>
        </w:tc>
        <w:tc>
          <w:tcPr>
            <w:tcW w:w="1357" w:type="dxa"/>
            <w:shd w:val="clear" w:color="auto" w:fill="auto"/>
            <w:vAlign w:val="center"/>
          </w:tcPr>
          <w:p w14:paraId="700F2C52">
            <w:pPr>
              <w:widowControl/>
              <w:jc w:val="center"/>
              <w:rPr>
                <w:rFonts w:ascii="Times New Roman" w:hAnsi="Times New Roman"/>
                <w:kern w:val="0"/>
                <w:szCs w:val="21"/>
                <w:u w:val="single"/>
              </w:rPr>
            </w:pPr>
            <w:r>
              <w:rPr>
                <w:rFonts w:ascii="Times New Roman" w:hAnsi="Times New Roman" w:eastAsia="等线"/>
                <w:szCs w:val="21"/>
                <w:u w:val="single"/>
              </w:rPr>
              <w:t>0.0005</w:t>
            </w:r>
          </w:p>
        </w:tc>
      </w:tr>
      <w:tr w14:paraId="008FDB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978" w:type="dxa"/>
            <w:shd w:val="clear" w:color="auto" w:fill="auto"/>
            <w:vAlign w:val="center"/>
          </w:tcPr>
          <w:p w14:paraId="350E9082">
            <w:pPr>
              <w:widowControl/>
              <w:jc w:val="center"/>
              <w:rPr>
                <w:rFonts w:ascii="Times New Roman" w:hAnsi="Times New Roman"/>
                <w:kern w:val="0"/>
                <w:szCs w:val="21"/>
              </w:rPr>
            </w:pPr>
            <w:r>
              <w:rPr>
                <w:rFonts w:ascii="Times New Roman" w:hAnsi="Times New Roman"/>
                <w:kern w:val="0"/>
                <w:szCs w:val="21"/>
              </w:rPr>
              <w:t>DA00</w:t>
            </w:r>
            <w:r>
              <w:rPr>
                <w:rFonts w:hint="eastAsia" w:ascii="Times New Roman" w:hAnsi="Times New Roman"/>
                <w:kern w:val="0"/>
                <w:szCs w:val="21"/>
              </w:rPr>
              <w:t>3</w:t>
            </w:r>
          </w:p>
        </w:tc>
        <w:tc>
          <w:tcPr>
            <w:tcW w:w="1559" w:type="dxa"/>
            <w:shd w:val="clear" w:color="auto" w:fill="auto"/>
            <w:vAlign w:val="center"/>
          </w:tcPr>
          <w:p w14:paraId="0ACA981B">
            <w:pPr>
              <w:widowControl/>
              <w:jc w:val="center"/>
              <w:rPr>
                <w:rFonts w:ascii="Times New Roman" w:hAnsi="Times New Roman"/>
                <w:kern w:val="0"/>
                <w:szCs w:val="21"/>
              </w:rPr>
            </w:pPr>
            <w:r>
              <w:rPr>
                <w:rFonts w:ascii="Times New Roman" w:hAnsi="Times New Roman"/>
                <w:kern w:val="0"/>
                <w:szCs w:val="21"/>
              </w:rPr>
              <w:t>车间粉尘</w:t>
            </w:r>
          </w:p>
        </w:tc>
        <w:tc>
          <w:tcPr>
            <w:tcW w:w="1356" w:type="dxa"/>
            <w:shd w:val="clear" w:color="auto" w:fill="auto"/>
            <w:vAlign w:val="center"/>
          </w:tcPr>
          <w:p w14:paraId="193A0539">
            <w:pPr>
              <w:widowControl/>
              <w:jc w:val="center"/>
              <w:rPr>
                <w:rFonts w:ascii="Times New Roman" w:hAnsi="Times New Roman"/>
                <w:kern w:val="0"/>
                <w:szCs w:val="21"/>
              </w:rPr>
            </w:pPr>
            <w:r>
              <w:rPr>
                <w:rFonts w:ascii="Times New Roman" w:hAnsi="Times New Roman"/>
                <w:kern w:val="0"/>
                <w:szCs w:val="21"/>
              </w:rPr>
              <w:t>PM</w:t>
            </w:r>
            <w:r>
              <w:rPr>
                <w:rFonts w:ascii="Times New Roman" w:hAnsi="Times New Roman"/>
                <w:kern w:val="0"/>
                <w:szCs w:val="21"/>
                <w:vertAlign w:val="subscript"/>
              </w:rPr>
              <w:t>10</w:t>
            </w:r>
          </w:p>
        </w:tc>
        <w:tc>
          <w:tcPr>
            <w:tcW w:w="1357" w:type="dxa"/>
            <w:shd w:val="clear" w:color="auto" w:fill="auto"/>
            <w:vAlign w:val="center"/>
          </w:tcPr>
          <w:p w14:paraId="61E72523">
            <w:pPr>
              <w:widowControl/>
              <w:jc w:val="center"/>
              <w:rPr>
                <w:rFonts w:ascii="Times New Roman" w:hAnsi="Times New Roman" w:eastAsia="等线"/>
                <w:szCs w:val="21"/>
                <w:u w:val="single"/>
              </w:rPr>
            </w:pPr>
            <w:r>
              <w:rPr>
                <w:rFonts w:ascii="Times New Roman" w:hAnsi="Times New Roman" w:eastAsia="等线"/>
                <w:szCs w:val="21"/>
                <w:u w:val="single"/>
              </w:rPr>
              <w:t>0.0840</w:t>
            </w:r>
          </w:p>
        </w:tc>
        <w:tc>
          <w:tcPr>
            <w:tcW w:w="1356" w:type="dxa"/>
            <w:shd w:val="clear" w:color="auto" w:fill="auto"/>
            <w:vAlign w:val="center"/>
          </w:tcPr>
          <w:p w14:paraId="7B8889DA">
            <w:pPr>
              <w:widowControl/>
              <w:jc w:val="center"/>
              <w:rPr>
                <w:rFonts w:ascii="Times New Roman" w:hAnsi="Times New Roman" w:eastAsia="等线"/>
                <w:szCs w:val="21"/>
                <w:u w:val="single"/>
              </w:rPr>
            </w:pPr>
            <w:r>
              <w:rPr>
                <w:rFonts w:ascii="Times New Roman" w:hAnsi="Times New Roman" w:eastAsia="等线"/>
                <w:szCs w:val="21"/>
                <w:u w:val="single"/>
              </w:rPr>
              <w:t>10.5</w:t>
            </w:r>
          </w:p>
        </w:tc>
        <w:tc>
          <w:tcPr>
            <w:tcW w:w="1357" w:type="dxa"/>
            <w:shd w:val="clear" w:color="auto" w:fill="auto"/>
            <w:vAlign w:val="center"/>
          </w:tcPr>
          <w:p w14:paraId="401D5DBE">
            <w:pPr>
              <w:widowControl/>
              <w:jc w:val="center"/>
              <w:rPr>
                <w:rFonts w:ascii="Times New Roman" w:hAnsi="Times New Roman"/>
                <w:kern w:val="0"/>
                <w:szCs w:val="21"/>
              </w:rPr>
            </w:pPr>
            <w:r>
              <w:rPr>
                <w:rFonts w:ascii="Times New Roman" w:hAnsi="Times New Roman"/>
                <w:kern w:val="0"/>
                <w:szCs w:val="21"/>
              </w:rPr>
              <w:t>8</w:t>
            </w:r>
          </w:p>
        </w:tc>
        <w:tc>
          <w:tcPr>
            <w:tcW w:w="1357" w:type="dxa"/>
            <w:shd w:val="clear" w:color="auto" w:fill="auto"/>
            <w:vAlign w:val="center"/>
          </w:tcPr>
          <w:p w14:paraId="41A20B14">
            <w:pPr>
              <w:widowControl/>
              <w:jc w:val="center"/>
              <w:rPr>
                <w:rFonts w:ascii="Times New Roman" w:hAnsi="Times New Roman"/>
                <w:kern w:val="0"/>
                <w:szCs w:val="21"/>
                <w:u w:val="single"/>
              </w:rPr>
            </w:pPr>
            <w:r>
              <w:rPr>
                <w:rFonts w:ascii="Times New Roman" w:hAnsi="Times New Roman" w:eastAsia="等线"/>
                <w:szCs w:val="21"/>
                <w:u w:val="single"/>
              </w:rPr>
              <w:t>0.0007</w:t>
            </w:r>
          </w:p>
        </w:tc>
      </w:tr>
    </w:tbl>
    <w:p w14:paraId="29F4EEE3">
      <w:pPr>
        <w:spacing w:line="360" w:lineRule="auto"/>
        <w:ind w:firstLine="480" w:firstLineChars="200"/>
        <w:rPr>
          <w:rFonts w:ascii="Times New Roman" w:hAnsi="Times New Roman"/>
          <w:sz w:val="24"/>
          <w:szCs w:val="24"/>
        </w:rPr>
      </w:pPr>
    </w:p>
    <w:p w14:paraId="347D4180">
      <w:pPr>
        <w:spacing w:line="360" w:lineRule="auto"/>
        <w:ind w:firstLine="480" w:firstLineChars="200"/>
        <w:rPr>
          <w:rFonts w:ascii="Times New Roman" w:hAnsi="Times New Roman"/>
          <w:sz w:val="24"/>
          <w:szCs w:val="24"/>
        </w:rPr>
      </w:pPr>
      <w:r>
        <w:rPr>
          <w:rFonts w:ascii="Times New Roman" w:hAnsi="Times New Roman"/>
          <w:sz w:val="24"/>
          <w:szCs w:val="24"/>
        </w:rPr>
        <w:t>项目废气治理设施出现异常时，会使污染物处理效率下降或根本得不到处理而排入外环境。一般检修人员可到现场进行维修，检修操作在8小时内基本上可以完成。建设单位应加强各种废气处理设备的管理，做好设备日常维护并定期检查维修，一旦发现异常立即通知相关部门采取紧急措施，并查明事故工序，应根据故障和生产情况降量或停止运行，缩短非正常工况的排放时间，减少污染物排放，同时派专业维修人员进行维修，必要时，应启动公司突发环境事件应急预案。</w:t>
      </w:r>
    </w:p>
    <w:p w14:paraId="444691F8">
      <w:pPr>
        <w:pStyle w:val="6"/>
        <w:numPr>
          <w:ilvl w:val="2"/>
          <w:numId w:val="3"/>
        </w:numPr>
      </w:pPr>
      <w:r>
        <w:t>运营期污染物排放情况汇总</w:t>
      </w:r>
    </w:p>
    <w:p w14:paraId="625ABDB5">
      <w:pPr>
        <w:spacing w:line="360" w:lineRule="auto"/>
        <w:ind w:firstLine="480" w:firstLineChars="200"/>
        <w:rPr>
          <w:rFonts w:ascii="Times New Roman" w:hAnsi="Times New Roman"/>
          <w:sz w:val="24"/>
          <w:szCs w:val="24"/>
        </w:rPr>
      </w:pPr>
      <w:r>
        <w:rPr>
          <w:rFonts w:ascii="Times New Roman" w:hAnsi="Times New Roman"/>
          <w:sz w:val="24"/>
          <w:szCs w:val="24"/>
        </w:rPr>
        <w:t>项目污染物排放汇总一览表详见表2.3-2</w:t>
      </w:r>
      <w:r>
        <w:rPr>
          <w:rFonts w:hint="eastAsia" w:ascii="Times New Roman" w:hAnsi="Times New Roman"/>
          <w:sz w:val="24"/>
          <w:szCs w:val="24"/>
        </w:rPr>
        <w:t>1</w:t>
      </w:r>
      <w:r>
        <w:rPr>
          <w:rFonts w:ascii="Times New Roman" w:hAnsi="Times New Roman"/>
          <w:sz w:val="24"/>
          <w:szCs w:val="24"/>
        </w:rPr>
        <w:t>。</w:t>
      </w:r>
    </w:p>
    <w:bookmarkEnd w:id="1"/>
    <w:bookmarkEnd w:id="2"/>
    <w:bookmarkEnd w:id="3"/>
    <w:bookmarkEnd w:id="4"/>
    <w:bookmarkEnd w:id="5"/>
    <w:p w14:paraId="4E2CAC68">
      <w:pPr>
        <w:spacing w:line="360" w:lineRule="auto"/>
        <w:ind w:firstLine="480" w:firstLineChars="200"/>
        <w:rPr>
          <w:rFonts w:ascii="Times New Roman" w:hAnsi="Times New Roman"/>
          <w:sz w:val="24"/>
          <w:szCs w:val="24"/>
        </w:rPr>
      </w:pPr>
    </w:p>
    <w:p w14:paraId="22DF01F3">
      <w:pPr>
        <w:spacing w:line="360" w:lineRule="auto"/>
        <w:ind w:firstLine="474" w:firstLineChars="200"/>
        <w:rPr>
          <w:rFonts w:ascii="Times New Roman" w:hAnsi="Times New Roman"/>
          <w:b/>
          <w:spacing w:val="-2"/>
          <w:kern w:val="0"/>
          <w:sz w:val="24"/>
          <w:szCs w:val="24"/>
        </w:rPr>
        <w:sectPr>
          <w:pgSz w:w="11906" w:h="16838"/>
          <w:pgMar w:top="1418" w:right="1418" w:bottom="1418" w:left="1418" w:header="851" w:footer="737" w:gutter="0"/>
          <w:cols w:space="720" w:num="1"/>
          <w:docGrid w:linePitch="323" w:charSpace="0"/>
        </w:sectPr>
      </w:pPr>
    </w:p>
    <w:p w14:paraId="605A9DE5">
      <w:pPr>
        <w:pStyle w:val="8"/>
        <w:numPr>
          <w:ilvl w:val="4"/>
          <w:numId w:val="3"/>
        </w:numPr>
      </w:pPr>
      <w:r>
        <w:rPr>
          <w:sz w:val="24"/>
          <w:szCs w:val="24"/>
        </w:rPr>
        <w:t>项目污染物排放汇总一览表</w:t>
      </w:r>
    </w:p>
    <w:tbl>
      <w:tblPr>
        <w:tblStyle w:val="88"/>
        <w:tblW w:w="1422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23"/>
        <w:gridCol w:w="1097"/>
        <w:gridCol w:w="1443"/>
        <w:gridCol w:w="1206"/>
        <w:gridCol w:w="1152"/>
        <w:gridCol w:w="1297"/>
        <w:gridCol w:w="1254"/>
        <w:gridCol w:w="1078"/>
        <w:gridCol w:w="2588"/>
        <w:gridCol w:w="1382"/>
      </w:tblGrid>
      <w:tr w14:paraId="2B7E6A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220" w:type="dxa"/>
            <w:gridSpan w:val="10"/>
            <w:shd w:val="clear" w:color="auto" w:fill="auto"/>
            <w:vAlign w:val="center"/>
          </w:tcPr>
          <w:p w14:paraId="0F683322">
            <w:pPr>
              <w:widowControl/>
              <w:spacing w:line="360" w:lineRule="exact"/>
              <w:jc w:val="center"/>
              <w:rPr>
                <w:rFonts w:ascii="Times New Roman" w:hAnsi="Times New Roman"/>
                <w:b/>
                <w:bCs/>
                <w:szCs w:val="21"/>
              </w:rPr>
            </w:pPr>
            <w:r>
              <w:rPr>
                <w:rFonts w:ascii="Times New Roman" w:hAnsi="Times New Roman"/>
                <w:b/>
                <w:bCs/>
                <w:szCs w:val="21"/>
              </w:rPr>
              <w:t>一、废气</w:t>
            </w:r>
          </w:p>
        </w:tc>
      </w:tr>
      <w:tr w14:paraId="755960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820" w:type="dxa"/>
            <w:gridSpan w:val="2"/>
            <w:shd w:val="clear" w:color="auto" w:fill="auto"/>
            <w:vAlign w:val="center"/>
          </w:tcPr>
          <w:p w14:paraId="2BBA5878">
            <w:pPr>
              <w:widowControl/>
              <w:spacing w:line="360" w:lineRule="exact"/>
              <w:jc w:val="center"/>
              <w:rPr>
                <w:rFonts w:ascii="Times New Roman" w:hAnsi="Times New Roman"/>
                <w:b/>
                <w:bCs/>
                <w:szCs w:val="21"/>
              </w:rPr>
            </w:pPr>
            <w:r>
              <w:rPr>
                <w:rFonts w:ascii="Times New Roman" w:hAnsi="Times New Roman"/>
                <w:b/>
                <w:bCs/>
                <w:szCs w:val="21"/>
              </w:rPr>
              <w:t>污染源</w:t>
            </w:r>
          </w:p>
        </w:tc>
        <w:tc>
          <w:tcPr>
            <w:tcW w:w="1443" w:type="dxa"/>
            <w:shd w:val="clear" w:color="auto" w:fill="auto"/>
            <w:vAlign w:val="center"/>
          </w:tcPr>
          <w:p w14:paraId="26E0BD53">
            <w:pPr>
              <w:widowControl/>
              <w:spacing w:line="360" w:lineRule="exact"/>
              <w:jc w:val="center"/>
              <w:rPr>
                <w:rFonts w:ascii="Times New Roman" w:hAnsi="Times New Roman"/>
                <w:b/>
                <w:bCs/>
                <w:szCs w:val="21"/>
              </w:rPr>
            </w:pPr>
            <w:r>
              <w:rPr>
                <w:rFonts w:ascii="Times New Roman" w:hAnsi="Times New Roman"/>
                <w:b/>
                <w:bCs/>
                <w:szCs w:val="21"/>
              </w:rPr>
              <w:t>污染物</w:t>
            </w:r>
          </w:p>
        </w:tc>
        <w:tc>
          <w:tcPr>
            <w:tcW w:w="1206" w:type="dxa"/>
            <w:shd w:val="clear" w:color="auto" w:fill="auto"/>
            <w:vAlign w:val="center"/>
          </w:tcPr>
          <w:p w14:paraId="16CBE8CE">
            <w:pPr>
              <w:widowControl/>
              <w:spacing w:line="360" w:lineRule="exact"/>
              <w:jc w:val="center"/>
              <w:rPr>
                <w:rFonts w:ascii="Times New Roman" w:hAnsi="Times New Roman"/>
                <w:b/>
                <w:bCs/>
                <w:szCs w:val="21"/>
              </w:rPr>
            </w:pPr>
            <w:r>
              <w:rPr>
                <w:rFonts w:ascii="Times New Roman" w:hAnsi="Times New Roman"/>
                <w:b/>
                <w:bCs/>
                <w:szCs w:val="21"/>
              </w:rPr>
              <w:t>产生速率kg/h</w:t>
            </w:r>
          </w:p>
        </w:tc>
        <w:tc>
          <w:tcPr>
            <w:tcW w:w="1152" w:type="dxa"/>
            <w:shd w:val="clear" w:color="auto" w:fill="auto"/>
            <w:vAlign w:val="center"/>
          </w:tcPr>
          <w:p w14:paraId="27AEDD89">
            <w:pPr>
              <w:widowControl/>
              <w:spacing w:line="360" w:lineRule="exact"/>
              <w:jc w:val="center"/>
              <w:rPr>
                <w:rFonts w:ascii="Times New Roman" w:hAnsi="Times New Roman"/>
                <w:b/>
                <w:bCs/>
                <w:szCs w:val="21"/>
              </w:rPr>
            </w:pPr>
            <w:r>
              <w:rPr>
                <w:rFonts w:ascii="Times New Roman" w:hAnsi="Times New Roman"/>
                <w:b/>
                <w:bCs/>
                <w:szCs w:val="21"/>
              </w:rPr>
              <w:t>产生量t/a</w:t>
            </w:r>
          </w:p>
        </w:tc>
        <w:tc>
          <w:tcPr>
            <w:tcW w:w="1297" w:type="dxa"/>
            <w:shd w:val="clear" w:color="auto" w:fill="auto"/>
            <w:vAlign w:val="center"/>
          </w:tcPr>
          <w:p w14:paraId="7A759B2C">
            <w:pPr>
              <w:widowControl/>
              <w:spacing w:line="360" w:lineRule="exact"/>
              <w:jc w:val="center"/>
              <w:rPr>
                <w:rFonts w:ascii="Times New Roman" w:hAnsi="Times New Roman"/>
                <w:b/>
                <w:bCs/>
                <w:szCs w:val="21"/>
              </w:rPr>
            </w:pPr>
            <w:r>
              <w:rPr>
                <w:rFonts w:ascii="Times New Roman" w:hAnsi="Times New Roman"/>
                <w:b/>
                <w:bCs/>
                <w:szCs w:val="21"/>
              </w:rPr>
              <w:t>排放浓度mg/m</w:t>
            </w:r>
            <w:r>
              <w:rPr>
                <w:rFonts w:ascii="Times New Roman" w:hAnsi="Times New Roman"/>
                <w:b/>
                <w:bCs/>
                <w:szCs w:val="21"/>
                <w:vertAlign w:val="superscript"/>
              </w:rPr>
              <w:t>3</w:t>
            </w:r>
          </w:p>
        </w:tc>
        <w:tc>
          <w:tcPr>
            <w:tcW w:w="1254" w:type="dxa"/>
            <w:shd w:val="clear" w:color="auto" w:fill="auto"/>
            <w:vAlign w:val="center"/>
          </w:tcPr>
          <w:p w14:paraId="0CCECEFD">
            <w:pPr>
              <w:widowControl/>
              <w:spacing w:line="360" w:lineRule="exact"/>
              <w:jc w:val="center"/>
              <w:rPr>
                <w:rFonts w:ascii="Times New Roman" w:hAnsi="Times New Roman"/>
                <w:b/>
                <w:bCs/>
                <w:szCs w:val="21"/>
              </w:rPr>
            </w:pPr>
            <w:r>
              <w:rPr>
                <w:rFonts w:ascii="Times New Roman" w:hAnsi="Times New Roman"/>
                <w:b/>
                <w:bCs/>
                <w:szCs w:val="21"/>
              </w:rPr>
              <w:t>排放速率kg/h</w:t>
            </w:r>
          </w:p>
        </w:tc>
        <w:tc>
          <w:tcPr>
            <w:tcW w:w="1078" w:type="dxa"/>
            <w:shd w:val="clear" w:color="auto" w:fill="auto"/>
            <w:vAlign w:val="center"/>
          </w:tcPr>
          <w:p w14:paraId="74E777E1">
            <w:pPr>
              <w:widowControl/>
              <w:spacing w:line="360" w:lineRule="exact"/>
              <w:jc w:val="center"/>
              <w:rPr>
                <w:rFonts w:ascii="Times New Roman" w:hAnsi="Times New Roman"/>
                <w:b/>
                <w:bCs/>
                <w:szCs w:val="21"/>
              </w:rPr>
            </w:pPr>
            <w:r>
              <w:rPr>
                <w:rFonts w:ascii="Times New Roman" w:hAnsi="Times New Roman"/>
                <w:b/>
                <w:bCs/>
                <w:szCs w:val="21"/>
              </w:rPr>
              <w:t>排放量t/a</w:t>
            </w:r>
          </w:p>
        </w:tc>
        <w:tc>
          <w:tcPr>
            <w:tcW w:w="2588" w:type="dxa"/>
            <w:shd w:val="clear" w:color="auto" w:fill="auto"/>
            <w:vAlign w:val="center"/>
          </w:tcPr>
          <w:p w14:paraId="6EEEE6E0">
            <w:pPr>
              <w:widowControl/>
              <w:spacing w:line="360" w:lineRule="exact"/>
              <w:jc w:val="center"/>
              <w:rPr>
                <w:rFonts w:ascii="Times New Roman" w:hAnsi="Times New Roman"/>
                <w:b/>
                <w:bCs/>
                <w:szCs w:val="21"/>
              </w:rPr>
            </w:pPr>
            <w:r>
              <w:rPr>
                <w:rFonts w:ascii="Times New Roman" w:hAnsi="Times New Roman"/>
                <w:b/>
                <w:bCs/>
                <w:szCs w:val="21"/>
              </w:rPr>
              <w:t>保护措施</w:t>
            </w:r>
          </w:p>
        </w:tc>
        <w:tc>
          <w:tcPr>
            <w:tcW w:w="1382" w:type="dxa"/>
            <w:shd w:val="clear" w:color="auto" w:fill="auto"/>
            <w:vAlign w:val="center"/>
          </w:tcPr>
          <w:p w14:paraId="5E1C0E31">
            <w:pPr>
              <w:widowControl/>
              <w:spacing w:line="360" w:lineRule="exact"/>
              <w:jc w:val="center"/>
              <w:rPr>
                <w:rFonts w:ascii="Times New Roman" w:hAnsi="Times New Roman"/>
                <w:b/>
                <w:bCs/>
                <w:szCs w:val="21"/>
              </w:rPr>
            </w:pPr>
            <w:r>
              <w:rPr>
                <w:rFonts w:ascii="Times New Roman" w:hAnsi="Times New Roman"/>
                <w:b/>
                <w:bCs/>
                <w:szCs w:val="21"/>
              </w:rPr>
              <w:t>排污口信息</w:t>
            </w:r>
          </w:p>
        </w:tc>
      </w:tr>
      <w:tr w14:paraId="4E0822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23" w:type="dxa"/>
            <w:vMerge w:val="restart"/>
            <w:shd w:val="clear" w:color="auto" w:fill="auto"/>
            <w:vAlign w:val="center"/>
          </w:tcPr>
          <w:p w14:paraId="00D88551">
            <w:pPr>
              <w:widowControl/>
              <w:spacing w:line="360" w:lineRule="exact"/>
              <w:jc w:val="center"/>
              <w:rPr>
                <w:rFonts w:ascii="Times New Roman" w:hAnsi="Times New Roman"/>
                <w:szCs w:val="21"/>
              </w:rPr>
            </w:pPr>
            <w:r>
              <w:rPr>
                <w:rFonts w:ascii="Times New Roman" w:hAnsi="Times New Roman"/>
                <w:szCs w:val="21"/>
              </w:rPr>
              <w:t>烘干炉烟气</w:t>
            </w:r>
          </w:p>
        </w:tc>
        <w:tc>
          <w:tcPr>
            <w:tcW w:w="1097" w:type="dxa"/>
            <w:vMerge w:val="restart"/>
            <w:shd w:val="clear" w:color="auto" w:fill="auto"/>
            <w:vAlign w:val="center"/>
          </w:tcPr>
          <w:p w14:paraId="0D7F347E">
            <w:pPr>
              <w:widowControl/>
              <w:spacing w:line="360" w:lineRule="exact"/>
              <w:jc w:val="center"/>
              <w:rPr>
                <w:rFonts w:ascii="Times New Roman" w:hAnsi="Times New Roman"/>
                <w:szCs w:val="21"/>
              </w:rPr>
            </w:pPr>
            <w:r>
              <w:rPr>
                <w:rFonts w:ascii="Times New Roman" w:hAnsi="Times New Roman"/>
                <w:szCs w:val="21"/>
              </w:rPr>
              <w:t>有组织</w:t>
            </w:r>
          </w:p>
        </w:tc>
        <w:tc>
          <w:tcPr>
            <w:tcW w:w="1443" w:type="dxa"/>
            <w:shd w:val="clear" w:color="auto" w:fill="auto"/>
            <w:vAlign w:val="center"/>
          </w:tcPr>
          <w:p w14:paraId="640D84DD">
            <w:pPr>
              <w:widowControl/>
              <w:spacing w:line="360" w:lineRule="exact"/>
              <w:jc w:val="center"/>
              <w:rPr>
                <w:rFonts w:ascii="Times New Roman" w:hAnsi="Times New Roman"/>
                <w:szCs w:val="21"/>
              </w:rPr>
            </w:pPr>
            <w:r>
              <w:rPr>
                <w:rFonts w:ascii="Times New Roman" w:hAnsi="Times New Roman"/>
                <w:szCs w:val="21"/>
              </w:rPr>
              <w:t>PM</w:t>
            </w:r>
            <w:r>
              <w:rPr>
                <w:rFonts w:ascii="Times New Roman" w:hAnsi="Times New Roman"/>
                <w:szCs w:val="21"/>
                <w:vertAlign w:val="subscript"/>
              </w:rPr>
              <w:t>10</w:t>
            </w:r>
          </w:p>
        </w:tc>
        <w:tc>
          <w:tcPr>
            <w:tcW w:w="1206" w:type="dxa"/>
            <w:shd w:val="clear" w:color="auto" w:fill="auto"/>
            <w:vAlign w:val="center"/>
          </w:tcPr>
          <w:p w14:paraId="75AEF560">
            <w:pPr>
              <w:widowControl/>
              <w:spacing w:line="360" w:lineRule="exact"/>
              <w:jc w:val="center"/>
              <w:rPr>
                <w:rFonts w:ascii="Times New Roman" w:hAnsi="Times New Roman"/>
                <w:szCs w:val="21"/>
                <w:u w:val="single"/>
              </w:rPr>
            </w:pPr>
            <w:r>
              <w:rPr>
                <w:rFonts w:ascii="Times New Roman" w:hAnsi="Times New Roman" w:eastAsia="等线"/>
                <w:szCs w:val="21"/>
                <w:u w:val="single"/>
              </w:rPr>
              <w:t>1.7592</w:t>
            </w:r>
          </w:p>
        </w:tc>
        <w:tc>
          <w:tcPr>
            <w:tcW w:w="1152" w:type="dxa"/>
            <w:shd w:val="clear" w:color="auto" w:fill="auto"/>
            <w:vAlign w:val="center"/>
          </w:tcPr>
          <w:p w14:paraId="5408595D">
            <w:pPr>
              <w:widowControl/>
              <w:spacing w:line="360" w:lineRule="exact"/>
              <w:jc w:val="center"/>
              <w:rPr>
                <w:rFonts w:ascii="Times New Roman" w:hAnsi="Times New Roman"/>
                <w:szCs w:val="21"/>
                <w:u w:val="single"/>
              </w:rPr>
            </w:pPr>
            <w:r>
              <w:rPr>
                <w:rFonts w:ascii="Times New Roman" w:hAnsi="Times New Roman" w:eastAsia="等线"/>
                <w:szCs w:val="21"/>
                <w:u w:val="single"/>
              </w:rPr>
              <w:t>8.444</w:t>
            </w:r>
          </w:p>
        </w:tc>
        <w:tc>
          <w:tcPr>
            <w:tcW w:w="1297" w:type="dxa"/>
            <w:shd w:val="clear" w:color="auto" w:fill="auto"/>
            <w:vAlign w:val="center"/>
          </w:tcPr>
          <w:p w14:paraId="5F59176E">
            <w:pPr>
              <w:widowControl/>
              <w:spacing w:line="360" w:lineRule="exact"/>
              <w:jc w:val="center"/>
              <w:rPr>
                <w:rFonts w:ascii="Times New Roman" w:hAnsi="Times New Roman"/>
                <w:szCs w:val="21"/>
                <w:u w:val="single"/>
              </w:rPr>
            </w:pPr>
            <w:r>
              <w:rPr>
                <w:rFonts w:ascii="Times New Roman" w:hAnsi="Times New Roman" w:eastAsia="等线"/>
                <w:szCs w:val="21"/>
                <w:u w:val="single"/>
              </w:rPr>
              <w:t>3.5</w:t>
            </w:r>
          </w:p>
        </w:tc>
        <w:tc>
          <w:tcPr>
            <w:tcW w:w="1254" w:type="dxa"/>
            <w:shd w:val="clear" w:color="auto" w:fill="auto"/>
            <w:vAlign w:val="center"/>
          </w:tcPr>
          <w:p w14:paraId="77E4BE36">
            <w:pPr>
              <w:widowControl/>
              <w:spacing w:line="360" w:lineRule="exact"/>
              <w:jc w:val="center"/>
              <w:rPr>
                <w:rFonts w:ascii="Times New Roman" w:hAnsi="Times New Roman"/>
                <w:szCs w:val="21"/>
                <w:u w:val="single"/>
              </w:rPr>
            </w:pPr>
            <w:r>
              <w:rPr>
                <w:rFonts w:ascii="Times New Roman" w:hAnsi="Times New Roman" w:eastAsia="等线"/>
                <w:szCs w:val="21"/>
                <w:u w:val="single"/>
              </w:rPr>
              <w:t>0.0175</w:t>
            </w:r>
          </w:p>
        </w:tc>
        <w:tc>
          <w:tcPr>
            <w:tcW w:w="1078" w:type="dxa"/>
            <w:shd w:val="clear" w:color="auto" w:fill="auto"/>
            <w:vAlign w:val="center"/>
          </w:tcPr>
          <w:p w14:paraId="1D6202FF">
            <w:pPr>
              <w:widowControl/>
              <w:spacing w:line="360" w:lineRule="exact"/>
              <w:jc w:val="center"/>
              <w:rPr>
                <w:rFonts w:ascii="Times New Roman" w:hAnsi="Times New Roman"/>
                <w:szCs w:val="21"/>
                <w:u w:val="single"/>
              </w:rPr>
            </w:pPr>
            <w:r>
              <w:rPr>
                <w:rFonts w:ascii="Times New Roman" w:hAnsi="Times New Roman" w:eastAsia="等线"/>
                <w:szCs w:val="21"/>
                <w:u w:val="single"/>
              </w:rPr>
              <w:t>0.0840</w:t>
            </w:r>
          </w:p>
        </w:tc>
        <w:tc>
          <w:tcPr>
            <w:tcW w:w="2588" w:type="dxa"/>
            <w:vMerge w:val="restart"/>
            <w:shd w:val="clear" w:color="auto" w:fill="auto"/>
            <w:vAlign w:val="center"/>
          </w:tcPr>
          <w:p w14:paraId="5419C155">
            <w:pPr>
              <w:widowControl/>
              <w:spacing w:line="360" w:lineRule="exact"/>
              <w:jc w:val="left"/>
              <w:rPr>
                <w:rFonts w:ascii="Times New Roman" w:hAnsi="Times New Roman"/>
                <w:szCs w:val="21"/>
              </w:rPr>
            </w:pPr>
            <w:r>
              <w:rPr>
                <w:rFonts w:ascii="Times New Roman" w:hAnsi="Times New Roman"/>
                <w:szCs w:val="21"/>
              </w:rPr>
              <w:t>袋式除尘+1</w:t>
            </w:r>
            <w:r>
              <w:rPr>
                <w:rFonts w:hint="eastAsia" w:ascii="Times New Roman" w:hAnsi="Times New Roman"/>
                <w:szCs w:val="21"/>
              </w:rPr>
              <w:t>9</w:t>
            </w:r>
            <w:r>
              <w:rPr>
                <w:rFonts w:ascii="Times New Roman" w:hAnsi="Times New Roman"/>
                <w:szCs w:val="21"/>
              </w:rPr>
              <w:t>m排气筒</w:t>
            </w:r>
          </w:p>
        </w:tc>
        <w:tc>
          <w:tcPr>
            <w:tcW w:w="1382" w:type="dxa"/>
            <w:vMerge w:val="restart"/>
            <w:shd w:val="clear" w:color="auto" w:fill="auto"/>
            <w:vAlign w:val="center"/>
          </w:tcPr>
          <w:p w14:paraId="7B1ACBC4">
            <w:pPr>
              <w:widowControl/>
              <w:spacing w:line="360" w:lineRule="exact"/>
              <w:jc w:val="center"/>
              <w:rPr>
                <w:rFonts w:ascii="Times New Roman" w:hAnsi="Times New Roman"/>
                <w:szCs w:val="21"/>
              </w:rPr>
            </w:pPr>
            <w:r>
              <w:rPr>
                <w:rFonts w:ascii="Times New Roman" w:hAnsi="Times New Roman"/>
                <w:szCs w:val="21"/>
              </w:rPr>
              <w:t>DA001</w:t>
            </w:r>
          </w:p>
        </w:tc>
      </w:tr>
      <w:tr w14:paraId="4F20B5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23" w:type="dxa"/>
            <w:vMerge w:val="continue"/>
            <w:shd w:val="clear" w:color="auto" w:fill="auto"/>
            <w:vAlign w:val="center"/>
          </w:tcPr>
          <w:p w14:paraId="290D4752">
            <w:pPr>
              <w:widowControl/>
              <w:spacing w:line="360" w:lineRule="exact"/>
              <w:jc w:val="center"/>
              <w:rPr>
                <w:rFonts w:ascii="Times New Roman" w:hAnsi="Times New Roman"/>
                <w:szCs w:val="21"/>
              </w:rPr>
            </w:pPr>
          </w:p>
        </w:tc>
        <w:tc>
          <w:tcPr>
            <w:tcW w:w="1097" w:type="dxa"/>
            <w:vMerge w:val="continue"/>
            <w:shd w:val="clear" w:color="auto" w:fill="auto"/>
            <w:vAlign w:val="center"/>
          </w:tcPr>
          <w:p w14:paraId="7D75EF26">
            <w:pPr>
              <w:widowControl/>
              <w:spacing w:line="360" w:lineRule="exact"/>
              <w:jc w:val="center"/>
              <w:rPr>
                <w:rFonts w:ascii="Times New Roman" w:hAnsi="Times New Roman"/>
                <w:szCs w:val="21"/>
              </w:rPr>
            </w:pPr>
          </w:p>
        </w:tc>
        <w:tc>
          <w:tcPr>
            <w:tcW w:w="1443" w:type="dxa"/>
            <w:shd w:val="clear" w:color="auto" w:fill="auto"/>
            <w:vAlign w:val="center"/>
          </w:tcPr>
          <w:p w14:paraId="30648742">
            <w:pPr>
              <w:widowControl/>
              <w:spacing w:line="360" w:lineRule="exact"/>
              <w:jc w:val="center"/>
              <w:rPr>
                <w:rFonts w:ascii="Times New Roman" w:hAnsi="Times New Roman"/>
                <w:szCs w:val="21"/>
              </w:rPr>
            </w:pPr>
            <w:r>
              <w:rPr>
                <w:rFonts w:ascii="Times New Roman" w:hAnsi="Times New Roman"/>
                <w:szCs w:val="21"/>
              </w:rPr>
              <w:t>SO</w:t>
            </w:r>
            <w:r>
              <w:rPr>
                <w:rFonts w:ascii="Times New Roman" w:hAnsi="Times New Roman"/>
                <w:szCs w:val="21"/>
                <w:vertAlign w:val="subscript"/>
              </w:rPr>
              <w:t>2</w:t>
            </w:r>
          </w:p>
        </w:tc>
        <w:tc>
          <w:tcPr>
            <w:tcW w:w="1206" w:type="dxa"/>
            <w:shd w:val="clear" w:color="auto" w:fill="auto"/>
            <w:vAlign w:val="center"/>
          </w:tcPr>
          <w:p w14:paraId="1BA5AB99">
            <w:pPr>
              <w:widowControl/>
              <w:spacing w:line="360" w:lineRule="exact"/>
              <w:jc w:val="center"/>
              <w:rPr>
                <w:rFonts w:ascii="Times New Roman" w:hAnsi="Times New Roman"/>
                <w:szCs w:val="21"/>
                <w:u w:val="single"/>
              </w:rPr>
            </w:pPr>
            <w:r>
              <w:rPr>
                <w:rFonts w:ascii="Times New Roman" w:hAnsi="Times New Roman" w:eastAsia="等线"/>
                <w:szCs w:val="21"/>
                <w:u w:val="single"/>
              </w:rPr>
              <w:t>0.0921</w:t>
            </w:r>
          </w:p>
        </w:tc>
        <w:tc>
          <w:tcPr>
            <w:tcW w:w="1152" w:type="dxa"/>
            <w:shd w:val="clear" w:color="auto" w:fill="auto"/>
            <w:vAlign w:val="center"/>
          </w:tcPr>
          <w:p w14:paraId="3DB4BE09">
            <w:pPr>
              <w:widowControl/>
              <w:spacing w:line="360" w:lineRule="exact"/>
              <w:jc w:val="center"/>
              <w:rPr>
                <w:rFonts w:ascii="Times New Roman" w:hAnsi="Times New Roman"/>
                <w:szCs w:val="21"/>
                <w:u w:val="single"/>
              </w:rPr>
            </w:pPr>
            <w:r>
              <w:rPr>
                <w:rFonts w:ascii="Times New Roman" w:hAnsi="Times New Roman" w:eastAsia="等线"/>
                <w:szCs w:val="21"/>
                <w:u w:val="single"/>
              </w:rPr>
              <w:t>0.442</w:t>
            </w:r>
          </w:p>
        </w:tc>
        <w:tc>
          <w:tcPr>
            <w:tcW w:w="1297" w:type="dxa"/>
            <w:shd w:val="clear" w:color="auto" w:fill="auto"/>
            <w:vAlign w:val="center"/>
          </w:tcPr>
          <w:p w14:paraId="59EB349D">
            <w:pPr>
              <w:widowControl/>
              <w:spacing w:line="360" w:lineRule="exact"/>
              <w:jc w:val="center"/>
              <w:rPr>
                <w:rFonts w:ascii="Times New Roman" w:hAnsi="Times New Roman"/>
                <w:szCs w:val="21"/>
                <w:u w:val="single"/>
              </w:rPr>
            </w:pPr>
            <w:r>
              <w:rPr>
                <w:rFonts w:ascii="Times New Roman" w:hAnsi="Times New Roman" w:eastAsia="等线"/>
                <w:szCs w:val="21"/>
                <w:u w:val="single"/>
              </w:rPr>
              <w:t>18.42</w:t>
            </w:r>
          </w:p>
        </w:tc>
        <w:tc>
          <w:tcPr>
            <w:tcW w:w="1254" w:type="dxa"/>
            <w:shd w:val="clear" w:color="auto" w:fill="auto"/>
            <w:vAlign w:val="center"/>
          </w:tcPr>
          <w:p w14:paraId="2F4E409B">
            <w:pPr>
              <w:widowControl/>
              <w:spacing w:line="360" w:lineRule="exact"/>
              <w:jc w:val="center"/>
              <w:rPr>
                <w:rFonts w:ascii="Times New Roman" w:hAnsi="Times New Roman"/>
                <w:szCs w:val="21"/>
                <w:u w:val="single"/>
              </w:rPr>
            </w:pPr>
            <w:r>
              <w:rPr>
                <w:rFonts w:ascii="Times New Roman" w:hAnsi="Times New Roman" w:eastAsia="等线"/>
                <w:szCs w:val="21"/>
                <w:u w:val="single"/>
              </w:rPr>
              <w:t>0.0921</w:t>
            </w:r>
          </w:p>
        </w:tc>
        <w:tc>
          <w:tcPr>
            <w:tcW w:w="1078" w:type="dxa"/>
            <w:shd w:val="clear" w:color="auto" w:fill="auto"/>
            <w:vAlign w:val="center"/>
          </w:tcPr>
          <w:p w14:paraId="68113E6B">
            <w:pPr>
              <w:widowControl/>
              <w:spacing w:line="360" w:lineRule="exact"/>
              <w:jc w:val="center"/>
              <w:rPr>
                <w:rFonts w:ascii="Times New Roman" w:hAnsi="Times New Roman"/>
                <w:szCs w:val="21"/>
                <w:u w:val="single"/>
              </w:rPr>
            </w:pPr>
            <w:r>
              <w:rPr>
                <w:rFonts w:ascii="Times New Roman" w:hAnsi="Times New Roman" w:eastAsia="等线"/>
                <w:szCs w:val="21"/>
                <w:u w:val="single"/>
              </w:rPr>
              <w:t>0.4420</w:t>
            </w:r>
          </w:p>
        </w:tc>
        <w:tc>
          <w:tcPr>
            <w:tcW w:w="2588" w:type="dxa"/>
            <w:vMerge w:val="continue"/>
            <w:shd w:val="clear" w:color="auto" w:fill="auto"/>
            <w:vAlign w:val="center"/>
          </w:tcPr>
          <w:p w14:paraId="78946CFA">
            <w:pPr>
              <w:widowControl/>
              <w:spacing w:line="360" w:lineRule="exact"/>
              <w:jc w:val="left"/>
              <w:rPr>
                <w:rFonts w:ascii="Times New Roman" w:hAnsi="Times New Roman"/>
                <w:szCs w:val="21"/>
              </w:rPr>
            </w:pPr>
          </w:p>
        </w:tc>
        <w:tc>
          <w:tcPr>
            <w:tcW w:w="1382" w:type="dxa"/>
            <w:vMerge w:val="continue"/>
            <w:shd w:val="clear" w:color="auto" w:fill="auto"/>
            <w:vAlign w:val="center"/>
          </w:tcPr>
          <w:p w14:paraId="7125B86A">
            <w:pPr>
              <w:widowControl/>
              <w:spacing w:line="360" w:lineRule="exact"/>
              <w:jc w:val="center"/>
              <w:rPr>
                <w:rFonts w:ascii="Times New Roman" w:hAnsi="Times New Roman"/>
                <w:szCs w:val="21"/>
              </w:rPr>
            </w:pPr>
          </w:p>
        </w:tc>
      </w:tr>
      <w:tr w14:paraId="244AB1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23" w:type="dxa"/>
            <w:vMerge w:val="continue"/>
            <w:shd w:val="clear" w:color="auto" w:fill="auto"/>
            <w:vAlign w:val="center"/>
          </w:tcPr>
          <w:p w14:paraId="34E432A9">
            <w:pPr>
              <w:widowControl/>
              <w:spacing w:line="360" w:lineRule="exact"/>
              <w:jc w:val="center"/>
              <w:rPr>
                <w:rFonts w:ascii="Times New Roman" w:hAnsi="Times New Roman"/>
                <w:szCs w:val="21"/>
              </w:rPr>
            </w:pPr>
          </w:p>
        </w:tc>
        <w:tc>
          <w:tcPr>
            <w:tcW w:w="1097" w:type="dxa"/>
            <w:vMerge w:val="continue"/>
            <w:shd w:val="clear" w:color="auto" w:fill="auto"/>
            <w:vAlign w:val="center"/>
          </w:tcPr>
          <w:p w14:paraId="31784314">
            <w:pPr>
              <w:widowControl/>
              <w:spacing w:line="360" w:lineRule="exact"/>
              <w:jc w:val="center"/>
              <w:rPr>
                <w:rFonts w:ascii="Times New Roman" w:hAnsi="Times New Roman"/>
                <w:szCs w:val="21"/>
              </w:rPr>
            </w:pPr>
          </w:p>
        </w:tc>
        <w:tc>
          <w:tcPr>
            <w:tcW w:w="1443" w:type="dxa"/>
            <w:shd w:val="clear" w:color="auto" w:fill="auto"/>
            <w:vAlign w:val="center"/>
          </w:tcPr>
          <w:p w14:paraId="6DB22D41">
            <w:pPr>
              <w:widowControl/>
              <w:spacing w:line="360" w:lineRule="exact"/>
              <w:jc w:val="center"/>
              <w:rPr>
                <w:rFonts w:ascii="Times New Roman" w:hAnsi="Times New Roman"/>
                <w:szCs w:val="21"/>
              </w:rPr>
            </w:pPr>
            <w:r>
              <w:rPr>
                <w:rFonts w:ascii="Times New Roman" w:hAnsi="Times New Roman"/>
                <w:szCs w:val="21"/>
              </w:rPr>
              <w:t>NO</w:t>
            </w:r>
            <w:r>
              <w:rPr>
                <w:rFonts w:ascii="Times New Roman" w:hAnsi="Times New Roman"/>
                <w:szCs w:val="21"/>
                <w:vertAlign w:val="subscript"/>
              </w:rPr>
              <w:t>x</w:t>
            </w:r>
          </w:p>
        </w:tc>
        <w:tc>
          <w:tcPr>
            <w:tcW w:w="1206" w:type="dxa"/>
            <w:shd w:val="clear" w:color="auto" w:fill="auto"/>
            <w:vAlign w:val="center"/>
          </w:tcPr>
          <w:p w14:paraId="677F1265">
            <w:pPr>
              <w:widowControl/>
              <w:spacing w:line="360" w:lineRule="exact"/>
              <w:jc w:val="center"/>
              <w:rPr>
                <w:rFonts w:ascii="Times New Roman" w:hAnsi="Times New Roman"/>
                <w:szCs w:val="21"/>
                <w:u w:val="single"/>
              </w:rPr>
            </w:pPr>
            <w:r>
              <w:rPr>
                <w:rFonts w:ascii="Times New Roman" w:hAnsi="Times New Roman" w:eastAsia="等线"/>
                <w:szCs w:val="21"/>
                <w:u w:val="single"/>
              </w:rPr>
              <w:t>0.5000</w:t>
            </w:r>
          </w:p>
        </w:tc>
        <w:tc>
          <w:tcPr>
            <w:tcW w:w="1152" w:type="dxa"/>
            <w:shd w:val="clear" w:color="auto" w:fill="auto"/>
            <w:vAlign w:val="center"/>
          </w:tcPr>
          <w:p w14:paraId="10F1893B">
            <w:pPr>
              <w:widowControl/>
              <w:spacing w:line="360" w:lineRule="exact"/>
              <w:jc w:val="center"/>
              <w:rPr>
                <w:rFonts w:ascii="Times New Roman" w:hAnsi="Times New Roman"/>
                <w:szCs w:val="21"/>
                <w:u w:val="single"/>
              </w:rPr>
            </w:pPr>
            <w:r>
              <w:rPr>
                <w:rFonts w:ascii="Times New Roman" w:hAnsi="Times New Roman" w:eastAsia="等线"/>
                <w:szCs w:val="21"/>
                <w:u w:val="single"/>
              </w:rPr>
              <w:t>2.4</w:t>
            </w:r>
          </w:p>
        </w:tc>
        <w:tc>
          <w:tcPr>
            <w:tcW w:w="1297" w:type="dxa"/>
            <w:shd w:val="clear" w:color="auto" w:fill="auto"/>
            <w:vAlign w:val="center"/>
          </w:tcPr>
          <w:p w14:paraId="1D2A5C6D">
            <w:pPr>
              <w:widowControl/>
              <w:spacing w:line="360" w:lineRule="exact"/>
              <w:jc w:val="center"/>
              <w:rPr>
                <w:rFonts w:ascii="Times New Roman" w:hAnsi="Times New Roman"/>
                <w:szCs w:val="21"/>
                <w:u w:val="single"/>
              </w:rPr>
            </w:pPr>
            <w:r>
              <w:rPr>
                <w:rFonts w:ascii="Times New Roman" w:hAnsi="Times New Roman" w:eastAsia="等线"/>
                <w:szCs w:val="21"/>
                <w:u w:val="single"/>
              </w:rPr>
              <w:t>100</w:t>
            </w:r>
          </w:p>
        </w:tc>
        <w:tc>
          <w:tcPr>
            <w:tcW w:w="1254" w:type="dxa"/>
            <w:shd w:val="clear" w:color="auto" w:fill="auto"/>
            <w:vAlign w:val="center"/>
          </w:tcPr>
          <w:p w14:paraId="7D2879B7">
            <w:pPr>
              <w:widowControl/>
              <w:spacing w:line="360" w:lineRule="exact"/>
              <w:jc w:val="center"/>
              <w:rPr>
                <w:rFonts w:ascii="Times New Roman" w:hAnsi="Times New Roman"/>
                <w:szCs w:val="21"/>
                <w:u w:val="single"/>
              </w:rPr>
            </w:pPr>
            <w:r>
              <w:rPr>
                <w:rFonts w:ascii="Times New Roman" w:hAnsi="Times New Roman" w:eastAsia="等线"/>
                <w:szCs w:val="21"/>
                <w:u w:val="single"/>
              </w:rPr>
              <w:t>0.5000</w:t>
            </w:r>
          </w:p>
        </w:tc>
        <w:tc>
          <w:tcPr>
            <w:tcW w:w="1078" w:type="dxa"/>
            <w:shd w:val="clear" w:color="auto" w:fill="auto"/>
            <w:vAlign w:val="center"/>
          </w:tcPr>
          <w:p w14:paraId="14D2638F">
            <w:pPr>
              <w:widowControl/>
              <w:spacing w:line="360" w:lineRule="exact"/>
              <w:jc w:val="center"/>
              <w:rPr>
                <w:rFonts w:ascii="Times New Roman" w:hAnsi="Times New Roman"/>
                <w:szCs w:val="21"/>
                <w:u w:val="single"/>
              </w:rPr>
            </w:pPr>
            <w:r>
              <w:rPr>
                <w:rFonts w:ascii="Times New Roman" w:hAnsi="Times New Roman" w:eastAsia="等线"/>
                <w:szCs w:val="21"/>
                <w:u w:val="single"/>
              </w:rPr>
              <w:t>2.4000</w:t>
            </w:r>
          </w:p>
        </w:tc>
        <w:tc>
          <w:tcPr>
            <w:tcW w:w="2588" w:type="dxa"/>
            <w:vMerge w:val="continue"/>
            <w:shd w:val="clear" w:color="auto" w:fill="auto"/>
            <w:vAlign w:val="center"/>
          </w:tcPr>
          <w:p w14:paraId="66422503">
            <w:pPr>
              <w:widowControl/>
              <w:spacing w:line="360" w:lineRule="exact"/>
              <w:jc w:val="left"/>
              <w:rPr>
                <w:rFonts w:ascii="Times New Roman" w:hAnsi="Times New Roman"/>
                <w:szCs w:val="21"/>
              </w:rPr>
            </w:pPr>
          </w:p>
        </w:tc>
        <w:tc>
          <w:tcPr>
            <w:tcW w:w="1382" w:type="dxa"/>
            <w:vMerge w:val="continue"/>
            <w:shd w:val="clear" w:color="auto" w:fill="auto"/>
            <w:vAlign w:val="center"/>
          </w:tcPr>
          <w:p w14:paraId="1292C98C">
            <w:pPr>
              <w:widowControl/>
              <w:spacing w:line="360" w:lineRule="exact"/>
              <w:jc w:val="center"/>
              <w:rPr>
                <w:rFonts w:ascii="Times New Roman" w:hAnsi="Times New Roman"/>
                <w:szCs w:val="21"/>
              </w:rPr>
            </w:pPr>
          </w:p>
        </w:tc>
      </w:tr>
      <w:tr w14:paraId="3235B9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23" w:type="dxa"/>
            <w:shd w:val="clear" w:color="auto" w:fill="auto"/>
            <w:vAlign w:val="center"/>
          </w:tcPr>
          <w:p w14:paraId="60787FCB">
            <w:pPr>
              <w:widowControl/>
              <w:spacing w:line="360" w:lineRule="exact"/>
              <w:jc w:val="center"/>
              <w:rPr>
                <w:rFonts w:ascii="Times New Roman" w:hAnsi="Times New Roman"/>
                <w:szCs w:val="21"/>
              </w:rPr>
            </w:pPr>
            <w:r>
              <w:rPr>
                <w:rFonts w:hint="eastAsia" w:ascii="Times New Roman" w:hAnsi="Times New Roman"/>
                <w:szCs w:val="21"/>
              </w:rPr>
              <w:t>1#生产车间粉尘</w:t>
            </w:r>
          </w:p>
        </w:tc>
        <w:tc>
          <w:tcPr>
            <w:tcW w:w="1097" w:type="dxa"/>
            <w:shd w:val="clear" w:color="auto" w:fill="auto"/>
            <w:vAlign w:val="center"/>
          </w:tcPr>
          <w:p w14:paraId="09CB70AE">
            <w:pPr>
              <w:widowControl/>
              <w:spacing w:line="360" w:lineRule="exact"/>
              <w:jc w:val="center"/>
              <w:rPr>
                <w:rFonts w:ascii="Times New Roman" w:hAnsi="Times New Roman"/>
                <w:szCs w:val="21"/>
              </w:rPr>
            </w:pPr>
            <w:r>
              <w:rPr>
                <w:rFonts w:ascii="Times New Roman" w:hAnsi="Times New Roman"/>
                <w:szCs w:val="21"/>
              </w:rPr>
              <w:t>有组织</w:t>
            </w:r>
          </w:p>
        </w:tc>
        <w:tc>
          <w:tcPr>
            <w:tcW w:w="1443" w:type="dxa"/>
            <w:shd w:val="clear" w:color="auto" w:fill="auto"/>
            <w:vAlign w:val="center"/>
          </w:tcPr>
          <w:p w14:paraId="5CAE8632">
            <w:pPr>
              <w:widowControl/>
              <w:spacing w:line="360" w:lineRule="exact"/>
              <w:jc w:val="center"/>
              <w:rPr>
                <w:rFonts w:ascii="Times New Roman" w:hAnsi="Times New Roman"/>
                <w:szCs w:val="21"/>
              </w:rPr>
            </w:pPr>
            <w:r>
              <w:rPr>
                <w:rFonts w:ascii="Times New Roman" w:hAnsi="Times New Roman"/>
                <w:szCs w:val="21"/>
              </w:rPr>
              <w:t>PM</w:t>
            </w:r>
            <w:r>
              <w:rPr>
                <w:rFonts w:ascii="Times New Roman" w:hAnsi="Times New Roman"/>
                <w:szCs w:val="21"/>
                <w:vertAlign w:val="subscript"/>
              </w:rPr>
              <w:t>10</w:t>
            </w:r>
          </w:p>
        </w:tc>
        <w:tc>
          <w:tcPr>
            <w:tcW w:w="1206" w:type="dxa"/>
            <w:shd w:val="clear" w:color="auto" w:fill="auto"/>
            <w:vAlign w:val="center"/>
          </w:tcPr>
          <w:p w14:paraId="2E5F14D7">
            <w:pPr>
              <w:widowControl/>
              <w:spacing w:line="360" w:lineRule="exact"/>
              <w:jc w:val="center"/>
              <w:rPr>
                <w:rFonts w:ascii="Times New Roman" w:hAnsi="Times New Roman"/>
                <w:szCs w:val="21"/>
                <w:u w:val="single"/>
              </w:rPr>
            </w:pPr>
            <w:r>
              <w:rPr>
                <w:rFonts w:ascii="Times New Roman" w:hAnsi="Times New Roman" w:eastAsia="等线"/>
                <w:szCs w:val="21"/>
                <w:u w:val="single"/>
              </w:rPr>
              <w:t>0.1283</w:t>
            </w:r>
          </w:p>
        </w:tc>
        <w:tc>
          <w:tcPr>
            <w:tcW w:w="1152" w:type="dxa"/>
            <w:shd w:val="clear" w:color="auto" w:fill="auto"/>
            <w:vAlign w:val="center"/>
          </w:tcPr>
          <w:p w14:paraId="10AF4C6F">
            <w:pPr>
              <w:widowControl/>
              <w:spacing w:line="360" w:lineRule="exact"/>
              <w:jc w:val="center"/>
              <w:rPr>
                <w:rFonts w:ascii="Times New Roman" w:hAnsi="Times New Roman"/>
                <w:szCs w:val="21"/>
                <w:u w:val="single"/>
              </w:rPr>
            </w:pPr>
            <w:r>
              <w:rPr>
                <w:rFonts w:ascii="Times New Roman" w:hAnsi="Times New Roman" w:eastAsia="等线"/>
                <w:szCs w:val="21"/>
                <w:u w:val="single"/>
              </w:rPr>
              <w:t>0.616</w:t>
            </w:r>
          </w:p>
        </w:tc>
        <w:tc>
          <w:tcPr>
            <w:tcW w:w="1297" w:type="dxa"/>
            <w:shd w:val="clear" w:color="auto" w:fill="auto"/>
            <w:vAlign w:val="center"/>
          </w:tcPr>
          <w:p w14:paraId="3013E703">
            <w:pPr>
              <w:widowControl/>
              <w:spacing w:line="360" w:lineRule="exact"/>
              <w:jc w:val="center"/>
              <w:rPr>
                <w:rFonts w:ascii="Times New Roman" w:hAnsi="Times New Roman"/>
                <w:szCs w:val="21"/>
                <w:u w:val="single"/>
              </w:rPr>
            </w:pPr>
            <w:r>
              <w:rPr>
                <w:rFonts w:ascii="Times New Roman" w:hAnsi="Times New Roman" w:eastAsia="等线"/>
                <w:szCs w:val="21"/>
                <w:u w:val="single"/>
              </w:rPr>
              <w:t>0.16</w:t>
            </w:r>
          </w:p>
        </w:tc>
        <w:tc>
          <w:tcPr>
            <w:tcW w:w="1254" w:type="dxa"/>
            <w:shd w:val="clear" w:color="auto" w:fill="auto"/>
            <w:vAlign w:val="center"/>
          </w:tcPr>
          <w:p w14:paraId="069229C5">
            <w:pPr>
              <w:widowControl/>
              <w:spacing w:line="360" w:lineRule="exact"/>
              <w:jc w:val="center"/>
              <w:rPr>
                <w:rFonts w:ascii="Times New Roman" w:hAnsi="Times New Roman"/>
                <w:szCs w:val="21"/>
                <w:u w:val="single"/>
              </w:rPr>
            </w:pPr>
            <w:r>
              <w:rPr>
                <w:rFonts w:ascii="Times New Roman" w:hAnsi="Times New Roman" w:eastAsia="等线"/>
                <w:szCs w:val="21"/>
                <w:u w:val="single"/>
              </w:rPr>
              <w:t>0.0013</w:t>
            </w:r>
          </w:p>
        </w:tc>
        <w:tc>
          <w:tcPr>
            <w:tcW w:w="1078" w:type="dxa"/>
            <w:shd w:val="clear" w:color="auto" w:fill="auto"/>
            <w:vAlign w:val="center"/>
          </w:tcPr>
          <w:p w14:paraId="30592F94">
            <w:pPr>
              <w:widowControl/>
              <w:spacing w:line="360" w:lineRule="exact"/>
              <w:jc w:val="center"/>
              <w:rPr>
                <w:rFonts w:ascii="Times New Roman" w:hAnsi="Times New Roman"/>
                <w:szCs w:val="21"/>
                <w:u w:val="single"/>
              </w:rPr>
            </w:pPr>
            <w:r>
              <w:rPr>
                <w:rFonts w:ascii="Times New Roman" w:hAnsi="Times New Roman" w:eastAsia="等线"/>
                <w:szCs w:val="21"/>
                <w:u w:val="single"/>
              </w:rPr>
              <w:t>0.0062</w:t>
            </w:r>
          </w:p>
        </w:tc>
        <w:tc>
          <w:tcPr>
            <w:tcW w:w="2588" w:type="dxa"/>
            <w:shd w:val="clear" w:color="auto" w:fill="auto"/>
            <w:vAlign w:val="center"/>
          </w:tcPr>
          <w:p w14:paraId="6882FF67">
            <w:pPr>
              <w:widowControl/>
              <w:spacing w:line="360" w:lineRule="exact"/>
              <w:jc w:val="left"/>
              <w:rPr>
                <w:rFonts w:ascii="Times New Roman" w:hAnsi="Times New Roman"/>
                <w:szCs w:val="21"/>
                <w:u w:val="single"/>
              </w:rPr>
            </w:pPr>
            <w:r>
              <w:rPr>
                <w:rFonts w:ascii="Times New Roman" w:hAnsi="Times New Roman"/>
                <w:szCs w:val="21"/>
                <w:u w:val="single"/>
              </w:rPr>
              <w:t>烘干机进出料口集气罩+袋式除尘+1</w:t>
            </w:r>
            <w:r>
              <w:rPr>
                <w:rFonts w:hint="eastAsia" w:ascii="Times New Roman" w:hAnsi="Times New Roman"/>
                <w:szCs w:val="21"/>
                <w:u w:val="single"/>
              </w:rPr>
              <w:t>9</w:t>
            </w:r>
            <w:r>
              <w:rPr>
                <w:rFonts w:ascii="Times New Roman" w:hAnsi="Times New Roman"/>
                <w:szCs w:val="21"/>
                <w:u w:val="single"/>
              </w:rPr>
              <w:t>m排气筒</w:t>
            </w:r>
          </w:p>
        </w:tc>
        <w:tc>
          <w:tcPr>
            <w:tcW w:w="1382" w:type="dxa"/>
            <w:shd w:val="clear" w:color="auto" w:fill="auto"/>
            <w:vAlign w:val="center"/>
          </w:tcPr>
          <w:p w14:paraId="048D0CEE">
            <w:pPr>
              <w:widowControl/>
              <w:spacing w:line="360" w:lineRule="exact"/>
              <w:jc w:val="center"/>
              <w:rPr>
                <w:rFonts w:ascii="Times New Roman" w:hAnsi="Times New Roman"/>
                <w:szCs w:val="21"/>
              </w:rPr>
            </w:pPr>
            <w:r>
              <w:rPr>
                <w:rFonts w:ascii="Times New Roman" w:hAnsi="Times New Roman"/>
                <w:szCs w:val="21"/>
              </w:rPr>
              <w:t>DA00</w:t>
            </w:r>
            <w:r>
              <w:rPr>
                <w:rFonts w:hint="eastAsia" w:ascii="Times New Roman" w:hAnsi="Times New Roman"/>
                <w:szCs w:val="21"/>
              </w:rPr>
              <w:t>2</w:t>
            </w:r>
          </w:p>
        </w:tc>
      </w:tr>
      <w:tr w14:paraId="529214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23" w:type="dxa"/>
            <w:shd w:val="clear" w:color="auto" w:fill="auto"/>
            <w:vAlign w:val="center"/>
          </w:tcPr>
          <w:p w14:paraId="52111F06">
            <w:pPr>
              <w:widowControl/>
              <w:spacing w:line="360" w:lineRule="exact"/>
              <w:jc w:val="center"/>
              <w:rPr>
                <w:rFonts w:ascii="Times New Roman" w:hAnsi="Times New Roman"/>
                <w:szCs w:val="21"/>
              </w:rPr>
            </w:pPr>
            <w:r>
              <w:rPr>
                <w:rFonts w:hint="eastAsia" w:ascii="Times New Roman" w:hAnsi="Times New Roman"/>
                <w:szCs w:val="21"/>
              </w:rPr>
              <w:t>2#生产车间粉尘</w:t>
            </w:r>
          </w:p>
        </w:tc>
        <w:tc>
          <w:tcPr>
            <w:tcW w:w="1097" w:type="dxa"/>
            <w:shd w:val="clear" w:color="auto" w:fill="auto"/>
            <w:vAlign w:val="center"/>
          </w:tcPr>
          <w:p w14:paraId="75E0014B">
            <w:pPr>
              <w:widowControl/>
              <w:spacing w:line="360" w:lineRule="exact"/>
              <w:jc w:val="center"/>
              <w:rPr>
                <w:rFonts w:ascii="Times New Roman" w:hAnsi="Times New Roman"/>
                <w:szCs w:val="21"/>
              </w:rPr>
            </w:pPr>
            <w:r>
              <w:rPr>
                <w:rFonts w:ascii="Times New Roman" w:hAnsi="Times New Roman"/>
                <w:szCs w:val="21"/>
              </w:rPr>
              <w:t>有组织</w:t>
            </w:r>
          </w:p>
        </w:tc>
        <w:tc>
          <w:tcPr>
            <w:tcW w:w="1443" w:type="dxa"/>
            <w:shd w:val="clear" w:color="auto" w:fill="auto"/>
            <w:vAlign w:val="center"/>
          </w:tcPr>
          <w:p w14:paraId="2D9E8B77">
            <w:pPr>
              <w:widowControl/>
              <w:spacing w:line="360" w:lineRule="exact"/>
              <w:jc w:val="center"/>
              <w:rPr>
                <w:rFonts w:ascii="Times New Roman" w:hAnsi="Times New Roman"/>
                <w:szCs w:val="21"/>
              </w:rPr>
            </w:pPr>
            <w:r>
              <w:rPr>
                <w:rFonts w:ascii="Times New Roman" w:hAnsi="Times New Roman"/>
                <w:szCs w:val="21"/>
              </w:rPr>
              <w:t>PM</w:t>
            </w:r>
            <w:r>
              <w:rPr>
                <w:rFonts w:ascii="Times New Roman" w:hAnsi="Times New Roman"/>
                <w:szCs w:val="21"/>
                <w:vertAlign w:val="subscript"/>
              </w:rPr>
              <w:t>10</w:t>
            </w:r>
          </w:p>
        </w:tc>
        <w:tc>
          <w:tcPr>
            <w:tcW w:w="1206" w:type="dxa"/>
            <w:shd w:val="clear" w:color="auto" w:fill="auto"/>
            <w:vAlign w:val="center"/>
          </w:tcPr>
          <w:p w14:paraId="36591964">
            <w:pPr>
              <w:widowControl/>
              <w:spacing w:line="360" w:lineRule="exact"/>
              <w:jc w:val="center"/>
              <w:rPr>
                <w:rFonts w:ascii="Times New Roman" w:hAnsi="Times New Roman"/>
                <w:szCs w:val="21"/>
                <w:u w:val="single"/>
              </w:rPr>
            </w:pPr>
            <w:r>
              <w:rPr>
                <w:rFonts w:ascii="Times New Roman" w:hAnsi="Times New Roman" w:eastAsia="等线"/>
                <w:szCs w:val="21"/>
                <w:u w:val="single"/>
              </w:rPr>
              <w:t>0.1663</w:t>
            </w:r>
          </w:p>
        </w:tc>
        <w:tc>
          <w:tcPr>
            <w:tcW w:w="1152" w:type="dxa"/>
            <w:shd w:val="clear" w:color="auto" w:fill="auto"/>
            <w:vAlign w:val="center"/>
          </w:tcPr>
          <w:p w14:paraId="132FDDE8">
            <w:pPr>
              <w:widowControl/>
              <w:spacing w:line="360" w:lineRule="exact"/>
              <w:jc w:val="center"/>
              <w:rPr>
                <w:rFonts w:ascii="Times New Roman" w:hAnsi="Times New Roman"/>
                <w:szCs w:val="21"/>
                <w:u w:val="single"/>
              </w:rPr>
            </w:pPr>
            <w:r>
              <w:rPr>
                <w:rFonts w:ascii="Times New Roman" w:hAnsi="Times New Roman" w:eastAsia="等线"/>
                <w:szCs w:val="21"/>
                <w:u w:val="single"/>
              </w:rPr>
              <w:t>0.798</w:t>
            </w:r>
          </w:p>
        </w:tc>
        <w:tc>
          <w:tcPr>
            <w:tcW w:w="1297" w:type="dxa"/>
            <w:shd w:val="clear" w:color="auto" w:fill="auto"/>
            <w:vAlign w:val="center"/>
          </w:tcPr>
          <w:p w14:paraId="2E60D92F">
            <w:pPr>
              <w:widowControl/>
              <w:spacing w:line="360" w:lineRule="exact"/>
              <w:jc w:val="center"/>
              <w:rPr>
                <w:rFonts w:ascii="Times New Roman" w:hAnsi="Times New Roman"/>
                <w:szCs w:val="21"/>
                <w:u w:val="single"/>
              </w:rPr>
            </w:pPr>
            <w:r>
              <w:rPr>
                <w:rFonts w:ascii="Times New Roman" w:hAnsi="Times New Roman" w:eastAsia="等线"/>
                <w:szCs w:val="21"/>
                <w:u w:val="single"/>
              </w:rPr>
              <w:t>0.21</w:t>
            </w:r>
          </w:p>
        </w:tc>
        <w:tc>
          <w:tcPr>
            <w:tcW w:w="1254" w:type="dxa"/>
            <w:shd w:val="clear" w:color="auto" w:fill="auto"/>
            <w:vAlign w:val="center"/>
          </w:tcPr>
          <w:p w14:paraId="5478B9FD">
            <w:pPr>
              <w:widowControl/>
              <w:spacing w:line="360" w:lineRule="exact"/>
              <w:jc w:val="center"/>
              <w:rPr>
                <w:rFonts w:ascii="Times New Roman" w:hAnsi="Times New Roman"/>
                <w:szCs w:val="21"/>
                <w:u w:val="single"/>
              </w:rPr>
            </w:pPr>
            <w:r>
              <w:rPr>
                <w:rFonts w:ascii="Times New Roman" w:hAnsi="Times New Roman" w:eastAsia="等线"/>
                <w:szCs w:val="21"/>
                <w:u w:val="single"/>
              </w:rPr>
              <w:t>0.0017</w:t>
            </w:r>
          </w:p>
        </w:tc>
        <w:tc>
          <w:tcPr>
            <w:tcW w:w="1078" w:type="dxa"/>
            <w:shd w:val="clear" w:color="auto" w:fill="auto"/>
            <w:vAlign w:val="center"/>
          </w:tcPr>
          <w:p w14:paraId="3683F78D">
            <w:pPr>
              <w:widowControl/>
              <w:spacing w:line="360" w:lineRule="exact"/>
              <w:jc w:val="center"/>
              <w:rPr>
                <w:rFonts w:ascii="Times New Roman" w:hAnsi="Times New Roman"/>
                <w:szCs w:val="21"/>
                <w:u w:val="single"/>
              </w:rPr>
            </w:pPr>
            <w:r>
              <w:rPr>
                <w:rFonts w:ascii="Times New Roman" w:hAnsi="Times New Roman" w:eastAsia="等线"/>
                <w:szCs w:val="21"/>
                <w:u w:val="single"/>
              </w:rPr>
              <w:t>0.0080</w:t>
            </w:r>
          </w:p>
        </w:tc>
        <w:tc>
          <w:tcPr>
            <w:tcW w:w="2588" w:type="dxa"/>
            <w:shd w:val="clear" w:color="auto" w:fill="auto"/>
            <w:vAlign w:val="center"/>
          </w:tcPr>
          <w:p w14:paraId="7FBCB17D">
            <w:pPr>
              <w:widowControl/>
              <w:spacing w:line="360" w:lineRule="exact"/>
              <w:jc w:val="left"/>
              <w:rPr>
                <w:rFonts w:ascii="Times New Roman" w:hAnsi="Times New Roman"/>
                <w:szCs w:val="21"/>
                <w:u w:val="single"/>
              </w:rPr>
            </w:pPr>
            <w:r>
              <w:rPr>
                <w:rFonts w:ascii="Times New Roman" w:hAnsi="Times New Roman"/>
                <w:szCs w:val="21"/>
                <w:u w:val="single"/>
              </w:rPr>
              <w:t>磁选机进出料口集气罩+袋式除尘+1</w:t>
            </w:r>
            <w:r>
              <w:rPr>
                <w:rFonts w:hint="eastAsia" w:ascii="Times New Roman" w:hAnsi="Times New Roman"/>
                <w:szCs w:val="21"/>
                <w:u w:val="single"/>
              </w:rPr>
              <w:t>9</w:t>
            </w:r>
            <w:r>
              <w:rPr>
                <w:rFonts w:ascii="Times New Roman" w:hAnsi="Times New Roman"/>
                <w:szCs w:val="21"/>
                <w:u w:val="single"/>
              </w:rPr>
              <w:t>m排气筒</w:t>
            </w:r>
          </w:p>
        </w:tc>
        <w:tc>
          <w:tcPr>
            <w:tcW w:w="1382" w:type="dxa"/>
            <w:shd w:val="clear" w:color="auto" w:fill="auto"/>
            <w:vAlign w:val="center"/>
          </w:tcPr>
          <w:p w14:paraId="04F1FD61">
            <w:pPr>
              <w:widowControl/>
              <w:spacing w:line="360" w:lineRule="exact"/>
              <w:jc w:val="center"/>
              <w:rPr>
                <w:rFonts w:ascii="Times New Roman" w:hAnsi="Times New Roman"/>
                <w:szCs w:val="21"/>
              </w:rPr>
            </w:pPr>
            <w:r>
              <w:rPr>
                <w:rFonts w:ascii="Times New Roman" w:hAnsi="Times New Roman"/>
                <w:szCs w:val="21"/>
              </w:rPr>
              <w:t>DA00</w:t>
            </w:r>
            <w:r>
              <w:rPr>
                <w:rFonts w:hint="eastAsia" w:ascii="Times New Roman" w:hAnsi="Times New Roman"/>
                <w:szCs w:val="21"/>
              </w:rPr>
              <w:t>3</w:t>
            </w:r>
          </w:p>
        </w:tc>
      </w:tr>
      <w:tr w14:paraId="6EC437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23" w:type="dxa"/>
            <w:shd w:val="clear" w:color="auto" w:fill="auto"/>
            <w:vAlign w:val="center"/>
          </w:tcPr>
          <w:p w14:paraId="491D0D6A">
            <w:pPr>
              <w:widowControl/>
              <w:spacing w:line="360" w:lineRule="exact"/>
              <w:jc w:val="center"/>
              <w:rPr>
                <w:rFonts w:ascii="Times New Roman" w:hAnsi="Times New Roman"/>
                <w:szCs w:val="21"/>
              </w:rPr>
            </w:pPr>
            <w:r>
              <w:rPr>
                <w:rFonts w:hint="eastAsia" w:ascii="Times New Roman" w:hAnsi="Times New Roman"/>
                <w:szCs w:val="21"/>
              </w:rPr>
              <w:t>生产车间粉尘</w:t>
            </w:r>
          </w:p>
        </w:tc>
        <w:tc>
          <w:tcPr>
            <w:tcW w:w="1097" w:type="dxa"/>
            <w:shd w:val="clear" w:color="auto" w:fill="auto"/>
            <w:vAlign w:val="center"/>
          </w:tcPr>
          <w:p w14:paraId="7A987A24">
            <w:pPr>
              <w:widowControl/>
              <w:spacing w:line="360" w:lineRule="exact"/>
              <w:jc w:val="center"/>
              <w:rPr>
                <w:rFonts w:ascii="Times New Roman" w:hAnsi="Times New Roman"/>
                <w:szCs w:val="21"/>
              </w:rPr>
            </w:pPr>
            <w:r>
              <w:rPr>
                <w:rFonts w:hint="eastAsia" w:ascii="Times New Roman" w:hAnsi="Times New Roman"/>
                <w:szCs w:val="21"/>
              </w:rPr>
              <w:t>无组织</w:t>
            </w:r>
          </w:p>
        </w:tc>
        <w:tc>
          <w:tcPr>
            <w:tcW w:w="1443" w:type="dxa"/>
            <w:shd w:val="clear" w:color="auto" w:fill="auto"/>
            <w:vAlign w:val="center"/>
          </w:tcPr>
          <w:p w14:paraId="4692A0BA">
            <w:pPr>
              <w:widowControl/>
              <w:spacing w:line="360" w:lineRule="exact"/>
              <w:jc w:val="center"/>
              <w:rPr>
                <w:rFonts w:ascii="Times New Roman" w:hAnsi="Times New Roman"/>
                <w:szCs w:val="21"/>
              </w:rPr>
            </w:pPr>
            <w:r>
              <w:rPr>
                <w:rFonts w:ascii="Times New Roman" w:hAnsi="Times New Roman"/>
                <w:szCs w:val="21"/>
              </w:rPr>
              <w:t>TSP</w:t>
            </w:r>
          </w:p>
        </w:tc>
        <w:tc>
          <w:tcPr>
            <w:tcW w:w="1206" w:type="dxa"/>
            <w:shd w:val="clear" w:color="auto" w:fill="auto"/>
            <w:vAlign w:val="center"/>
          </w:tcPr>
          <w:p w14:paraId="022CDDE9">
            <w:pPr>
              <w:widowControl/>
              <w:spacing w:line="360" w:lineRule="exact"/>
              <w:jc w:val="center"/>
              <w:rPr>
                <w:rFonts w:ascii="Times New Roman" w:hAnsi="Times New Roman"/>
                <w:szCs w:val="21"/>
                <w:u w:val="single"/>
              </w:rPr>
            </w:pPr>
            <w:r>
              <w:rPr>
                <w:rFonts w:ascii="Times New Roman" w:hAnsi="Times New Roman" w:eastAsia="等线"/>
                <w:szCs w:val="21"/>
                <w:u w:val="single"/>
              </w:rPr>
              <w:t>0.8492</w:t>
            </w:r>
          </w:p>
        </w:tc>
        <w:tc>
          <w:tcPr>
            <w:tcW w:w="1152" w:type="dxa"/>
            <w:shd w:val="clear" w:color="auto" w:fill="auto"/>
            <w:vAlign w:val="center"/>
          </w:tcPr>
          <w:p w14:paraId="0E49DB0F">
            <w:pPr>
              <w:widowControl/>
              <w:spacing w:line="360" w:lineRule="exact"/>
              <w:jc w:val="center"/>
              <w:rPr>
                <w:rFonts w:ascii="Times New Roman" w:hAnsi="Times New Roman"/>
                <w:szCs w:val="21"/>
                <w:u w:val="single"/>
              </w:rPr>
            </w:pPr>
            <w:r>
              <w:rPr>
                <w:rFonts w:ascii="Times New Roman" w:hAnsi="Times New Roman" w:eastAsia="等线"/>
                <w:szCs w:val="21"/>
                <w:u w:val="single"/>
              </w:rPr>
              <w:t>2.024</w:t>
            </w:r>
          </w:p>
        </w:tc>
        <w:tc>
          <w:tcPr>
            <w:tcW w:w="1297" w:type="dxa"/>
            <w:shd w:val="clear" w:color="auto" w:fill="auto"/>
            <w:vAlign w:val="center"/>
          </w:tcPr>
          <w:p w14:paraId="426596C2">
            <w:pPr>
              <w:widowControl/>
              <w:spacing w:line="360" w:lineRule="exact"/>
              <w:jc w:val="center"/>
              <w:rPr>
                <w:rFonts w:ascii="Times New Roman" w:hAnsi="Times New Roman"/>
                <w:szCs w:val="21"/>
                <w:u w:val="single"/>
              </w:rPr>
            </w:pPr>
            <w:r>
              <w:rPr>
                <w:rFonts w:ascii="Times New Roman" w:hAnsi="Times New Roman" w:eastAsia="等线"/>
                <w:szCs w:val="21"/>
                <w:u w:val="single"/>
              </w:rPr>
              <w:t>/</w:t>
            </w:r>
          </w:p>
        </w:tc>
        <w:tc>
          <w:tcPr>
            <w:tcW w:w="1254" w:type="dxa"/>
            <w:shd w:val="clear" w:color="auto" w:fill="auto"/>
            <w:vAlign w:val="center"/>
          </w:tcPr>
          <w:p w14:paraId="4E5565D2">
            <w:pPr>
              <w:widowControl/>
              <w:spacing w:line="360" w:lineRule="exact"/>
              <w:jc w:val="center"/>
              <w:rPr>
                <w:rFonts w:ascii="Times New Roman" w:hAnsi="Times New Roman"/>
                <w:szCs w:val="21"/>
                <w:u w:val="single"/>
              </w:rPr>
            </w:pPr>
            <w:r>
              <w:rPr>
                <w:rFonts w:ascii="Times New Roman" w:hAnsi="Times New Roman" w:eastAsia="等线"/>
                <w:szCs w:val="21"/>
                <w:u w:val="single"/>
              </w:rPr>
              <w:t>0.1054</w:t>
            </w:r>
          </w:p>
        </w:tc>
        <w:tc>
          <w:tcPr>
            <w:tcW w:w="1078" w:type="dxa"/>
            <w:shd w:val="clear" w:color="auto" w:fill="auto"/>
            <w:vAlign w:val="center"/>
          </w:tcPr>
          <w:p w14:paraId="3D2FFEDC">
            <w:pPr>
              <w:widowControl/>
              <w:spacing w:line="360" w:lineRule="exact"/>
              <w:jc w:val="center"/>
              <w:rPr>
                <w:rFonts w:ascii="Times New Roman" w:hAnsi="Times New Roman"/>
                <w:szCs w:val="21"/>
                <w:u w:val="single"/>
              </w:rPr>
            </w:pPr>
            <w:r>
              <w:rPr>
                <w:rFonts w:ascii="Times New Roman" w:hAnsi="Times New Roman" w:eastAsia="等线"/>
                <w:szCs w:val="21"/>
                <w:u w:val="single"/>
              </w:rPr>
              <w:t>0.5061</w:t>
            </w:r>
          </w:p>
        </w:tc>
        <w:tc>
          <w:tcPr>
            <w:tcW w:w="2588" w:type="dxa"/>
            <w:shd w:val="clear" w:color="auto" w:fill="auto"/>
            <w:vAlign w:val="center"/>
          </w:tcPr>
          <w:p w14:paraId="75510207">
            <w:pPr>
              <w:widowControl/>
              <w:spacing w:line="360" w:lineRule="exact"/>
              <w:jc w:val="left"/>
              <w:rPr>
                <w:rFonts w:ascii="Times New Roman" w:hAnsi="Times New Roman"/>
                <w:szCs w:val="21"/>
                <w:u w:val="single"/>
              </w:rPr>
            </w:pPr>
            <w:r>
              <w:rPr>
                <w:rFonts w:hint="eastAsia" w:ascii="Times New Roman" w:hAnsi="Times New Roman"/>
                <w:szCs w:val="21"/>
                <w:u w:val="single"/>
              </w:rPr>
              <w:t>封闭式厂房+封闭环境内装卸作业+水雾喷淋</w:t>
            </w:r>
          </w:p>
        </w:tc>
        <w:tc>
          <w:tcPr>
            <w:tcW w:w="1382" w:type="dxa"/>
            <w:shd w:val="clear" w:color="auto" w:fill="auto"/>
            <w:vAlign w:val="center"/>
          </w:tcPr>
          <w:p w14:paraId="3FC7CB04">
            <w:pPr>
              <w:widowControl/>
              <w:spacing w:line="360" w:lineRule="exact"/>
              <w:jc w:val="center"/>
              <w:rPr>
                <w:rFonts w:ascii="Times New Roman" w:hAnsi="Times New Roman"/>
                <w:szCs w:val="21"/>
              </w:rPr>
            </w:pPr>
            <w:r>
              <w:rPr>
                <w:rFonts w:hint="eastAsia" w:ascii="Times New Roman" w:hAnsi="Times New Roman"/>
                <w:szCs w:val="21"/>
              </w:rPr>
              <w:t>/</w:t>
            </w:r>
          </w:p>
        </w:tc>
      </w:tr>
      <w:tr w14:paraId="2A44A7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23" w:type="dxa"/>
            <w:shd w:val="clear" w:color="auto" w:fill="auto"/>
            <w:vAlign w:val="center"/>
          </w:tcPr>
          <w:p w14:paraId="78992F9A">
            <w:pPr>
              <w:widowControl/>
              <w:spacing w:line="360" w:lineRule="exact"/>
              <w:jc w:val="center"/>
              <w:rPr>
                <w:rFonts w:ascii="Times New Roman" w:hAnsi="Times New Roman"/>
                <w:szCs w:val="21"/>
              </w:rPr>
            </w:pPr>
            <w:r>
              <w:rPr>
                <w:rFonts w:ascii="Times New Roman" w:hAnsi="Times New Roman"/>
                <w:szCs w:val="21"/>
              </w:rPr>
              <w:t>物料运输扬尘</w:t>
            </w:r>
          </w:p>
        </w:tc>
        <w:tc>
          <w:tcPr>
            <w:tcW w:w="1097" w:type="dxa"/>
            <w:shd w:val="clear" w:color="auto" w:fill="auto"/>
            <w:vAlign w:val="center"/>
          </w:tcPr>
          <w:p w14:paraId="27C4310A">
            <w:pPr>
              <w:widowControl/>
              <w:spacing w:line="360" w:lineRule="exact"/>
              <w:jc w:val="center"/>
              <w:rPr>
                <w:rFonts w:ascii="Times New Roman" w:hAnsi="Times New Roman"/>
                <w:szCs w:val="21"/>
              </w:rPr>
            </w:pPr>
            <w:r>
              <w:rPr>
                <w:rFonts w:ascii="Times New Roman" w:hAnsi="Times New Roman"/>
                <w:szCs w:val="21"/>
              </w:rPr>
              <w:t>无组织</w:t>
            </w:r>
          </w:p>
        </w:tc>
        <w:tc>
          <w:tcPr>
            <w:tcW w:w="1443" w:type="dxa"/>
            <w:shd w:val="clear" w:color="auto" w:fill="auto"/>
            <w:vAlign w:val="center"/>
          </w:tcPr>
          <w:p w14:paraId="2C9A1D7B">
            <w:pPr>
              <w:widowControl/>
              <w:spacing w:line="360" w:lineRule="exact"/>
              <w:jc w:val="center"/>
              <w:rPr>
                <w:rFonts w:ascii="Times New Roman" w:hAnsi="Times New Roman"/>
                <w:szCs w:val="21"/>
              </w:rPr>
            </w:pPr>
            <w:r>
              <w:rPr>
                <w:rFonts w:ascii="Times New Roman" w:hAnsi="Times New Roman"/>
                <w:szCs w:val="21"/>
              </w:rPr>
              <w:t>TSP</w:t>
            </w:r>
          </w:p>
        </w:tc>
        <w:tc>
          <w:tcPr>
            <w:tcW w:w="1206" w:type="dxa"/>
            <w:shd w:val="clear" w:color="auto" w:fill="auto"/>
            <w:vAlign w:val="center"/>
          </w:tcPr>
          <w:p w14:paraId="2F69D126">
            <w:pPr>
              <w:widowControl/>
              <w:spacing w:line="360" w:lineRule="exact"/>
              <w:jc w:val="center"/>
              <w:rPr>
                <w:rFonts w:ascii="Times New Roman" w:hAnsi="Times New Roman"/>
                <w:szCs w:val="21"/>
                <w:u w:val="single"/>
              </w:rPr>
            </w:pPr>
            <w:r>
              <w:rPr>
                <w:rFonts w:ascii="Times New Roman" w:hAnsi="Times New Roman" w:eastAsia="等线"/>
                <w:szCs w:val="21"/>
                <w:u w:val="single"/>
              </w:rPr>
              <w:t>0.0299</w:t>
            </w:r>
          </w:p>
        </w:tc>
        <w:tc>
          <w:tcPr>
            <w:tcW w:w="1152" w:type="dxa"/>
            <w:shd w:val="clear" w:color="auto" w:fill="auto"/>
            <w:vAlign w:val="center"/>
          </w:tcPr>
          <w:p w14:paraId="09897400">
            <w:pPr>
              <w:widowControl/>
              <w:spacing w:line="360" w:lineRule="exact"/>
              <w:jc w:val="center"/>
              <w:rPr>
                <w:rFonts w:ascii="Times New Roman" w:hAnsi="Times New Roman"/>
                <w:szCs w:val="21"/>
                <w:u w:val="single"/>
              </w:rPr>
            </w:pPr>
            <w:r>
              <w:rPr>
                <w:rFonts w:ascii="Times New Roman" w:hAnsi="Times New Roman" w:eastAsia="等线"/>
                <w:szCs w:val="21"/>
                <w:u w:val="single"/>
              </w:rPr>
              <w:t>0.1435</w:t>
            </w:r>
          </w:p>
        </w:tc>
        <w:tc>
          <w:tcPr>
            <w:tcW w:w="1297" w:type="dxa"/>
            <w:shd w:val="clear" w:color="auto" w:fill="auto"/>
            <w:vAlign w:val="center"/>
          </w:tcPr>
          <w:p w14:paraId="7933EBA1">
            <w:pPr>
              <w:widowControl/>
              <w:spacing w:line="360" w:lineRule="exact"/>
              <w:jc w:val="center"/>
              <w:rPr>
                <w:rFonts w:ascii="Times New Roman" w:hAnsi="Times New Roman"/>
                <w:szCs w:val="21"/>
                <w:u w:val="single"/>
              </w:rPr>
            </w:pPr>
            <w:r>
              <w:rPr>
                <w:rFonts w:ascii="Times New Roman" w:hAnsi="Times New Roman" w:eastAsia="等线"/>
                <w:szCs w:val="21"/>
                <w:u w:val="single"/>
              </w:rPr>
              <w:t>/</w:t>
            </w:r>
          </w:p>
        </w:tc>
        <w:tc>
          <w:tcPr>
            <w:tcW w:w="1254" w:type="dxa"/>
            <w:shd w:val="clear" w:color="auto" w:fill="auto"/>
            <w:vAlign w:val="center"/>
          </w:tcPr>
          <w:p w14:paraId="57E37234">
            <w:pPr>
              <w:widowControl/>
              <w:spacing w:line="360" w:lineRule="exact"/>
              <w:jc w:val="center"/>
              <w:rPr>
                <w:rFonts w:ascii="Times New Roman" w:hAnsi="Times New Roman"/>
                <w:szCs w:val="21"/>
                <w:u w:val="single"/>
              </w:rPr>
            </w:pPr>
            <w:r>
              <w:rPr>
                <w:rFonts w:ascii="Times New Roman" w:hAnsi="Times New Roman" w:eastAsia="等线"/>
                <w:szCs w:val="21"/>
                <w:u w:val="single"/>
              </w:rPr>
              <w:t>0.0299</w:t>
            </w:r>
          </w:p>
        </w:tc>
        <w:tc>
          <w:tcPr>
            <w:tcW w:w="1078" w:type="dxa"/>
            <w:shd w:val="clear" w:color="auto" w:fill="auto"/>
            <w:vAlign w:val="center"/>
          </w:tcPr>
          <w:p w14:paraId="4BA11253">
            <w:pPr>
              <w:widowControl/>
              <w:spacing w:line="360" w:lineRule="exact"/>
              <w:jc w:val="center"/>
              <w:rPr>
                <w:rFonts w:ascii="Times New Roman" w:hAnsi="Times New Roman"/>
                <w:szCs w:val="21"/>
                <w:u w:val="single"/>
              </w:rPr>
            </w:pPr>
            <w:r>
              <w:rPr>
                <w:rFonts w:ascii="Times New Roman" w:hAnsi="Times New Roman" w:eastAsia="等线"/>
                <w:szCs w:val="21"/>
                <w:u w:val="single"/>
              </w:rPr>
              <w:t>0.1435</w:t>
            </w:r>
          </w:p>
        </w:tc>
        <w:tc>
          <w:tcPr>
            <w:tcW w:w="2588" w:type="dxa"/>
            <w:shd w:val="clear" w:color="auto" w:fill="auto"/>
            <w:vAlign w:val="center"/>
          </w:tcPr>
          <w:p w14:paraId="7D48E765">
            <w:pPr>
              <w:widowControl/>
              <w:spacing w:line="360" w:lineRule="exact"/>
              <w:jc w:val="left"/>
              <w:rPr>
                <w:rFonts w:ascii="Times New Roman" w:hAnsi="Times New Roman"/>
                <w:szCs w:val="21"/>
              </w:rPr>
            </w:pPr>
            <w:r>
              <w:rPr>
                <w:rFonts w:hint="eastAsia" w:ascii="Times New Roman" w:hAnsi="Times New Roman"/>
                <w:szCs w:val="21"/>
              </w:rPr>
              <w:t>篷布覆盖物料；</w:t>
            </w:r>
            <w:r>
              <w:rPr>
                <w:rFonts w:ascii="Times New Roman" w:hAnsi="Times New Roman"/>
                <w:szCs w:val="21"/>
              </w:rPr>
              <w:t>定期洒水，运输时期每天2次</w:t>
            </w:r>
          </w:p>
        </w:tc>
        <w:tc>
          <w:tcPr>
            <w:tcW w:w="1382" w:type="dxa"/>
            <w:shd w:val="clear" w:color="auto" w:fill="auto"/>
            <w:vAlign w:val="center"/>
          </w:tcPr>
          <w:p w14:paraId="70E20772">
            <w:pPr>
              <w:widowControl/>
              <w:spacing w:line="360" w:lineRule="exact"/>
              <w:jc w:val="center"/>
              <w:rPr>
                <w:rFonts w:ascii="Times New Roman" w:hAnsi="Times New Roman"/>
                <w:szCs w:val="21"/>
              </w:rPr>
            </w:pPr>
            <w:r>
              <w:rPr>
                <w:rFonts w:ascii="Times New Roman" w:hAnsi="Times New Roman"/>
                <w:szCs w:val="21"/>
              </w:rPr>
              <w:t>/</w:t>
            </w:r>
          </w:p>
        </w:tc>
      </w:tr>
      <w:tr w14:paraId="27D7C1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220" w:type="dxa"/>
            <w:gridSpan w:val="10"/>
            <w:shd w:val="clear" w:color="auto" w:fill="auto"/>
            <w:vAlign w:val="center"/>
          </w:tcPr>
          <w:p w14:paraId="26C9D406">
            <w:pPr>
              <w:widowControl/>
              <w:spacing w:line="360" w:lineRule="exact"/>
              <w:jc w:val="center"/>
              <w:rPr>
                <w:rFonts w:ascii="Times New Roman" w:hAnsi="Times New Roman"/>
                <w:b/>
                <w:bCs/>
                <w:szCs w:val="21"/>
              </w:rPr>
            </w:pPr>
            <w:r>
              <w:rPr>
                <w:rFonts w:ascii="Times New Roman" w:hAnsi="Times New Roman"/>
                <w:b/>
                <w:bCs/>
                <w:szCs w:val="21"/>
              </w:rPr>
              <w:t>二、废水</w:t>
            </w:r>
          </w:p>
        </w:tc>
      </w:tr>
      <w:tr w14:paraId="1D2644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820" w:type="dxa"/>
            <w:gridSpan w:val="2"/>
            <w:shd w:val="clear" w:color="auto" w:fill="auto"/>
            <w:vAlign w:val="center"/>
          </w:tcPr>
          <w:p w14:paraId="1B232A04">
            <w:pPr>
              <w:widowControl/>
              <w:spacing w:line="360" w:lineRule="exact"/>
              <w:jc w:val="center"/>
              <w:rPr>
                <w:rFonts w:ascii="Times New Roman" w:hAnsi="Times New Roman"/>
                <w:b/>
                <w:bCs/>
                <w:szCs w:val="21"/>
              </w:rPr>
            </w:pPr>
            <w:r>
              <w:rPr>
                <w:rFonts w:ascii="Times New Roman" w:hAnsi="Times New Roman"/>
                <w:b/>
                <w:bCs/>
                <w:szCs w:val="21"/>
              </w:rPr>
              <w:t>污染源</w:t>
            </w:r>
          </w:p>
        </w:tc>
        <w:tc>
          <w:tcPr>
            <w:tcW w:w="1443" w:type="dxa"/>
            <w:shd w:val="clear" w:color="auto" w:fill="auto"/>
            <w:vAlign w:val="center"/>
          </w:tcPr>
          <w:p w14:paraId="2F0FABA1">
            <w:pPr>
              <w:widowControl/>
              <w:spacing w:line="360" w:lineRule="exact"/>
              <w:jc w:val="center"/>
              <w:rPr>
                <w:rFonts w:ascii="Times New Roman" w:hAnsi="Times New Roman"/>
                <w:b/>
                <w:bCs/>
                <w:szCs w:val="21"/>
              </w:rPr>
            </w:pPr>
            <w:r>
              <w:rPr>
                <w:rFonts w:ascii="Times New Roman" w:hAnsi="Times New Roman"/>
                <w:b/>
                <w:bCs/>
                <w:szCs w:val="21"/>
              </w:rPr>
              <w:t>污染物</w:t>
            </w:r>
          </w:p>
        </w:tc>
        <w:tc>
          <w:tcPr>
            <w:tcW w:w="1206" w:type="dxa"/>
            <w:shd w:val="clear" w:color="auto" w:fill="auto"/>
            <w:vAlign w:val="center"/>
          </w:tcPr>
          <w:p w14:paraId="0738009B">
            <w:pPr>
              <w:widowControl/>
              <w:spacing w:line="360" w:lineRule="exact"/>
              <w:jc w:val="center"/>
              <w:rPr>
                <w:rFonts w:ascii="Times New Roman" w:hAnsi="Times New Roman"/>
                <w:b/>
                <w:bCs/>
                <w:szCs w:val="21"/>
              </w:rPr>
            </w:pPr>
            <w:r>
              <w:rPr>
                <w:rFonts w:ascii="Times New Roman" w:hAnsi="Times New Roman"/>
                <w:b/>
                <w:bCs/>
                <w:szCs w:val="21"/>
              </w:rPr>
              <w:t>产生浓度mg/L</w:t>
            </w:r>
          </w:p>
        </w:tc>
        <w:tc>
          <w:tcPr>
            <w:tcW w:w="1152" w:type="dxa"/>
            <w:shd w:val="clear" w:color="auto" w:fill="auto"/>
            <w:vAlign w:val="center"/>
          </w:tcPr>
          <w:p w14:paraId="0A7BE7DE">
            <w:pPr>
              <w:widowControl/>
              <w:spacing w:line="360" w:lineRule="exact"/>
              <w:jc w:val="center"/>
              <w:rPr>
                <w:rFonts w:ascii="Times New Roman" w:hAnsi="Times New Roman"/>
                <w:b/>
                <w:bCs/>
                <w:szCs w:val="21"/>
              </w:rPr>
            </w:pPr>
            <w:r>
              <w:rPr>
                <w:rFonts w:ascii="Times New Roman" w:hAnsi="Times New Roman"/>
                <w:b/>
                <w:bCs/>
                <w:szCs w:val="21"/>
              </w:rPr>
              <w:t>产生量t/a</w:t>
            </w:r>
          </w:p>
        </w:tc>
        <w:tc>
          <w:tcPr>
            <w:tcW w:w="1297" w:type="dxa"/>
            <w:shd w:val="clear" w:color="auto" w:fill="auto"/>
            <w:vAlign w:val="center"/>
          </w:tcPr>
          <w:p w14:paraId="4E7AF3E8">
            <w:pPr>
              <w:widowControl/>
              <w:spacing w:line="360" w:lineRule="exact"/>
              <w:jc w:val="center"/>
              <w:rPr>
                <w:rFonts w:ascii="Times New Roman" w:hAnsi="Times New Roman"/>
                <w:b/>
                <w:bCs/>
                <w:szCs w:val="21"/>
              </w:rPr>
            </w:pPr>
            <w:r>
              <w:rPr>
                <w:rFonts w:ascii="Times New Roman" w:hAnsi="Times New Roman"/>
                <w:b/>
                <w:bCs/>
                <w:szCs w:val="21"/>
              </w:rPr>
              <w:t>排放浓度mg/L</w:t>
            </w:r>
          </w:p>
        </w:tc>
        <w:tc>
          <w:tcPr>
            <w:tcW w:w="1254" w:type="dxa"/>
            <w:shd w:val="clear" w:color="auto" w:fill="auto"/>
            <w:vAlign w:val="center"/>
          </w:tcPr>
          <w:p w14:paraId="5DEBF754">
            <w:pPr>
              <w:widowControl/>
              <w:spacing w:line="360" w:lineRule="exact"/>
              <w:jc w:val="center"/>
              <w:rPr>
                <w:rFonts w:ascii="Times New Roman" w:hAnsi="Times New Roman"/>
                <w:b/>
                <w:bCs/>
                <w:szCs w:val="21"/>
              </w:rPr>
            </w:pPr>
            <w:r>
              <w:rPr>
                <w:rFonts w:ascii="Times New Roman" w:hAnsi="Times New Roman"/>
                <w:b/>
                <w:bCs/>
                <w:szCs w:val="21"/>
              </w:rPr>
              <w:t>排放量t/a</w:t>
            </w:r>
          </w:p>
        </w:tc>
        <w:tc>
          <w:tcPr>
            <w:tcW w:w="1078" w:type="dxa"/>
            <w:shd w:val="clear" w:color="auto" w:fill="auto"/>
            <w:vAlign w:val="center"/>
          </w:tcPr>
          <w:p w14:paraId="407C2882">
            <w:pPr>
              <w:widowControl/>
              <w:spacing w:line="360" w:lineRule="exact"/>
              <w:jc w:val="center"/>
              <w:rPr>
                <w:rFonts w:ascii="Times New Roman" w:hAnsi="Times New Roman"/>
                <w:b/>
                <w:bCs/>
                <w:szCs w:val="21"/>
              </w:rPr>
            </w:pPr>
            <w:r>
              <w:rPr>
                <w:rFonts w:ascii="Times New Roman" w:hAnsi="Times New Roman"/>
                <w:b/>
                <w:bCs/>
                <w:szCs w:val="21"/>
              </w:rPr>
              <w:t>消减量t/a</w:t>
            </w:r>
          </w:p>
        </w:tc>
        <w:tc>
          <w:tcPr>
            <w:tcW w:w="2588" w:type="dxa"/>
            <w:shd w:val="clear" w:color="auto" w:fill="auto"/>
            <w:vAlign w:val="center"/>
          </w:tcPr>
          <w:p w14:paraId="762AD8A4">
            <w:pPr>
              <w:widowControl/>
              <w:spacing w:line="360" w:lineRule="exact"/>
              <w:jc w:val="center"/>
              <w:rPr>
                <w:rFonts w:ascii="Times New Roman" w:hAnsi="Times New Roman"/>
                <w:b/>
                <w:bCs/>
                <w:szCs w:val="21"/>
              </w:rPr>
            </w:pPr>
            <w:r>
              <w:rPr>
                <w:rFonts w:ascii="Times New Roman" w:hAnsi="Times New Roman"/>
                <w:b/>
                <w:bCs/>
                <w:szCs w:val="21"/>
              </w:rPr>
              <w:t>保护措施</w:t>
            </w:r>
          </w:p>
        </w:tc>
        <w:tc>
          <w:tcPr>
            <w:tcW w:w="1382" w:type="dxa"/>
            <w:shd w:val="clear" w:color="auto" w:fill="auto"/>
            <w:vAlign w:val="center"/>
          </w:tcPr>
          <w:p w14:paraId="64C60E7A">
            <w:pPr>
              <w:widowControl/>
              <w:spacing w:line="360" w:lineRule="exact"/>
              <w:jc w:val="center"/>
              <w:rPr>
                <w:rFonts w:ascii="Times New Roman" w:hAnsi="Times New Roman"/>
                <w:b/>
                <w:bCs/>
                <w:szCs w:val="21"/>
              </w:rPr>
            </w:pPr>
            <w:r>
              <w:rPr>
                <w:rFonts w:ascii="Times New Roman" w:hAnsi="Times New Roman"/>
                <w:b/>
                <w:bCs/>
                <w:szCs w:val="21"/>
              </w:rPr>
              <w:t>排污口信息</w:t>
            </w:r>
          </w:p>
        </w:tc>
      </w:tr>
      <w:tr w14:paraId="0AF967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820" w:type="dxa"/>
            <w:gridSpan w:val="2"/>
            <w:vMerge w:val="restart"/>
            <w:shd w:val="clear" w:color="auto" w:fill="auto"/>
            <w:vAlign w:val="center"/>
          </w:tcPr>
          <w:p w14:paraId="602838D7">
            <w:pPr>
              <w:widowControl/>
              <w:spacing w:line="360" w:lineRule="exact"/>
              <w:jc w:val="center"/>
              <w:rPr>
                <w:rFonts w:ascii="Times New Roman" w:hAnsi="Times New Roman"/>
                <w:szCs w:val="21"/>
              </w:rPr>
            </w:pPr>
            <w:r>
              <w:rPr>
                <w:rFonts w:ascii="Times New Roman" w:hAnsi="Times New Roman"/>
                <w:szCs w:val="21"/>
              </w:rPr>
              <w:t>生活污水</w:t>
            </w:r>
          </w:p>
          <w:p w14:paraId="021967B3">
            <w:pPr>
              <w:widowControl/>
              <w:spacing w:line="360" w:lineRule="exact"/>
              <w:jc w:val="center"/>
              <w:rPr>
                <w:rFonts w:ascii="Times New Roman" w:hAnsi="Times New Roman"/>
                <w:szCs w:val="21"/>
              </w:rPr>
            </w:pPr>
            <w:r>
              <w:rPr>
                <w:rFonts w:ascii="Times New Roman" w:hAnsi="Times New Roman"/>
                <w:szCs w:val="21"/>
              </w:rPr>
              <w:t>120m</w:t>
            </w:r>
            <w:r>
              <w:rPr>
                <w:rFonts w:ascii="Times New Roman" w:hAnsi="Times New Roman"/>
                <w:szCs w:val="21"/>
                <w:vertAlign w:val="superscript"/>
              </w:rPr>
              <w:t>3</w:t>
            </w:r>
            <w:r>
              <w:rPr>
                <w:rFonts w:ascii="Times New Roman" w:hAnsi="Times New Roman"/>
                <w:szCs w:val="21"/>
              </w:rPr>
              <w:t>/a</w:t>
            </w:r>
          </w:p>
        </w:tc>
        <w:tc>
          <w:tcPr>
            <w:tcW w:w="1443" w:type="dxa"/>
            <w:shd w:val="clear" w:color="auto" w:fill="auto"/>
            <w:vAlign w:val="center"/>
          </w:tcPr>
          <w:p w14:paraId="23ABFE78">
            <w:pPr>
              <w:widowControl/>
              <w:spacing w:line="360" w:lineRule="exact"/>
              <w:jc w:val="center"/>
              <w:rPr>
                <w:rFonts w:ascii="Times New Roman" w:hAnsi="Times New Roman"/>
                <w:szCs w:val="21"/>
              </w:rPr>
            </w:pPr>
            <w:r>
              <w:rPr>
                <w:rFonts w:ascii="Times New Roman" w:hAnsi="Times New Roman"/>
                <w:szCs w:val="21"/>
              </w:rPr>
              <w:t>COD</w:t>
            </w:r>
            <w:r>
              <w:rPr>
                <w:rFonts w:ascii="Times New Roman" w:hAnsi="Times New Roman"/>
                <w:szCs w:val="21"/>
                <w:vertAlign w:val="subscript"/>
              </w:rPr>
              <w:t>Cr</w:t>
            </w:r>
          </w:p>
        </w:tc>
        <w:tc>
          <w:tcPr>
            <w:tcW w:w="1206" w:type="dxa"/>
            <w:shd w:val="clear" w:color="auto" w:fill="auto"/>
            <w:vAlign w:val="center"/>
          </w:tcPr>
          <w:p w14:paraId="184DFD2B">
            <w:pPr>
              <w:widowControl/>
              <w:spacing w:line="360" w:lineRule="exact"/>
              <w:jc w:val="center"/>
              <w:rPr>
                <w:rFonts w:ascii="Times New Roman" w:hAnsi="Times New Roman"/>
                <w:szCs w:val="21"/>
              </w:rPr>
            </w:pPr>
            <w:r>
              <w:rPr>
                <w:rFonts w:ascii="Times New Roman" w:hAnsi="Times New Roman"/>
                <w:szCs w:val="21"/>
              </w:rPr>
              <w:t>394</w:t>
            </w:r>
          </w:p>
        </w:tc>
        <w:tc>
          <w:tcPr>
            <w:tcW w:w="1152" w:type="dxa"/>
            <w:shd w:val="clear" w:color="auto" w:fill="auto"/>
            <w:vAlign w:val="center"/>
          </w:tcPr>
          <w:p w14:paraId="02F60E40">
            <w:pPr>
              <w:widowControl/>
              <w:spacing w:line="360" w:lineRule="exact"/>
              <w:jc w:val="center"/>
              <w:rPr>
                <w:rFonts w:ascii="Times New Roman" w:hAnsi="Times New Roman"/>
                <w:szCs w:val="21"/>
              </w:rPr>
            </w:pPr>
            <w:r>
              <w:rPr>
                <w:rFonts w:ascii="Times New Roman" w:hAnsi="Times New Roman"/>
                <w:szCs w:val="21"/>
              </w:rPr>
              <w:t>0.047</w:t>
            </w:r>
          </w:p>
        </w:tc>
        <w:tc>
          <w:tcPr>
            <w:tcW w:w="1297" w:type="dxa"/>
            <w:shd w:val="clear" w:color="auto" w:fill="auto"/>
            <w:vAlign w:val="center"/>
          </w:tcPr>
          <w:p w14:paraId="348D667F">
            <w:pPr>
              <w:widowControl/>
              <w:spacing w:line="360" w:lineRule="exact"/>
              <w:jc w:val="center"/>
              <w:rPr>
                <w:rFonts w:ascii="Times New Roman" w:hAnsi="Times New Roman"/>
                <w:szCs w:val="21"/>
              </w:rPr>
            </w:pPr>
            <w:r>
              <w:rPr>
                <w:rFonts w:ascii="Times New Roman" w:hAnsi="Times New Roman"/>
                <w:szCs w:val="21"/>
              </w:rPr>
              <w:t>197</w:t>
            </w:r>
          </w:p>
        </w:tc>
        <w:tc>
          <w:tcPr>
            <w:tcW w:w="1254" w:type="dxa"/>
            <w:shd w:val="clear" w:color="auto" w:fill="auto"/>
            <w:vAlign w:val="center"/>
          </w:tcPr>
          <w:p w14:paraId="2FA1E74A">
            <w:pPr>
              <w:widowControl/>
              <w:spacing w:line="360" w:lineRule="exact"/>
              <w:jc w:val="center"/>
              <w:rPr>
                <w:rFonts w:ascii="Times New Roman" w:hAnsi="Times New Roman"/>
                <w:szCs w:val="21"/>
              </w:rPr>
            </w:pPr>
            <w:r>
              <w:rPr>
                <w:rFonts w:ascii="Times New Roman" w:hAnsi="Times New Roman"/>
                <w:szCs w:val="21"/>
              </w:rPr>
              <w:t>0.024</w:t>
            </w:r>
          </w:p>
        </w:tc>
        <w:tc>
          <w:tcPr>
            <w:tcW w:w="1078" w:type="dxa"/>
            <w:shd w:val="clear" w:color="auto" w:fill="auto"/>
            <w:vAlign w:val="center"/>
          </w:tcPr>
          <w:p w14:paraId="7132C17F">
            <w:pPr>
              <w:widowControl/>
              <w:spacing w:line="360" w:lineRule="exact"/>
              <w:jc w:val="center"/>
              <w:rPr>
                <w:rFonts w:ascii="Times New Roman" w:hAnsi="Times New Roman"/>
                <w:szCs w:val="21"/>
              </w:rPr>
            </w:pPr>
            <w:r>
              <w:rPr>
                <w:rFonts w:ascii="Times New Roman" w:hAnsi="Times New Roman"/>
                <w:szCs w:val="21"/>
              </w:rPr>
              <w:t>0.023</w:t>
            </w:r>
          </w:p>
        </w:tc>
        <w:tc>
          <w:tcPr>
            <w:tcW w:w="2588" w:type="dxa"/>
            <w:vMerge w:val="restart"/>
            <w:shd w:val="clear" w:color="auto" w:fill="auto"/>
            <w:vAlign w:val="center"/>
          </w:tcPr>
          <w:p w14:paraId="43360725">
            <w:pPr>
              <w:widowControl/>
              <w:spacing w:line="360" w:lineRule="exact"/>
              <w:jc w:val="center"/>
              <w:rPr>
                <w:rFonts w:ascii="Times New Roman" w:hAnsi="Times New Roman"/>
                <w:szCs w:val="21"/>
              </w:rPr>
            </w:pPr>
            <w:r>
              <w:rPr>
                <w:rFonts w:ascii="Times New Roman" w:hAnsi="Times New Roman"/>
                <w:szCs w:val="21"/>
              </w:rPr>
              <w:t>化粪池处理后排入污水排入市政污水管网</w:t>
            </w:r>
          </w:p>
        </w:tc>
        <w:tc>
          <w:tcPr>
            <w:tcW w:w="1382" w:type="dxa"/>
            <w:vMerge w:val="restart"/>
            <w:shd w:val="clear" w:color="auto" w:fill="auto"/>
            <w:vAlign w:val="center"/>
          </w:tcPr>
          <w:p w14:paraId="0ABCE066">
            <w:pPr>
              <w:widowControl/>
              <w:spacing w:line="360" w:lineRule="exact"/>
              <w:jc w:val="center"/>
              <w:rPr>
                <w:rFonts w:ascii="Times New Roman" w:hAnsi="Times New Roman"/>
                <w:szCs w:val="21"/>
              </w:rPr>
            </w:pPr>
            <w:r>
              <w:rPr>
                <w:rFonts w:ascii="Times New Roman" w:hAnsi="Times New Roman"/>
                <w:szCs w:val="21"/>
              </w:rPr>
              <w:t>/</w:t>
            </w:r>
          </w:p>
        </w:tc>
      </w:tr>
      <w:tr w14:paraId="1E2E0E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820" w:type="dxa"/>
            <w:gridSpan w:val="2"/>
            <w:vMerge w:val="continue"/>
            <w:shd w:val="clear" w:color="auto" w:fill="auto"/>
            <w:vAlign w:val="center"/>
          </w:tcPr>
          <w:p w14:paraId="1CFAAC96">
            <w:pPr>
              <w:widowControl/>
              <w:spacing w:line="360" w:lineRule="exact"/>
              <w:jc w:val="left"/>
              <w:rPr>
                <w:rFonts w:ascii="Times New Roman" w:hAnsi="Times New Roman"/>
                <w:szCs w:val="21"/>
              </w:rPr>
            </w:pPr>
          </w:p>
        </w:tc>
        <w:tc>
          <w:tcPr>
            <w:tcW w:w="1443" w:type="dxa"/>
            <w:shd w:val="clear" w:color="auto" w:fill="auto"/>
            <w:vAlign w:val="center"/>
          </w:tcPr>
          <w:p w14:paraId="57BBC205">
            <w:pPr>
              <w:widowControl/>
              <w:spacing w:line="360" w:lineRule="exact"/>
              <w:jc w:val="center"/>
              <w:rPr>
                <w:rFonts w:ascii="Times New Roman" w:hAnsi="Times New Roman"/>
                <w:szCs w:val="21"/>
              </w:rPr>
            </w:pPr>
            <w:r>
              <w:rPr>
                <w:rFonts w:ascii="Times New Roman" w:hAnsi="Times New Roman"/>
                <w:szCs w:val="21"/>
              </w:rPr>
              <w:t>BOD</w:t>
            </w:r>
            <w:r>
              <w:rPr>
                <w:rFonts w:ascii="Times New Roman" w:hAnsi="Times New Roman"/>
                <w:szCs w:val="21"/>
                <w:vertAlign w:val="subscript"/>
              </w:rPr>
              <w:t>5</w:t>
            </w:r>
          </w:p>
        </w:tc>
        <w:tc>
          <w:tcPr>
            <w:tcW w:w="1206" w:type="dxa"/>
            <w:shd w:val="clear" w:color="auto" w:fill="auto"/>
            <w:vAlign w:val="center"/>
          </w:tcPr>
          <w:p w14:paraId="590F1740">
            <w:pPr>
              <w:widowControl/>
              <w:spacing w:line="360" w:lineRule="exact"/>
              <w:jc w:val="center"/>
              <w:rPr>
                <w:rFonts w:ascii="Times New Roman" w:hAnsi="Times New Roman"/>
                <w:szCs w:val="21"/>
              </w:rPr>
            </w:pPr>
            <w:r>
              <w:rPr>
                <w:rFonts w:ascii="Times New Roman" w:hAnsi="Times New Roman"/>
                <w:szCs w:val="21"/>
              </w:rPr>
              <w:t>173</w:t>
            </w:r>
          </w:p>
        </w:tc>
        <w:tc>
          <w:tcPr>
            <w:tcW w:w="1152" w:type="dxa"/>
            <w:shd w:val="clear" w:color="auto" w:fill="auto"/>
            <w:vAlign w:val="center"/>
          </w:tcPr>
          <w:p w14:paraId="32FBDF7F">
            <w:pPr>
              <w:widowControl/>
              <w:spacing w:line="360" w:lineRule="exact"/>
              <w:jc w:val="center"/>
              <w:rPr>
                <w:rFonts w:ascii="Times New Roman" w:hAnsi="Times New Roman"/>
                <w:szCs w:val="21"/>
              </w:rPr>
            </w:pPr>
            <w:r>
              <w:rPr>
                <w:rFonts w:ascii="Times New Roman" w:hAnsi="Times New Roman"/>
                <w:szCs w:val="21"/>
              </w:rPr>
              <w:t>0.021</w:t>
            </w:r>
          </w:p>
        </w:tc>
        <w:tc>
          <w:tcPr>
            <w:tcW w:w="1297" w:type="dxa"/>
            <w:shd w:val="clear" w:color="auto" w:fill="auto"/>
            <w:vAlign w:val="center"/>
          </w:tcPr>
          <w:p w14:paraId="03B9DE89">
            <w:pPr>
              <w:widowControl/>
              <w:spacing w:line="360" w:lineRule="exact"/>
              <w:jc w:val="center"/>
              <w:rPr>
                <w:rFonts w:ascii="Times New Roman" w:hAnsi="Times New Roman"/>
                <w:szCs w:val="21"/>
              </w:rPr>
            </w:pPr>
            <w:r>
              <w:rPr>
                <w:rFonts w:ascii="Times New Roman" w:hAnsi="Times New Roman"/>
                <w:szCs w:val="21"/>
              </w:rPr>
              <w:t>69</w:t>
            </w:r>
          </w:p>
        </w:tc>
        <w:tc>
          <w:tcPr>
            <w:tcW w:w="1254" w:type="dxa"/>
            <w:shd w:val="clear" w:color="auto" w:fill="auto"/>
            <w:vAlign w:val="center"/>
          </w:tcPr>
          <w:p w14:paraId="0C9AE79E">
            <w:pPr>
              <w:widowControl/>
              <w:spacing w:line="360" w:lineRule="exact"/>
              <w:jc w:val="center"/>
              <w:rPr>
                <w:rFonts w:ascii="Times New Roman" w:hAnsi="Times New Roman"/>
                <w:szCs w:val="21"/>
              </w:rPr>
            </w:pPr>
            <w:r>
              <w:rPr>
                <w:rFonts w:ascii="Times New Roman" w:hAnsi="Times New Roman"/>
                <w:szCs w:val="21"/>
              </w:rPr>
              <w:t>0.008</w:t>
            </w:r>
          </w:p>
        </w:tc>
        <w:tc>
          <w:tcPr>
            <w:tcW w:w="1078" w:type="dxa"/>
            <w:shd w:val="clear" w:color="auto" w:fill="auto"/>
            <w:vAlign w:val="center"/>
          </w:tcPr>
          <w:p w14:paraId="2DB45491">
            <w:pPr>
              <w:widowControl/>
              <w:spacing w:line="360" w:lineRule="exact"/>
              <w:jc w:val="center"/>
              <w:rPr>
                <w:rFonts w:ascii="Times New Roman" w:hAnsi="Times New Roman"/>
                <w:szCs w:val="21"/>
              </w:rPr>
            </w:pPr>
            <w:r>
              <w:rPr>
                <w:rFonts w:ascii="Times New Roman" w:hAnsi="Times New Roman"/>
                <w:szCs w:val="21"/>
              </w:rPr>
              <w:t>0.013</w:t>
            </w:r>
          </w:p>
        </w:tc>
        <w:tc>
          <w:tcPr>
            <w:tcW w:w="2588" w:type="dxa"/>
            <w:vMerge w:val="continue"/>
            <w:shd w:val="clear" w:color="auto" w:fill="auto"/>
            <w:vAlign w:val="center"/>
          </w:tcPr>
          <w:p w14:paraId="7A1D130B">
            <w:pPr>
              <w:widowControl/>
              <w:spacing w:line="360" w:lineRule="exact"/>
              <w:jc w:val="left"/>
              <w:rPr>
                <w:rFonts w:ascii="Times New Roman" w:hAnsi="Times New Roman"/>
                <w:szCs w:val="21"/>
              </w:rPr>
            </w:pPr>
          </w:p>
        </w:tc>
        <w:tc>
          <w:tcPr>
            <w:tcW w:w="1382" w:type="dxa"/>
            <w:vMerge w:val="continue"/>
            <w:shd w:val="clear" w:color="auto" w:fill="auto"/>
            <w:vAlign w:val="center"/>
          </w:tcPr>
          <w:p w14:paraId="48707B11">
            <w:pPr>
              <w:widowControl/>
              <w:spacing w:line="360" w:lineRule="exact"/>
              <w:jc w:val="left"/>
              <w:rPr>
                <w:rFonts w:ascii="Times New Roman" w:hAnsi="Times New Roman"/>
                <w:szCs w:val="21"/>
              </w:rPr>
            </w:pPr>
          </w:p>
        </w:tc>
      </w:tr>
      <w:tr w14:paraId="269FAE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820" w:type="dxa"/>
            <w:gridSpan w:val="2"/>
            <w:vMerge w:val="continue"/>
            <w:shd w:val="clear" w:color="auto" w:fill="auto"/>
            <w:vAlign w:val="center"/>
          </w:tcPr>
          <w:p w14:paraId="67F1D73F">
            <w:pPr>
              <w:widowControl/>
              <w:spacing w:line="360" w:lineRule="exact"/>
              <w:jc w:val="left"/>
              <w:rPr>
                <w:rFonts w:ascii="Times New Roman" w:hAnsi="Times New Roman"/>
                <w:szCs w:val="21"/>
              </w:rPr>
            </w:pPr>
          </w:p>
        </w:tc>
        <w:tc>
          <w:tcPr>
            <w:tcW w:w="1443" w:type="dxa"/>
            <w:shd w:val="clear" w:color="auto" w:fill="auto"/>
            <w:vAlign w:val="center"/>
          </w:tcPr>
          <w:p w14:paraId="43DB6E6B">
            <w:pPr>
              <w:widowControl/>
              <w:spacing w:line="360" w:lineRule="exact"/>
              <w:jc w:val="center"/>
              <w:rPr>
                <w:rFonts w:ascii="Times New Roman" w:hAnsi="Times New Roman"/>
                <w:szCs w:val="21"/>
              </w:rPr>
            </w:pPr>
            <w:r>
              <w:rPr>
                <w:rFonts w:ascii="Times New Roman" w:hAnsi="Times New Roman"/>
                <w:szCs w:val="21"/>
              </w:rPr>
              <w:t>SS</w:t>
            </w:r>
          </w:p>
        </w:tc>
        <w:tc>
          <w:tcPr>
            <w:tcW w:w="1206" w:type="dxa"/>
            <w:shd w:val="clear" w:color="auto" w:fill="auto"/>
            <w:vAlign w:val="center"/>
          </w:tcPr>
          <w:p w14:paraId="5427D33D">
            <w:pPr>
              <w:widowControl/>
              <w:spacing w:line="360" w:lineRule="exact"/>
              <w:jc w:val="center"/>
              <w:rPr>
                <w:rFonts w:ascii="Times New Roman" w:hAnsi="Times New Roman"/>
                <w:szCs w:val="21"/>
              </w:rPr>
            </w:pPr>
            <w:r>
              <w:rPr>
                <w:rFonts w:ascii="Times New Roman" w:hAnsi="Times New Roman"/>
                <w:szCs w:val="21"/>
              </w:rPr>
              <w:t>200</w:t>
            </w:r>
          </w:p>
        </w:tc>
        <w:tc>
          <w:tcPr>
            <w:tcW w:w="1152" w:type="dxa"/>
            <w:shd w:val="clear" w:color="auto" w:fill="auto"/>
            <w:vAlign w:val="center"/>
          </w:tcPr>
          <w:p w14:paraId="16DFB93C">
            <w:pPr>
              <w:widowControl/>
              <w:spacing w:line="360" w:lineRule="exact"/>
              <w:jc w:val="center"/>
              <w:rPr>
                <w:rFonts w:ascii="Times New Roman" w:hAnsi="Times New Roman"/>
                <w:szCs w:val="21"/>
              </w:rPr>
            </w:pPr>
            <w:r>
              <w:rPr>
                <w:rFonts w:ascii="Times New Roman" w:hAnsi="Times New Roman"/>
                <w:szCs w:val="21"/>
              </w:rPr>
              <w:t>0.024</w:t>
            </w:r>
          </w:p>
        </w:tc>
        <w:tc>
          <w:tcPr>
            <w:tcW w:w="1297" w:type="dxa"/>
            <w:shd w:val="clear" w:color="auto" w:fill="auto"/>
            <w:vAlign w:val="center"/>
          </w:tcPr>
          <w:p w14:paraId="1FD1DFC2">
            <w:pPr>
              <w:widowControl/>
              <w:spacing w:line="360" w:lineRule="exact"/>
              <w:jc w:val="center"/>
              <w:rPr>
                <w:rFonts w:ascii="Times New Roman" w:hAnsi="Times New Roman"/>
                <w:szCs w:val="21"/>
              </w:rPr>
            </w:pPr>
            <w:r>
              <w:rPr>
                <w:rFonts w:ascii="Times New Roman" w:hAnsi="Times New Roman"/>
                <w:szCs w:val="21"/>
              </w:rPr>
              <w:t>60</w:t>
            </w:r>
          </w:p>
        </w:tc>
        <w:tc>
          <w:tcPr>
            <w:tcW w:w="1254" w:type="dxa"/>
            <w:shd w:val="clear" w:color="auto" w:fill="auto"/>
            <w:vAlign w:val="center"/>
          </w:tcPr>
          <w:p w14:paraId="5181C85A">
            <w:pPr>
              <w:widowControl/>
              <w:spacing w:line="360" w:lineRule="exact"/>
              <w:jc w:val="center"/>
              <w:rPr>
                <w:rFonts w:ascii="Times New Roman" w:hAnsi="Times New Roman"/>
                <w:szCs w:val="21"/>
              </w:rPr>
            </w:pPr>
            <w:r>
              <w:rPr>
                <w:rFonts w:ascii="Times New Roman" w:hAnsi="Times New Roman"/>
                <w:szCs w:val="21"/>
              </w:rPr>
              <w:t>0.007</w:t>
            </w:r>
          </w:p>
        </w:tc>
        <w:tc>
          <w:tcPr>
            <w:tcW w:w="1078" w:type="dxa"/>
            <w:shd w:val="clear" w:color="auto" w:fill="auto"/>
            <w:vAlign w:val="center"/>
          </w:tcPr>
          <w:p w14:paraId="7AF00B58">
            <w:pPr>
              <w:widowControl/>
              <w:spacing w:line="360" w:lineRule="exact"/>
              <w:jc w:val="center"/>
              <w:rPr>
                <w:rFonts w:ascii="Times New Roman" w:hAnsi="Times New Roman"/>
                <w:szCs w:val="21"/>
              </w:rPr>
            </w:pPr>
            <w:r>
              <w:rPr>
                <w:rFonts w:ascii="Times New Roman" w:hAnsi="Times New Roman"/>
                <w:szCs w:val="21"/>
              </w:rPr>
              <w:t>0.017</w:t>
            </w:r>
          </w:p>
        </w:tc>
        <w:tc>
          <w:tcPr>
            <w:tcW w:w="2588" w:type="dxa"/>
            <w:vMerge w:val="continue"/>
            <w:shd w:val="clear" w:color="auto" w:fill="auto"/>
            <w:vAlign w:val="center"/>
          </w:tcPr>
          <w:p w14:paraId="65F02953">
            <w:pPr>
              <w:widowControl/>
              <w:spacing w:line="360" w:lineRule="exact"/>
              <w:jc w:val="left"/>
              <w:rPr>
                <w:rFonts w:ascii="Times New Roman" w:hAnsi="Times New Roman"/>
                <w:szCs w:val="21"/>
              </w:rPr>
            </w:pPr>
          </w:p>
        </w:tc>
        <w:tc>
          <w:tcPr>
            <w:tcW w:w="1382" w:type="dxa"/>
            <w:vMerge w:val="continue"/>
            <w:shd w:val="clear" w:color="auto" w:fill="auto"/>
            <w:vAlign w:val="center"/>
          </w:tcPr>
          <w:p w14:paraId="496E46D1">
            <w:pPr>
              <w:widowControl/>
              <w:spacing w:line="360" w:lineRule="exact"/>
              <w:jc w:val="left"/>
              <w:rPr>
                <w:rFonts w:ascii="Times New Roman" w:hAnsi="Times New Roman"/>
                <w:szCs w:val="21"/>
              </w:rPr>
            </w:pPr>
          </w:p>
        </w:tc>
      </w:tr>
      <w:tr w14:paraId="22CB1A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820" w:type="dxa"/>
            <w:gridSpan w:val="2"/>
            <w:vMerge w:val="continue"/>
            <w:shd w:val="clear" w:color="auto" w:fill="auto"/>
            <w:vAlign w:val="center"/>
          </w:tcPr>
          <w:p w14:paraId="57028189">
            <w:pPr>
              <w:widowControl/>
              <w:spacing w:line="360" w:lineRule="exact"/>
              <w:jc w:val="left"/>
              <w:rPr>
                <w:rFonts w:ascii="Times New Roman" w:hAnsi="Times New Roman"/>
                <w:szCs w:val="21"/>
              </w:rPr>
            </w:pPr>
          </w:p>
        </w:tc>
        <w:tc>
          <w:tcPr>
            <w:tcW w:w="1443" w:type="dxa"/>
            <w:shd w:val="clear" w:color="auto" w:fill="auto"/>
            <w:vAlign w:val="center"/>
          </w:tcPr>
          <w:p w14:paraId="1630370B">
            <w:pPr>
              <w:widowControl/>
              <w:spacing w:line="360" w:lineRule="exact"/>
              <w:jc w:val="center"/>
              <w:rPr>
                <w:rFonts w:ascii="Times New Roman" w:hAnsi="Times New Roman"/>
                <w:szCs w:val="21"/>
              </w:rPr>
            </w:pPr>
            <w:r>
              <w:rPr>
                <w:rFonts w:ascii="Times New Roman" w:hAnsi="Times New Roman"/>
                <w:szCs w:val="21"/>
              </w:rPr>
              <w:t>NH</w:t>
            </w:r>
            <w:r>
              <w:rPr>
                <w:rFonts w:ascii="Times New Roman" w:hAnsi="Times New Roman"/>
                <w:szCs w:val="21"/>
                <w:vertAlign w:val="subscript"/>
              </w:rPr>
              <w:t>3</w:t>
            </w:r>
            <w:r>
              <w:rPr>
                <w:rFonts w:ascii="Times New Roman" w:hAnsi="Times New Roman"/>
                <w:szCs w:val="21"/>
              </w:rPr>
              <w:t>-N</w:t>
            </w:r>
          </w:p>
        </w:tc>
        <w:tc>
          <w:tcPr>
            <w:tcW w:w="1206" w:type="dxa"/>
            <w:shd w:val="clear" w:color="auto" w:fill="auto"/>
            <w:vAlign w:val="center"/>
          </w:tcPr>
          <w:p w14:paraId="52BC6568">
            <w:pPr>
              <w:widowControl/>
              <w:spacing w:line="360" w:lineRule="exact"/>
              <w:jc w:val="center"/>
              <w:rPr>
                <w:rFonts w:ascii="Times New Roman" w:hAnsi="Times New Roman"/>
                <w:szCs w:val="21"/>
              </w:rPr>
            </w:pPr>
            <w:r>
              <w:rPr>
                <w:rFonts w:ascii="Times New Roman" w:hAnsi="Times New Roman"/>
                <w:szCs w:val="21"/>
              </w:rPr>
              <w:t>30</w:t>
            </w:r>
          </w:p>
        </w:tc>
        <w:tc>
          <w:tcPr>
            <w:tcW w:w="1152" w:type="dxa"/>
            <w:shd w:val="clear" w:color="auto" w:fill="auto"/>
            <w:vAlign w:val="center"/>
          </w:tcPr>
          <w:p w14:paraId="208B1A67">
            <w:pPr>
              <w:widowControl/>
              <w:spacing w:line="360" w:lineRule="exact"/>
              <w:jc w:val="center"/>
              <w:rPr>
                <w:rFonts w:ascii="Times New Roman" w:hAnsi="Times New Roman"/>
                <w:szCs w:val="21"/>
              </w:rPr>
            </w:pPr>
            <w:r>
              <w:rPr>
                <w:rFonts w:ascii="Times New Roman" w:hAnsi="Times New Roman"/>
                <w:szCs w:val="21"/>
              </w:rPr>
              <w:t>0.004</w:t>
            </w:r>
          </w:p>
        </w:tc>
        <w:tc>
          <w:tcPr>
            <w:tcW w:w="1297" w:type="dxa"/>
            <w:shd w:val="clear" w:color="auto" w:fill="auto"/>
            <w:vAlign w:val="center"/>
          </w:tcPr>
          <w:p w14:paraId="1380B02C">
            <w:pPr>
              <w:widowControl/>
              <w:spacing w:line="360" w:lineRule="exact"/>
              <w:jc w:val="center"/>
              <w:rPr>
                <w:rFonts w:ascii="Times New Roman" w:hAnsi="Times New Roman"/>
                <w:szCs w:val="21"/>
              </w:rPr>
            </w:pPr>
            <w:r>
              <w:rPr>
                <w:rFonts w:ascii="Times New Roman" w:hAnsi="Times New Roman"/>
                <w:szCs w:val="21"/>
              </w:rPr>
              <w:t>27</w:t>
            </w:r>
          </w:p>
        </w:tc>
        <w:tc>
          <w:tcPr>
            <w:tcW w:w="1254" w:type="dxa"/>
            <w:shd w:val="clear" w:color="auto" w:fill="auto"/>
            <w:vAlign w:val="center"/>
          </w:tcPr>
          <w:p w14:paraId="4AF337CA">
            <w:pPr>
              <w:widowControl/>
              <w:spacing w:line="360" w:lineRule="exact"/>
              <w:jc w:val="center"/>
              <w:rPr>
                <w:rFonts w:ascii="Times New Roman" w:hAnsi="Times New Roman"/>
                <w:szCs w:val="21"/>
              </w:rPr>
            </w:pPr>
            <w:r>
              <w:rPr>
                <w:rFonts w:ascii="Times New Roman" w:hAnsi="Times New Roman"/>
                <w:szCs w:val="21"/>
              </w:rPr>
              <w:t>0.003</w:t>
            </w:r>
          </w:p>
        </w:tc>
        <w:tc>
          <w:tcPr>
            <w:tcW w:w="1078" w:type="dxa"/>
            <w:shd w:val="clear" w:color="auto" w:fill="auto"/>
            <w:vAlign w:val="center"/>
          </w:tcPr>
          <w:p w14:paraId="6FB015E0">
            <w:pPr>
              <w:widowControl/>
              <w:spacing w:line="360" w:lineRule="exact"/>
              <w:jc w:val="center"/>
              <w:rPr>
                <w:rFonts w:ascii="Times New Roman" w:hAnsi="Times New Roman"/>
                <w:szCs w:val="21"/>
              </w:rPr>
            </w:pPr>
            <w:r>
              <w:rPr>
                <w:rFonts w:ascii="Times New Roman" w:hAnsi="Times New Roman"/>
                <w:szCs w:val="21"/>
              </w:rPr>
              <w:t>0.001</w:t>
            </w:r>
          </w:p>
        </w:tc>
        <w:tc>
          <w:tcPr>
            <w:tcW w:w="2588" w:type="dxa"/>
            <w:vMerge w:val="continue"/>
            <w:shd w:val="clear" w:color="auto" w:fill="auto"/>
            <w:vAlign w:val="center"/>
          </w:tcPr>
          <w:p w14:paraId="514415E1">
            <w:pPr>
              <w:widowControl/>
              <w:spacing w:line="360" w:lineRule="exact"/>
              <w:jc w:val="left"/>
              <w:rPr>
                <w:rFonts w:ascii="Times New Roman" w:hAnsi="Times New Roman"/>
                <w:szCs w:val="21"/>
              </w:rPr>
            </w:pPr>
          </w:p>
        </w:tc>
        <w:tc>
          <w:tcPr>
            <w:tcW w:w="1382" w:type="dxa"/>
            <w:vMerge w:val="continue"/>
            <w:shd w:val="clear" w:color="auto" w:fill="auto"/>
            <w:vAlign w:val="center"/>
          </w:tcPr>
          <w:p w14:paraId="3C083AF8">
            <w:pPr>
              <w:widowControl/>
              <w:spacing w:line="360" w:lineRule="exact"/>
              <w:jc w:val="left"/>
              <w:rPr>
                <w:rFonts w:ascii="Times New Roman" w:hAnsi="Times New Roman"/>
                <w:szCs w:val="21"/>
              </w:rPr>
            </w:pPr>
          </w:p>
        </w:tc>
      </w:tr>
      <w:tr w14:paraId="7B38EF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220" w:type="dxa"/>
            <w:gridSpan w:val="10"/>
            <w:shd w:val="clear" w:color="auto" w:fill="auto"/>
            <w:vAlign w:val="center"/>
          </w:tcPr>
          <w:p w14:paraId="64D5DAD4">
            <w:pPr>
              <w:widowControl/>
              <w:spacing w:line="360" w:lineRule="exact"/>
              <w:jc w:val="center"/>
              <w:rPr>
                <w:rFonts w:ascii="Times New Roman" w:hAnsi="Times New Roman"/>
                <w:b/>
                <w:bCs/>
                <w:szCs w:val="21"/>
              </w:rPr>
            </w:pPr>
            <w:r>
              <w:rPr>
                <w:rFonts w:ascii="Times New Roman" w:hAnsi="Times New Roman"/>
                <w:b/>
                <w:bCs/>
                <w:szCs w:val="21"/>
              </w:rPr>
              <w:t>三、固体废弃物</w:t>
            </w:r>
          </w:p>
        </w:tc>
      </w:tr>
      <w:tr w14:paraId="224D33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820" w:type="dxa"/>
            <w:gridSpan w:val="2"/>
            <w:shd w:val="clear" w:color="auto" w:fill="auto"/>
            <w:vAlign w:val="center"/>
          </w:tcPr>
          <w:p w14:paraId="523D5EDA">
            <w:pPr>
              <w:widowControl/>
              <w:spacing w:line="360" w:lineRule="exact"/>
              <w:jc w:val="center"/>
              <w:rPr>
                <w:rFonts w:ascii="Times New Roman" w:hAnsi="Times New Roman"/>
                <w:b/>
                <w:bCs/>
                <w:szCs w:val="21"/>
              </w:rPr>
            </w:pPr>
            <w:r>
              <w:rPr>
                <w:rFonts w:ascii="Times New Roman" w:hAnsi="Times New Roman"/>
                <w:b/>
                <w:bCs/>
                <w:szCs w:val="21"/>
              </w:rPr>
              <w:t>污染源</w:t>
            </w:r>
          </w:p>
        </w:tc>
        <w:tc>
          <w:tcPr>
            <w:tcW w:w="2649" w:type="dxa"/>
            <w:gridSpan w:val="2"/>
            <w:shd w:val="clear" w:color="auto" w:fill="auto"/>
            <w:vAlign w:val="center"/>
          </w:tcPr>
          <w:p w14:paraId="176CBD9F">
            <w:pPr>
              <w:widowControl/>
              <w:spacing w:line="360" w:lineRule="exact"/>
              <w:jc w:val="center"/>
              <w:rPr>
                <w:rFonts w:ascii="Times New Roman" w:hAnsi="Times New Roman"/>
                <w:b/>
                <w:bCs/>
                <w:szCs w:val="21"/>
              </w:rPr>
            </w:pPr>
            <w:r>
              <w:rPr>
                <w:rFonts w:ascii="Times New Roman" w:hAnsi="Times New Roman"/>
                <w:b/>
                <w:bCs/>
                <w:szCs w:val="21"/>
              </w:rPr>
              <w:t>污染物</w:t>
            </w:r>
          </w:p>
        </w:tc>
        <w:tc>
          <w:tcPr>
            <w:tcW w:w="1152" w:type="dxa"/>
            <w:shd w:val="clear" w:color="auto" w:fill="auto"/>
            <w:vAlign w:val="center"/>
          </w:tcPr>
          <w:p w14:paraId="41B329DE">
            <w:pPr>
              <w:widowControl/>
              <w:spacing w:line="360" w:lineRule="exact"/>
              <w:jc w:val="center"/>
              <w:rPr>
                <w:rFonts w:ascii="Times New Roman" w:hAnsi="Times New Roman"/>
                <w:b/>
                <w:bCs/>
                <w:szCs w:val="21"/>
              </w:rPr>
            </w:pPr>
            <w:r>
              <w:rPr>
                <w:rFonts w:ascii="Times New Roman" w:hAnsi="Times New Roman"/>
                <w:b/>
                <w:bCs/>
                <w:szCs w:val="21"/>
              </w:rPr>
              <w:t>产生量t/a</w:t>
            </w:r>
          </w:p>
        </w:tc>
        <w:tc>
          <w:tcPr>
            <w:tcW w:w="1297" w:type="dxa"/>
            <w:shd w:val="clear" w:color="auto" w:fill="auto"/>
            <w:vAlign w:val="center"/>
          </w:tcPr>
          <w:p w14:paraId="115A10D4">
            <w:pPr>
              <w:widowControl/>
              <w:spacing w:line="360" w:lineRule="exact"/>
              <w:jc w:val="center"/>
              <w:rPr>
                <w:rFonts w:ascii="Times New Roman" w:hAnsi="Times New Roman"/>
                <w:b/>
                <w:bCs/>
                <w:szCs w:val="21"/>
              </w:rPr>
            </w:pPr>
            <w:r>
              <w:rPr>
                <w:rFonts w:ascii="Times New Roman" w:hAnsi="Times New Roman"/>
                <w:b/>
                <w:bCs/>
                <w:szCs w:val="21"/>
              </w:rPr>
              <w:t>排放量 t/a</w:t>
            </w:r>
          </w:p>
        </w:tc>
        <w:tc>
          <w:tcPr>
            <w:tcW w:w="6302" w:type="dxa"/>
            <w:gridSpan w:val="4"/>
            <w:shd w:val="clear" w:color="auto" w:fill="auto"/>
            <w:vAlign w:val="center"/>
          </w:tcPr>
          <w:p w14:paraId="47444D10">
            <w:pPr>
              <w:widowControl/>
              <w:spacing w:line="360" w:lineRule="exact"/>
              <w:jc w:val="center"/>
              <w:rPr>
                <w:rFonts w:ascii="Times New Roman" w:hAnsi="Times New Roman"/>
                <w:b/>
                <w:bCs/>
                <w:szCs w:val="21"/>
              </w:rPr>
            </w:pPr>
            <w:r>
              <w:rPr>
                <w:rFonts w:ascii="Times New Roman" w:hAnsi="Times New Roman"/>
                <w:b/>
                <w:bCs/>
                <w:szCs w:val="21"/>
              </w:rPr>
              <w:t>保护措施</w:t>
            </w:r>
          </w:p>
        </w:tc>
      </w:tr>
      <w:tr w14:paraId="14A815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820" w:type="dxa"/>
            <w:gridSpan w:val="2"/>
            <w:vMerge w:val="restart"/>
            <w:tcBorders>
              <w:bottom w:val="single" w:color="auto" w:sz="6" w:space="0"/>
            </w:tcBorders>
            <w:shd w:val="clear" w:color="auto" w:fill="auto"/>
            <w:noWrap/>
            <w:vAlign w:val="center"/>
          </w:tcPr>
          <w:p w14:paraId="06BFB923">
            <w:pPr>
              <w:widowControl/>
              <w:spacing w:line="360" w:lineRule="exact"/>
              <w:jc w:val="center"/>
              <w:rPr>
                <w:rFonts w:ascii="Times New Roman" w:hAnsi="Times New Roman"/>
                <w:szCs w:val="21"/>
              </w:rPr>
            </w:pPr>
            <w:r>
              <w:rPr>
                <w:rFonts w:ascii="Times New Roman" w:hAnsi="Times New Roman"/>
                <w:szCs w:val="21"/>
              </w:rPr>
              <w:t>一般固废</w:t>
            </w:r>
          </w:p>
        </w:tc>
        <w:tc>
          <w:tcPr>
            <w:tcW w:w="2649" w:type="dxa"/>
            <w:gridSpan w:val="2"/>
            <w:tcBorders>
              <w:bottom w:val="single" w:color="auto" w:sz="6" w:space="0"/>
            </w:tcBorders>
            <w:shd w:val="clear" w:color="auto" w:fill="auto"/>
            <w:vAlign w:val="center"/>
          </w:tcPr>
          <w:p w14:paraId="042E326F">
            <w:pPr>
              <w:spacing w:line="360" w:lineRule="exact"/>
              <w:jc w:val="center"/>
              <w:rPr>
                <w:rFonts w:ascii="Times New Roman" w:hAnsi="Times New Roman"/>
                <w:szCs w:val="21"/>
              </w:rPr>
            </w:pPr>
            <w:r>
              <w:rPr>
                <w:rFonts w:ascii="Times New Roman" w:hAnsi="Times New Roman"/>
                <w:kern w:val="0"/>
                <w:szCs w:val="21"/>
                <w:u w:val="single"/>
              </w:rPr>
              <w:t>烘干炉炉渣</w:t>
            </w:r>
          </w:p>
        </w:tc>
        <w:tc>
          <w:tcPr>
            <w:tcW w:w="1152" w:type="dxa"/>
            <w:tcBorders>
              <w:bottom w:val="single" w:color="auto" w:sz="6" w:space="0"/>
            </w:tcBorders>
            <w:shd w:val="clear" w:color="auto" w:fill="auto"/>
            <w:vAlign w:val="center"/>
          </w:tcPr>
          <w:p w14:paraId="7B518112">
            <w:pPr>
              <w:spacing w:line="360" w:lineRule="exact"/>
              <w:jc w:val="center"/>
              <w:rPr>
                <w:rFonts w:ascii="Times New Roman" w:hAnsi="Times New Roman"/>
                <w:szCs w:val="21"/>
                <w:u w:val="single"/>
              </w:rPr>
            </w:pPr>
            <w:r>
              <w:rPr>
                <w:rFonts w:ascii="Times New Roman" w:hAnsi="Times New Roman" w:eastAsia="等线"/>
                <w:szCs w:val="21"/>
                <w:u w:val="single"/>
              </w:rPr>
              <w:t>63.2</w:t>
            </w:r>
            <w:r>
              <w:rPr>
                <w:rFonts w:hint="eastAsia" w:ascii="Times New Roman" w:hAnsi="Times New Roman" w:eastAsia="等线"/>
                <w:szCs w:val="21"/>
                <w:u w:val="single"/>
              </w:rPr>
              <w:t>473</w:t>
            </w:r>
          </w:p>
        </w:tc>
        <w:tc>
          <w:tcPr>
            <w:tcW w:w="1297" w:type="dxa"/>
            <w:tcBorders>
              <w:bottom w:val="single" w:color="auto" w:sz="6" w:space="0"/>
            </w:tcBorders>
            <w:shd w:val="clear" w:color="auto" w:fill="auto"/>
            <w:vAlign w:val="center"/>
          </w:tcPr>
          <w:p w14:paraId="00D18AF3">
            <w:pPr>
              <w:spacing w:line="360" w:lineRule="exact"/>
              <w:jc w:val="center"/>
              <w:rPr>
                <w:rFonts w:ascii="Times New Roman" w:hAnsi="Times New Roman"/>
                <w:szCs w:val="21"/>
              </w:rPr>
            </w:pPr>
            <w:r>
              <w:rPr>
                <w:rFonts w:ascii="Times New Roman" w:hAnsi="Times New Roman"/>
                <w:szCs w:val="21"/>
              </w:rPr>
              <w:t>0</w:t>
            </w:r>
          </w:p>
        </w:tc>
        <w:tc>
          <w:tcPr>
            <w:tcW w:w="6302" w:type="dxa"/>
            <w:gridSpan w:val="4"/>
            <w:shd w:val="clear" w:color="auto" w:fill="auto"/>
            <w:vAlign w:val="center"/>
          </w:tcPr>
          <w:p w14:paraId="01CC460D">
            <w:pPr>
              <w:spacing w:line="360" w:lineRule="exact"/>
              <w:jc w:val="center"/>
              <w:rPr>
                <w:rFonts w:ascii="Times New Roman" w:hAnsi="Times New Roman"/>
                <w:szCs w:val="21"/>
                <w:u w:val="single"/>
              </w:rPr>
            </w:pPr>
            <w:r>
              <w:rPr>
                <w:rFonts w:ascii="Times New Roman" w:hAnsi="Times New Roman"/>
                <w:szCs w:val="21"/>
                <w:u w:val="single"/>
              </w:rPr>
              <w:t>采用编织袋袋装收集后，暂存于车间内的灰渣临时堆放点，</w:t>
            </w:r>
            <w:r>
              <w:rPr>
                <w:rFonts w:hint="eastAsia" w:ascii="Times New Roman" w:hAnsi="Times New Roman"/>
                <w:szCs w:val="21"/>
                <w:u w:val="single"/>
              </w:rPr>
              <w:t>作为原料</w:t>
            </w:r>
            <w:r>
              <w:rPr>
                <w:rFonts w:ascii="Times New Roman" w:hAnsi="Times New Roman"/>
                <w:szCs w:val="21"/>
                <w:u w:val="single"/>
              </w:rPr>
              <w:t>定期</w:t>
            </w:r>
            <w:r>
              <w:rPr>
                <w:rFonts w:hint="eastAsia" w:ascii="Times New Roman" w:hAnsi="Times New Roman"/>
                <w:szCs w:val="21"/>
                <w:u w:val="single"/>
              </w:rPr>
              <w:t>出售给有机肥生产企业</w:t>
            </w:r>
            <w:r>
              <w:rPr>
                <w:rFonts w:ascii="Times New Roman" w:hAnsi="Times New Roman"/>
                <w:kern w:val="0"/>
                <w:szCs w:val="21"/>
                <w:u w:val="single"/>
              </w:rPr>
              <w:t>综合利用</w:t>
            </w:r>
            <w:r>
              <w:rPr>
                <w:rFonts w:ascii="Times New Roman" w:hAnsi="Times New Roman"/>
                <w:szCs w:val="21"/>
                <w:u w:val="single"/>
              </w:rPr>
              <w:t>。</w:t>
            </w:r>
          </w:p>
        </w:tc>
      </w:tr>
      <w:tr w14:paraId="2725A0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820" w:type="dxa"/>
            <w:gridSpan w:val="2"/>
            <w:vMerge w:val="continue"/>
            <w:shd w:val="clear" w:color="auto" w:fill="auto"/>
            <w:vAlign w:val="center"/>
          </w:tcPr>
          <w:p w14:paraId="78BB5257">
            <w:pPr>
              <w:widowControl/>
              <w:spacing w:line="360" w:lineRule="exact"/>
              <w:jc w:val="left"/>
              <w:rPr>
                <w:rFonts w:ascii="Times New Roman" w:hAnsi="Times New Roman"/>
                <w:szCs w:val="21"/>
              </w:rPr>
            </w:pPr>
          </w:p>
        </w:tc>
        <w:tc>
          <w:tcPr>
            <w:tcW w:w="2649" w:type="dxa"/>
            <w:gridSpan w:val="2"/>
            <w:shd w:val="clear" w:color="auto" w:fill="auto"/>
            <w:vAlign w:val="center"/>
          </w:tcPr>
          <w:p w14:paraId="4552D349">
            <w:pPr>
              <w:widowControl/>
              <w:spacing w:line="360" w:lineRule="exact"/>
              <w:jc w:val="center"/>
              <w:rPr>
                <w:rFonts w:ascii="Times New Roman" w:hAnsi="Times New Roman"/>
                <w:kern w:val="0"/>
                <w:szCs w:val="21"/>
                <w:u w:val="single"/>
              </w:rPr>
            </w:pPr>
            <w:r>
              <w:rPr>
                <w:rFonts w:ascii="Times New Roman" w:hAnsi="Times New Roman"/>
                <w:kern w:val="0"/>
                <w:szCs w:val="21"/>
                <w:u w:val="single"/>
              </w:rPr>
              <w:t>烘干炉除尘器收集粉尘</w:t>
            </w:r>
          </w:p>
        </w:tc>
        <w:tc>
          <w:tcPr>
            <w:tcW w:w="1152" w:type="dxa"/>
            <w:shd w:val="clear" w:color="auto" w:fill="auto"/>
            <w:vAlign w:val="center"/>
          </w:tcPr>
          <w:p w14:paraId="15805EC7">
            <w:pPr>
              <w:widowControl/>
              <w:spacing w:line="360" w:lineRule="exact"/>
              <w:jc w:val="center"/>
              <w:rPr>
                <w:rFonts w:ascii="Times New Roman" w:hAnsi="Times New Roman" w:eastAsia="等线"/>
                <w:szCs w:val="21"/>
                <w:u w:val="single"/>
              </w:rPr>
            </w:pPr>
            <w:r>
              <w:rPr>
                <w:rFonts w:ascii="Times New Roman" w:hAnsi="Times New Roman" w:eastAsia="等线"/>
                <w:szCs w:val="21"/>
                <w:u w:val="single"/>
              </w:rPr>
              <w:t>8.3</w:t>
            </w:r>
            <w:r>
              <w:rPr>
                <w:rFonts w:hint="eastAsia" w:ascii="Times New Roman" w:hAnsi="Times New Roman" w:eastAsia="等线"/>
                <w:szCs w:val="21"/>
                <w:u w:val="single"/>
              </w:rPr>
              <w:t>591</w:t>
            </w:r>
          </w:p>
        </w:tc>
        <w:tc>
          <w:tcPr>
            <w:tcW w:w="1297" w:type="dxa"/>
            <w:shd w:val="clear" w:color="auto" w:fill="auto"/>
            <w:vAlign w:val="center"/>
          </w:tcPr>
          <w:p w14:paraId="78C0C82A">
            <w:pPr>
              <w:widowControl/>
              <w:spacing w:line="360" w:lineRule="exact"/>
              <w:jc w:val="center"/>
              <w:rPr>
                <w:rFonts w:ascii="Times New Roman" w:hAnsi="Times New Roman"/>
                <w:szCs w:val="21"/>
              </w:rPr>
            </w:pPr>
            <w:r>
              <w:rPr>
                <w:rFonts w:ascii="Times New Roman" w:hAnsi="Times New Roman"/>
                <w:szCs w:val="21"/>
              </w:rPr>
              <w:t>0</w:t>
            </w:r>
          </w:p>
        </w:tc>
        <w:tc>
          <w:tcPr>
            <w:tcW w:w="6302" w:type="dxa"/>
            <w:gridSpan w:val="4"/>
            <w:vMerge w:val="restart"/>
            <w:shd w:val="clear" w:color="auto" w:fill="auto"/>
            <w:vAlign w:val="center"/>
          </w:tcPr>
          <w:p w14:paraId="16CBE53A">
            <w:pPr>
              <w:widowControl/>
              <w:spacing w:line="360" w:lineRule="exact"/>
              <w:jc w:val="center"/>
              <w:rPr>
                <w:rFonts w:ascii="Times New Roman" w:hAnsi="Times New Roman"/>
                <w:szCs w:val="21"/>
                <w:u w:val="single"/>
              </w:rPr>
            </w:pPr>
            <w:r>
              <w:rPr>
                <w:rFonts w:ascii="Times New Roman" w:hAnsi="Times New Roman"/>
                <w:kern w:val="0"/>
                <w:szCs w:val="21"/>
                <w:u w:val="single"/>
              </w:rPr>
              <w:t>堆放在车间内的</w:t>
            </w:r>
            <w:r>
              <w:rPr>
                <w:rFonts w:hint="eastAsia" w:ascii="Times New Roman" w:hAnsi="Times New Roman"/>
                <w:kern w:val="0"/>
                <w:szCs w:val="21"/>
                <w:u w:val="single"/>
              </w:rPr>
              <w:t>锆中矿</w:t>
            </w:r>
            <w:r>
              <w:rPr>
                <w:rFonts w:ascii="Times New Roman" w:hAnsi="Times New Roman"/>
                <w:kern w:val="0"/>
                <w:szCs w:val="21"/>
                <w:u w:val="single"/>
              </w:rPr>
              <w:t>堆放区，</w:t>
            </w:r>
            <w:r>
              <w:rPr>
                <w:rFonts w:hint="eastAsia" w:ascii="Times New Roman" w:hAnsi="Times New Roman"/>
                <w:kern w:val="0"/>
                <w:szCs w:val="21"/>
                <w:u w:val="single"/>
              </w:rPr>
              <w:t>作为原料</w:t>
            </w:r>
            <w:r>
              <w:rPr>
                <w:rFonts w:ascii="Times New Roman" w:hAnsi="Times New Roman"/>
                <w:kern w:val="0"/>
                <w:szCs w:val="21"/>
                <w:u w:val="single"/>
              </w:rPr>
              <w:t>定期外售给深度选矿企业综合利用</w:t>
            </w:r>
            <w:r>
              <w:rPr>
                <w:rFonts w:ascii="Times New Roman" w:hAnsi="Times New Roman"/>
                <w:szCs w:val="21"/>
                <w:u w:val="single"/>
              </w:rPr>
              <w:t>。</w:t>
            </w:r>
          </w:p>
        </w:tc>
      </w:tr>
      <w:tr w14:paraId="0F150A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820" w:type="dxa"/>
            <w:gridSpan w:val="2"/>
            <w:vMerge w:val="continue"/>
            <w:shd w:val="clear" w:color="auto" w:fill="auto"/>
            <w:vAlign w:val="center"/>
          </w:tcPr>
          <w:p w14:paraId="0C96B618">
            <w:pPr>
              <w:widowControl/>
              <w:spacing w:line="360" w:lineRule="exact"/>
              <w:jc w:val="left"/>
              <w:rPr>
                <w:rFonts w:ascii="Times New Roman" w:hAnsi="Times New Roman"/>
                <w:szCs w:val="21"/>
              </w:rPr>
            </w:pPr>
          </w:p>
        </w:tc>
        <w:tc>
          <w:tcPr>
            <w:tcW w:w="2649" w:type="dxa"/>
            <w:gridSpan w:val="2"/>
            <w:shd w:val="clear" w:color="auto" w:fill="auto"/>
            <w:vAlign w:val="center"/>
          </w:tcPr>
          <w:p w14:paraId="0CD45E6F">
            <w:pPr>
              <w:widowControl/>
              <w:spacing w:line="360" w:lineRule="exact"/>
              <w:jc w:val="center"/>
              <w:rPr>
                <w:rFonts w:ascii="Times New Roman" w:hAnsi="Times New Roman"/>
                <w:szCs w:val="21"/>
                <w:u w:val="single"/>
              </w:rPr>
            </w:pPr>
            <w:r>
              <w:rPr>
                <w:rFonts w:ascii="Times New Roman" w:hAnsi="Times New Roman"/>
                <w:kern w:val="0"/>
                <w:szCs w:val="21"/>
                <w:u w:val="single"/>
              </w:rPr>
              <w:t>生产车间除尘器收集粉尘</w:t>
            </w:r>
          </w:p>
        </w:tc>
        <w:tc>
          <w:tcPr>
            <w:tcW w:w="1152" w:type="dxa"/>
            <w:shd w:val="clear" w:color="auto" w:fill="auto"/>
            <w:vAlign w:val="center"/>
          </w:tcPr>
          <w:p w14:paraId="4A378624">
            <w:pPr>
              <w:widowControl/>
              <w:spacing w:line="360" w:lineRule="exact"/>
              <w:jc w:val="center"/>
              <w:rPr>
                <w:rFonts w:ascii="Times New Roman" w:hAnsi="Times New Roman"/>
                <w:szCs w:val="21"/>
                <w:u w:val="single"/>
              </w:rPr>
            </w:pPr>
            <w:r>
              <w:rPr>
                <w:rFonts w:ascii="Times New Roman" w:hAnsi="Times New Roman" w:eastAsia="等线"/>
                <w:szCs w:val="21"/>
                <w:u w:val="single"/>
              </w:rPr>
              <w:t>1.</w:t>
            </w:r>
            <w:r>
              <w:rPr>
                <w:rFonts w:hint="eastAsia" w:ascii="Times New Roman" w:hAnsi="Times New Roman" w:eastAsia="等线"/>
                <w:szCs w:val="21"/>
                <w:u w:val="single"/>
              </w:rPr>
              <w:t>3998</w:t>
            </w:r>
          </w:p>
        </w:tc>
        <w:tc>
          <w:tcPr>
            <w:tcW w:w="1297" w:type="dxa"/>
            <w:shd w:val="clear" w:color="auto" w:fill="auto"/>
            <w:vAlign w:val="center"/>
          </w:tcPr>
          <w:p w14:paraId="4F21E74C">
            <w:pPr>
              <w:widowControl/>
              <w:spacing w:line="360" w:lineRule="exact"/>
              <w:jc w:val="center"/>
              <w:rPr>
                <w:rFonts w:ascii="Times New Roman" w:hAnsi="Times New Roman"/>
                <w:szCs w:val="21"/>
              </w:rPr>
            </w:pPr>
            <w:r>
              <w:rPr>
                <w:rFonts w:ascii="Times New Roman" w:hAnsi="Times New Roman"/>
                <w:szCs w:val="21"/>
              </w:rPr>
              <w:t>0</w:t>
            </w:r>
          </w:p>
        </w:tc>
        <w:tc>
          <w:tcPr>
            <w:tcW w:w="6302" w:type="dxa"/>
            <w:gridSpan w:val="4"/>
            <w:vMerge w:val="continue"/>
            <w:shd w:val="clear" w:color="auto" w:fill="auto"/>
            <w:vAlign w:val="center"/>
          </w:tcPr>
          <w:p w14:paraId="62B32EBE">
            <w:pPr>
              <w:widowControl/>
              <w:spacing w:line="360" w:lineRule="exact"/>
              <w:jc w:val="center"/>
              <w:rPr>
                <w:rFonts w:ascii="Times New Roman" w:hAnsi="Times New Roman"/>
                <w:szCs w:val="21"/>
              </w:rPr>
            </w:pPr>
          </w:p>
        </w:tc>
      </w:tr>
      <w:tr w14:paraId="20FBAD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820" w:type="dxa"/>
            <w:gridSpan w:val="2"/>
            <w:vMerge w:val="continue"/>
            <w:shd w:val="clear" w:color="auto" w:fill="auto"/>
            <w:vAlign w:val="center"/>
          </w:tcPr>
          <w:p w14:paraId="7E524CF8">
            <w:pPr>
              <w:widowControl/>
              <w:spacing w:line="360" w:lineRule="exact"/>
              <w:jc w:val="left"/>
              <w:rPr>
                <w:rFonts w:ascii="Times New Roman" w:hAnsi="Times New Roman"/>
                <w:szCs w:val="21"/>
              </w:rPr>
            </w:pPr>
          </w:p>
        </w:tc>
        <w:tc>
          <w:tcPr>
            <w:tcW w:w="2649" w:type="dxa"/>
            <w:gridSpan w:val="2"/>
            <w:shd w:val="clear" w:color="auto" w:fill="auto"/>
            <w:vAlign w:val="center"/>
          </w:tcPr>
          <w:p w14:paraId="365FCEFD">
            <w:pPr>
              <w:widowControl/>
              <w:spacing w:line="360" w:lineRule="exact"/>
              <w:jc w:val="center"/>
              <w:rPr>
                <w:rFonts w:ascii="Times New Roman" w:hAnsi="Times New Roman"/>
                <w:kern w:val="0"/>
                <w:szCs w:val="21"/>
                <w:u w:val="single"/>
              </w:rPr>
            </w:pPr>
            <w:r>
              <w:rPr>
                <w:rFonts w:ascii="Times New Roman" w:hAnsi="Times New Roman"/>
                <w:kern w:val="0"/>
                <w:szCs w:val="21"/>
                <w:u w:val="single"/>
              </w:rPr>
              <w:t>生产车间地面沉降粉尘</w:t>
            </w:r>
          </w:p>
        </w:tc>
        <w:tc>
          <w:tcPr>
            <w:tcW w:w="1152" w:type="dxa"/>
            <w:shd w:val="clear" w:color="auto" w:fill="auto"/>
            <w:vAlign w:val="center"/>
          </w:tcPr>
          <w:p w14:paraId="1494945B">
            <w:pPr>
              <w:widowControl/>
              <w:spacing w:line="360" w:lineRule="exact"/>
              <w:jc w:val="center"/>
              <w:rPr>
                <w:rFonts w:ascii="Times New Roman" w:hAnsi="Times New Roman" w:eastAsia="等线"/>
                <w:szCs w:val="21"/>
                <w:u w:val="single"/>
              </w:rPr>
            </w:pPr>
            <w:r>
              <w:rPr>
                <w:rFonts w:ascii="Times New Roman" w:hAnsi="Times New Roman" w:eastAsia="等线"/>
                <w:szCs w:val="21"/>
                <w:u w:val="single"/>
              </w:rPr>
              <w:t>3.5</w:t>
            </w:r>
            <w:r>
              <w:rPr>
                <w:rFonts w:hint="eastAsia" w:ascii="Times New Roman" w:hAnsi="Times New Roman" w:eastAsia="等线"/>
                <w:szCs w:val="21"/>
                <w:u w:val="single"/>
              </w:rPr>
              <w:t>699</w:t>
            </w:r>
          </w:p>
        </w:tc>
        <w:tc>
          <w:tcPr>
            <w:tcW w:w="1297" w:type="dxa"/>
            <w:shd w:val="clear" w:color="auto" w:fill="auto"/>
            <w:vAlign w:val="center"/>
          </w:tcPr>
          <w:p w14:paraId="230C35BC">
            <w:pPr>
              <w:widowControl/>
              <w:spacing w:line="360" w:lineRule="exact"/>
              <w:jc w:val="center"/>
              <w:rPr>
                <w:rFonts w:ascii="Times New Roman" w:hAnsi="Times New Roman"/>
                <w:szCs w:val="21"/>
              </w:rPr>
            </w:pPr>
            <w:r>
              <w:rPr>
                <w:rFonts w:ascii="Times New Roman" w:hAnsi="Times New Roman"/>
                <w:szCs w:val="21"/>
              </w:rPr>
              <w:t>0</w:t>
            </w:r>
          </w:p>
        </w:tc>
        <w:tc>
          <w:tcPr>
            <w:tcW w:w="6302" w:type="dxa"/>
            <w:gridSpan w:val="4"/>
            <w:shd w:val="clear" w:color="auto" w:fill="auto"/>
            <w:vAlign w:val="center"/>
          </w:tcPr>
          <w:p w14:paraId="26763C7F">
            <w:pPr>
              <w:widowControl/>
              <w:spacing w:line="360" w:lineRule="exact"/>
              <w:jc w:val="center"/>
              <w:rPr>
                <w:rFonts w:ascii="Times New Roman" w:hAnsi="Times New Roman"/>
                <w:szCs w:val="21"/>
              </w:rPr>
            </w:pPr>
            <w:r>
              <w:rPr>
                <w:rFonts w:hint="eastAsia" w:ascii="Times New Roman" w:hAnsi="Times New Roman"/>
                <w:szCs w:val="21"/>
                <w:u w:val="single"/>
              </w:rPr>
              <w:t>收集后作为原料重新投入到生产线进行分选。</w:t>
            </w:r>
          </w:p>
        </w:tc>
      </w:tr>
      <w:tr w14:paraId="103D43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820" w:type="dxa"/>
            <w:gridSpan w:val="2"/>
            <w:vMerge w:val="continue"/>
            <w:shd w:val="clear" w:color="auto" w:fill="auto"/>
            <w:vAlign w:val="center"/>
          </w:tcPr>
          <w:p w14:paraId="264EA3C5">
            <w:pPr>
              <w:widowControl/>
              <w:spacing w:line="360" w:lineRule="exact"/>
              <w:jc w:val="left"/>
              <w:rPr>
                <w:rFonts w:ascii="Times New Roman" w:hAnsi="Times New Roman"/>
                <w:szCs w:val="21"/>
              </w:rPr>
            </w:pPr>
          </w:p>
        </w:tc>
        <w:tc>
          <w:tcPr>
            <w:tcW w:w="2649" w:type="dxa"/>
            <w:gridSpan w:val="2"/>
            <w:shd w:val="clear" w:color="auto" w:fill="auto"/>
            <w:vAlign w:val="center"/>
          </w:tcPr>
          <w:p w14:paraId="31ED74C4">
            <w:pPr>
              <w:widowControl/>
              <w:spacing w:line="360" w:lineRule="exact"/>
              <w:jc w:val="center"/>
              <w:rPr>
                <w:rFonts w:ascii="Times New Roman" w:hAnsi="Times New Roman"/>
                <w:kern w:val="0"/>
                <w:szCs w:val="21"/>
              </w:rPr>
            </w:pPr>
            <w:r>
              <w:rPr>
                <w:rFonts w:ascii="Times New Roman" w:hAnsi="Times New Roman"/>
                <w:szCs w:val="21"/>
              </w:rPr>
              <w:t>生活垃圾</w:t>
            </w:r>
          </w:p>
        </w:tc>
        <w:tc>
          <w:tcPr>
            <w:tcW w:w="1152" w:type="dxa"/>
            <w:shd w:val="clear" w:color="auto" w:fill="auto"/>
            <w:vAlign w:val="center"/>
          </w:tcPr>
          <w:p w14:paraId="7DA55685">
            <w:pPr>
              <w:widowControl/>
              <w:spacing w:line="360" w:lineRule="exact"/>
              <w:jc w:val="center"/>
              <w:rPr>
                <w:rFonts w:ascii="Times New Roman" w:hAnsi="Times New Roman"/>
                <w:kern w:val="0"/>
                <w:szCs w:val="21"/>
              </w:rPr>
            </w:pPr>
            <w:r>
              <w:rPr>
                <w:rFonts w:ascii="Times New Roman" w:hAnsi="Times New Roman" w:eastAsia="等线"/>
                <w:szCs w:val="21"/>
              </w:rPr>
              <w:t>0.90</w:t>
            </w:r>
          </w:p>
        </w:tc>
        <w:tc>
          <w:tcPr>
            <w:tcW w:w="1297" w:type="dxa"/>
            <w:shd w:val="clear" w:color="auto" w:fill="auto"/>
            <w:vAlign w:val="center"/>
          </w:tcPr>
          <w:p w14:paraId="4AF52BEB">
            <w:pPr>
              <w:widowControl/>
              <w:spacing w:line="360" w:lineRule="exact"/>
              <w:jc w:val="center"/>
              <w:rPr>
                <w:rFonts w:ascii="Times New Roman" w:hAnsi="Times New Roman"/>
                <w:szCs w:val="21"/>
              </w:rPr>
            </w:pPr>
            <w:r>
              <w:rPr>
                <w:rFonts w:ascii="Times New Roman" w:hAnsi="Times New Roman"/>
                <w:szCs w:val="21"/>
              </w:rPr>
              <w:t>0</w:t>
            </w:r>
          </w:p>
        </w:tc>
        <w:tc>
          <w:tcPr>
            <w:tcW w:w="6302" w:type="dxa"/>
            <w:gridSpan w:val="4"/>
            <w:shd w:val="clear" w:color="auto" w:fill="auto"/>
            <w:vAlign w:val="center"/>
          </w:tcPr>
          <w:p w14:paraId="3AA2BD19">
            <w:pPr>
              <w:widowControl/>
              <w:spacing w:line="360" w:lineRule="exact"/>
              <w:jc w:val="center"/>
              <w:rPr>
                <w:rFonts w:ascii="Times New Roman" w:hAnsi="Times New Roman"/>
                <w:szCs w:val="21"/>
              </w:rPr>
            </w:pPr>
            <w:r>
              <w:rPr>
                <w:rFonts w:ascii="Times New Roman" w:hAnsi="Times New Roman"/>
                <w:szCs w:val="21"/>
              </w:rPr>
              <w:t>收集到创大冷链物流公司进口汽车仓储物流园内垃圾收集点后由环卫部门统一收运。</w:t>
            </w:r>
          </w:p>
        </w:tc>
      </w:tr>
      <w:tr w14:paraId="0D317A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820" w:type="dxa"/>
            <w:gridSpan w:val="2"/>
            <w:vMerge w:val="continue"/>
            <w:shd w:val="clear" w:color="auto" w:fill="auto"/>
            <w:vAlign w:val="center"/>
          </w:tcPr>
          <w:p w14:paraId="1941EA78">
            <w:pPr>
              <w:widowControl/>
              <w:spacing w:line="360" w:lineRule="exact"/>
              <w:jc w:val="left"/>
              <w:rPr>
                <w:rFonts w:ascii="Times New Roman" w:hAnsi="Times New Roman"/>
                <w:szCs w:val="21"/>
              </w:rPr>
            </w:pPr>
            <w:bookmarkStart w:id="129" w:name="_Hlk186137011"/>
          </w:p>
        </w:tc>
        <w:tc>
          <w:tcPr>
            <w:tcW w:w="2649" w:type="dxa"/>
            <w:gridSpan w:val="2"/>
            <w:shd w:val="clear" w:color="auto" w:fill="auto"/>
            <w:vAlign w:val="center"/>
          </w:tcPr>
          <w:p w14:paraId="10CCBF89">
            <w:pPr>
              <w:spacing w:line="360" w:lineRule="exact"/>
              <w:jc w:val="center"/>
              <w:rPr>
                <w:rFonts w:ascii="Times New Roman" w:hAnsi="Times New Roman"/>
                <w:szCs w:val="21"/>
                <w:u w:val="single"/>
              </w:rPr>
            </w:pPr>
            <w:r>
              <w:rPr>
                <w:rFonts w:ascii="Times New Roman" w:hAnsi="Times New Roman"/>
                <w:kern w:val="0"/>
                <w:szCs w:val="21"/>
                <w:u w:val="single"/>
              </w:rPr>
              <w:t>除尘器废除尘袋</w:t>
            </w:r>
          </w:p>
        </w:tc>
        <w:tc>
          <w:tcPr>
            <w:tcW w:w="1152" w:type="dxa"/>
            <w:shd w:val="clear" w:color="auto" w:fill="auto"/>
            <w:vAlign w:val="center"/>
          </w:tcPr>
          <w:p w14:paraId="19DC9841">
            <w:pPr>
              <w:spacing w:line="360" w:lineRule="exact"/>
              <w:jc w:val="center"/>
              <w:rPr>
                <w:rFonts w:ascii="Times New Roman" w:hAnsi="Times New Roman"/>
                <w:szCs w:val="21"/>
                <w:u w:val="single"/>
              </w:rPr>
            </w:pPr>
            <w:r>
              <w:rPr>
                <w:rFonts w:ascii="Times New Roman" w:hAnsi="Times New Roman" w:eastAsia="等线"/>
                <w:szCs w:val="21"/>
                <w:u w:val="single"/>
              </w:rPr>
              <w:t>0.</w:t>
            </w:r>
            <w:r>
              <w:rPr>
                <w:rFonts w:hint="eastAsia" w:ascii="Times New Roman" w:hAnsi="Times New Roman" w:eastAsia="等线"/>
                <w:szCs w:val="21"/>
                <w:u w:val="single"/>
              </w:rPr>
              <w:t>6</w:t>
            </w:r>
            <w:r>
              <w:rPr>
                <w:rFonts w:ascii="Times New Roman" w:hAnsi="Times New Roman" w:eastAsia="等线"/>
                <w:szCs w:val="21"/>
                <w:u w:val="single"/>
              </w:rPr>
              <w:t>0</w:t>
            </w:r>
          </w:p>
        </w:tc>
        <w:tc>
          <w:tcPr>
            <w:tcW w:w="1297" w:type="dxa"/>
            <w:shd w:val="clear" w:color="auto" w:fill="auto"/>
            <w:vAlign w:val="center"/>
          </w:tcPr>
          <w:p w14:paraId="3EC9B2E8">
            <w:pPr>
              <w:spacing w:line="360" w:lineRule="exact"/>
              <w:jc w:val="center"/>
              <w:rPr>
                <w:rFonts w:ascii="Times New Roman" w:hAnsi="Times New Roman"/>
                <w:szCs w:val="21"/>
              </w:rPr>
            </w:pPr>
            <w:r>
              <w:rPr>
                <w:rFonts w:ascii="Times New Roman" w:hAnsi="Times New Roman"/>
                <w:szCs w:val="21"/>
              </w:rPr>
              <w:t>0</w:t>
            </w:r>
          </w:p>
        </w:tc>
        <w:tc>
          <w:tcPr>
            <w:tcW w:w="6302" w:type="dxa"/>
            <w:gridSpan w:val="4"/>
            <w:shd w:val="clear" w:color="auto" w:fill="auto"/>
            <w:vAlign w:val="center"/>
          </w:tcPr>
          <w:p w14:paraId="5AE13816">
            <w:pPr>
              <w:spacing w:line="360" w:lineRule="exact"/>
              <w:jc w:val="center"/>
              <w:rPr>
                <w:rFonts w:ascii="Times New Roman" w:hAnsi="Times New Roman"/>
                <w:szCs w:val="21"/>
              </w:rPr>
            </w:pPr>
            <w:r>
              <w:rPr>
                <w:rFonts w:ascii="Times New Roman" w:hAnsi="Times New Roman"/>
                <w:szCs w:val="21"/>
              </w:rPr>
              <w:t>暂存于专用贮存场地，</w:t>
            </w:r>
            <w:r>
              <w:rPr>
                <w:rFonts w:hint="eastAsia" w:ascii="Times New Roman" w:hAnsi="Times New Roman"/>
                <w:szCs w:val="21"/>
              </w:rPr>
              <w:t>定期外售综合利用或</w:t>
            </w:r>
            <w:r>
              <w:rPr>
                <w:rFonts w:ascii="Times New Roman" w:hAnsi="Times New Roman"/>
                <w:szCs w:val="21"/>
              </w:rPr>
              <w:t>处置。</w:t>
            </w:r>
          </w:p>
        </w:tc>
      </w:tr>
      <w:bookmarkEnd w:id="129"/>
      <w:tr w14:paraId="236B45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820" w:type="dxa"/>
            <w:gridSpan w:val="2"/>
            <w:shd w:val="clear" w:color="auto" w:fill="auto"/>
            <w:noWrap/>
            <w:vAlign w:val="center"/>
          </w:tcPr>
          <w:p w14:paraId="20B22F30">
            <w:pPr>
              <w:widowControl/>
              <w:spacing w:line="360" w:lineRule="exact"/>
              <w:jc w:val="center"/>
              <w:rPr>
                <w:rFonts w:ascii="Times New Roman" w:hAnsi="Times New Roman"/>
                <w:szCs w:val="21"/>
              </w:rPr>
            </w:pPr>
            <w:r>
              <w:rPr>
                <w:rFonts w:ascii="Times New Roman" w:hAnsi="Times New Roman"/>
                <w:szCs w:val="21"/>
              </w:rPr>
              <w:t>危险废物</w:t>
            </w:r>
          </w:p>
        </w:tc>
        <w:tc>
          <w:tcPr>
            <w:tcW w:w="2649" w:type="dxa"/>
            <w:gridSpan w:val="2"/>
            <w:shd w:val="clear" w:color="auto" w:fill="auto"/>
            <w:vAlign w:val="center"/>
          </w:tcPr>
          <w:p w14:paraId="6EC90612">
            <w:pPr>
              <w:spacing w:line="360" w:lineRule="exact"/>
              <w:jc w:val="center"/>
              <w:rPr>
                <w:rFonts w:ascii="Times New Roman" w:hAnsi="Times New Roman"/>
                <w:szCs w:val="21"/>
              </w:rPr>
            </w:pPr>
            <w:r>
              <w:rPr>
                <w:rFonts w:ascii="Times New Roman" w:hAnsi="Times New Roman"/>
                <w:szCs w:val="21"/>
              </w:rPr>
              <w:t>废机油</w:t>
            </w:r>
          </w:p>
        </w:tc>
        <w:tc>
          <w:tcPr>
            <w:tcW w:w="1152" w:type="dxa"/>
            <w:shd w:val="clear" w:color="auto" w:fill="auto"/>
            <w:vAlign w:val="center"/>
          </w:tcPr>
          <w:p w14:paraId="30FAE53D">
            <w:pPr>
              <w:spacing w:line="360" w:lineRule="exact"/>
              <w:jc w:val="center"/>
              <w:rPr>
                <w:rFonts w:ascii="Times New Roman" w:hAnsi="Times New Roman"/>
                <w:szCs w:val="21"/>
                <w:u w:val="single"/>
              </w:rPr>
            </w:pPr>
            <w:r>
              <w:rPr>
                <w:rFonts w:ascii="Times New Roman" w:hAnsi="Times New Roman" w:eastAsia="等线"/>
                <w:szCs w:val="21"/>
                <w:u w:val="single"/>
              </w:rPr>
              <w:t>0.3</w:t>
            </w:r>
          </w:p>
        </w:tc>
        <w:tc>
          <w:tcPr>
            <w:tcW w:w="1297" w:type="dxa"/>
            <w:shd w:val="clear" w:color="auto" w:fill="auto"/>
            <w:vAlign w:val="center"/>
          </w:tcPr>
          <w:p w14:paraId="24392303">
            <w:pPr>
              <w:spacing w:line="360" w:lineRule="exact"/>
              <w:jc w:val="center"/>
              <w:rPr>
                <w:rFonts w:ascii="Times New Roman" w:hAnsi="Times New Roman"/>
                <w:szCs w:val="21"/>
              </w:rPr>
            </w:pPr>
            <w:r>
              <w:rPr>
                <w:rFonts w:ascii="Times New Roman" w:hAnsi="Times New Roman"/>
                <w:szCs w:val="21"/>
              </w:rPr>
              <w:t>0</w:t>
            </w:r>
          </w:p>
        </w:tc>
        <w:tc>
          <w:tcPr>
            <w:tcW w:w="6302" w:type="dxa"/>
            <w:gridSpan w:val="4"/>
            <w:shd w:val="clear" w:color="auto" w:fill="auto"/>
            <w:vAlign w:val="center"/>
          </w:tcPr>
          <w:p w14:paraId="3F00F95D">
            <w:pPr>
              <w:widowControl/>
              <w:spacing w:line="360" w:lineRule="exact"/>
              <w:jc w:val="center"/>
              <w:rPr>
                <w:rFonts w:ascii="Times New Roman" w:hAnsi="Times New Roman"/>
                <w:szCs w:val="21"/>
              </w:rPr>
            </w:pPr>
            <w:r>
              <w:rPr>
                <w:rFonts w:ascii="Times New Roman" w:hAnsi="Times New Roman"/>
                <w:szCs w:val="21"/>
              </w:rPr>
              <w:t>暂存于危废暂存间，定期委托有处理资质单位处置</w:t>
            </w:r>
          </w:p>
        </w:tc>
      </w:tr>
    </w:tbl>
    <w:p w14:paraId="65510628">
      <w:pPr>
        <w:spacing w:line="360" w:lineRule="auto"/>
        <w:ind w:firstLine="474" w:firstLineChars="200"/>
        <w:rPr>
          <w:rFonts w:ascii="Times New Roman" w:hAnsi="Times New Roman"/>
          <w:b/>
          <w:spacing w:val="-2"/>
          <w:kern w:val="0"/>
          <w:sz w:val="24"/>
          <w:szCs w:val="24"/>
        </w:rPr>
      </w:pPr>
    </w:p>
    <w:p w14:paraId="706612A8">
      <w:pPr>
        <w:spacing w:line="360" w:lineRule="auto"/>
        <w:ind w:firstLine="474" w:firstLineChars="200"/>
        <w:rPr>
          <w:rFonts w:ascii="Times New Roman" w:hAnsi="Times New Roman"/>
          <w:b/>
          <w:spacing w:val="-2"/>
          <w:kern w:val="0"/>
          <w:sz w:val="24"/>
          <w:szCs w:val="24"/>
        </w:rPr>
      </w:pPr>
    </w:p>
    <w:p w14:paraId="16E6A6FA">
      <w:pPr>
        <w:spacing w:line="360" w:lineRule="auto"/>
        <w:ind w:firstLine="474" w:firstLineChars="200"/>
        <w:rPr>
          <w:rFonts w:ascii="Times New Roman" w:hAnsi="Times New Roman"/>
          <w:b/>
          <w:spacing w:val="-2"/>
          <w:kern w:val="0"/>
          <w:sz w:val="24"/>
          <w:szCs w:val="24"/>
        </w:rPr>
        <w:sectPr>
          <w:pgSz w:w="16838" w:h="11906" w:orient="landscape"/>
          <w:pgMar w:top="1418" w:right="1418" w:bottom="1418" w:left="1418" w:header="851" w:footer="737" w:gutter="0"/>
          <w:cols w:space="720" w:num="1"/>
          <w:docGrid w:linePitch="323" w:charSpace="0"/>
        </w:sectPr>
      </w:pPr>
    </w:p>
    <w:p w14:paraId="29A086AF">
      <w:pPr>
        <w:pStyle w:val="4"/>
        <w:numPr>
          <w:ilvl w:val="0"/>
          <w:numId w:val="3"/>
        </w:numPr>
      </w:pPr>
      <w:bookmarkStart w:id="130" w:name="_Toc23935"/>
      <w:bookmarkStart w:id="131" w:name="_Toc434426549"/>
      <w:bookmarkStart w:id="132" w:name="_Toc290830736"/>
      <w:bookmarkStart w:id="133" w:name="_Toc347417830"/>
      <w:bookmarkStart w:id="134" w:name="_Toc313088754"/>
      <w:bookmarkStart w:id="135" w:name="_Toc186907241"/>
      <w:bookmarkStart w:id="136" w:name="_Toc163089595"/>
      <w:bookmarkStart w:id="137" w:name="_Toc186907863"/>
      <w:bookmarkStart w:id="138" w:name="_Toc163797789"/>
      <w:bookmarkStart w:id="139" w:name="_Toc186907425"/>
      <w:bookmarkStart w:id="140" w:name="_Toc155951351"/>
      <w:r>
        <w:t>环境现状调查与评价</w:t>
      </w:r>
      <w:bookmarkEnd w:id="130"/>
      <w:bookmarkEnd w:id="131"/>
      <w:bookmarkEnd w:id="132"/>
      <w:bookmarkEnd w:id="133"/>
      <w:bookmarkEnd w:id="134"/>
    </w:p>
    <w:p w14:paraId="0E5BB474">
      <w:pPr>
        <w:pStyle w:val="5"/>
        <w:numPr>
          <w:ilvl w:val="1"/>
          <w:numId w:val="3"/>
        </w:numPr>
      </w:pPr>
      <w:bookmarkStart w:id="141" w:name="_Toc22037"/>
      <w:r>
        <w:t>区域环境概况</w:t>
      </w:r>
      <w:bookmarkEnd w:id="141"/>
    </w:p>
    <w:p w14:paraId="6F26878D">
      <w:pPr>
        <w:pStyle w:val="6"/>
        <w:numPr>
          <w:ilvl w:val="2"/>
          <w:numId w:val="3"/>
        </w:numPr>
      </w:pPr>
      <w:r>
        <w:t>地理位置及交通</w:t>
      </w:r>
    </w:p>
    <w:p w14:paraId="342B1C04">
      <w:pPr>
        <w:spacing w:line="360" w:lineRule="auto"/>
        <w:ind w:firstLine="480" w:firstLineChars="200"/>
        <w:rPr>
          <w:rFonts w:ascii="Times New Roman" w:hAnsi="Times New Roman"/>
          <w:sz w:val="24"/>
          <w:szCs w:val="24"/>
        </w:rPr>
      </w:pPr>
      <w:r>
        <w:rPr>
          <w:rFonts w:ascii="Times New Roman" w:hAnsi="Times New Roman"/>
          <w:sz w:val="24"/>
          <w:szCs w:val="24"/>
        </w:rPr>
        <w:t>钦州市位于广西南部，濒临北部湾畔，地理坐标北纬21°34 ′52″～22° 28′01″，东经108°10′55″～109°09′12″。东与合浦、玉林相连，西与防城、上思接壤，北与邕宁毗邻，陆地总面积10843km</w:t>
      </w:r>
      <w:r>
        <w:rPr>
          <w:rFonts w:ascii="Times New Roman" w:hAnsi="Times New Roman"/>
          <w:sz w:val="24"/>
          <w:szCs w:val="24"/>
          <w:vertAlign w:val="superscript"/>
        </w:rPr>
        <w:t>2</w:t>
      </w:r>
      <w:r>
        <w:rPr>
          <w:rFonts w:ascii="Times New Roman" w:hAnsi="Times New Roman"/>
          <w:sz w:val="24"/>
          <w:szCs w:val="24"/>
        </w:rPr>
        <w:t>。钦州城区离南宁市113km，距北海市100km，距防城港市65km。钦州地处广西沿海地区中心位置，是华南经济圈、西南经济圈与东盟经济圈的结合部，是连接中国西南、华南、中南与东盟大市场的重要枢纽。</w:t>
      </w:r>
    </w:p>
    <w:p w14:paraId="74DE9F97">
      <w:pPr>
        <w:spacing w:line="360" w:lineRule="auto"/>
        <w:ind w:firstLine="480" w:firstLineChars="200"/>
        <w:rPr>
          <w:rFonts w:ascii="Times New Roman" w:hAnsi="Times New Roman"/>
          <w:sz w:val="24"/>
          <w:szCs w:val="24"/>
        </w:rPr>
      </w:pPr>
      <w:r>
        <w:rPr>
          <w:rFonts w:ascii="Times New Roman" w:hAnsi="Times New Roman"/>
          <w:sz w:val="24"/>
          <w:szCs w:val="24"/>
        </w:rPr>
        <w:t>项目厂址位于</w:t>
      </w:r>
      <w:bookmarkStart w:id="142" w:name="OLE_LINK25"/>
      <w:r>
        <w:rPr>
          <w:rFonts w:ascii="Times New Roman" w:hAnsi="Times New Roman"/>
          <w:sz w:val="24"/>
          <w:szCs w:val="24"/>
        </w:rPr>
        <w:t>广西钦州保税港区</w:t>
      </w:r>
      <w:bookmarkEnd w:id="142"/>
      <w:r>
        <w:rPr>
          <w:rFonts w:ascii="Times New Roman" w:hAnsi="Times New Roman"/>
          <w:sz w:val="24"/>
          <w:szCs w:val="24"/>
        </w:rPr>
        <w:t>，</w:t>
      </w:r>
      <w:r>
        <w:rPr>
          <w:rFonts w:ascii="Times New Roman" w:hAnsi="Times New Roman"/>
          <w:spacing w:val="-2"/>
          <w:kern w:val="0"/>
          <w:sz w:val="24"/>
          <w:szCs w:val="24"/>
        </w:rPr>
        <w:t>广西钦州保税区创大冷链物流公司进口汽车仓储物流园内，租用广西钦州保税区创大冷链物流公司的3号仓库的部分面积进行生产线建设。项目具体地址在钦州综合保税区九大街与三号路交汇处，</w:t>
      </w:r>
      <w:r>
        <w:rPr>
          <w:rFonts w:ascii="Times New Roman" w:hAnsi="Times New Roman"/>
          <w:sz w:val="24"/>
          <w:szCs w:val="24"/>
        </w:rPr>
        <w:t>厂址中心地理坐标为东经108.66786629°，北纬21.67253665°。项目地理位置见附图1。</w:t>
      </w:r>
    </w:p>
    <w:p w14:paraId="1B9D5167">
      <w:pPr>
        <w:pStyle w:val="6"/>
        <w:numPr>
          <w:ilvl w:val="2"/>
          <w:numId w:val="3"/>
        </w:numPr>
      </w:pPr>
      <w:r>
        <w:t>地形地貌</w:t>
      </w:r>
    </w:p>
    <w:p w14:paraId="7D48A578">
      <w:pPr>
        <w:spacing w:line="360" w:lineRule="auto"/>
        <w:ind w:firstLine="482" w:firstLineChars="200"/>
        <w:rPr>
          <w:rFonts w:ascii="Times New Roman" w:hAnsi="Times New Roman"/>
          <w:b/>
          <w:bCs/>
          <w:sz w:val="24"/>
          <w:szCs w:val="24"/>
        </w:rPr>
      </w:pPr>
      <w:r>
        <w:rPr>
          <w:rFonts w:ascii="Times New Roman" w:hAnsi="Times New Roman"/>
          <w:b/>
          <w:bCs/>
          <w:sz w:val="24"/>
          <w:szCs w:val="24"/>
        </w:rPr>
        <w:t>（1）钦州市地形、地貌</w:t>
      </w:r>
    </w:p>
    <w:p w14:paraId="6700F09E">
      <w:pPr>
        <w:spacing w:line="360" w:lineRule="auto"/>
        <w:ind w:firstLine="480" w:firstLineChars="200"/>
        <w:rPr>
          <w:rFonts w:ascii="Times New Roman" w:hAnsi="Times New Roman"/>
          <w:sz w:val="24"/>
          <w:szCs w:val="24"/>
        </w:rPr>
      </w:pPr>
      <w:r>
        <w:rPr>
          <w:rFonts w:ascii="Times New Roman" w:hAnsi="Times New Roman"/>
          <w:sz w:val="24"/>
          <w:szCs w:val="24"/>
        </w:rPr>
        <w:t>钦州市正处于广西中部钦江和茅岭江入海口，有相对较多的沿海平原。钦州全市地势北高南低，地貌类型多样，由北往南有规律地分布山地、丘陵、台地、平原。大陆海岸线521km，茅尾海北部接纳钦江与茅岭江入海，南部散落众多岛屿。岛屿岸线长232.9km，负20m等深线以内的浅海滩涂面积1900km</w:t>
      </w:r>
      <w:r>
        <w:rPr>
          <w:rFonts w:ascii="Times New Roman" w:hAnsi="Times New Roman"/>
          <w:sz w:val="24"/>
          <w:szCs w:val="24"/>
          <w:vertAlign w:val="superscript"/>
        </w:rPr>
        <w:t>2</w:t>
      </w:r>
      <w:r>
        <w:rPr>
          <w:rFonts w:ascii="Times New Roman" w:hAnsi="Times New Roman"/>
          <w:sz w:val="24"/>
          <w:szCs w:val="24"/>
        </w:rPr>
        <w:t>，近期可利用的浅海滩涂面积880km</w:t>
      </w:r>
      <w:r>
        <w:rPr>
          <w:rFonts w:ascii="Times New Roman" w:hAnsi="Times New Roman"/>
          <w:sz w:val="24"/>
          <w:szCs w:val="24"/>
          <w:vertAlign w:val="superscript"/>
        </w:rPr>
        <w:t>2</w:t>
      </w:r>
      <w:r>
        <w:rPr>
          <w:rFonts w:ascii="Times New Roman" w:hAnsi="Times New Roman"/>
          <w:sz w:val="24"/>
          <w:szCs w:val="24"/>
        </w:rPr>
        <w:t>。</w:t>
      </w:r>
    </w:p>
    <w:p w14:paraId="2A1BB956">
      <w:pPr>
        <w:spacing w:line="360" w:lineRule="auto"/>
        <w:ind w:firstLine="482" w:firstLineChars="200"/>
        <w:rPr>
          <w:rFonts w:ascii="Times New Roman" w:hAnsi="Times New Roman"/>
          <w:b/>
          <w:bCs/>
          <w:sz w:val="24"/>
          <w:szCs w:val="24"/>
        </w:rPr>
      </w:pPr>
      <w:r>
        <w:rPr>
          <w:rFonts w:ascii="Times New Roman" w:hAnsi="Times New Roman"/>
          <w:b/>
          <w:bCs/>
          <w:sz w:val="24"/>
          <w:szCs w:val="24"/>
        </w:rPr>
        <mc:AlternateContent>
          <mc:Choice Requires="wps">
            <w:drawing>
              <wp:anchor distT="0" distB="0" distL="114300" distR="114300" simplePos="0" relativeHeight="251660288" behindDoc="0" locked="0" layoutInCell="1" allowOverlap="1">
                <wp:simplePos x="0" y="0"/>
                <wp:positionH relativeFrom="column">
                  <wp:posOffset>1733550</wp:posOffset>
                </wp:positionH>
                <wp:positionV relativeFrom="paragraph">
                  <wp:posOffset>6591300</wp:posOffset>
                </wp:positionV>
                <wp:extent cx="600075" cy="257175"/>
                <wp:effectExtent l="0" t="0" r="0" b="0"/>
                <wp:wrapNone/>
                <wp:docPr id="1360663985" name="矩形 5"/>
                <wp:cNvGraphicFramePr/>
                <a:graphic xmlns:a="http://schemas.openxmlformats.org/drawingml/2006/main">
                  <a:graphicData uri="http://schemas.microsoft.com/office/word/2010/wordprocessingShape">
                    <wps:wsp>
                      <wps:cNvSpPr>
                        <a:spLocks noChangeArrowheads="1"/>
                      </wps:cNvSpPr>
                      <wps:spPr bwMode="auto">
                        <a:xfrm>
                          <a:off x="0" y="0"/>
                          <a:ext cx="600075" cy="257175"/>
                        </a:xfrm>
                        <a:prstGeom prst="rect">
                          <a:avLst/>
                        </a:prstGeom>
                        <a:solidFill>
                          <a:srgbClr val="FFFFFF"/>
                        </a:solidFill>
                        <a:ln>
                          <a:noFill/>
                        </a:ln>
                      </wps:spPr>
                      <wps:txbx>
                        <w:txbxContent>
                          <w:p w14:paraId="6B212697"/>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136.5pt;margin-top:519pt;height:20.25pt;width:47.25pt;z-index:251660288;mso-width-relative:page;mso-height-relative:page;" fillcolor="#FFFFFF" filled="t" stroked="f" coordsize="21600,21600" o:gfxdata="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02Jt99oAAAANAQAADwAAAAAAAAABACAAAAAiAAAAZHJzL2Rvd25yZXYueG1sUEsBAhQAFAAA&#10;AAgAh07iQM9cAPUmAgAAOQQAAA4AAAAAAAAAAQAgAAAAKQEAAGRycy9lMm9Eb2MueG1sUEsFBgAA&#10;AAAGAAYAWQEAAMEFAAAAAA==&#10;">
                <v:fill on="t" focussize="0,0"/>
                <v:stroke on="f"/>
                <v:imagedata o:title=""/>
                <o:lock v:ext="edit" aspectratio="f"/>
                <v:textbox>
                  <w:txbxContent>
                    <w:p w14:paraId="6B212697"/>
                  </w:txbxContent>
                </v:textbox>
              </v:rect>
            </w:pict>
          </mc:Fallback>
        </mc:AlternateContent>
      </w:r>
      <w:r>
        <w:rPr>
          <w:rFonts w:ascii="Times New Roman" w:hAnsi="Times New Roman"/>
          <w:b/>
          <w:bCs/>
          <w:sz w:val="24"/>
          <w:szCs w:val="24"/>
        </w:rPr>
        <w:t>（2）钦州湾地形、地貌</w:t>
      </w:r>
    </w:p>
    <w:p w14:paraId="04A1ED37">
      <w:pPr>
        <w:spacing w:line="360" w:lineRule="auto"/>
        <w:ind w:firstLine="480" w:firstLineChars="200"/>
        <w:rPr>
          <w:rFonts w:ascii="Times New Roman" w:hAnsi="Times New Roman"/>
          <w:sz w:val="24"/>
          <w:szCs w:val="24"/>
        </w:rPr>
      </w:pPr>
      <w:r>
        <w:rPr>
          <w:rFonts w:ascii="Times New Roman" w:hAnsi="Times New Roman"/>
          <w:sz w:val="24"/>
          <w:szCs w:val="24"/>
        </w:rPr>
        <w:t>钦州湾湾口朝南，东、北、西三面丘陵环抱，是一个半封闭的天然海湾。该湾由内湾（茅尾海）、龙门水道和外湾（狭义的钦州湾）构成，其特点是，中间狭窄、两端宽阔。钦州湾口门宽25km，纵深39km，自南向北逐渐减小，在北纬21°42′～21°48′自西向东发育成龙门港～茅尾海、金鼓江、鹿耳环江等海汊，并以龙门港～茅尾海为主，实为钦州湾的内湾，全湾岸线长336krn。海湾面积约为380km</w:t>
      </w:r>
      <w:r>
        <w:rPr>
          <w:rFonts w:ascii="Times New Roman" w:hAnsi="Times New Roman"/>
          <w:sz w:val="24"/>
          <w:szCs w:val="24"/>
          <w:vertAlign w:val="superscript"/>
        </w:rPr>
        <w:t>2</w:t>
      </w:r>
      <w:r>
        <w:rPr>
          <w:rFonts w:ascii="Times New Roman" w:hAnsi="Times New Roman"/>
          <w:sz w:val="24"/>
          <w:szCs w:val="24"/>
        </w:rPr>
        <w:t>，其中滩涂面积为200km</w:t>
      </w:r>
      <w:r>
        <w:rPr>
          <w:rFonts w:ascii="Times New Roman" w:hAnsi="Times New Roman"/>
          <w:sz w:val="24"/>
          <w:szCs w:val="24"/>
          <w:vertAlign w:val="superscript"/>
        </w:rPr>
        <w:t>2</w:t>
      </w:r>
      <w:r>
        <w:rPr>
          <w:rFonts w:ascii="Times New Roman" w:hAnsi="Times New Roman"/>
          <w:sz w:val="24"/>
          <w:szCs w:val="24"/>
        </w:rPr>
        <w:t>。钦州市两条主要江河钦江和茅岭江，分别从东北、西北向汇入茅尾海。整个海湾呈低山丘陵、微斜平原及海漫滩地貌。钦州湾由于受地质构造影响以及海水长期浸蚀，基本上没有大片宽阔平坦陆域，湾内大多为砂砾质岩岸。从青菜头至亚公山一带（即内湾南段）礁岛星罗棋布，港汊繁多，蜿蜒曲折，成为典型的台地溺谷。总的来说，该湾段分成东、西两汊，东汊为主，贯通全段，其陆岸为众多弯弯曲曲的小海汊分隔的低丘小岛，从岸线至钦州市约33km，多为低丘地貌；西汊为支汊，在湾段以内分汊，较小而短，是现有龙门港之港址所在。其陆岸多为山丘地形，与企沙半岛毗连，岸线附近有龙门乡。</w:t>
      </w:r>
    </w:p>
    <w:p w14:paraId="531609B5">
      <w:pPr>
        <w:spacing w:line="360" w:lineRule="auto"/>
        <w:ind w:firstLine="482" w:firstLineChars="200"/>
        <w:rPr>
          <w:rFonts w:ascii="Times New Roman" w:hAnsi="Times New Roman"/>
          <w:b/>
          <w:bCs/>
          <w:sz w:val="24"/>
          <w:szCs w:val="24"/>
        </w:rPr>
      </w:pPr>
      <w:r>
        <w:rPr>
          <w:rFonts w:ascii="Times New Roman" w:hAnsi="Times New Roman"/>
          <w:b/>
          <w:bCs/>
          <w:sz w:val="24"/>
          <w:szCs w:val="24"/>
        </w:rPr>
        <w:t>（4）岸线与陆域</w:t>
      </w:r>
    </w:p>
    <w:p w14:paraId="0F7F3D79">
      <w:pPr>
        <w:spacing w:line="360" w:lineRule="auto"/>
        <w:ind w:firstLine="480" w:firstLineChars="200"/>
        <w:rPr>
          <w:rFonts w:ascii="Times New Roman" w:hAnsi="Times New Roman"/>
          <w:sz w:val="24"/>
          <w:szCs w:val="24"/>
        </w:rPr>
      </w:pPr>
      <w:r>
        <w:rPr>
          <w:rFonts w:ascii="Times New Roman" w:hAnsi="Times New Roman"/>
          <w:sz w:val="24"/>
          <w:szCs w:val="24"/>
        </w:rPr>
        <w:t>钦州湾内自青菜头至亚公山一带，海阔水深，具有良好的建港条件，其东岸可利用岸线长达6～8km。陆域边缘滩地平坦，港汊发育，形态蜿蜒曲折，弱谷型的低丘岛屿星罗棋布，分布纵深达3km，其高度20～50m。岸线以内，丘陵起伏，绵延数十公里，田地较少，村落稀疏，可开发潜力很大，是建设大型海港和工业区的理想之地。</w:t>
      </w:r>
    </w:p>
    <w:p w14:paraId="1F6600D5">
      <w:pPr>
        <w:spacing w:line="360" w:lineRule="auto"/>
        <w:ind w:firstLine="482" w:firstLineChars="200"/>
        <w:rPr>
          <w:rFonts w:ascii="Times New Roman" w:hAnsi="Times New Roman"/>
          <w:b/>
          <w:bCs/>
          <w:sz w:val="24"/>
          <w:szCs w:val="24"/>
        </w:rPr>
      </w:pPr>
      <w:r>
        <w:rPr>
          <w:rFonts w:ascii="Times New Roman" w:hAnsi="Times New Roman"/>
          <w:b/>
          <w:bCs/>
          <w:sz w:val="24"/>
          <w:szCs w:val="24"/>
        </w:rPr>
        <w:t>（5）</w:t>
      </w:r>
      <w:bookmarkStart w:id="143" w:name="OLE_LINK26"/>
      <w:r>
        <w:rPr>
          <w:rFonts w:ascii="Times New Roman" w:hAnsi="Times New Roman"/>
          <w:b/>
          <w:bCs/>
          <w:sz w:val="24"/>
          <w:szCs w:val="24"/>
        </w:rPr>
        <w:t>广西钦州保税港区</w:t>
      </w:r>
      <w:bookmarkEnd w:id="143"/>
      <w:r>
        <w:rPr>
          <w:rFonts w:ascii="Times New Roman" w:hAnsi="Times New Roman"/>
          <w:b/>
          <w:bCs/>
          <w:sz w:val="24"/>
          <w:szCs w:val="24"/>
        </w:rPr>
        <w:t>地形地貌</w:t>
      </w:r>
    </w:p>
    <w:p w14:paraId="273AB5DC">
      <w:pPr>
        <w:spacing w:line="360" w:lineRule="auto"/>
        <w:ind w:firstLine="480" w:firstLineChars="200"/>
        <w:rPr>
          <w:rFonts w:ascii="Times New Roman" w:hAnsi="Times New Roman"/>
          <w:sz w:val="24"/>
          <w:szCs w:val="24"/>
        </w:rPr>
      </w:pPr>
      <w:r>
        <w:rPr>
          <w:rFonts w:ascii="Times New Roman" w:hAnsi="Times New Roman"/>
          <w:sz w:val="24"/>
          <w:szCs w:val="24"/>
        </w:rPr>
        <w:t>广西钦州保税港区所在场地原为海域，属于浅海地貌，广西钦州保税港区一期于2011年吹沙填海形成的2.5平方公里土地，一期土地已开发完毕。广西钦州保税港区二三期于2014年吹沙填海形成的7.5平方公里土地，目前已引入多个加工物流企业。现状地形地貌经人工吹填砂形成，场地较为平整，多数已硬化。</w:t>
      </w:r>
    </w:p>
    <w:p w14:paraId="125F8188">
      <w:pPr>
        <w:pStyle w:val="6"/>
        <w:numPr>
          <w:ilvl w:val="2"/>
          <w:numId w:val="3"/>
        </w:numPr>
      </w:pPr>
      <w:r>
        <w:t>地质构造</w:t>
      </w:r>
    </w:p>
    <w:p w14:paraId="74F8F241">
      <w:pPr>
        <w:spacing w:line="360" w:lineRule="auto"/>
        <w:ind w:firstLine="482" w:firstLineChars="200"/>
        <w:rPr>
          <w:rFonts w:ascii="Times New Roman" w:hAnsi="Times New Roman"/>
          <w:b/>
          <w:bCs/>
          <w:sz w:val="24"/>
          <w:szCs w:val="24"/>
        </w:rPr>
      </w:pPr>
      <w:r>
        <w:rPr>
          <w:rFonts w:ascii="Times New Roman" w:hAnsi="Times New Roman"/>
          <w:b/>
          <w:bCs/>
          <w:sz w:val="24"/>
          <w:szCs w:val="24"/>
        </w:rPr>
        <w:t>（1）地貌概况</w:t>
      </w:r>
    </w:p>
    <w:p w14:paraId="0D729C21">
      <w:pPr>
        <w:spacing w:line="360" w:lineRule="auto"/>
        <w:ind w:firstLine="480" w:firstLineChars="200"/>
        <w:rPr>
          <w:rFonts w:ascii="Times New Roman" w:hAnsi="Times New Roman"/>
          <w:sz w:val="24"/>
          <w:szCs w:val="24"/>
        </w:rPr>
      </w:pPr>
      <w:r>
        <w:rPr>
          <w:rFonts w:ascii="Times New Roman" w:hAnsi="Times New Roman"/>
          <w:sz w:val="24"/>
          <w:szCs w:val="24"/>
        </w:rPr>
        <w:t>评价区地处广西钦州市钦南区大榄坪海岛属波状丘陵地貌区，四周均为地表水体环绕，鹿耳环江和金鼓江分别于东西两侧，北侧为围海造地，海岛四周海（河）岸线长约22.8km，海岛周边多为淤泥质滩涂，北侧滩涂多经人工改造为养殖场和盐田。</w:t>
      </w:r>
    </w:p>
    <w:p w14:paraId="00DC62DA">
      <w:pPr>
        <w:spacing w:line="360" w:lineRule="auto"/>
        <w:ind w:firstLine="482" w:firstLineChars="200"/>
        <w:rPr>
          <w:rFonts w:ascii="Times New Roman" w:hAnsi="Times New Roman"/>
          <w:b/>
          <w:bCs/>
          <w:sz w:val="24"/>
          <w:szCs w:val="24"/>
        </w:rPr>
      </w:pPr>
      <w:r>
        <w:rPr>
          <w:rFonts w:ascii="Times New Roman" w:hAnsi="Times New Roman"/>
          <w:b/>
          <w:bCs/>
          <w:sz w:val="24"/>
          <w:szCs w:val="24"/>
        </w:rPr>
        <w:t>（2）地层岩性</w:t>
      </w:r>
    </w:p>
    <w:p w14:paraId="21C8F5E7">
      <w:pPr>
        <w:spacing w:line="360" w:lineRule="auto"/>
        <w:ind w:firstLine="480" w:firstLineChars="200"/>
        <w:rPr>
          <w:rFonts w:ascii="Times New Roman" w:hAnsi="Times New Roman"/>
          <w:sz w:val="24"/>
          <w:szCs w:val="24"/>
        </w:rPr>
      </w:pPr>
      <w:r>
        <w:rPr>
          <w:rFonts w:ascii="Times New Roman" w:hAnsi="Times New Roman"/>
          <w:sz w:val="24"/>
          <w:szCs w:val="24"/>
        </w:rPr>
        <w:t>项目位于大榄坪海岛，广西钦州市钦南区大榄坪海岛地层主要为中生界侏罗系，岩性为石英质砾岩、砂岩、泥质粉砂岩夹砂质泥岩、泥岩等，海岸及溪沟处分布新生界第四系全新统海积层，岩性以淤泥、砂质—粉砂质粘土、粘土质—粉砂质砂为主，各地层岩性见表</w:t>
      </w:r>
      <w:r>
        <w:rPr>
          <w:rFonts w:hint="eastAsia" w:ascii="Times New Roman" w:hAnsi="Times New Roman"/>
          <w:sz w:val="24"/>
          <w:szCs w:val="24"/>
        </w:rPr>
        <w:t>3.1-1</w:t>
      </w:r>
      <w:r>
        <w:rPr>
          <w:rFonts w:ascii="Times New Roman" w:hAnsi="Times New Roman"/>
          <w:sz w:val="24"/>
          <w:szCs w:val="24"/>
        </w:rPr>
        <w:t>。</w:t>
      </w:r>
    </w:p>
    <w:p w14:paraId="358E54F2">
      <w:pPr>
        <w:pStyle w:val="8"/>
        <w:numPr>
          <w:ilvl w:val="4"/>
          <w:numId w:val="3"/>
        </w:numPr>
        <w:rPr>
          <w:sz w:val="24"/>
          <w:szCs w:val="24"/>
        </w:rPr>
      </w:pPr>
      <w:r>
        <w:rPr>
          <w:sz w:val="24"/>
          <w:szCs w:val="24"/>
        </w:rPr>
        <w:t>评价区地层岩性一览表</w:t>
      </w:r>
    </w:p>
    <w:tbl>
      <w:tblPr>
        <w:tblStyle w:val="89"/>
        <w:tblW w:w="904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28"/>
        <w:gridCol w:w="427"/>
        <w:gridCol w:w="557"/>
        <w:gridCol w:w="849"/>
        <w:gridCol w:w="709"/>
        <w:gridCol w:w="991"/>
        <w:gridCol w:w="5079"/>
      </w:tblGrid>
      <w:tr w14:paraId="412A6C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428" w:type="dxa"/>
            <w:vAlign w:val="center"/>
          </w:tcPr>
          <w:p w14:paraId="305D8578">
            <w:pPr>
              <w:pStyle w:val="1116"/>
              <w:rPr>
                <w:rFonts w:ascii="Times New Roman" w:hAnsi="Times New Roman" w:cs="Times New Roman"/>
                <w:b/>
                <w:bCs/>
                <w:szCs w:val="21"/>
              </w:rPr>
            </w:pPr>
            <w:r>
              <w:rPr>
                <w:rFonts w:ascii="Times New Roman" w:hAnsi="Times New Roman" w:eastAsia="宋体" w:cs="Times New Roman"/>
                <w:b/>
                <w:bCs/>
                <w:szCs w:val="21"/>
              </w:rPr>
              <w:t>界</w:t>
            </w:r>
          </w:p>
        </w:tc>
        <w:tc>
          <w:tcPr>
            <w:tcW w:w="427" w:type="dxa"/>
            <w:vAlign w:val="center"/>
          </w:tcPr>
          <w:p w14:paraId="0ED61B92">
            <w:pPr>
              <w:pStyle w:val="1116"/>
              <w:rPr>
                <w:rFonts w:ascii="Times New Roman" w:hAnsi="Times New Roman" w:cs="Times New Roman"/>
                <w:b/>
                <w:bCs/>
                <w:szCs w:val="21"/>
              </w:rPr>
            </w:pPr>
            <w:r>
              <w:rPr>
                <w:rFonts w:ascii="Times New Roman" w:hAnsi="Times New Roman" w:eastAsia="宋体" w:cs="Times New Roman"/>
                <w:b/>
                <w:bCs/>
                <w:szCs w:val="21"/>
              </w:rPr>
              <w:t>系</w:t>
            </w:r>
          </w:p>
        </w:tc>
        <w:tc>
          <w:tcPr>
            <w:tcW w:w="557" w:type="dxa"/>
            <w:vAlign w:val="center"/>
          </w:tcPr>
          <w:p w14:paraId="46EC74C0">
            <w:pPr>
              <w:pStyle w:val="1116"/>
              <w:rPr>
                <w:rFonts w:ascii="Times New Roman" w:hAnsi="Times New Roman" w:cs="Times New Roman"/>
                <w:b/>
                <w:bCs/>
                <w:szCs w:val="21"/>
              </w:rPr>
            </w:pPr>
            <w:r>
              <w:rPr>
                <w:rFonts w:ascii="Times New Roman" w:hAnsi="Times New Roman" w:eastAsia="宋体" w:cs="Times New Roman"/>
                <w:b/>
                <w:bCs/>
                <w:szCs w:val="21"/>
              </w:rPr>
              <w:t>统</w:t>
            </w:r>
          </w:p>
        </w:tc>
        <w:tc>
          <w:tcPr>
            <w:tcW w:w="849" w:type="dxa"/>
            <w:vAlign w:val="center"/>
          </w:tcPr>
          <w:p w14:paraId="7847B2E0">
            <w:pPr>
              <w:pStyle w:val="1116"/>
              <w:rPr>
                <w:rFonts w:ascii="Times New Roman" w:hAnsi="Times New Roman" w:cs="Times New Roman"/>
                <w:b/>
                <w:bCs/>
                <w:szCs w:val="21"/>
              </w:rPr>
            </w:pPr>
            <w:r>
              <w:rPr>
                <w:rFonts w:ascii="Times New Roman" w:hAnsi="Times New Roman" w:eastAsia="宋体" w:cs="Times New Roman"/>
                <w:b/>
                <w:bCs/>
                <w:szCs w:val="21"/>
              </w:rPr>
              <w:t>组</w:t>
            </w:r>
            <w:r>
              <w:rPr>
                <w:rFonts w:ascii="Times New Roman" w:hAnsi="Times New Roman" w:cs="Times New Roman"/>
                <w:b/>
                <w:bCs/>
                <w:szCs w:val="21"/>
              </w:rPr>
              <w:t>(</w:t>
            </w:r>
            <w:r>
              <w:rPr>
                <w:rFonts w:ascii="Times New Roman" w:hAnsi="Times New Roman" w:eastAsia="宋体" w:cs="Times New Roman"/>
                <w:b/>
                <w:bCs/>
                <w:szCs w:val="21"/>
              </w:rPr>
              <w:t>段</w:t>
            </w:r>
            <w:r>
              <w:rPr>
                <w:rFonts w:ascii="Times New Roman" w:hAnsi="Times New Roman" w:cs="Times New Roman"/>
                <w:b/>
                <w:bCs/>
                <w:szCs w:val="21"/>
              </w:rPr>
              <w:t>)</w:t>
            </w:r>
          </w:p>
        </w:tc>
        <w:tc>
          <w:tcPr>
            <w:tcW w:w="709" w:type="dxa"/>
            <w:vAlign w:val="center"/>
          </w:tcPr>
          <w:p w14:paraId="71A6465D">
            <w:pPr>
              <w:pStyle w:val="1116"/>
              <w:rPr>
                <w:rFonts w:ascii="Times New Roman" w:hAnsi="Times New Roman" w:cs="Times New Roman"/>
                <w:b/>
                <w:bCs/>
                <w:szCs w:val="21"/>
              </w:rPr>
            </w:pPr>
            <w:r>
              <w:rPr>
                <w:rFonts w:ascii="Times New Roman" w:hAnsi="Times New Roman" w:eastAsia="宋体" w:cs="Times New Roman"/>
                <w:b/>
                <w:bCs/>
                <w:szCs w:val="21"/>
              </w:rPr>
              <w:t>符号</w:t>
            </w:r>
          </w:p>
        </w:tc>
        <w:tc>
          <w:tcPr>
            <w:tcW w:w="991" w:type="dxa"/>
            <w:vAlign w:val="center"/>
          </w:tcPr>
          <w:p w14:paraId="12E65BE4">
            <w:pPr>
              <w:pStyle w:val="1116"/>
              <w:rPr>
                <w:rFonts w:ascii="Times New Roman" w:hAnsi="Times New Roman" w:cs="Times New Roman"/>
                <w:b/>
                <w:bCs/>
                <w:szCs w:val="21"/>
              </w:rPr>
            </w:pPr>
            <w:r>
              <w:rPr>
                <w:rFonts w:ascii="Times New Roman" w:hAnsi="Times New Roman" w:eastAsia="宋体" w:cs="Times New Roman"/>
                <w:b/>
                <w:bCs/>
                <w:szCs w:val="21"/>
              </w:rPr>
              <w:t>厚度</w:t>
            </w:r>
            <w:r>
              <w:rPr>
                <w:rFonts w:ascii="Times New Roman" w:hAnsi="Times New Roman" w:cs="Times New Roman"/>
                <w:b/>
                <w:bCs/>
                <w:szCs w:val="21"/>
              </w:rPr>
              <w:t>(m)</w:t>
            </w:r>
          </w:p>
        </w:tc>
        <w:tc>
          <w:tcPr>
            <w:tcW w:w="5079" w:type="dxa"/>
            <w:vAlign w:val="center"/>
          </w:tcPr>
          <w:p w14:paraId="2A600848">
            <w:pPr>
              <w:pStyle w:val="1116"/>
              <w:rPr>
                <w:rFonts w:ascii="Times New Roman" w:hAnsi="Times New Roman" w:cs="Times New Roman"/>
                <w:b/>
                <w:bCs/>
                <w:szCs w:val="21"/>
              </w:rPr>
            </w:pPr>
            <w:r>
              <w:rPr>
                <w:rFonts w:ascii="Times New Roman" w:hAnsi="Times New Roman" w:eastAsia="宋体" w:cs="Times New Roman"/>
                <w:b/>
                <w:bCs/>
                <w:szCs w:val="21"/>
              </w:rPr>
              <w:t>主要岩性</w:t>
            </w:r>
          </w:p>
        </w:tc>
      </w:tr>
      <w:tr w14:paraId="2EFABA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28" w:type="dxa"/>
            <w:vAlign w:val="center"/>
          </w:tcPr>
          <w:p w14:paraId="138F5DC2">
            <w:pPr>
              <w:pStyle w:val="1116"/>
              <w:rPr>
                <w:rFonts w:ascii="Times New Roman" w:hAnsi="Times New Roman" w:cs="Times New Roman"/>
                <w:szCs w:val="21"/>
              </w:rPr>
            </w:pPr>
            <w:r>
              <w:rPr>
                <w:rFonts w:ascii="Times New Roman" w:hAnsi="Times New Roman" w:eastAsia="宋体" w:cs="Times New Roman"/>
                <w:szCs w:val="21"/>
              </w:rPr>
              <w:t>新生界</w:t>
            </w:r>
          </w:p>
        </w:tc>
        <w:tc>
          <w:tcPr>
            <w:tcW w:w="427" w:type="dxa"/>
            <w:vAlign w:val="center"/>
          </w:tcPr>
          <w:p w14:paraId="7E0C971E">
            <w:pPr>
              <w:pStyle w:val="1116"/>
              <w:rPr>
                <w:rFonts w:ascii="Times New Roman" w:hAnsi="Times New Roman" w:cs="Times New Roman"/>
                <w:szCs w:val="21"/>
              </w:rPr>
            </w:pPr>
            <w:r>
              <w:rPr>
                <w:rFonts w:ascii="Times New Roman" w:hAnsi="Times New Roman" w:eastAsia="宋体" w:cs="Times New Roman"/>
                <w:szCs w:val="21"/>
              </w:rPr>
              <w:t>第四系</w:t>
            </w:r>
          </w:p>
        </w:tc>
        <w:tc>
          <w:tcPr>
            <w:tcW w:w="557" w:type="dxa"/>
            <w:vAlign w:val="center"/>
          </w:tcPr>
          <w:p w14:paraId="440E4A37">
            <w:pPr>
              <w:pStyle w:val="1116"/>
              <w:rPr>
                <w:rFonts w:ascii="Times New Roman" w:hAnsi="Times New Roman" w:cs="Times New Roman"/>
                <w:szCs w:val="21"/>
              </w:rPr>
            </w:pPr>
            <w:r>
              <w:rPr>
                <w:rFonts w:ascii="Times New Roman" w:hAnsi="Times New Roman" w:eastAsia="宋体" w:cs="Times New Roman"/>
                <w:szCs w:val="21"/>
              </w:rPr>
              <w:t>全新统</w:t>
            </w:r>
          </w:p>
        </w:tc>
        <w:tc>
          <w:tcPr>
            <w:tcW w:w="849" w:type="dxa"/>
            <w:vAlign w:val="center"/>
          </w:tcPr>
          <w:p w14:paraId="7342049B">
            <w:pPr>
              <w:pStyle w:val="1116"/>
              <w:rPr>
                <w:rFonts w:ascii="Times New Roman" w:hAnsi="Times New Roman" w:cs="Times New Roman" w:eastAsiaTheme="minorEastAsia"/>
                <w:szCs w:val="21"/>
              </w:rPr>
            </w:pPr>
            <w:r>
              <w:rPr>
                <w:rFonts w:ascii="Times New Roman" w:hAnsi="Times New Roman" w:cs="Times New Roman" w:eastAsiaTheme="minorEastAsia"/>
                <w:szCs w:val="21"/>
              </w:rPr>
              <w:t>/</w:t>
            </w:r>
          </w:p>
        </w:tc>
        <w:tc>
          <w:tcPr>
            <w:tcW w:w="709" w:type="dxa"/>
            <w:vAlign w:val="center"/>
          </w:tcPr>
          <w:p w14:paraId="46B7AC57">
            <w:pPr>
              <w:pStyle w:val="1116"/>
              <w:rPr>
                <w:rFonts w:ascii="Times New Roman" w:hAnsi="Times New Roman" w:cs="Times New Roman"/>
                <w:szCs w:val="21"/>
              </w:rPr>
            </w:pPr>
            <w:r>
              <w:rPr>
                <w:rFonts w:ascii="Times New Roman" w:hAnsi="Times New Roman" w:eastAsia="宋体" w:cs="Times New Roman"/>
                <w:spacing w:val="-17"/>
                <w:szCs w:val="21"/>
              </w:rPr>
              <w:t>Q</w:t>
            </w:r>
            <w:r>
              <w:rPr>
                <w:rFonts w:ascii="Times New Roman" w:hAnsi="Times New Roman" w:eastAsia="宋体" w:cs="Times New Roman"/>
                <w:spacing w:val="-17"/>
                <w:szCs w:val="21"/>
                <w:vertAlign w:val="subscript"/>
              </w:rPr>
              <w:t>4</w:t>
            </w:r>
            <w:r>
              <w:rPr>
                <w:rFonts w:ascii="Times New Roman" w:hAnsi="Times New Roman" w:eastAsia="宋体" w:cs="Times New Roman"/>
                <w:i/>
                <w:spacing w:val="-17"/>
                <w:szCs w:val="21"/>
                <w:vertAlign w:val="superscript"/>
              </w:rPr>
              <w:t>m</w:t>
            </w:r>
          </w:p>
        </w:tc>
        <w:tc>
          <w:tcPr>
            <w:tcW w:w="991" w:type="dxa"/>
            <w:vAlign w:val="center"/>
          </w:tcPr>
          <w:p w14:paraId="0F5B4D2A">
            <w:pPr>
              <w:pStyle w:val="1116"/>
              <w:rPr>
                <w:rFonts w:ascii="Times New Roman" w:hAnsi="Times New Roman" w:cs="Times New Roman"/>
                <w:szCs w:val="21"/>
              </w:rPr>
            </w:pPr>
            <w:r>
              <w:rPr>
                <w:rFonts w:ascii="Times New Roman" w:hAnsi="Times New Roman" w:cs="Times New Roman"/>
                <w:szCs w:val="21"/>
              </w:rPr>
              <w:t>1.5</w:t>
            </w:r>
            <w:r>
              <w:rPr>
                <w:rFonts w:ascii="Times New Roman" w:hAnsi="Times New Roman" w:eastAsia="宋体" w:cs="Times New Roman"/>
                <w:szCs w:val="21"/>
              </w:rPr>
              <w:t>～</w:t>
            </w:r>
            <w:r>
              <w:rPr>
                <w:rFonts w:ascii="Times New Roman" w:hAnsi="Times New Roman" w:cs="Times New Roman"/>
                <w:szCs w:val="21"/>
              </w:rPr>
              <w:t>6.0</w:t>
            </w:r>
          </w:p>
        </w:tc>
        <w:tc>
          <w:tcPr>
            <w:tcW w:w="5079" w:type="dxa"/>
            <w:vAlign w:val="center"/>
          </w:tcPr>
          <w:p w14:paraId="3CAC09A4">
            <w:pPr>
              <w:pStyle w:val="1116"/>
              <w:ind w:firstLine="420" w:firstLineChars="200"/>
              <w:jc w:val="left"/>
              <w:rPr>
                <w:rFonts w:ascii="Times New Roman" w:hAnsi="Times New Roman" w:cs="Times New Roman"/>
                <w:szCs w:val="21"/>
              </w:rPr>
            </w:pPr>
            <w:r>
              <w:rPr>
                <w:rFonts w:ascii="Times New Roman" w:hAnsi="Times New Roman" w:eastAsia="宋体" w:cs="Times New Roman"/>
                <w:szCs w:val="21"/>
              </w:rPr>
              <w:t>灰、灰黑、黄褐色淤泥、砂质</w:t>
            </w:r>
            <w:r>
              <w:rPr>
                <w:rFonts w:ascii="Times New Roman" w:hAnsi="Times New Roman" w:cs="Times New Roman"/>
                <w:szCs w:val="21"/>
              </w:rPr>
              <w:t>—</w:t>
            </w:r>
            <w:r>
              <w:rPr>
                <w:rFonts w:ascii="Times New Roman" w:hAnsi="Times New Roman" w:eastAsia="宋体" w:cs="Times New Roman"/>
                <w:szCs w:val="21"/>
              </w:rPr>
              <w:t>粉砂质粘土、粘土质</w:t>
            </w:r>
            <w:r>
              <w:rPr>
                <w:rFonts w:ascii="Times New Roman" w:hAnsi="Times New Roman" w:cs="Times New Roman"/>
                <w:szCs w:val="21"/>
              </w:rPr>
              <w:t>—</w:t>
            </w:r>
            <w:r>
              <w:rPr>
                <w:rFonts w:ascii="Times New Roman" w:hAnsi="Times New Roman" w:eastAsia="宋体" w:cs="Times New Roman"/>
                <w:szCs w:val="21"/>
              </w:rPr>
              <w:t>粉砂质砂为主，局部夹砾砂，含贝壳、炭化植物根茎和腐植质。</w:t>
            </w:r>
          </w:p>
        </w:tc>
      </w:tr>
      <w:tr w14:paraId="4203D0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28" w:type="dxa"/>
            <w:vMerge w:val="restart"/>
            <w:vAlign w:val="center"/>
          </w:tcPr>
          <w:p w14:paraId="63C0B75A">
            <w:pPr>
              <w:pStyle w:val="1116"/>
              <w:rPr>
                <w:rFonts w:ascii="Times New Roman" w:hAnsi="Times New Roman" w:cs="Times New Roman"/>
                <w:szCs w:val="21"/>
              </w:rPr>
            </w:pPr>
            <w:r>
              <w:rPr>
                <w:rFonts w:ascii="Times New Roman" w:hAnsi="Times New Roman" w:eastAsia="宋体" w:cs="Times New Roman"/>
                <w:szCs w:val="21"/>
              </w:rPr>
              <w:t>中生界</w:t>
            </w:r>
          </w:p>
        </w:tc>
        <w:tc>
          <w:tcPr>
            <w:tcW w:w="427" w:type="dxa"/>
            <w:vMerge w:val="restart"/>
            <w:vAlign w:val="center"/>
          </w:tcPr>
          <w:p w14:paraId="7346D2BB">
            <w:pPr>
              <w:pStyle w:val="1116"/>
              <w:rPr>
                <w:rFonts w:ascii="Times New Roman" w:hAnsi="Times New Roman" w:cs="Times New Roman"/>
                <w:szCs w:val="21"/>
              </w:rPr>
            </w:pPr>
            <w:r>
              <w:rPr>
                <w:rFonts w:ascii="Times New Roman" w:hAnsi="Times New Roman" w:eastAsia="宋体" w:cs="Times New Roman"/>
                <w:szCs w:val="21"/>
              </w:rPr>
              <w:t>侏罗系</w:t>
            </w:r>
          </w:p>
        </w:tc>
        <w:tc>
          <w:tcPr>
            <w:tcW w:w="557" w:type="dxa"/>
            <w:vAlign w:val="center"/>
          </w:tcPr>
          <w:p w14:paraId="7F0F445E">
            <w:pPr>
              <w:pStyle w:val="1116"/>
              <w:rPr>
                <w:rFonts w:ascii="Times New Roman" w:hAnsi="Times New Roman" w:cs="Times New Roman"/>
                <w:szCs w:val="21"/>
              </w:rPr>
            </w:pPr>
            <w:r>
              <w:rPr>
                <w:rFonts w:ascii="Times New Roman" w:hAnsi="Times New Roman" w:eastAsia="宋体" w:cs="Times New Roman"/>
                <w:szCs w:val="21"/>
              </w:rPr>
              <w:t>中统</w:t>
            </w:r>
          </w:p>
        </w:tc>
        <w:tc>
          <w:tcPr>
            <w:tcW w:w="849" w:type="dxa"/>
            <w:vAlign w:val="center"/>
          </w:tcPr>
          <w:p w14:paraId="07BED4D8">
            <w:pPr>
              <w:pStyle w:val="1116"/>
              <w:rPr>
                <w:rFonts w:ascii="Times New Roman" w:hAnsi="Times New Roman" w:cs="Times New Roman"/>
                <w:szCs w:val="21"/>
              </w:rPr>
            </w:pPr>
            <w:r>
              <w:rPr>
                <w:rFonts w:ascii="Times New Roman" w:hAnsi="Times New Roman" w:eastAsia="宋体" w:cs="Times New Roman"/>
                <w:szCs w:val="21"/>
              </w:rPr>
              <w:t>石梯组</w:t>
            </w:r>
          </w:p>
        </w:tc>
        <w:tc>
          <w:tcPr>
            <w:tcW w:w="709" w:type="dxa"/>
            <w:vAlign w:val="center"/>
          </w:tcPr>
          <w:p w14:paraId="3EF81E56">
            <w:pPr>
              <w:pStyle w:val="1116"/>
              <w:rPr>
                <w:rFonts w:ascii="Times New Roman" w:hAnsi="Times New Roman" w:cs="Times New Roman"/>
                <w:szCs w:val="21"/>
              </w:rPr>
            </w:pPr>
            <w:r>
              <w:rPr>
                <w:rFonts w:ascii="Times New Roman" w:hAnsi="Times New Roman" w:eastAsia="宋体" w:cs="Times New Roman"/>
                <w:szCs w:val="21"/>
              </w:rPr>
              <w:t>J</w:t>
            </w:r>
            <w:r>
              <w:rPr>
                <w:rFonts w:ascii="Times New Roman" w:hAnsi="Times New Roman" w:eastAsia="宋体" w:cs="Times New Roman"/>
                <w:szCs w:val="21"/>
                <w:vertAlign w:val="subscript"/>
              </w:rPr>
              <w:t>2</w:t>
            </w:r>
            <w:r>
              <w:rPr>
                <w:rFonts w:ascii="Times New Roman" w:hAnsi="Times New Roman" w:eastAsia="宋体" w:cs="Times New Roman"/>
                <w:i/>
                <w:szCs w:val="21"/>
              </w:rPr>
              <w:t>sh</w:t>
            </w:r>
          </w:p>
        </w:tc>
        <w:tc>
          <w:tcPr>
            <w:tcW w:w="991" w:type="dxa"/>
            <w:vAlign w:val="center"/>
          </w:tcPr>
          <w:p w14:paraId="4FB0A81A">
            <w:pPr>
              <w:pStyle w:val="1116"/>
              <w:rPr>
                <w:rFonts w:ascii="Times New Roman" w:hAnsi="Times New Roman" w:cs="Times New Roman"/>
                <w:szCs w:val="21"/>
              </w:rPr>
            </w:pPr>
            <w:r>
              <w:rPr>
                <w:rFonts w:ascii="Times New Roman" w:hAnsi="Times New Roman" w:cs="Times New Roman"/>
                <w:szCs w:val="21"/>
              </w:rPr>
              <w:t>219.3</w:t>
            </w:r>
          </w:p>
        </w:tc>
        <w:tc>
          <w:tcPr>
            <w:tcW w:w="5079" w:type="dxa"/>
            <w:vAlign w:val="center"/>
          </w:tcPr>
          <w:p w14:paraId="472DC5A3">
            <w:pPr>
              <w:pStyle w:val="1116"/>
              <w:ind w:firstLine="420" w:firstLineChars="200"/>
              <w:jc w:val="left"/>
              <w:rPr>
                <w:rFonts w:ascii="Times New Roman" w:hAnsi="Times New Roman" w:cs="Times New Roman"/>
                <w:szCs w:val="21"/>
              </w:rPr>
            </w:pPr>
            <w:r>
              <w:rPr>
                <w:rFonts w:ascii="Times New Roman" w:hAnsi="Times New Roman" w:eastAsia="宋体" w:cs="Times New Roman"/>
                <w:szCs w:val="21"/>
              </w:rPr>
              <w:t>自上而下由两个较大的沉积旋回组成，将其分为上下两个岩性段。下段自下而上依次为含砾粗粒石英砂岩，浅灰、浅紫色中厚层粗中粒长石质石英砂岩夹细粒石英砂岩，紫红色厚层状泥质粉砂岩夹砂质泥岩，厚</w:t>
            </w:r>
            <w:r>
              <w:rPr>
                <w:rFonts w:ascii="Times New Roman" w:hAnsi="Times New Roman" w:cs="Times New Roman"/>
                <w:szCs w:val="21"/>
              </w:rPr>
              <w:t>113.9m</w:t>
            </w:r>
            <w:r>
              <w:rPr>
                <w:rFonts w:ascii="Times New Roman" w:hAnsi="Times New Roman" w:eastAsia="宋体" w:cs="Times New Roman"/>
                <w:szCs w:val="21"/>
              </w:rPr>
              <w:t>；上段岩性为紫红色厚层泥岩夹少许粉砂岩，具微纹层理，厚</w:t>
            </w:r>
            <w:r>
              <w:rPr>
                <w:rFonts w:ascii="Times New Roman" w:hAnsi="Times New Roman" w:cs="Times New Roman"/>
                <w:szCs w:val="21"/>
              </w:rPr>
              <w:t>105.4m</w:t>
            </w:r>
            <w:r>
              <w:rPr>
                <w:rFonts w:ascii="Times New Roman" w:hAnsi="Times New Roman" w:eastAsia="宋体" w:cs="Times New Roman"/>
                <w:szCs w:val="21"/>
              </w:rPr>
              <w:t>。</w:t>
            </w:r>
          </w:p>
        </w:tc>
      </w:tr>
      <w:tr w14:paraId="50D128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28" w:type="dxa"/>
            <w:vMerge w:val="continue"/>
            <w:vAlign w:val="center"/>
          </w:tcPr>
          <w:p w14:paraId="2750D099">
            <w:pPr>
              <w:pStyle w:val="1116"/>
              <w:rPr>
                <w:rFonts w:ascii="Times New Roman" w:hAnsi="Times New Roman" w:cs="Times New Roman"/>
                <w:szCs w:val="21"/>
              </w:rPr>
            </w:pPr>
          </w:p>
        </w:tc>
        <w:tc>
          <w:tcPr>
            <w:tcW w:w="427" w:type="dxa"/>
            <w:vMerge w:val="continue"/>
            <w:vAlign w:val="center"/>
          </w:tcPr>
          <w:p w14:paraId="625F4390">
            <w:pPr>
              <w:pStyle w:val="1116"/>
              <w:rPr>
                <w:rFonts w:ascii="Times New Roman" w:hAnsi="Times New Roman" w:cs="Times New Roman"/>
                <w:szCs w:val="21"/>
              </w:rPr>
            </w:pPr>
          </w:p>
        </w:tc>
        <w:tc>
          <w:tcPr>
            <w:tcW w:w="557" w:type="dxa"/>
            <w:vAlign w:val="center"/>
          </w:tcPr>
          <w:p w14:paraId="7BAFDE2D">
            <w:pPr>
              <w:pStyle w:val="1116"/>
              <w:rPr>
                <w:rFonts w:ascii="Times New Roman" w:hAnsi="Times New Roman" w:cs="Times New Roman"/>
                <w:szCs w:val="21"/>
              </w:rPr>
            </w:pPr>
            <w:r>
              <w:rPr>
                <w:rFonts w:ascii="Times New Roman" w:hAnsi="Times New Roman" w:eastAsia="宋体" w:cs="Times New Roman"/>
                <w:szCs w:val="21"/>
              </w:rPr>
              <w:t>下统</w:t>
            </w:r>
          </w:p>
        </w:tc>
        <w:tc>
          <w:tcPr>
            <w:tcW w:w="849" w:type="dxa"/>
            <w:vAlign w:val="center"/>
          </w:tcPr>
          <w:p w14:paraId="24EB4FA6">
            <w:pPr>
              <w:pStyle w:val="1116"/>
              <w:rPr>
                <w:rFonts w:ascii="Times New Roman" w:hAnsi="Times New Roman" w:cs="Times New Roman"/>
                <w:szCs w:val="21"/>
              </w:rPr>
            </w:pPr>
            <w:r>
              <w:rPr>
                <w:rFonts w:ascii="Times New Roman" w:hAnsi="Times New Roman" w:eastAsia="宋体" w:cs="Times New Roman"/>
                <w:szCs w:val="21"/>
              </w:rPr>
              <w:t>那周尾组</w:t>
            </w:r>
          </w:p>
        </w:tc>
        <w:tc>
          <w:tcPr>
            <w:tcW w:w="709" w:type="dxa"/>
            <w:vAlign w:val="center"/>
          </w:tcPr>
          <w:p w14:paraId="725B4AF9">
            <w:pPr>
              <w:pStyle w:val="1116"/>
              <w:rPr>
                <w:rFonts w:ascii="Times New Roman" w:hAnsi="Times New Roman" w:cs="Times New Roman"/>
                <w:szCs w:val="21"/>
              </w:rPr>
            </w:pPr>
            <w:r>
              <w:rPr>
                <w:rFonts w:ascii="Times New Roman" w:hAnsi="Times New Roman" w:eastAsia="宋体" w:cs="Times New Roman"/>
                <w:szCs w:val="21"/>
              </w:rPr>
              <w:t>TJ</w:t>
            </w:r>
            <w:r>
              <w:rPr>
                <w:rFonts w:ascii="Times New Roman" w:hAnsi="Times New Roman" w:eastAsia="宋体" w:cs="Times New Roman"/>
                <w:szCs w:val="21"/>
                <w:vertAlign w:val="subscript"/>
              </w:rPr>
              <w:t>1</w:t>
            </w:r>
            <w:r>
              <w:rPr>
                <w:rFonts w:ascii="Times New Roman" w:hAnsi="Times New Roman" w:eastAsia="宋体" w:cs="Times New Roman"/>
                <w:i/>
                <w:szCs w:val="21"/>
              </w:rPr>
              <w:t>n-d</w:t>
            </w:r>
          </w:p>
        </w:tc>
        <w:tc>
          <w:tcPr>
            <w:tcW w:w="991" w:type="dxa"/>
            <w:vAlign w:val="center"/>
          </w:tcPr>
          <w:p w14:paraId="33583116">
            <w:pPr>
              <w:pStyle w:val="1116"/>
              <w:rPr>
                <w:rFonts w:ascii="Times New Roman" w:hAnsi="Times New Roman" w:cs="Times New Roman"/>
                <w:szCs w:val="21"/>
              </w:rPr>
            </w:pPr>
            <w:r>
              <w:rPr>
                <w:rFonts w:ascii="Times New Roman" w:hAnsi="Times New Roman" w:cs="Times New Roman"/>
                <w:szCs w:val="21"/>
              </w:rPr>
              <w:t>40.4</w:t>
            </w:r>
            <w:r>
              <w:rPr>
                <w:rFonts w:ascii="Times New Roman" w:hAnsi="Times New Roman" w:eastAsia="宋体" w:cs="Times New Roman"/>
                <w:szCs w:val="21"/>
              </w:rPr>
              <w:t>～</w:t>
            </w:r>
            <w:r>
              <w:rPr>
                <w:rFonts w:ascii="Times New Roman" w:hAnsi="Times New Roman" w:cs="Times New Roman"/>
                <w:szCs w:val="21"/>
              </w:rPr>
              <w:t>160.5</w:t>
            </w:r>
          </w:p>
        </w:tc>
        <w:tc>
          <w:tcPr>
            <w:tcW w:w="5079" w:type="dxa"/>
            <w:vAlign w:val="center"/>
          </w:tcPr>
          <w:p w14:paraId="595FF1EE">
            <w:pPr>
              <w:pStyle w:val="1116"/>
              <w:ind w:firstLine="420" w:firstLineChars="200"/>
              <w:jc w:val="left"/>
              <w:rPr>
                <w:rFonts w:ascii="Times New Roman" w:hAnsi="Times New Roman" w:cs="Times New Roman"/>
                <w:szCs w:val="21"/>
              </w:rPr>
            </w:pPr>
            <w:r>
              <w:rPr>
                <w:rFonts w:ascii="Times New Roman" w:hAnsi="Times New Roman" w:eastAsia="宋体" w:cs="Times New Roman"/>
                <w:szCs w:val="21"/>
              </w:rPr>
              <w:t>下部为灰白色厚层状石英质砾岩，浅灰色厚层状石英砂岩，含泥质粉砂岩，呈韵律产出；上部为紫红色砂岩、泥质粉砂岩、含粉砂泥岩，呈韵律产出，顶部为浅灰白色中～厚层状石英砂岩。</w:t>
            </w:r>
          </w:p>
        </w:tc>
      </w:tr>
    </w:tbl>
    <w:p w14:paraId="030F806E">
      <w:pPr>
        <w:snapToGrid w:val="0"/>
        <w:spacing w:line="360" w:lineRule="auto"/>
        <w:ind w:firstLine="480"/>
        <w:rPr>
          <w:rFonts w:ascii="Times New Roman" w:hAnsi="Times New Roman"/>
          <w:sz w:val="24"/>
          <w:szCs w:val="24"/>
        </w:rPr>
      </w:pPr>
    </w:p>
    <w:p w14:paraId="04BE9F55">
      <w:pPr>
        <w:spacing w:line="360" w:lineRule="auto"/>
        <w:ind w:firstLine="482" w:firstLineChars="200"/>
        <w:rPr>
          <w:rFonts w:ascii="Times New Roman" w:hAnsi="Times New Roman"/>
          <w:b/>
          <w:bCs/>
          <w:sz w:val="24"/>
          <w:szCs w:val="24"/>
        </w:rPr>
      </w:pPr>
      <w:r>
        <w:rPr>
          <w:rFonts w:ascii="Times New Roman" w:hAnsi="Times New Roman"/>
          <w:b/>
          <w:bCs/>
          <w:sz w:val="24"/>
          <w:szCs w:val="24"/>
        </w:rPr>
        <w:t>（3）地质构造</w:t>
      </w:r>
    </w:p>
    <w:p w14:paraId="1FF3292B">
      <w:pPr>
        <w:spacing w:line="360" w:lineRule="auto"/>
        <w:ind w:firstLine="480" w:firstLineChars="200"/>
        <w:rPr>
          <w:rFonts w:ascii="Times New Roman" w:hAnsi="Times New Roman"/>
          <w:sz w:val="24"/>
          <w:szCs w:val="24"/>
        </w:rPr>
      </w:pPr>
      <w:r>
        <w:rPr>
          <w:rFonts w:ascii="Times New Roman" w:hAnsi="Times New Roman"/>
          <w:sz w:val="24"/>
          <w:szCs w:val="24"/>
        </w:rPr>
        <w:t>评价区地处区域构造的南华准地台北部湾拗陷的那丽复背斜南侧的钦州湾向斜盆地（五级构造单元）上。钦州湾向斜构造盆地受基底构造控制，轴向呈北东东向，略倾向南南东，为拗陷盆地。盆地大部（中部及南西部）被钦州湾海水淹没，仅（北东端）在鸡墩头一带出露圈闭，鸡墩岭一带可见次级褶皱。核部由J2地层组成，翼部由J1地层组成，两侧岩层产状较缓，倾角6～23°。评价区主要为单斜构造，岩层产状为240°</w:t>
      </w:r>
      <w:r>
        <w:rPr>
          <w:rFonts w:ascii="Cambria Math" w:hAnsi="Cambria Math" w:cs="Cambria Math"/>
          <w:sz w:val="24"/>
          <w:szCs w:val="24"/>
        </w:rPr>
        <w:t>∠</w:t>
      </w:r>
      <w:r>
        <w:rPr>
          <w:rFonts w:ascii="Times New Roman" w:hAnsi="Times New Roman"/>
          <w:sz w:val="24"/>
          <w:szCs w:val="24"/>
        </w:rPr>
        <w:t>12°。</w:t>
      </w:r>
    </w:p>
    <w:p w14:paraId="4E7F2450">
      <w:pPr>
        <w:spacing w:line="360" w:lineRule="auto"/>
        <w:ind w:firstLine="482" w:firstLineChars="200"/>
        <w:rPr>
          <w:rFonts w:ascii="Times New Roman" w:hAnsi="Times New Roman"/>
          <w:b/>
          <w:bCs/>
          <w:sz w:val="24"/>
          <w:szCs w:val="24"/>
        </w:rPr>
      </w:pPr>
      <w:r>
        <w:rPr>
          <w:rFonts w:ascii="Times New Roman" w:hAnsi="Times New Roman"/>
          <w:b/>
          <w:bCs/>
          <w:sz w:val="24"/>
          <w:szCs w:val="24"/>
        </w:rPr>
        <w:t>（4）地震</w:t>
      </w:r>
    </w:p>
    <w:p w14:paraId="7EA0E983">
      <w:pPr>
        <w:spacing w:line="360" w:lineRule="auto"/>
        <w:ind w:firstLine="480" w:firstLineChars="200"/>
        <w:rPr>
          <w:rFonts w:ascii="Times New Roman" w:hAnsi="Times New Roman"/>
          <w:sz w:val="24"/>
          <w:szCs w:val="24"/>
        </w:rPr>
      </w:pPr>
      <w:r>
        <w:rPr>
          <w:rFonts w:ascii="Times New Roman" w:hAnsi="Times New Roman"/>
          <w:sz w:val="24"/>
          <w:szCs w:val="24"/>
        </w:rPr>
        <w:t>根据国家《建筑抗震设计规范》(GB50011-2010)（2016版）附录A，本工程所在地区抗震设防烈度为7度。设计基本加速度值为0.10g；设计特征周期为0.35s。</w:t>
      </w:r>
    </w:p>
    <w:p w14:paraId="7E2B4404">
      <w:pPr>
        <w:pStyle w:val="6"/>
        <w:numPr>
          <w:ilvl w:val="2"/>
          <w:numId w:val="3"/>
        </w:numPr>
      </w:pPr>
      <w:r>
        <w:t>气候与气象</w:t>
      </w:r>
    </w:p>
    <w:p w14:paraId="5CDD505A">
      <w:pPr>
        <w:spacing w:line="360" w:lineRule="auto"/>
        <w:ind w:firstLine="480" w:firstLineChars="200"/>
        <w:rPr>
          <w:rFonts w:ascii="Times New Roman" w:hAnsi="Times New Roman"/>
          <w:sz w:val="24"/>
          <w:szCs w:val="24"/>
        </w:rPr>
      </w:pPr>
      <w:r>
        <w:rPr>
          <w:rFonts w:ascii="Times New Roman" w:hAnsi="Times New Roman"/>
          <w:sz w:val="24"/>
          <w:szCs w:val="24"/>
        </w:rPr>
        <w:t>钦州湾属南亚亚热带海洋性季风气候。钦州湾的天气特点是：春季天气多变，多阴雨和强对流天气，偶有春旱；夏季高温多雨，多台风、雷暴；秋季多晴天、少雨，秋旱时有发生；冬季少旱少雨，气温较低。</w:t>
      </w:r>
    </w:p>
    <w:p w14:paraId="31607320">
      <w:pPr>
        <w:spacing w:line="360" w:lineRule="auto"/>
        <w:ind w:firstLine="480" w:firstLineChars="200"/>
        <w:rPr>
          <w:rFonts w:ascii="Times New Roman" w:hAnsi="Times New Roman"/>
          <w:sz w:val="24"/>
          <w:szCs w:val="24"/>
        </w:rPr>
      </w:pPr>
      <w:r>
        <w:rPr>
          <w:rFonts w:ascii="Times New Roman" w:hAnsi="Times New Roman"/>
          <w:sz w:val="24"/>
          <w:szCs w:val="24"/>
        </w:rPr>
        <w:t>根据钦州市钦南区气象站近20年气候资料，项目所在区域的气象条件特征值如表3.1-2。</w:t>
      </w:r>
    </w:p>
    <w:p w14:paraId="5C2D51B7">
      <w:pPr>
        <w:pStyle w:val="8"/>
        <w:numPr>
          <w:ilvl w:val="4"/>
          <w:numId w:val="3"/>
        </w:numPr>
        <w:rPr>
          <w:sz w:val="24"/>
          <w:szCs w:val="24"/>
        </w:rPr>
      </w:pPr>
      <w:r>
        <w:rPr>
          <w:sz w:val="24"/>
          <w:szCs w:val="24"/>
        </w:rPr>
        <w:t>气象条件特征值（钦州市钦南区气象站）</w:t>
      </w:r>
    </w:p>
    <w:tbl>
      <w:tblPr>
        <w:tblStyle w:val="88"/>
        <w:tblW w:w="9204"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476"/>
        <w:gridCol w:w="3864"/>
        <w:gridCol w:w="3864"/>
      </w:tblGrid>
      <w:tr w14:paraId="5C21661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blHeader/>
          <w:jc w:val="center"/>
        </w:trPr>
        <w:tc>
          <w:tcPr>
            <w:tcW w:w="1476" w:type="dxa"/>
            <w:vAlign w:val="center"/>
          </w:tcPr>
          <w:p w14:paraId="51A4B112">
            <w:pPr>
              <w:widowControl/>
              <w:adjustRightInd w:val="0"/>
              <w:snapToGrid w:val="0"/>
              <w:jc w:val="center"/>
              <w:textAlignment w:val="center"/>
              <w:rPr>
                <w:rFonts w:ascii="Times New Roman" w:hAnsi="Times New Roman"/>
                <w:b/>
                <w:bCs/>
                <w:szCs w:val="21"/>
              </w:rPr>
            </w:pPr>
            <w:r>
              <w:rPr>
                <w:rFonts w:ascii="Times New Roman" w:hAnsi="Times New Roman"/>
                <w:b/>
                <w:bCs/>
                <w:kern w:val="0"/>
                <w:szCs w:val="21"/>
                <w:lang w:bidi="ar"/>
              </w:rPr>
              <w:t>气象条件</w:t>
            </w:r>
          </w:p>
        </w:tc>
        <w:tc>
          <w:tcPr>
            <w:tcW w:w="3864" w:type="dxa"/>
            <w:vAlign w:val="center"/>
          </w:tcPr>
          <w:p w14:paraId="3629E657">
            <w:pPr>
              <w:widowControl/>
              <w:adjustRightInd w:val="0"/>
              <w:snapToGrid w:val="0"/>
              <w:jc w:val="center"/>
              <w:textAlignment w:val="center"/>
              <w:rPr>
                <w:rFonts w:ascii="Times New Roman" w:hAnsi="Times New Roman"/>
                <w:b/>
                <w:bCs/>
                <w:szCs w:val="21"/>
              </w:rPr>
            </w:pPr>
            <w:r>
              <w:rPr>
                <w:rFonts w:ascii="Times New Roman" w:hAnsi="Times New Roman"/>
                <w:b/>
                <w:bCs/>
                <w:kern w:val="0"/>
                <w:szCs w:val="21"/>
                <w:lang w:bidi="ar"/>
              </w:rPr>
              <w:t>特征值</w:t>
            </w:r>
          </w:p>
        </w:tc>
        <w:tc>
          <w:tcPr>
            <w:tcW w:w="3864" w:type="dxa"/>
            <w:vAlign w:val="center"/>
          </w:tcPr>
          <w:p w14:paraId="0076798A">
            <w:pPr>
              <w:widowControl/>
              <w:adjustRightInd w:val="0"/>
              <w:snapToGrid w:val="0"/>
              <w:jc w:val="center"/>
              <w:textAlignment w:val="center"/>
              <w:rPr>
                <w:rFonts w:ascii="Times New Roman" w:hAnsi="Times New Roman"/>
                <w:b/>
                <w:bCs/>
                <w:szCs w:val="21"/>
              </w:rPr>
            </w:pPr>
            <w:r>
              <w:rPr>
                <w:rFonts w:ascii="Times New Roman" w:hAnsi="Times New Roman"/>
                <w:b/>
                <w:bCs/>
                <w:kern w:val="0"/>
                <w:szCs w:val="21"/>
                <w:lang w:bidi="ar"/>
              </w:rPr>
              <w:t>统计数据</w:t>
            </w:r>
          </w:p>
        </w:tc>
      </w:tr>
      <w:tr w14:paraId="470836B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76" w:type="dxa"/>
            <w:vMerge w:val="restart"/>
            <w:vAlign w:val="center"/>
          </w:tcPr>
          <w:p w14:paraId="08577594">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气温</w:t>
            </w:r>
          </w:p>
        </w:tc>
        <w:tc>
          <w:tcPr>
            <w:tcW w:w="3864" w:type="dxa"/>
            <w:vAlign w:val="center"/>
          </w:tcPr>
          <w:p w14:paraId="1E466431">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全年平均气温</w:t>
            </w:r>
          </w:p>
        </w:tc>
        <w:tc>
          <w:tcPr>
            <w:tcW w:w="3864" w:type="dxa"/>
            <w:vAlign w:val="center"/>
          </w:tcPr>
          <w:p w14:paraId="0D7E72D6">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22.9℃</w:t>
            </w:r>
          </w:p>
        </w:tc>
      </w:tr>
      <w:tr w14:paraId="42D6845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76" w:type="dxa"/>
            <w:vMerge w:val="continue"/>
            <w:vAlign w:val="center"/>
          </w:tcPr>
          <w:p w14:paraId="2127BC16">
            <w:pPr>
              <w:adjustRightInd w:val="0"/>
              <w:snapToGrid w:val="0"/>
              <w:jc w:val="center"/>
              <w:rPr>
                <w:rFonts w:ascii="Times New Roman" w:hAnsi="Times New Roman"/>
                <w:szCs w:val="21"/>
              </w:rPr>
            </w:pPr>
          </w:p>
        </w:tc>
        <w:tc>
          <w:tcPr>
            <w:tcW w:w="3864" w:type="dxa"/>
            <w:vAlign w:val="center"/>
          </w:tcPr>
          <w:p w14:paraId="0C6754EA">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极端最高气温及出现时间</w:t>
            </w:r>
          </w:p>
        </w:tc>
        <w:tc>
          <w:tcPr>
            <w:tcW w:w="3864" w:type="dxa"/>
            <w:vAlign w:val="center"/>
          </w:tcPr>
          <w:p w14:paraId="73313BF8">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37.9℃（出现时间：2005.7.19）</w:t>
            </w:r>
          </w:p>
        </w:tc>
      </w:tr>
      <w:tr w14:paraId="3C15CAB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76" w:type="dxa"/>
            <w:vMerge w:val="continue"/>
            <w:vAlign w:val="center"/>
          </w:tcPr>
          <w:p w14:paraId="3A9EEE91">
            <w:pPr>
              <w:adjustRightInd w:val="0"/>
              <w:snapToGrid w:val="0"/>
              <w:jc w:val="center"/>
              <w:rPr>
                <w:rFonts w:ascii="Times New Roman" w:hAnsi="Times New Roman"/>
                <w:szCs w:val="21"/>
              </w:rPr>
            </w:pPr>
          </w:p>
        </w:tc>
        <w:tc>
          <w:tcPr>
            <w:tcW w:w="3864" w:type="dxa"/>
            <w:vAlign w:val="center"/>
          </w:tcPr>
          <w:p w14:paraId="7E331407">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极端最低气温及出现时间</w:t>
            </w:r>
          </w:p>
        </w:tc>
        <w:tc>
          <w:tcPr>
            <w:tcW w:w="3864" w:type="dxa"/>
            <w:vAlign w:val="center"/>
          </w:tcPr>
          <w:p w14:paraId="08944B34">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1.6℃（出现时间：2016.1.24）</w:t>
            </w:r>
          </w:p>
        </w:tc>
      </w:tr>
      <w:tr w14:paraId="33DA7A1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76" w:type="dxa"/>
            <w:vMerge w:val="continue"/>
            <w:vAlign w:val="center"/>
          </w:tcPr>
          <w:p w14:paraId="2B0E39CD">
            <w:pPr>
              <w:adjustRightInd w:val="0"/>
              <w:snapToGrid w:val="0"/>
              <w:jc w:val="center"/>
              <w:rPr>
                <w:rFonts w:ascii="Times New Roman" w:hAnsi="Times New Roman"/>
                <w:szCs w:val="21"/>
              </w:rPr>
            </w:pPr>
          </w:p>
        </w:tc>
        <w:tc>
          <w:tcPr>
            <w:tcW w:w="3864" w:type="dxa"/>
            <w:vAlign w:val="center"/>
          </w:tcPr>
          <w:p w14:paraId="5BCC4237">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多年平均最高温</w:t>
            </w:r>
          </w:p>
        </w:tc>
        <w:tc>
          <w:tcPr>
            <w:tcW w:w="3864" w:type="dxa"/>
            <w:vAlign w:val="center"/>
          </w:tcPr>
          <w:p w14:paraId="46152287">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36.9℃</w:t>
            </w:r>
          </w:p>
        </w:tc>
      </w:tr>
      <w:tr w14:paraId="37C3F48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76" w:type="dxa"/>
            <w:vMerge w:val="continue"/>
            <w:vAlign w:val="center"/>
          </w:tcPr>
          <w:p w14:paraId="5F8BD25F">
            <w:pPr>
              <w:adjustRightInd w:val="0"/>
              <w:snapToGrid w:val="0"/>
              <w:jc w:val="center"/>
              <w:rPr>
                <w:rFonts w:ascii="Times New Roman" w:hAnsi="Times New Roman"/>
                <w:szCs w:val="21"/>
              </w:rPr>
            </w:pPr>
          </w:p>
        </w:tc>
        <w:tc>
          <w:tcPr>
            <w:tcW w:w="3864" w:type="dxa"/>
            <w:vAlign w:val="center"/>
          </w:tcPr>
          <w:p w14:paraId="121281EC">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多年平均最低温</w:t>
            </w:r>
          </w:p>
        </w:tc>
        <w:tc>
          <w:tcPr>
            <w:tcW w:w="3864" w:type="dxa"/>
            <w:vAlign w:val="center"/>
          </w:tcPr>
          <w:p w14:paraId="6B0EF46D">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5.1℃</w:t>
            </w:r>
          </w:p>
        </w:tc>
      </w:tr>
      <w:tr w14:paraId="0C46267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76" w:type="dxa"/>
            <w:vAlign w:val="center"/>
          </w:tcPr>
          <w:p w14:paraId="7389C845">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气压</w:t>
            </w:r>
          </w:p>
        </w:tc>
        <w:tc>
          <w:tcPr>
            <w:tcW w:w="3864" w:type="dxa"/>
            <w:vAlign w:val="center"/>
          </w:tcPr>
          <w:p w14:paraId="07D4F35C">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平均大气压</w:t>
            </w:r>
          </w:p>
        </w:tc>
        <w:tc>
          <w:tcPr>
            <w:tcW w:w="3864" w:type="dxa"/>
            <w:vAlign w:val="center"/>
          </w:tcPr>
          <w:p w14:paraId="0F88C04E">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1010.3hpa</w:t>
            </w:r>
          </w:p>
        </w:tc>
      </w:tr>
      <w:tr w14:paraId="27FDAD6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76" w:type="dxa"/>
            <w:vAlign w:val="center"/>
          </w:tcPr>
          <w:p w14:paraId="7A3D4FB4">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空气湿度</w:t>
            </w:r>
          </w:p>
        </w:tc>
        <w:tc>
          <w:tcPr>
            <w:tcW w:w="3864" w:type="dxa"/>
            <w:vAlign w:val="center"/>
          </w:tcPr>
          <w:p w14:paraId="1D27B55D">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年平均相对湿度</w:t>
            </w:r>
          </w:p>
        </w:tc>
        <w:tc>
          <w:tcPr>
            <w:tcW w:w="3864" w:type="dxa"/>
            <w:vAlign w:val="center"/>
          </w:tcPr>
          <w:p w14:paraId="176565C3">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78.10%</w:t>
            </w:r>
          </w:p>
        </w:tc>
      </w:tr>
      <w:tr w14:paraId="4C62352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76" w:type="dxa"/>
            <w:vMerge w:val="restart"/>
            <w:vAlign w:val="center"/>
          </w:tcPr>
          <w:p w14:paraId="49F3024B">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降雨量</w:t>
            </w:r>
          </w:p>
        </w:tc>
        <w:tc>
          <w:tcPr>
            <w:tcW w:w="3864" w:type="dxa"/>
            <w:vAlign w:val="center"/>
          </w:tcPr>
          <w:p w14:paraId="0AABCCF8">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年平均降雨量</w:t>
            </w:r>
          </w:p>
        </w:tc>
        <w:tc>
          <w:tcPr>
            <w:tcW w:w="3864" w:type="dxa"/>
            <w:vAlign w:val="center"/>
          </w:tcPr>
          <w:p w14:paraId="7BE2F1C6">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2203.7mm</w:t>
            </w:r>
          </w:p>
        </w:tc>
      </w:tr>
      <w:tr w14:paraId="0E136B0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76" w:type="dxa"/>
            <w:vMerge w:val="continue"/>
            <w:vAlign w:val="center"/>
          </w:tcPr>
          <w:p w14:paraId="6E9E4606">
            <w:pPr>
              <w:adjustRightInd w:val="0"/>
              <w:snapToGrid w:val="0"/>
              <w:jc w:val="center"/>
              <w:rPr>
                <w:rFonts w:ascii="Times New Roman" w:hAnsi="Times New Roman"/>
                <w:szCs w:val="21"/>
              </w:rPr>
            </w:pPr>
          </w:p>
        </w:tc>
        <w:tc>
          <w:tcPr>
            <w:tcW w:w="3864" w:type="dxa"/>
            <w:vAlign w:val="center"/>
          </w:tcPr>
          <w:p w14:paraId="48F1561B">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最大日降水量</w:t>
            </w:r>
          </w:p>
        </w:tc>
        <w:tc>
          <w:tcPr>
            <w:tcW w:w="3864" w:type="dxa"/>
            <w:vAlign w:val="center"/>
          </w:tcPr>
          <w:p w14:paraId="6D812272">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380.5mm</w:t>
            </w:r>
          </w:p>
        </w:tc>
      </w:tr>
      <w:tr w14:paraId="75204F9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76" w:type="dxa"/>
            <w:vMerge w:val="continue"/>
            <w:vAlign w:val="center"/>
          </w:tcPr>
          <w:p w14:paraId="19FE7A1D">
            <w:pPr>
              <w:adjustRightInd w:val="0"/>
              <w:snapToGrid w:val="0"/>
              <w:jc w:val="center"/>
              <w:rPr>
                <w:rFonts w:ascii="Times New Roman" w:hAnsi="Times New Roman"/>
                <w:szCs w:val="21"/>
              </w:rPr>
            </w:pPr>
          </w:p>
        </w:tc>
        <w:tc>
          <w:tcPr>
            <w:tcW w:w="3864" w:type="dxa"/>
            <w:vAlign w:val="center"/>
          </w:tcPr>
          <w:p w14:paraId="529F5A57">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最小年降水量</w:t>
            </w:r>
          </w:p>
        </w:tc>
        <w:tc>
          <w:tcPr>
            <w:tcW w:w="3864" w:type="dxa"/>
            <w:vAlign w:val="center"/>
          </w:tcPr>
          <w:p w14:paraId="46599119">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1634.8mm</w:t>
            </w:r>
          </w:p>
        </w:tc>
      </w:tr>
      <w:tr w14:paraId="54A528C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76" w:type="dxa"/>
            <w:vMerge w:val="restart"/>
            <w:vAlign w:val="center"/>
          </w:tcPr>
          <w:p w14:paraId="739A0FB8">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风向和频率</w:t>
            </w:r>
          </w:p>
        </w:tc>
        <w:tc>
          <w:tcPr>
            <w:tcW w:w="3864" w:type="dxa"/>
            <w:vAlign w:val="center"/>
          </w:tcPr>
          <w:p w14:paraId="785A0B23">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全年主导风向和频率</w:t>
            </w:r>
          </w:p>
        </w:tc>
        <w:tc>
          <w:tcPr>
            <w:tcW w:w="3864" w:type="dxa"/>
            <w:vAlign w:val="center"/>
          </w:tcPr>
          <w:p w14:paraId="316A4350">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N，21%</w:t>
            </w:r>
          </w:p>
        </w:tc>
      </w:tr>
      <w:tr w14:paraId="464D843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76" w:type="dxa"/>
            <w:vMerge w:val="continue"/>
            <w:vAlign w:val="center"/>
          </w:tcPr>
          <w:p w14:paraId="5F1B5162">
            <w:pPr>
              <w:adjustRightInd w:val="0"/>
              <w:snapToGrid w:val="0"/>
              <w:jc w:val="center"/>
              <w:rPr>
                <w:rFonts w:ascii="Times New Roman" w:hAnsi="Times New Roman"/>
                <w:szCs w:val="21"/>
              </w:rPr>
            </w:pPr>
          </w:p>
        </w:tc>
        <w:tc>
          <w:tcPr>
            <w:tcW w:w="3864" w:type="dxa"/>
            <w:vAlign w:val="center"/>
          </w:tcPr>
          <w:p w14:paraId="360E01AE">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静风频率</w:t>
            </w:r>
          </w:p>
        </w:tc>
        <w:tc>
          <w:tcPr>
            <w:tcW w:w="3864" w:type="dxa"/>
            <w:vAlign w:val="center"/>
          </w:tcPr>
          <w:p w14:paraId="52634B53">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5.70%</w:t>
            </w:r>
          </w:p>
        </w:tc>
      </w:tr>
      <w:tr w14:paraId="7E49807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76" w:type="dxa"/>
            <w:vMerge w:val="restart"/>
            <w:vAlign w:val="center"/>
          </w:tcPr>
          <w:p w14:paraId="26D55239">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风速</w:t>
            </w:r>
          </w:p>
        </w:tc>
        <w:tc>
          <w:tcPr>
            <w:tcW w:w="3864" w:type="dxa"/>
            <w:vAlign w:val="center"/>
          </w:tcPr>
          <w:p w14:paraId="60C0294D">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平均风速</w:t>
            </w:r>
          </w:p>
        </w:tc>
        <w:tc>
          <w:tcPr>
            <w:tcW w:w="3864" w:type="dxa"/>
            <w:vAlign w:val="center"/>
          </w:tcPr>
          <w:p w14:paraId="46FD4B95">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2.2m/s</w:t>
            </w:r>
          </w:p>
        </w:tc>
      </w:tr>
      <w:tr w14:paraId="38059CE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76" w:type="dxa"/>
            <w:vMerge w:val="continue"/>
            <w:vAlign w:val="center"/>
          </w:tcPr>
          <w:p w14:paraId="64D19624">
            <w:pPr>
              <w:adjustRightInd w:val="0"/>
              <w:snapToGrid w:val="0"/>
              <w:jc w:val="center"/>
              <w:rPr>
                <w:rFonts w:ascii="Times New Roman" w:hAnsi="Times New Roman"/>
                <w:szCs w:val="21"/>
              </w:rPr>
            </w:pPr>
          </w:p>
        </w:tc>
        <w:tc>
          <w:tcPr>
            <w:tcW w:w="3864" w:type="dxa"/>
            <w:vAlign w:val="center"/>
          </w:tcPr>
          <w:p w14:paraId="5779BF50">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极大风速及出现时间</w:t>
            </w:r>
          </w:p>
        </w:tc>
        <w:tc>
          <w:tcPr>
            <w:tcW w:w="3864" w:type="dxa"/>
            <w:vAlign w:val="center"/>
          </w:tcPr>
          <w:p w14:paraId="74AD50E7">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24.6m/s （出现时间：2019.9.14）</w:t>
            </w:r>
          </w:p>
        </w:tc>
      </w:tr>
    </w:tbl>
    <w:p w14:paraId="4A608AC1">
      <w:pPr>
        <w:snapToGrid w:val="0"/>
        <w:spacing w:line="360" w:lineRule="auto"/>
        <w:ind w:firstLine="480"/>
        <w:rPr>
          <w:rFonts w:ascii="Times New Roman" w:hAnsi="Times New Roman"/>
          <w:sz w:val="24"/>
          <w:szCs w:val="24"/>
        </w:rPr>
      </w:pPr>
    </w:p>
    <w:p w14:paraId="74B7E33B">
      <w:pPr>
        <w:spacing w:line="360" w:lineRule="auto"/>
        <w:ind w:firstLine="482" w:firstLineChars="200"/>
        <w:rPr>
          <w:rFonts w:ascii="Times New Roman" w:hAnsi="Times New Roman"/>
          <w:b/>
          <w:bCs/>
          <w:sz w:val="24"/>
          <w:szCs w:val="24"/>
        </w:rPr>
      </w:pPr>
      <w:r>
        <w:rPr>
          <w:rFonts w:ascii="Times New Roman" w:hAnsi="Times New Roman"/>
          <w:b/>
          <w:bCs/>
          <w:sz w:val="24"/>
          <w:szCs w:val="24"/>
        </w:rPr>
        <w:t>（1）气温</w:t>
      </w:r>
    </w:p>
    <w:p w14:paraId="4D953576">
      <w:pPr>
        <w:spacing w:line="360" w:lineRule="auto"/>
        <w:ind w:firstLine="480" w:firstLineChars="200"/>
        <w:rPr>
          <w:rFonts w:ascii="Times New Roman" w:hAnsi="Times New Roman"/>
          <w:sz w:val="24"/>
          <w:szCs w:val="24"/>
        </w:rPr>
      </w:pPr>
      <w:r>
        <w:rPr>
          <w:rFonts w:ascii="Times New Roman" w:hAnsi="Times New Roman"/>
          <w:sz w:val="24"/>
          <w:szCs w:val="24"/>
        </w:rPr>
        <w:t>根据钦州气象站的统计资料，钦州气象站累年月平均气温7月气温最高（28.84℃），1月气温最低（14.07℃）。累年极端最高气温为36.8℃，极值出现在2005年7月19日（37.9℃），累年极端最低气温为5.0℃，极值出现在2016年1月24日（1.6℃）。近20年气温无明显变化趋势，2015年年平均气温最高（23.80℃），2011年年平均气温最低（22.20℃），周期为5年。</w:t>
      </w:r>
    </w:p>
    <w:p w14:paraId="7030C06A">
      <w:pPr>
        <w:spacing w:line="360" w:lineRule="auto"/>
        <w:ind w:firstLine="482" w:firstLineChars="200"/>
        <w:rPr>
          <w:rFonts w:ascii="Times New Roman" w:hAnsi="Times New Roman"/>
          <w:b/>
          <w:bCs/>
          <w:sz w:val="24"/>
          <w:szCs w:val="24"/>
        </w:rPr>
      </w:pPr>
      <w:r>
        <w:rPr>
          <w:rFonts w:ascii="Times New Roman" w:hAnsi="Times New Roman"/>
          <w:b/>
          <w:bCs/>
          <w:sz w:val="24"/>
          <w:szCs w:val="24"/>
        </w:rPr>
        <w:t>（2）降水</w:t>
      </w:r>
    </w:p>
    <w:p w14:paraId="19528677">
      <w:pPr>
        <w:spacing w:line="360" w:lineRule="auto"/>
        <w:ind w:firstLine="480" w:firstLineChars="200"/>
        <w:rPr>
          <w:rFonts w:ascii="Times New Roman" w:hAnsi="Times New Roman"/>
          <w:sz w:val="24"/>
          <w:szCs w:val="24"/>
        </w:rPr>
      </w:pPr>
      <w:r>
        <w:rPr>
          <w:rFonts w:ascii="Times New Roman" w:hAnsi="Times New Roman"/>
          <w:sz w:val="24"/>
          <w:szCs w:val="24"/>
        </w:rPr>
        <w:t>本项目所在的区域雨量充沛，多年平均降水量为2057.7 mm，平均降水日数在169.8 d至135.5 d。降水量的季节变化很大，全年降水量多集中在4～10月份，约占全年雨量的90%，雨量高峰期相对集中在6～8月，这三个月的雨量占全年雨量的57%。据多年钦州市气象站降水资料统计可知，历史年最大降水量为2807.7 mm（1970年），月最大降雨量为848.7mm，一日最大降雨量为313mm（出现在1985年8月28日），一小时降水量最大达99.6mm（1962年6月7日）。年最小降水量为1255.2mm（1977年）。犀牛脚最大年降雨量为2824.7mm（1987年），最少年降雨量为1232.6 mm（1962年）。</w:t>
      </w:r>
    </w:p>
    <w:p w14:paraId="0DFD42B3">
      <w:pPr>
        <w:spacing w:line="360" w:lineRule="auto"/>
        <w:ind w:firstLine="482" w:firstLineChars="200"/>
        <w:rPr>
          <w:rFonts w:ascii="Times New Roman" w:hAnsi="Times New Roman"/>
          <w:b/>
          <w:bCs/>
          <w:sz w:val="24"/>
          <w:szCs w:val="24"/>
        </w:rPr>
      </w:pPr>
      <w:r>
        <w:rPr>
          <w:rFonts w:ascii="Times New Roman" w:hAnsi="Times New Roman"/>
          <w:b/>
          <w:bCs/>
          <w:sz w:val="24"/>
          <w:szCs w:val="24"/>
        </w:rPr>
        <w:t>（3）风况</w:t>
      </w:r>
    </w:p>
    <w:p w14:paraId="47F47ABC">
      <w:pPr>
        <w:spacing w:line="360" w:lineRule="auto"/>
        <w:ind w:firstLine="480" w:firstLineChars="200"/>
        <w:rPr>
          <w:rFonts w:ascii="Times New Roman" w:hAnsi="Times New Roman"/>
          <w:sz w:val="24"/>
          <w:szCs w:val="24"/>
        </w:rPr>
      </w:pPr>
      <w:r>
        <w:rPr>
          <w:rFonts w:ascii="Times New Roman" w:hAnsi="Times New Roman"/>
          <w:sz w:val="24"/>
          <w:szCs w:val="24"/>
        </w:rPr>
        <w:t>钦州湾常年盛行风以N为主，S风次之。风向随季节变化明显，9月至次年4月多偏北风，以11月、12月最多；5月至7月多偏南风，以6月、7月最多。常风向为N，频率为22%，强风向为S，频率为13%。夏秋两季（6月至11月）受台风影响，年平均2.4次，最多年份为4次。台风一般由南海进入北部湾，因受到海南岛和雷州半岛的阻挡，风力一般减弱至5-6级，平均每年大于8级的大风日数为12天。多年平均风速2.2m/s，极大风速24.6m/s。</w:t>
      </w:r>
    </w:p>
    <w:p w14:paraId="0915507F">
      <w:pPr>
        <w:spacing w:line="360" w:lineRule="auto"/>
        <w:ind w:firstLine="482" w:firstLineChars="200"/>
        <w:rPr>
          <w:rFonts w:ascii="Times New Roman" w:hAnsi="Times New Roman"/>
          <w:b/>
          <w:bCs/>
          <w:sz w:val="24"/>
          <w:szCs w:val="24"/>
        </w:rPr>
      </w:pPr>
      <w:r>
        <w:rPr>
          <w:rFonts w:ascii="Times New Roman" w:hAnsi="Times New Roman"/>
          <w:b/>
          <w:bCs/>
          <w:sz w:val="24"/>
          <w:szCs w:val="24"/>
        </w:rPr>
        <w:t>（4）相对湿度</w:t>
      </w:r>
    </w:p>
    <w:p w14:paraId="11BDD595">
      <w:pPr>
        <w:spacing w:line="360" w:lineRule="auto"/>
        <w:ind w:firstLine="480" w:firstLineChars="200"/>
        <w:rPr>
          <w:rFonts w:ascii="Times New Roman" w:hAnsi="Times New Roman"/>
          <w:sz w:val="24"/>
          <w:szCs w:val="24"/>
        </w:rPr>
      </w:pPr>
      <w:r>
        <w:rPr>
          <w:rFonts w:ascii="Times New Roman" w:hAnsi="Times New Roman"/>
          <w:sz w:val="24"/>
          <w:szCs w:val="24"/>
        </w:rPr>
        <w:t>钦州湾的雾以锋面雾和平流雾为主，辐射雾次之。钦州湾的雾日与廉州湾相近，多年平均为13.4d，历年最多雾日达30d，最少为6d。一年中多雾日时段为12月至翌年3月，在此期间月平均雾日为2d至3d。一天中雾主要出现在傍晚至次日清晨。冬春季节，大雾常出现在冷空气南下之前。</w:t>
      </w:r>
    </w:p>
    <w:p w14:paraId="3AB76682">
      <w:pPr>
        <w:spacing w:line="360" w:lineRule="auto"/>
        <w:ind w:firstLine="480" w:firstLineChars="200"/>
        <w:rPr>
          <w:rFonts w:ascii="Times New Roman" w:hAnsi="Times New Roman"/>
          <w:sz w:val="24"/>
          <w:szCs w:val="24"/>
        </w:rPr>
      </w:pPr>
      <w:r>
        <w:rPr>
          <w:rFonts w:ascii="Times New Roman" w:hAnsi="Times New Roman"/>
          <w:sz w:val="24"/>
          <w:szCs w:val="24"/>
        </w:rPr>
        <w:t>区域相对湿度以春季3月和雨季6～8月为最大，10月到次年1月为相对湿度低值期。多年平均相对湿度为82%，历史最大相对湿度达100%，历史最小相对湿度为22%。</w:t>
      </w:r>
    </w:p>
    <w:p w14:paraId="28E4579A">
      <w:pPr>
        <w:spacing w:line="360" w:lineRule="auto"/>
        <w:ind w:firstLine="480" w:firstLineChars="200"/>
        <w:rPr>
          <w:rFonts w:ascii="Times New Roman" w:hAnsi="Times New Roman"/>
          <w:spacing w:val="-2"/>
          <w:kern w:val="0"/>
          <w:sz w:val="24"/>
          <w:szCs w:val="24"/>
        </w:rPr>
      </w:pPr>
      <w:r>
        <w:rPr>
          <w:rFonts w:ascii="Times New Roman" w:hAnsi="Times New Roman"/>
          <w:sz w:val="24"/>
          <w:szCs w:val="24"/>
        </w:rPr>
        <w:t>钦州湾历年平均年蒸发量：1502.9mm，极端最低年蒸发量：1260.5mm。</w:t>
      </w:r>
    </w:p>
    <w:p w14:paraId="5B0188A2">
      <w:pPr>
        <w:pStyle w:val="6"/>
        <w:numPr>
          <w:ilvl w:val="2"/>
          <w:numId w:val="3"/>
        </w:numPr>
      </w:pPr>
      <w:r>
        <w:t>水文</w:t>
      </w:r>
    </w:p>
    <w:p w14:paraId="64E398F3">
      <w:pPr>
        <w:spacing w:line="360" w:lineRule="auto"/>
        <w:ind w:firstLine="482" w:firstLineChars="200"/>
        <w:rPr>
          <w:rFonts w:ascii="Times New Roman" w:hAnsi="Times New Roman"/>
          <w:b/>
          <w:bCs/>
          <w:sz w:val="24"/>
          <w:szCs w:val="24"/>
        </w:rPr>
      </w:pPr>
      <w:r>
        <w:rPr>
          <w:rFonts w:ascii="Times New Roman" w:hAnsi="Times New Roman"/>
          <w:b/>
          <w:bCs/>
          <w:sz w:val="24"/>
          <w:szCs w:val="24"/>
        </w:rPr>
        <w:t>（1）潮汐潮流</w:t>
      </w:r>
    </w:p>
    <w:p w14:paraId="0A6F83EA">
      <w:pPr>
        <w:spacing w:line="360" w:lineRule="auto"/>
        <w:ind w:firstLine="480" w:firstLineChars="200"/>
        <w:rPr>
          <w:rFonts w:ascii="Times New Roman" w:hAnsi="Times New Roman"/>
          <w:sz w:val="24"/>
          <w:szCs w:val="24"/>
        </w:rPr>
      </w:pPr>
      <w:r>
        <w:rPr>
          <w:rFonts w:ascii="Times New Roman" w:hAnsi="Times New Roman"/>
          <w:sz w:val="24"/>
          <w:szCs w:val="24"/>
        </w:rPr>
        <w:t>钦州湾水域潮汐属不正规全日潮，潮流运动形式为往复流，流向基本与岸线和深槽走向一致，基本沿湾岸流动。涨潮流方向主要为270°～360°之间；落潮流方向在90°～180°之间。根据实测资料，落潮历时大于涨潮历时，夏季大潮落潮历时、涨潮历时分别为13h50min和11h11min，中潮分别为7h50min和6h28min，小潮分别为6h03min和6h07min。冬季大潮分别为14h01min和10h50min，中潮分别为15h09min和9h36min，小潮分别为6h02min和6h20min。多年平均涨潮历时10h29 min，多年平均落潮历时7h47 min。</w:t>
      </w:r>
    </w:p>
    <w:p w14:paraId="73244F1E">
      <w:pPr>
        <w:spacing w:line="360" w:lineRule="auto"/>
        <w:ind w:firstLine="480" w:firstLineChars="200"/>
        <w:rPr>
          <w:rFonts w:ascii="Times New Roman" w:hAnsi="Times New Roman"/>
          <w:sz w:val="24"/>
          <w:szCs w:val="24"/>
        </w:rPr>
      </w:pPr>
      <w:r>
        <w:rPr>
          <w:rFonts w:ascii="Times New Roman" w:hAnsi="Times New Roman"/>
          <w:sz w:val="24"/>
          <w:szCs w:val="24"/>
        </w:rPr>
        <w:t>落潮平均流速大于涨潮平均流速，其平均比值为1.3。平均流速，自北向南水流强度逐渐减弱。钦州湾内涨潮平均流速为0.08～0.28m/s；落潮平均流速为0.09～0.55m/s。实测最大涨潮流流速83cm/s，流向339；实测最大落潮流速为140cm/s，流向为152，均出现在青菜头附近。</w:t>
      </w:r>
    </w:p>
    <w:p w14:paraId="52FC2B0F">
      <w:pPr>
        <w:spacing w:line="360" w:lineRule="auto"/>
        <w:ind w:firstLine="480" w:firstLineChars="200"/>
        <w:rPr>
          <w:rFonts w:ascii="Times New Roman" w:hAnsi="Times New Roman"/>
          <w:sz w:val="24"/>
          <w:szCs w:val="24"/>
        </w:rPr>
      </w:pPr>
      <w:r>
        <w:rPr>
          <w:rFonts w:ascii="Times New Roman" w:hAnsi="Times New Roman"/>
          <w:sz w:val="24"/>
          <w:szCs w:val="24"/>
        </w:rPr>
        <w:t>涨潮流速，呈现从表层至底层逐渐减小的趋势，落潮流速呈现中间最大，表层次之，底层最小的分布趋势，流速垂向的梯度，涨潮大于落潮。</w:t>
      </w:r>
    </w:p>
    <w:p w14:paraId="2F0CAD5A">
      <w:pPr>
        <w:spacing w:line="360" w:lineRule="auto"/>
        <w:ind w:firstLine="482" w:firstLineChars="200"/>
        <w:rPr>
          <w:rFonts w:ascii="Times New Roman" w:hAnsi="Times New Roman"/>
          <w:b/>
          <w:bCs/>
          <w:sz w:val="24"/>
          <w:szCs w:val="24"/>
        </w:rPr>
      </w:pPr>
      <w:r>
        <w:rPr>
          <w:rFonts w:ascii="Times New Roman" w:hAnsi="Times New Roman"/>
          <w:b/>
          <w:bCs/>
          <w:sz w:val="24"/>
          <w:szCs w:val="24"/>
        </w:rPr>
        <w:t>（2）波浪</w:t>
      </w:r>
    </w:p>
    <w:p w14:paraId="14631370">
      <w:pPr>
        <w:spacing w:line="360" w:lineRule="auto"/>
        <w:ind w:firstLine="480" w:firstLineChars="200"/>
        <w:rPr>
          <w:rFonts w:ascii="Times New Roman" w:hAnsi="Times New Roman"/>
          <w:sz w:val="24"/>
          <w:szCs w:val="24"/>
        </w:rPr>
      </w:pPr>
      <w:r>
        <w:rPr>
          <w:rFonts w:ascii="Times New Roman" w:hAnsi="Times New Roman"/>
          <w:sz w:val="24"/>
          <w:szCs w:val="24"/>
        </w:rPr>
        <w:t>北部湾海域是一个半封闭海域，西临中南半岛，北面为广西大陆，东、南面分别受雷州半岛和海南掩护，海域掩护条件较好，波动能力相对较弱。根据广西水文局钦州分局设在三娘湾的波浪站（108°46′E，20°36′N）1991年～2002年海浪观测资料，本海区波浪以风浪为主，常浪向为SSW向、频率占17.67%，其次是NNE向、频率为17.2%；强浪向为SSW向，次强浪向为S向和NE向；本海区实测最大波高为3.4m，波向为ESE向；实测最大周期为6.8s。据统计，本区波级小于0.5m的发生频率为66.37%，波高小于1.0m发生频率为96.21%，大于1.5m波高出现频率仅为1.1%。</w:t>
      </w:r>
    </w:p>
    <w:p w14:paraId="37ED7CF0">
      <w:pPr>
        <w:spacing w:line="360" w:lineRule="auto"/>
        <w:ind w:firstLine="482" w:firstLineChars="200"/>
        <w:rPr>
          <w:rFonts w:ascii="Times New Roman" w:hAnsi="Times New Roman"/>
          <w:b/>
          <w:bCs/>
          <w:sz w:val="24"/>
          <w:szCs w:val="24"/>
        </w:rPr>
      </w:pPr>
      <w:r>
        <w:rPr>
          <w:rFonts w:ascii="Times New Roman" w:hAnsi="Times New Roman"/>
          <w:b/>
          <w:bCs/>
          <w:sz w:val="24"/>
          <w:szCs w:val="24"/>
        </w:rPr>
        <w:t>（3）泥沙</w:t>
      </w:r>
    </w:p>
    <w:p w14:paraId="2CDEE771">
      <w:pPr>
        <w:spacing w:line="360" w:lineRule="auto"/>
        <w:ind w:firstLine="480" w:firstLineChars="200"/>
        <w:rPr>
          <w:rFonts w:ascii="Times New Roman" w:hAnsi="Times New Roman"/>
          <w:sz w:val="24"/>
          <w:szCs w:val="24"/>
        </w:rPr>
      </w:pPr>
      <w:r>
        <w:rPr>
          <w:rFonts w:ascii="Times New Roman" w:hAnsi="Times New Roman"/>
          <w:sz w:val="24"/>
          <w:szCs w:val="24"/>
        </w:rPr>
        <w:t>钦州湾悬沙来源于陆相来沙和海相来沙。</w:t>
      </w:r>
    </w:p>
    <w:p w14:paraId="7E61B53C">
      <w:pPr>
        <w:spacing w:line="360" w:lineRule="auto"/>
        <w:ind w:firstLine="480" w:firstLineChars="200"/>
        <w:rPr>
          <w:rFonts w:ascii="Times New Roman" w:hAnsi="Times New Roman"/>
          <w:sz w:val="24"/>
          <w:szCs w:val="24"/>
        </w:rPr>
      </w:pPr>
      <w:r>
        <w:rPr>
          <w:rFonts w:ascii="Times New Roman" w:hAnsi="Times New Roman"/>
          <w:sz w:val="24"/>
          <w:szCs w:val="24"/>
        </w:rPr>
        <w:t>陆相来沙数量取决于注入钦州湾的茅岭江和钦江径流输沙量。入湾江河来沙量表现出明显的季节性变化，夏季大冬季小：以注入茅尾海的钦江为例，夏季输沙年均30.14万吨，冬季输沙年均仅为0.52万吨。茅尾海实际上为以钦江、茅岭江为主要入湾径流的共同河口海滨区，入</w:t>
      </w:r>
      <w:r>
        <w:rPr>
          <w:rFonts w:hint="eastAsia" w:ascii="Times New Roman" w:hAnsi="Times New Roman"/>
          <w:sz w:val="24"/>
          <w:szCs w:val="24"/>
          <w:lang w:eastAsia="zh-CN"/>
        </w:rPr>
        <w:t>湾</w:t>
      </w:r>
      <w:r>
        <w:rPr>
          <w:rFonts w:ascii="Times New Roman" w:hAnsi="Times New Roman"/>
          <w:sz w:val="24"/>
          <w:szCs w:val="24"/>
        </w:rPr>
        <w:t>径流受到潮汐通道的海水顶托并与之混合，所携悬沙大部分沉积在内湾，而不易向外湾及湾外海区扩散。</w:t>
      </w:r>
    </w:p>
    <w:p w14:paraId="0572C12D">
      <w:pPr>
        <w:spacing w:line="360" w:lineRule="auto"/>
        <w:ind w:firstLine="480" w:firstLineChars="200"/>
        <w:rPr>
          <w:rFonts w:ascii="Times New Roman" w:hAnsi="Times New Roman"/>
          <w:sz w:val="24"/>
          <w:szCs w:val="24"/>
        </w:rPr>
      </w:pPr>
      <w:r>
        <w:rPr>
          <w:rFonts w:ascii="Times New Roman" w:hAnsi="Times New Roman"/>
          <w:sz w:val="24"/>
          <w:szCs w:val="24"/>
        </w:rPr>
        <w:t>浅海区域的泥沙以海相来沙为主。夏季盛行偏南风（向岸），波浪掀沙作用在浅海区域较为强烈，在风浪及潮流的共同作用下，形成含沙量较高的水体并使泥沙不断向近岸输移。冬季盛行偏北风（离岸），波浪掀沙作用较弱，水体含沙量明显小于夏季，其值相差一个量级。此外，以潮流脊（槽）体系为主的水下浅滩和近岸浅滩，其床面物质中的细颗粒</w:t>
      </w:r>
      <w:r>
        <w:rPr>
          <w:rFonts w:hint="eastAsia" w:ascii="Times New Roman" w:hAnsi="Times New Roman"/>
          <w:sz w:val="24"/>
          <w:szCs w:val="24"/>
          <w:lang w:eastAsia="zh-CN"/>
        </w:rPr>
        <w:t>成分在</w:t>
      </w:r>
      <w:r>
        <w:rPr>
          <w:rFonts w:ascii="Times New Roman" w:hAnsi="Times New Roman"/>
          <w:sz w:val="24"/>
          <w:szCs w:val="24"/>
        </w:rPr>
        <w:t>（风）浪、潮作用下，亦可被掀动并随潮流迁移。</w:t>
      </w:r>
    </w:p>
    <w:p w14:paraId="1E6990EC">
      <w:pPr>
        <w:spacing w:line="360" w:lineRule="auto"/>
        <w:ind w:firstLine="480" w:firstLineChars="200"/>
        <w:rPr>
          <w:rFonts w:ascii="Times New Roman" w:hAnsi="Times New Roman"/>
          <w:sz w:val="24"/>
          <w:szCs w:val="24"/>
        </w:rPr>
      </w:pPr>
      <w:r>
        <w:rPr>
          <w:rFonts w:ascii="Times New Roman" w:hAnsi="Times New Roman"/>
          <w:sz w:val="24"/>
          <w:szCs w:val="24"/>
        </w:rPr>
        <w:t>在上述风浪、潮流和径流的动力背景下，钦州湾的水体悬移质含量在时空分布上有明显的特点。夏季，径流携沙量大，自茅尾海中部至潮汐通道汇合口，水体含沙量略减（由涨潮时0.090g/L、落潮时0.114g/L，减为涨潮时0.055g/L、落潮时0.078g/L）。据海岸带调查资料，最大含沙量由潮汐通道至外湾近湾顶处几乎不变甚至稍有增大（涨潮时0.058g/L、落潮时0.075g/L）；自外湾湾顶向外（以西水道附近为例）至5m水深处，含沙量又有所增加（底层涨潮时0.065g/L、落潮时0.095g/L）；再向海含沙量又下降且涨潮时比落潮时含沙量大（15m水深处，底层涨潮时0.056g/L、落潮时0.042g/L）。冬季，径流携沙量少，自茅尾海上部至潮汐通道汇合口，水流束窄，水体含沙量略增（由涨潮时0.0070g/L、落潮时0.013g/L，增为涨潮时0.0112g/L、落潮时0.0138g/L），含沙量自潮汐通道向外湾近湾顶处锐减，且涨、落潮含沙量接近（涨潮时0.0013g/L、落潮时0.0016g/L）；自外湾湾顶向外（以西水道附近为例）至5m水深处，含沙量有较大增幅（底层涨潮时0.0023g/L、落潮时0.0080g/L）；再向海含沙量又下降（15m水深处，底层涨潮时0.0009g/L、落潮时0.0044g/L）。</w:t>
      </w:r>
    </w:p>
    <w:p w14:paraId="52E982B4">
      <w:pPr>
        <w:spacing w:line="360" w:lineRule="auto"/>
        <w:ind w:firstLine="474" w:firstLineChars="200"/>
        <w:rPr>
          <w:rFonts w:ascii="Times New Roman" w:hAnsi="Times New Roman"/>
          <w:b/>
          <w:bCs/>
          <w:spacing w:val="-2"/>
          <w:kern w:val="0"/>
          <w:sz w:val="24"/>
          <w:szCs w:val="24"/>
        </w:rPr>
      </w:pPr>
      <w:r>
        <w:rPr>
          <w:rFonts w:ascii="Times New Roman" w:hAnsi="Times New Roman"/>
          <w:b/>
          <w:bCs/>
          <w:spacing w:val="-2"/>
          <w:kern w:val="0"/>
          <w:sz w:val="24"/>
          <w:szCs w:val="24"/>
        </w:rPr>
        <w:t>（4）地表水</w:t>
      </w:r>
    </w:p>
    <w:p w14:paraId="63480C7B">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钦州境内河流众多，计有大小独流入海河流32条，河流总长2794 km，河网密度为0.6 km/km</w:t>
      </w:r>
      <w:r>
        <w:rPr>
          <w:rFonts w:ascii="Times New Roman" w:hAnsi="Times New Roman"/>
          <w:spacing w:val="-2"/>
          <w:kern w:val="0"/>
          <w:sz w:val="24"/>
          <w:szCs w:val="24"/>
          <w:vertAlign w:val="superscript"/>
        </w:rPr>
        <w:t>2</w:t>
      </w:r>
      <w:r>
        <w:rPr>
          <w:rFonts w:ascii="Times New Roman" w:hAnsi="Times New Roman"/>
          <w:spacing w:val="-2"/>
          <w:kern w:val="0"/>
          <w:sz w:val="24"/>
          <w:szCs w:val="24"/>
        </w:rPr>
        <w:t>。流域面积在1800km</w:t>
      </w:r>
      <w:r>
        <w:rPr>
          <w:rFonts w:ascii="Times New Roman" w:hAnsi="Times New Roman"/>
          <w:spacing w:val="-2"/>
          <w:kern w:val="0"/>
          <w:sz w:val="24"/>
          <w:szCs w:val="24"/>
          <w:vertAlign w:val="superscript"/>
        </w:rPr>
        <w:t>2</w:t>
      </w:r>
      <w:r>
        <w:rPr>
          <w:rFonts w:ascii="Times New Roman" w:hAnsi="Times New Roman"/>
          <w:spacing w:val="-2"/>
          <w:kern w:val="0"/>
          <w:sz w:val="24"/>
          <w:szCs w:val="24"/>
        </w:rPr>
        <w:t>以上的河流主要有钦江、茅岭江和大风江，均属桂南沿海独流入海水系。三条江在市境内干流总长307.4 km，市内流域面积4164km</w:t>
      </w:r>
      <w:r>
        <w:rPr>
          <w:rFonts w:ascii="Times New Roman" w:hAnsi="Times New Roman"/>
          <w:spacing w:val="-2"/>
          <w:kern w:val="0"/>
          <w:sz w:val="24"/>
          <w:szCs w:val="24"/>
          <w:vertAlign w:val="superscript"/>
        </w:rPr>
        <w:t>2</w:t>
      </w:r>
      <w:r>
        <w:rPr>
          <w:rFonts w:ascii="Times New Roman" w:hAnsi="Times New Roman"/>
          <w:spacing w:val="-2"/>
          <w:kern w:val="0"/>
          <w:sz w:val="24"/>
          <w:szCs w:val="24"/>
        </w:rPr>
        <w:t>，年总径流量64.8亿m</w:t>
      </w:r>
      <w:r>
        <w:rPr>
          <w:rFonts w:ascii="Times New Roman" w:hAnsi="Times New Roman"/>
          <w:spacing w:val="-2"/>
          <w:kern w:val="0"/>
          <w:sz w:val="24"/>
          <w:szCs w:val="24"/>
          <w:vertAlign w:val="superscript"/>
        </w:rPr>
        <w:t>3</w:t>
      </w:r>
      <w:r>
        <w:rPr>
          <w:rFonts w:ascii="Times New Roman" w:hAnsi="Times New Roman"/>
          <w:spacing w:val="-2"/>
          <w:kern w:val="0"/>
          <w:sz w:val="24"/>
          <w:szCs w:val="24"/>
        </w:rPr>
        <w:t>/年。</w:t>
      </w:r>
    </w:p>
    <w:p w14:paraId="5E13A366">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流入钦州湾的河流有钦江、茅岭江、金鼓江、鹿耳环江等。其中，钦江和茅岭江为流入钦州湾的主要河流，且为常年河流，它们分别从东北、西北向汇入钦州湾海域，对钦州湾及其邻近水域的泥沙来源、航道、污染和水文环境等都有重要的影响。金鼓江、鹿耳环江为海岔，其水文状况受海洋潮汐影响极大。项目位于大榄坪海岛内，大榄坪海岛属波状丘陵地貌区，四周均为地表水体环绕，鹿耳环江和金鼓江分别位于东西两侧，项目评价区东面800m为鹿耳环江，鹿耳环江流入钦州湾海域。鹿耳环江属感潮河段，河水明显受钦州湾潮汐影响。</w:t>
      </w:r>
    </w:p>
    <w:p w14:paraId="32705C4B">
      <w:pPr>
        <w:spacing w:line="360" w:lineRule="auto"/>
        <w:ind w:firstLine="474" w:firstLineChars="200"/>
        <w:rPr>
          <w:rFonts w:ascii="Times New Roman" w:hAnsi="Times New Roman"/>
          <w:b/>
          <w:bCs/>
          <w:spacing w:val="-2"/>
          <w:kern w:val="0"/>
          <w:sz w:val="24"/>
          <w:szCs w:val="24"/>
        </w:rPr>
      </w:pPr>
      <w:r>
        <w:rPr>
          <w:rFonts w:ascii="Times New Roman" w:hAnsi="Times New Roman"/>
          <w:b/>
          <w:bCs/>
          <w:spacing w:val="-2"/>
          <w:kern w:val="0"/>
          <w:sz w:val="24"/>
          <w:szCs w:val="24"/>
        </w:rPr>
        <w:t>（5）地下水</w:t>
      </w:r>
    </w:p>
    <w:p w14:paraId="403FF49C">
      <w:pPr>
        <w:spacing w:line="360" w:lineRule="auto"/>
        <w:ind w:firstLine="472" w:firstLineChars="200"/>
        <w:rPr>
          <w:rFonts w:ascii="Times New Roman" w:hAnsi="Times New Roman"/>
          <w:spacing w:val="-2"/>
          <w:kern w:val="0"/>
          <w:sz w:val="24"/>
          <w:szCs w:val="24"/>
        </w:rPr>
      </w:pPr>
      <w:bookmarkStart w:id="144" w:name="_Hlk187220019"/>
      <w:r>
        <w:rPr>
          <w:rFonts w:hint="eastAsia" w:ascii="Times New Roman" w:hAnsi="Times New Roman"/>
          <w:spacing w:val="-2"/>
          <w:kern w:val="0"/>
          <w:sz w:val="24"/>
          <w:szCs w:val="24"/>
        </w:rPr>
        <w:t>项目所在地的广西钦州保税港区用地原为海域，现状地形是经人工吹填砂形成，水文地质条件受吹填施工过程的影响较大，水文地质发展规律与自然地貌形成规律相关性很低，填海区亦无水文地质历史资料。区域的水文地质概况参考目前与填海成陆区相接壤的区域的水文地质资料，</w:t>
      </w:r>
      <w:r>
        <w:rPr>
          <w:rFonts w:ascii="Times New Roman" w:hAnsi="Times New Roman"/>
          <w:spacing w:val="-2"/>
          <w:kern w:val="0"/>
          <w:sz w:val="24"/>
          <w:szCs w:val="24"/>
        </w:rPr>
        <w:t>根据区域1/20万钦州幅水文地图分析，钦州市地下水类型主要为松散岩类孔隙水、碎屑岩类裂隙孔隙水、泥质粉砂岩类构造裂隙水和基岩裂隙水等四大类型。区域地下水主要为碎屑岩类裂隙孔隙水，地下水补给主要是降雨的垂直补给和地表水侧向补给，其径流排泄总体上是由北向南。</w:t>
      </w:r>
      <w:bookmarkEnd w:id="144"/>
    </w:p>
    <w:p w14:paraId="1B9173BA">
      <w:pPr>
        <w:spacing w:line="360" w:lineRule="auto"/>
        <w:ind w:firstLine="472" w:firstLineChars="200"/>
        <w:rPr>
          <w:rFonts w:ascii="Times New Roman" w:hAnsi="Times New Roman"/>
          <w:spacing w:val="-2"/>
          <w:kern w:val="0"/>
          <w:sz w:val="24"/>
          <w:szCs w:val="24"/>
          <w:u w:val="single"/>
        </w:rPr>
      </w:pPr>
      <w:r>
        <w:rPr>
          <w:rFonts w:hint="eastAsia" w:ascii="Times New Roman" w:hAnsi="Times New Roman"/>
          <w:spacing w:val="-2"/>
          <w:kern w:val="0"/>
          <w:sz w:val="24"/>
          <w:szCs w:val="24"/>
          <w:u w:val="single"/>
        </w:rPr>
        <w:t>项目所在区域周边无村屯或居住区，区域水源使用自来水，项目周边及下游无地下水开采单位，无饮用水取水水井。</w:t>
      </w:r>
    </w:p>
    <w:p w14:paraId="36116F2D">
      <w:pPr>
        <w:pStyle w:val="6"/>
        <w:numPr>
          <w:ilvl w:val="2"/>
          <w:numId w:val="3"/>
        </w:numPr>
        <w:rPr>
          <w:szCs w:val="24"/>
        </w:rPr>
      </w:pPr>
      <w:r>
        <w:rPr>
          <w:szCs w:val="24"/>
        </w:rPr>
        <w:t>自然资源</w:t>
      </w:r>
    </w:p>
    <w:p w14:paraId="55E2EB8F">
      <w:pPr>
        <w:spacing w:line="360" w:lineRule="auto"/>
        <w:ind w:firstLine="482" w:firstLineChars="200"/>
        <w:rPr>
          <w:rFonts w:ascii="Times New Roman" w:hAnsi="Times New Roman"/>
          <w:b/>
          <w:bCs/>
          <w:sz w:val="24"/>
          <w:szCs w:val="24"/>
        </w:rPr>
      </w:pPr>
      <w:r>
        <w:rPr>
          <w:rFonts w:ascii="Times New Roman" w:hAnsi="Times New Roman"/>
          <w:b/>
          <w:bCs/>
          <w:sz w:val="24"/>
          <w:szCs w:val="24"/>
        </w:rPr>
        <w:t>（1）土壤资源</w:t>
      </w:r>
    </w:p>
    <w:p w14:paraId="7D73C176">
      <w:pPr>
        <w:spacing w:line="360" w:lineRule="auto"/>
        <w:ind w:firstLine="480" w:firstLineChars="200"/>
        <w:rPr>
          <w:rFonts w:ascii="Times New Roman" w:hAnsi="Times New Roman"/>
          <w:sz w:val="24"/>
          <w:szCs w:val="24"/>
        </w:rPr>
      </w:pPr>
      <w:r>
        <w:rPr>
          <w:rFonts w:ascii="Times New Roman" w:hAnsi="Times New Roman"/>
          <w:sz w:val="24"/>
          <w:szCs w:val="24"/>
        </w:rPr>
        <w:t>钦州市土壤的成土母岩和母质主要有砂页岩、花岗岩、砂岩、紫色岩系、浅海沉积物、第四纪红土和河流冲积物等七种，此外还有页岩、粉砂岩、灰岩、石灰岩等。由于成土母质较多，形成的土壤种类也较多。成土母质主要是沙页岩与花岗岩，呈带状相间分布。地势平缓，大部分已垦殖为耕作土壤。其分布规律是：从垌田到丘陵依次为沙页岩或花岗岩母质潴育性水稻土‐淹育性水稻土‐耕型沙页岩或花岗岩赤（砖）红壤‐沙页岩或花岗岩赤（砖）红岩（林业土壤）。</w:t>
      </w:r>
    </w:p>
    <w:p w14:paraId="5CD1B703">
      <w:pPr>
        <w:spacing w:line="360" w:lineRule="auto"/>
        <w:ind w:firstLine="482" w:firstLineChars="200"/>
        <w:rPr>
          <w:rFonts w:ascii="Times New Roman" w:hAnsi="Times New Roman"/>
          <w:b/>
          <w:bCs/>
          <w:sz w:val="24"/>
          <w:szCs w:val="24"/>
        </w:rPr>
      </w:pPr>
      <w:r>
        <w:rPr>
          <w:rFonts w:ascii="Times New Roman" w:hAnsi="Times New Roman"/>
          <w:b/>
          <w:bCs/>
          <w:sz w:val="24"/>
          <w:szCs w:val="24"/>
        </w:rPr>
        <w:t>（2）矿产资源</w:t>
      </w:r>
    </w:p>
    <w:p w14:paraId="7466E4B3">
      <w:pPr>
        <w:spacing w:line="360" w:lineRule="auto"/>
        <w:ind w:firstLine="480" w:firstLineChars="200"/>
        <w:rPr>
          <w:rFonts w:ascii="Times New Roman" w:hAnsi="Times New Roman"/>
          <w:sz w:val="24"/>
          <w:szCs w:val="24"/>
        </w:rPr>
      </w:pPr>
      <w:r>
        <w:rPr>
          <w:rFonts w:ascii="Times New Roman" w:hAnsi="Times New Roman"/>
          <w:sz w:val="24"/>
          <w:szCs w:val="24"/>
        </w:rPr>
        <w:t>钦州市有46种矿产，矿床及矿点共176处，小型规模以上有46处，其中大型石膏矿床一处（钦灵石膏矿床），中型铅锌矿床和稀土矿床各1处，煤、陶瓷土、油页岩、锰、铁、钛、磷、高岭土、水泥用灰岩、水泥配料用页岩、建筑材料用灰岩、建筑材料用花岗岩等矿床130处。已经开发利用的主要矿种有铅锌矿、煤矿、锰矿（氧化锰）、陶瓷土、石膏矿、钛铁砂矿、石灰岩、花岗岩及建筑用砂等。</w:t>
      </w:r>
    </w:p>
    <w:p w14:paraId="2A609579">
      <w:pPr>
        <w:spacing w:line="360" w:lineRule="auto"/>
        <w:ind w:firstLine="480" w:firstLineChars="200"/>
        <w:rPr>
          <w:rFonts w:ascii="Times New Roman" w:hAnsi="Times New Roman"/>
          <w:sz w:val="24"/>
          <w:szCs w:val="24"/>
        </w:rPr>
      </w:pPr>
      <w:r>
        <w:rPr>
          <w:rFonts w:ascii="Times New Roman" w:hAnsi="Times New Roman"/>
          <w:sz w:val="24"/>
          <w:szCs w:val="24"/>
        </w:rPr>
        <w:t>据调查，拟建项目评价区域内未发现可供利用矿床和采矿点。</w:t>
      </w:r>
    </w:p>
    <w:p w14:paraId="565312E8">
      <w:pPr>
        <w:spacing w:line="360" w:lineRule="auto"/>
        <w:ind w:firstLine="482" w:firstLineChars="200"/>
        <w:rPr>
          <w:rFonts w:ascii="Times New Roman" w:hAnsi="Times New Roman"/>
          <w:b/>
          <w:bCs/>
          <w:sz w:val="24"/>
          <w:szCs w:val="24"/>
        </w:rPr>
      </w:pPr>
      <w:r>
        <w:rPr>
          <w:rFonts w:ascii="Times New Roman" w:hAnsi="Times New Roman"/>
          <w:b/>
          <w:bCs/>
          <w:sz w:val="24"/>
          <w:szCs w:val="24"/>
        </w:rPr>
        <w:t>（3）植被资源</w:t>
      </w:r>
    </w:p>
    <w:p w14:paraId="4C0920DA">
      <w:pPr>
        <w:spacing w:line="360" w:lineRule="auto"/>
        <w:ind w:firstLine="480" w:firstLineChars="200"/>
        <w:rPr>
          <w:rFonts w:ascii="Times New Roman" w:hAnsi="Times New Roman"/>
          <w:sz w:val="24"/>
          <w:szCs w:val="24"/>
        </w:rPr>
      </w:pPr>
      <w:r>
        <w:rPr>
          <w:rFonts w:ascii="Times New Roman" w:hAnsi="Times New Roman"/>
          <w:sz w:val="24"/>
          <w:szCs w:val="24"/>
        </w:rPr>
        <w:t>钦州市植被茂盛，天然植被分区属桂南热带雨林和亚热带季雨林区。植被类型和植物群落多种多样，大致分为季雨林、常绿阔叶林、针叶林、针阔叶混交林和稀树矮草等5大类植被类型。植被分布极不平衡，在西部、北部及东部部分地区，原生植被大部分已受</w:t>
      </w:r>
      <w:r>
        <w:rPr>
          <w:rFonts w:hint="eastAsia" w:ascii="Times New Roman" w:hAnsi="Times New Roman"/>
          <w:sz w:val="24"/>
          <w:szCs w:val="24"/>
          <w:lang w:eastAsia="zh-CN"/>
        </w:rPr>
        <w:t>破坏</w:t>
      </w:r>
      <w:r>
        <w:rPr>
          <w:rFonts w:ascii="Times New Roman" w:hAnsi="Times New Roman"/>
          <w:sz w:val="24"/>
          <w:szCs w:val="24"/>
        </w:rPr>
        <w:t>，现有森林是以松、杉树为主的次生杂木林，杂木有椎、樟、楠、荷、格、紫荆等。地表以桃金娘、芒箕群落为主。中南部地区属灌木低草群落，灌木以岗松为主，低草以鸦咀草为主，其次也有桃金娘、芒箕、鹧鸪草等。另在海河交汇处及浅海滩涂分布有热带海岸特有的植被——红树林。</w:t>
      </w:r>
    </w:p>
    <w:p w14:paraId="153E2B7B">
      <w:pPr>
        <w:spacing w:line="360" w:lineRule="auto"/>
        <w:ind w:firstLine="482" w:firstLineChars="200"/>
        <w:rPr>
          <w:rFonts w:ascii="Times New Roman" w:hAnsi="Times New Roman"/>
          <w:b/>
          <w:bCs/>
          <w:sz w:val="24"/>
          <w:szCs w:val="24"/>
        </w:rPr>
      </w:pPr>
      <w:r>
        <w:rPr>
          <w:rFonts w:ascii="Times New Roman" w:hAnsi="Times New Roman"/>
          <w:b/>
          <w:bCs/>
          <w:sz w:val="24"/>
          <w:szCs w:val="24"/>
        </w:rPr>
        <w:t>（4）动物资源</w:t>
      </w:r>
    </w:p>
    <w:p w14:paraId="0D16D0D3">
      <w:pPr>
        <w:spacing w:line="360" w:lineRule="auto"/>
        <w:ind w:firstLine="480" w:firstLineChars="200"/>
        <w:rPr>
          <w:rFonts w:ascii="Times New Roman" w:hAnsi="Times New Roman"/>
          <w:sz w:val="24"/>
          <w:szCs w:val="24"/>
        </w:rPr>
      </w:pPr>
      <w:r>
        <w:rPr>
          <w:rFonts w:ascii="Times New Roman" w:hAnsi="Times New Roman"/>
          <w:sz w:val="24"/>
          <w:szCs w:val="24"/>
        </w:rPr>
        <w:t>钦州市自然分布的陆生野生脊椎动物76科271种。其中，两栖类7种，主要有青蛙、山蛙、沼蛙、蟾蜍等；爬行类21种，主要有眼镜蛇、金环蛇、银环蛇、百步蛇、三素锦蛇、水律蛇、蛤蚧、龟等；鸟类186种，主要有画眉、鹧鸪、鹩哥、鹦鹉、山雀、白鹭、大白鹭、牛背鹭等；哺乳类62种，主要有野猪、豪猪、果子狸、猪獾、抓鸡虎、松鼠、竹鼠等。钦州湾及其邻近海域的多毛类、软体动物、甲壳动物、棘皮动物、底栖鱼类等底栖动物共有800余种，隶属212科478属。经济底栖生物种有马氏珠母贝、杂色鲃、近江牡蛎（大蚝）、花刺参、长助日月贝、花日本日月贝、文蛤和毛蚶等。国家公布的一级、二级陆生野生动物主要分布在浦北县的六万山、钦北区的王岗山及广西茅尾海红树林自治区级自然保护区。</w:t>
      </w:r>
    </w:p>
    <w:p w14:paraId="3F55D88A">
      <w:pPr>
        <w:spacing w:line="360" w:lineRule="auto"/>
        <w:ind w:firstLine="482" w:firstLineChars="200"/>
        <w:rPr>
          <w:rFonts w:ascii="Times New Roman" w:hAnsi="Times New Roman"/>
          <w:b/>
          <w:bCs/>
          <w:sz w:val="24"/>
          <w:szCs w:val="24"/>
        </w:rPr>
      </w:pPr>
      <w:r>
        <w:rPr>
          <w:rFonts w:ascii="Times New Roman" w:hAnsi="Times New Roman"/>
          <w:b/>
          <w:bCs/>
          <w:sz w:val="24"/>
          <w:szCs w:val="24"/>
        </w:rPr>
        <w:t>（5）海洋生物资源</w:t>
      </w:r>
    </w:p>
    <w:p w14:paraId="5B60EE36">
      <w:pPr>
        <w:spacing w:line="360" w:lineRule="auto"/>
        <w:ind w:firstLine="480" w:firstLineChars="200"/>
        <w:rPr>
          <w:rFonts w:ascii="Times New Roman" w:hAnsi="Times New Roman"/>
          <w:sz w:val="24"/>
          <w:szCs w:val="24"/>
        </w:rPr>
      </w:pPr>
      <w:r>
        <w:rPr>
          <w:rFonts w:ascii="Times New Roman" w:hAnsi="Times New Roman"/>
          <w:sz w:val="24"/>
          <w:szCs w:val="24"/>
        </w:rPr>
        <w:t>据资料记载，钦州湾经济价值较高的渔类有60多种，虾蟹类30多种，贝类110种，历来是沿岸群众耕海牧渔的重要场所，许多海产珍品，尤其是四大名产（香港巨牡蛎、青蟹、对虾和石斑鱼）早已驰名中外，作为香港巨牡蛎、青蟹、鲈鱼等重要海水养殖品种的天然产地，每年均向区内外养殖场提供了大量的天然种苗，是中国南方最大的天然大蚝采苗和养殖加工基地，享有“中国大蚝之乡”的美誉。同时，钦州湾还出产鲈鱼、真鲷、黄鳍鲷、黑鲷、二长棘鲷、鱿鱼等。</w:t>
      </w:r>
    </w:p>
    <w:p w14:paraId="309F83C8">
      <w:pPr>
        <w:spacing w:line="360" w:lineRule="auto"/>
        <w:ind w:firstLine="480" w:firstLineChars="200"/>
        <w:rPr>
          <w:rFonts w:ascii="Times New Roman" w:hAnsi="Times New Roman"/>
          <w:sz w:val="24"/>
          <w:szCs w:val="24"/>
        </w:rPr>
      </w:pPr>
      <w:r>
        <w:rPr>
          <w:rFonts w:ascii="Times New Roman" w:hAnsi="Times New Roman"/>
          <w:sz w:val="24"/>
          <w:szCs w:val="24"/>
        </w:rPr>
        <w:t>据调查，钦州市20 m水深以内的浅海有虾类35种，蟹类191种，螺类143种，贝类178种，头足类17种，鱼类326种。其中主要捕捞的鱼类有二长棘鲷、圆腹鲱、棕斑兔头鲀、短吻鱼、斑点马鲛、丽叶鲹、宝刀鱼、鲐鱼、真鲷、白姑鱼、金钱鱼等20余种主要经济鱼类；虾类有须赤虾、刀额新对虾、长足鹰爪虾、日本对虾、长毛对虾、墨吉对虾等10多种经济虾类；还有火枪乌贼、拟目乌贼等3种头足类，此外，香港巨牡蛎、文蛤、毛蚶、方格星虫、锯缘青蟹和江蓠等主要浅海滩涂经济生物分布广泛，资源最大。钦州市浅海鱼类资源量估计为4200 t/a，可捕捞量约为2100 t/a。</w:t>
      </w:r>
    </w:p>
    <w:p w14:paraId="728F544A">
      <w:pPr>
        <w:spacing w:line="360" w:lineRule="auto"/>
        <w:ind w:firstLine="482" w:firstLineChars="200"/>
        <w:rPr>
          <w:rFonts w:ascii="Times New Roman" w:hAnsi="Times New Roman"/>
          <w:b/>
          <w:bCs/>
          <w:sz w:val="24"/>
          <w:szCs w:val="24"/>
        </w:rPr>
      </w:pPr>
      <w:r>
        <w:rPr>
          <w:rFonts w:ascii="Times New Roman" w:hAnsi="Times New Roman"/>
          <w:b/>
          <w:bCs/>
          <w:sz w:val="24"/>
          <w:szCs w:val="24"/>
        </w:rPr>
        <w:t>（6）自然保护区、风景名胜区及文物古迹</w:t>
      </w:r>
    </w:p>
    <w:p w14:paraId="7FA18367">
      <w:pPr>
        <w:spacing w:line="360" w:lineRule="auto"/>
        <w:ind w:firstLine="480" w:firstLineChars="200"/>
        <w:rPr>
          <w:rFonts w:ascii="Times New Roman" w:hAnsi="Times New Roman"/>
          <w:sz w:val="24"/>
          <w:szCs w:val="24"/>
        </w:rPr>
      </w:pPr>
      <w:r>
        <w:rPr>
          <w:rFonts w:ascii="Times New Roman" w:hAnsi="Times New Roman"/>
          <w:sz w:val="24"/>
          <w:szCs w:val="24"/>
        </w:rPr>
        <w:t>钦州市旅游资源丰富，具有独特的人文景观和自然景观。三娘湾旅游景区在北部湾最具发展潜力的旅游胜地，国家AAAA景区；广西茅尾海红树林自治区级自然保护区“七十二泾”被誉为“南国蓬莱”；坐落在钦州市城区的民族英雄刘永福、冯子材故居是国家级重点保护文物单位，国家AAAA景区。</w:t>
      </w:r>
    </w:p>
    <w:p w14:paraId="723B159A">
      <w:pPr>
        <w:spacing w:line="360" w:lineRule="auto"/>
        <w:ind w:firstLine="482" w:firstLineChars="200"/>
        <w:rPr>
          <w:rFonts w:ascii="Times New Roman" w:hAnsi="Times New Roman"/>
          <w:b/>
          <w:bCs/>
          <w:sz w:val="24"/>
          <w:szCs w:val="24"/>
        </w:rPr>
      </w:pPr>
      <w:r>
        <w:rPr>
          <w:rFonts w:ascii="Times New Roman" w:hAnsi="Times New Roman"/>
          <w:b/>
          <w:bCs/>
          <w:sz w:val="24"/>
          <w:szCs w:val="24"/>
        </w:rPr>
        <w:t xml:space="preserve">（7）红树林资源 </w:t>
      </w:r>
    </w:p>
    <w:p w14:paraId="5FB8B9A4">
      <w:pPr>
        <w:spacing w:line="360" w:lineRule="auto"/>
        <w:ind w:firstLine="480" w:firstLineChars="200"/>
        <w:rPr>
          <w:rFonts w:ascii="Times New Roman" w:hAnsi="Times New Roman"/>
          <w:sz w:val="24"/>
          <w:szCs w:val="24"/>
        </w:rPr>
      </w:pPr>
      <w:r>
        <w:rPr>
          <w:rFonts w:ascii="Times New Roman" w:hAnsi="Times New Roman"/>
          <w:sz w:val="24"/>
          <w:szCs w:val="24"/>
        </w:rPr>
        <w:t>红树林是宝贵的生态资源和经济资源，既是鸟类、鱼类、甲壳类、贝类、爬行动物和哺乳动物重要的繁殖地，又是沉积物、污染物、碳源和营养物质的聚集地。广西沿海目前共有红树植物12种，隶属于8科12属。广西原生红树林群落有白骨壤群系、桐花树群系、秋茄群系、红海榄群系、木榄群系、银叶树群系和海漆群系，半红树林群落有海芒果群系和黄槿群系等，由于各种群在潮滩上常混杂生长，构成了多样化的群落类型与结构。其中白骨壤群系是广西红树林群落类型中占比最高的群落类型，桐花树群系次之，此两种群系的面积占广西红树林面积的一半以上（范航清，2020）。按照演替阶段划分，广西红树林演替的前期阶段（低潮滩红树林）主要有白骨壤，白骨壤＋桐花树，桐花树，桐花树＋白骨壤。金鼓江、七十二泾和鹿耳环江周边红树林主要种类是桐花和白骨壤。</w:t>
      </w:r>
    </w:p>
    <w:p w14:paraId="4CB6BCCB">
      <w:pPr>
        <w:spacing w:line="360" w:lineRule="auto"/>
        <w:ind w:firstLine="480" w:firstLineChars="200"/>
        <w:rPr>
          <w:rFonts w:ascii="Times New Roman" w:hAnsi="Times New Roman"/>
          <w:sz w:val="24"/>
          <w:szCs w:val="24"/>
        </w:rPr>
      </w:pPr>
      <w:r>
        <w:rPr>
          <w:rFonts w:ascii="Times New Roman" w:hAnsi="Times New Roman"/>
          <w:sz w:val="24"/>
          <w:szCs w:val="24"/>
        </w:rPr>
        <w:t>白骨壤是马鞭草科、海榄雌属常绿灌木或小乔木，树高0.5-6米不等，具有地表有伸出表土向上15-25cm的指状呼吸根，多分布于中低潮带的滩涂，是红树林先锋树种，环境适应能力强，对土壤适应性广，耐盐和耐水淹能力最强，是广西分布面积最大的红树种类。</w:t>
      </w:r>
    </w:p>
    <w:p w14:paraId="19758706">
      <w:pPr>
        <w:spacing w:line="360" w:lineRule="auto"/>
        <w:ind w:firstLine="480" w:firstLineChars="200"/>
        <w:rPr>
          <w:rFonts w:ascii="Times New Roman" w:hAnsi="Times New Roman"/>
          <w:sz w:val="24"/>
          <w:szCs w:val="24"/>
        </w:rPr>
      </w:pPr>
      <w:r>
        <w:rPr>
          <w:rFonts w:ascii="Times New Roman" w:hAnsi="Times New Roman"/>
          <w:sz w:val="24"/>
          <w:szCs w:val="24"/>
        </w:rPr>
        <w:t>桐花树是紫金牛科、蜡烛果属灌木或小乔木，高1-5米，根部有时略有膨大，果实弯如新月形，桐花树花期长，花量大，是沿海主要的蜜源植物。桐花树多分布于有淡水输入的海湾河口的中潮带潮间带，是盐度较低区域的先锋树种，具有一定的耐盐性，是广西分布面积仅次于白骨壤的红树植物种类。</w:t>
      </w:r>
    </w:p>
    <w:p w14:paraId="4CC9AB66">
      <w:pPr>
        <w:spacing w:line="360" w:lineRule="auto"/>
        <w:ind w:firstLine="480" w:firstLineChars="200"/>
        <w:rPr>
          <w:rFonts w:ascii="Times New Roman" w:hAnsi="Times New Roman"/>
          <w:sz w:val="24"/>
          <w:szCs w:val="24"/>
        </w:rPr>
      </w:pPr>
      <w:r>
        <w:rPr>
          <w:rFonts w:ascii="Times New Roman" w:hAnsi="Times New Roman"/>
          <w:sz w:val="24"/>
          <w:szCs w:val="24"/>
        </w:rPr>
        <w:t xml:space="preserve">红树林资源分布于钦州湾、三娘湾及大风江、鹿耳环江、七十二泾一百多个岛屿，形成了全国独一无二的岛群红树林生态系统。据调查，钦州红树林有4科5种，即红树科的木榄、秋茄；大蕺科的海漆；紫金牛科的桐花树；马鞭草科的白骨壤。此外，尚有一些半红树科植物。 </w:t>
      </w:r>
    </w:p>
    <w:p w14:paraId="6FC14710">
      <w:pPr>
        <w:spacing w:line="360" w:lineRule="auto"/>
        <w:ind w:firstLine="480" w:firstLineChars="200"/>
        <w:rPr>
          <w:rFonts w:ascii="Times New Roman" w:hAnsi="Times New Roman"/>
          <w:sz w:val="24"/>
          <w:szCs w:val="24"/>
        </w:rPr>
      </w:pPr>
      <w:r>
        <w:rPr>
          <w:rFonts w:ascii="Times New Roman" w:hAnsi="Times New Roman"/>
          <w:sz w:val="24"/>
          <w:szCs w:val="24"/>
        </w:rPr>
        <w:t>国家林业局中南调查规划设计院依据《全国红树林资源调查技术规定》于2000年在钦州市进行全国红树林资源调查，其调查结果为钦州市红树林面积为3057.3hm</w:t>
      </w:r>
      <w:r>
        <w:rPr>
          <w:rFonts w:ascii="Times New Roman" w:hAnsi="Times New Roman"/>
          <w:sz w:val="24"/>
          <w:szCs w:val="24"/>
          <w:vertAlign w:val="superscript"/>
        </w:rPr>
        <w:t>2</w:t>
      </w:r>
      <w:r>
        <w:rPr>
          <w:rFonts w:ascii="Times New Roman" w:hAnsi="Times New Roman"/>
          <w:sz w:val="24"/>
          <w:szCs w:val="24"/>
        </w:rPr>
        <w:t>，其中七十二泾连片生长的红树林达667hm</w:t>
      </w:r>
      <w:r>
        <w:rPr>
          <w:rFonts w:ascii="Times New Roman" w:hAnsi="Times New Roman"/>
          <w:sz w:val="24"/>
          <w:szCs w:val="24"/>
          <w:vertAlign w:val="superscript"/>
        </w:rPr>
        <w:t>2</w:t>
      </w:r>
      <w:r>
        <w:rPr>
          <w:rFonts w:ascii="Times New Roman" w:hAnsi="Times New Roman"/>
          <w:sz w:val="24"/>
          <w:szCs w:val="24"/>
        </w:rPr>
        <w:t>。茅尾海红树林海洋保护区面积为2308公顷，位于钦州湾北部康熙岭片、尖山片一带，东经108°28′24″-108°34′28″，北纬21°50′4″-21°54′22″。</w:t>
      </w:r>
    </w:p>
    <w:p w14:paraId="64D016F0">
      <w:pPr>
        <w:spacing w:line="360" w:lineRule="auto"/>
        <w:ind w:firstLine="480" w:firstLineChars="200"/>
        <w:rPr>
          <w:rFonts w:ascii="Times New Roman" w:hAnsi="Times New Roman"/>
          <w:sz w:val="24"/>
          <w:szCs w:val="24"/>
        </w:rPr>
      </w:pPr>
      <w:r>
        <w:rPr>
          <w:rFonts w:ascii="Times New Roman" w:hAnsi="Times New Roman"/>
          <w:sz w:val="24"/>
          <w:szCs w:val="24"/>
        </w:rPr>
        <w:t>红树林在钦州湾主要分布于茅尾海北部、西北部和金鼓江北部沿岸，整个钦州湾红树林岸线长达100km以上。钦州沿海共有红树林植物8种，分别是：木榄（Bruguieragvmnorrhiza）、秋茄（Kandeliacandel）、老鼠勒（Acanthusilicifolius）、榄李（Lumnitzeraracemosa）、海漆（Excoecariaagallocha）、桐花树（Kegicerascomiculatum）、白骨壤（Avicenniamarina）、卤蕨（Acrostichumaureurm）。半红树植物4种，分别是：海芒果（Cerbera-manghas）、黄槿（Hibiscustiliscus）、杨叶肖槿（Thespesiapopulnea）和水黄皮（Pongamispinnata）。</w:t>
      </w:r>
    </w:p>
    <w:p w14:paraId="1E0CE535">
      <w:pPr>
        <w:spacing w:line="360" w:lineRule="auto"/>
        <w:ind w:firstLine="480" w:firstLineChars="200"/>
        <w:rPr>
          <w:rFonts w:ascii="Times New Roman" w:hAnsi="Times New Roman"/>
          <w:sz w:val="24"/>
          <w:szCs w:val="24"/>
        </w:rPr>
      </w:pPr>
      <w:r>
        <w:rPr>
          <w:rFonts w:ascii="Times New Roman" w:hAnsi="Times New Roman"/>
          <w:sz w:val="24"/>
          <w:szCs w:val="24"/>
        </w:rPr>
        <w:t>其中，桐花树面积140l万m</w:t>
      </w:r>
      <w:r>
        <w:rPr>
          <w:rFonts w:ascii="Times New Roman" w:hAnsi="Times New Roman"/>
          <w:sz w:val="24"/>
          <w:szCs w:val="24"/>
          <w:vertAlign w:val="superscript"/>
        </w:rPr>
        <w:t>2</w:t>
      </w:r>
      <w:r>
        <w:rPr>
          <w:rFonts w:ascii="Times New Roman" w:hAnsi="Times New Roman"/>
          <w:sz w:val="24"/>
          <w:szCs w:val="24"/>
        </w:rPr>
        <w:t>，占红树林各群落类型面的61%；秋茄—桐花树757万m</w:t>
      </w:r>
      <w:r>
        <w:rPr>
          <w:rFonts w:ascii="Times New Roman" w:hAnsi="Times New Roman"/>
          <w:sz w:val="24"/>
          <w:szCs w:val="24"/>
          <w:vertAlign w:val="superscript"/>
        </w:rPr>
        <w:t>2</w:t>
      </w:r>
      <w:r>
        <w:rPr>
          <w:rFonts w:ascii="Times New Roman" w:hAnsi="Times New Roman"/>
          <w:sz w:val="24"/>
          <w:szCs w:val="24"/>
        </w:rPr>
        <w:t>，占33%；白骨壤—桐花树137万m</w:t>
      </w:r>
      <w:r>
        <w:rPr>
          <w:rFonts w:ascii="Times New Roman" w:hAnsi="Times New Roman"/>
          <w:sz w:val="24"/>
          <w:szCs w:val="24"/>
          <w:vertAlign w:val="superscript"/>
        </w:rPr>
        <w:t>2</w:t>
      </w:r>
      <w:r>
        <w:rPr>
          <w:rFonts w:ascii="Times New Roman" w:hAnsi="Times New Roman"/>
          <w:sz w:val="24"/>
          <w:szCs w:val="24"/>
        </w:rPr>
        <w:t>，约占6%，木榄和红海榄正处于濒危状态。据调查，七十二泾白骨壤—桐花树群落主要分布在低潮线一带，郁闭度在0.4～0.9之间，树高0.2～4m不等；白骨壤、桐花树的生长由地势分类，群落中的外缘一般为白骨壤，桐花树散布其中，群落中白骨壤占优，其次为桐花树，偶有其他品种散布其中。大潮时，白骨壤树干几乎被全部淹没，桐花树则被淹没一半左右。七十二泾连片生长的红树林达667hm2。桐花树群落主要位于中潮带，</w:t>
      </w:r>
      <w:r>
        <w:rPr>
          <w:rFonts w:hint="eastAsia" w:ascii="Times New Roman" w:hAnsi="Times New Roman"/>
          <w:sz w:val="24"/>
          <w:szCs w:val="24"/>
          <w:lang w:eastAsia="zh-CN"/>
        </w:rPr>
        <w:t>群落</w:t>
      </w:r>
      <w:r>
        <w:rPr>
          <w:rFonts w:ascii="Times New Roman" w:hAnsi="Times New Roman"/>
          <w:sz w:val="24"/>
          <w:szCs w:val="24"/>
        </w:rPr>
        <w:t>以桐花树为优势种，秋茄零星生长其中。白骨壤郁闭度0.4～0.8，树高1～4m不等。</w:t>
      </w:r>
    </w:p>
    <w:p w14:paraId="6FC1EAEF">
      <w:pPr>
        <w:spacing w:line="360" w:lineRule="auto"/>
        <w:ind w:firstLine="482" w:firstLineChars="200"/>
        <w:rPr>
          <w:rFonts w:ascii="Times New Roman" w:hAnsi="Times New Roman"/>
          <w:b/>
          <w:bCs/>
          <w:sz w:val="24"/>
          <w:szCs w:val="24"/>
        </w:rPr>
      </w:pPr>
      <w:r>
        <w:rPr>
          <w:rFonts w:ascii="Times New Roman" w:hAnsi="Times New Roman"/>
          <w:b/>
          <w:bCs/>
          <w:sz w:val="24"/>
          <w:szCs w:val="24"/>
        </w:rPr>
        <w:t>（8）广西钦州</w:t>
      </w:r>
      <w:bookmarkStart w:id="145" w:name="_Hlk113976273"/>
      <w:r>
        <w:rPr>
          <w:rFonts w:ascii="Times New Roman" w:hAnsi="Times New Roman"/>
          <w:b/>
          <w:bCs/>
          <w:sz w:val="24"/>
          <w:szCs w:val="24"/>
        </w:rPr>
        <w:t>茅尾海红树林自治区重要湿地</w:t>
      </w:r>
    </w:p>
    <w:bookmarkEnd w:id="145"/>
    <w:p w14:paraId="7D5EB401">
      <w:pPr>
        <w:spacing w:line="360" w:lineRule="auto"/>
        <w:ind w:firstLine="480" w:firstLineChars="200"/>
        <w:rPr>
          <w:rFonts w:ascii="Times New Roman" w:hAnsi="Times New Roman"/>
          <w:sz w:val="24"/>
          <w:szCs w:val="24"/>
        </w:rPr>
      </w:pPr>
      <w:r>
        <w:rPr>
          <w:rFonts w:ascii="Times New Roman" w:hAnsi="Times New Roman"/>
          <w:sz w:val="24"/>
          <w:szCs w:val="24"/>
        </w:rPr>
        <w:t>根据广西壮族自治区林业局《广西公布第二批10处自治区重要湿地》，广西钦州茅尾海红树林自治区重要湿地为广西壮族自治区第二批重要湿地，湿地位于广西钦州市钦南区，总面积4908.64公顷，湿地面积4882.92公顷，湿地类型（保护对象）为近海与海岸湿地。</w:t>
      </w:r>
    </w:p>
    <w:p w14:paraId="352C7AD5">
      <w:pPr>
        <w:spacing w:line="360" w:lineRule="auto"/>
        <w:ind w:firstLine="480" w:firstLineChars="200"/>
        <w:rPr>
          <w:rFonts w:ascii="Times New Roman" w:hAnsi="Times New Roman"/>
          <w:sz w:val="24"/>
          <w:szCs w:val="24"/>
        </w:rPr>
      </w:pPr>
      <w:r>
        <w:rPr>
          <w:rFonts w:ascii="Times New Roman" w:hAnsi="Times New Roman"/>
          <w:sz w:val="24"/>
          <w:szCs w:val="24"/>
        </w:rPr>
        <w:t>广西钦州茅尾海红树林自治区重要湿地距离本项目最近距离为西面12.4km，距离本项目依托的深海排放排污口西北面11.8km。</w:t>
      </w:r>
    </w:p>
    <w:p w14:paraId="06710996">
      <w:pPr>
        <w:pStyle w:val="4065"/>
        <w:spacing w:line="240" w:lineRule="auto"/>
        <w:ind w:firstLine="0" w:firstLineChars="0"/>
        <w:jc w:val="center"/>
        <w:rPr>
          <w:color w:val="auto"/>
        </w:rPr>
      </w:pPr>
      <w:r>
        <w:rPr>
          <w:color w:val="auto"/>
          <w:lang w:val="en-US"/>
        </w:rPr>
        <w:drawing>
          <wp:inline distT="0" distB="0" distL="0" distR="0">
            <wp:extent cx="5464175" cy="3785870"/>
            <wp:effectExtent l="0" t="0" r="6985" b="8890"/>
            <wp:docPr id="1211975686" name="图片 1211975686"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975686" name="图片 1211975686" descr="地图&#10;&#10;描述已自动生成"/>
                    <pic:cNvPicPr>
                      <a:picLocks noChangeAspect="1"/>
                    </pic:cNvPicPr>
                  </pic:nvPicPr>
                  <pic:blipFill>
                    <a:blip r:embed="rId21" cstate="print">
                      <a:extLst>
                        <a:ext uri="{28A0092B-C50C-407E-A947-70E740481C1C}">
                          <a14:useLocalDpi xmlns:a14="http://schemas.microsoft.com/office/drawing/2010/main" val="0"/>
                        </a:ext>
                      </a:extLst>
                    </a:blip>
                    <a:srcRect l="2646" t="4211" r="2481" b="2807"/>
                    <a:stretch>
                      <a:fillRect/>
                    </a:stretch>
                  </pic:blipFill>
                  <pic:spPr>
                    <a:xfrm>
                      <a:off x="0" y="0"/>
                      <a:ext cx="5464175" cy="3785870"/>
                    </a:xfrm>
                    <a:prstGeom prst="rect">
                      <a:avLst/>
                    </a:prstGeom>
                  </pic:spPr>
                </pic:pic>
              </a:graphicData>
            </a:graphic>
          </wp:inline>
        </w:drawing>
      </w:r>
    </w:p>
    <w:p w14:paraId="3989688E">
      <w:pPr>
        <w:pStyle w:val="9"/>
        <w:numPr>
          <w:ilvl w:val="5"/>
          <w:numId w:val="3"/>
        </w:numPr>
        <w:rPr>
          <w:sz w:val="24"/>
        </w:rPr>
      </w:pPr>
      <w:r>
        <w:rPr>
          <w:sz w:val="24"/>
        </w:rPr>
        <w:t>广西钦州茅尾海红树林自治区重要湿地范围及湿地类型分布图</w:t>
      </w:r>
    </w:p>
    <w:p w14:paraId="677CD7BD">
      <w:pPr>
        <w:spacing w:line="360" w:lineRule="auto"/>
        <w:ind w:firstLine="482" w:firstLineChars="200"/>
        <w:rPr>
          <w:rFonts w:ascii="Times New Roman" w:hAnsi="Times New Roman"/>
          <w:b/>
          <w:bCs/>
          <w:sz w:val="24"/>
          <w:szCs w:val="24"/>
        </w:rPr>
      </w:pPr>
      <w:r>
        <w:rPr>
          <w:rFonts w:ascii="Times New Roman" w:hAnsi="Times New Roman"/>
          <w:b/>
          <w:bCs/>
          <w:sz w:val="24"/>
          <w:szCs w:val="24"/>
        </w:rPr>
        <w:t>（9）旅游资源</w:t>
      </w:r>
    </w:p>
    <w:p w14:paraId="3B6D6ACA">
      <w:pPr>
        <w:spacing w:line="360" w:lineRule="auto"/>
        <w:ind w:firstLine="480" w:firstLineChars="200"/>
        <w:rPr>
          <w:rFonts w:ascii="Times New Roman" w:hAnsi="Times New Roman"/>
          <w:sz w:val="24"/>
          <w:szCs w:val="24"/>
        </w:rPr>
      </w:pPr>
      <w:r>
        <w:rPr>
          <w:rFonts w:hint="eastAsia" w:ascii="Times New Roman" w:hAnsi="Times New Roman"/>
          <w:sz w:val="24"/>
          <w:szCs w:val="24"/>
        </w:rPr>
        <w:t xml:space="preserve">① </w:t>
      </w:r>
      <w:r>
        <w:rPr>
          <w:rFonts w:ascii="Times New Roman" w:hAnsi="Times New Roman"/>
          <w:sz w:val="24"/>
          <w:szCs w:val="24"/>
        </w:rPr>
        <w:t>鹿耳环风景旅游区</w:t>
      </w:r>
    </w:p>
    <w:p w14:paraId="6FA6AE42">
      <w:pPr>
        <w:spacing w:line="360" w:lineRule="auto"/>
        <w:ind w:firstLine="480" w:firstLineChars="200"/>
        <w:rPr>
          <w:rFonts w:ascii="Times New Roman" w:hAnsi="Times New Roman"/>
          <w:sz w:val="24"/>
          <w:szCs w:val="24"/>
        </w:rPr>
      </w:pPr>
      <w:r>
        <w:rPr>
          <w:rFonts w:ascii="Times New Roman" w:hAnsi="Times New Roman"/>
          <w:sz w:val="24"/>
          <w:szCs w:val="24"/>
        </w:rPr>
        <w:t>钦州湾东岸鹿耳环至三娘湾沿岸，东经108°41′</w:t>
      </w:r>
      <w:r>
        <w:rPr>
          <w:rFonts w:hint="eastAsia" w:ascii="Times New Roman" w:hAnsi="Times New Roman"/>
          <w:sz w:val="24"/>
          <w:szCs w:val="24"/>
        </w:rPr>
        <w:t>～</w:t>
      </w:r>
      <w:r>
        <w:rPr>
          <w:rFonts w:ascii="Times New Roman" w:hAnsi="Times New Roman"/>
          <w:sz w:val="24"/>
          <w:szCs w:val="24"/>
        </w:rPr>
        <w:t>108°45′，北纬21°34′</w:t>
      </w:r>
      <w:r>
        <w:rPr>
          <w:rFonts w:hint="eastAsia" w:ascii="Times New Roman" w:hAnsi="Times New Roman"/>
          <w:sz w:val="24"/>
          <w:szCs w:val="24"/>
        </w:rPr>
        <w:t>～</w:t>
      </w:r>
      <w:r>
        <w:rPr>
          <w:rFonts w:ascii="Times New Roman" w:hAnsi="Times New Roman"/>
          <w:sz w:val="24"/>
          <w:szCs w:val="24"/>
        </w:rPr>
        <w:t>21°44′，占地面积3811hm</w:t>
      </w:r>
      <w:r>
        <w:rPr>
          <w:rFonts w:ascii="Times New Roman" w:hAnsi="Times New Roman"/>
          <w:sz w:val="24"/>
          <w:szCs w:val="24"/>
          <w:vertAlign w:val="superscript"/>
        </w:rPr>
        <w:t>2</w:t>
      </w:r>
      <w:r>
        <w:rPr>
          <w:rFonts w:ascii="Times New Roman" w:hAnsi="Times New Roman"/>
          <w:sz w:val="24"/>
          <w:szCs w:val="24"/>
        </w:rPr>
        <w:t>，海岸基本功能为旅游娱乐用海，开发利用方向为旅游度假、娱乐休闲、海上游乐运动和观光游览等；保障犀牛角渔港用海。禁止围填海；合理控制旅游开发强度，完善旅游基础设施建设；构筑物建设应与旅游景观发展相协调。保护海岛和沙滩旅游资源。鹿耳环风景旅游区位于本项目东北面约3.0km。</w:t>
      </w:r>
    </w:p>
    <w:p w14:paraId="687802E0">
      <w:pPr>
        <w:spacing w:line="360" w:lineRule="auto"/>
        <w:ind w:firstLine="480" w:firstLineChars="200"/>
        <w:rPr>
          <w:rFonts w:ascii="Times New Roman" w:hAnsi="Times New Roman"/>
          <w:sz w:val="24"/>
          <w:szCs w:val="24"/>
        </w:rPr>
      </w:pPr>
      <w:r>
        <w:rPr>
          <w:rFonts w:hint="eastAsia" w:ascii="Times New Roman" w:hAnsi="Times New Roman"/>
          <w:sz w:val="24"/>
          <w:szCs w:val="24"/>
        </w:rPr>
        <w:t xml:space="preserve">② </w:t>
      </w:r>
      <w:r>
        <w:rPr>
          <w:rFonts w:ascii="Times New Roman" w:hAnsi="Times New Roman"/>
          <w:sz w:val="24"/>
          <w:szCs w:val="24"/>
        </w:rPr>
        <w:t>三娘湾旅游区</w:t>
      </w:r>
    </w:p>
    <w:p w14:paraId="5F13309A">
      <w:pPr>
        <w:spacing w:line="360" w:lineRule="auto"/>
        <w:ind w:firstLine="480" w:firstLineChars="200"/>
        <w:rPr>
          <w:rFonts w:ascii="Times New Roman" w:hAnsi="Times New Roman"/>
          <w:sz w:val="24"/>
          <w:szCs w:val="24"/>
        </w:rPr>
      </w:pPr>
      <w:r>
        <w:rPr>
          <w:rFonts w:ascii="Times New Roman" w:hAnsi="Times New Roman"/>
          <w:sz w:val="24"/>
          <w:szCs w:val="24"/>
        </w:rPr>
        <w:t>钦州三娘湾省级旅游区地处广西南部钦州湾，现状占地面积200.0hm</w:t>
      </w:r>
      <w:r>
        <w:rPr>
          <w:rFonts w:ascii="Times New Roman" w:hAnsi="Times New Roman"/>
          <w:sz w:val="24"/>
          <w:szCs w:val="24"/>
          <w:vertAlign w:val="superscript"/>
        </w:rPr>
        <w:t>2</w:t>
      </w:r>
      <w:r>
        <w:rPr>
          <w:rFonts w:ascii="Times New Roman" w:hAnsi="Times New Roman"/>
          <w:sz w:val="24"/>
          <w:szCs w:val="24"/>
        </w:rPr>
        <w:t>，规划面积1219.7hm</w:t>
      </w:r>
      <w:r>
        <w:rPr>
          <w:rFonts w:ascii="Times New Roman" w:hAnsi="Times New Roman"/>
          <w:sz w:val="24"/>
          <w:szCs w:val="24"/>
          <w:vertAlign w:val="superscript"/>
        </w:rPr>
        <w:t>2</w:t>
      </w:r>
      <w:r>
        <w:rPr>
          <w:rFonts w:ascii="Times New Roman" w:hAnsi="Times New Roman"/>
          <w:sz w:val="24"/>
          <w:szCs w:val="24"/>
        </w:rPr>
        <w:t>，为2004年由广西壮族自治区发展计划委员会桂计会〔2004〕94号同意建设。三娘湾旅游区拥有国家五级旅游资源1个，即海豚湾；有国家四级旅游资源2个：三娘湾景区、乌雷大岭；国家三级旅游资源8个：三娘石、三娘滩、大庙墩、红树林丛、三娘树、北部湾渔场、灵犀阁、三娘湾渔村；国家二级旅游资源13个、国家一级旅游资源7个。按类别划分，地理景观类有三娘湾沙滩、奇石、乌雷大岭、大庙墩；水域风光类有三娘湾海湾、乌雷湖等；生物景观类有红树林丛、三娘树、北部湾渔场、海豚湾；遗址遗迹类有古炮台（乌雷炮台）；建筑与设施类有观海山庄、乌雷岭战壕、伏波庙、三娘湾渔村、犀牛脚中心渔港；人文景观类有汉朝马援水军整训旧址、三娘石传说等。大蚝、对虾、青蟹、石斑鱼是四大海鲜名品。三娘湾旅游区位于项目东南面约15.4km。</w:t>
      </w:r>
    </w:p>
    <w:p w14:paraId="7E3C6CFE">
      <w:pPr>
        <w:pStyle w:val="5"/>
        <w:numPr>
          <w:ilvl w:val="1"/>
          <w:numId w:val="3"/>
        </w:numPr>
      </w:pPr>
      <w:bookmarkStart w:id="146" w:name="_Toc4347"/>
      <w:r>
        <w:t>广西钦州保税港区简介</w:t>
      </w:r>
      <w:bookmarkEnd w:id="146"/>
    </w:p>
    <w:p w14:paraId="6F2E3F70">
      <w:pPr>
        <w:pStyle w:val="6"/>
        <w:numPr>
          <w:ilvl w:val="2"/>
          <w:numId w:val="3"/>
        </w:numPr>
        <w:rPr>
          <w:szCs w:val="24"/>
        </w:rPr>
      </w:pPr>
      <w:r>
        <w:rPr>
          <w:rFonts w:hint="eastAsia"/>
          <w:szCs w:val="24"/>
        </w:rPr>
        <w:t>广西钦州保税港区基本概况</w:t>
      </w:r>
    </w:p>
    <w:p w14:paraId="5C448C92">
      <w:pPr>
        <w:widowControl/>
        <w:spacing w:line="360" w:lineRule="auto"/>
        <w:ind w:firstLine="480" w:firstLineChars="200"/>
        <w:jc w:val="left"/>
        <w:rPr>
          <w:rFonts w:ascii="Times New Roman" w:hAnsi="Times New Roman"/>
          <w:sz w:val="24"/>
          <w:szCs w:val="24"/>
        </w:rPr>
      </w:pPr>
      <w:r>
        <w:rPr>
          <w:rFonts w:ascii="Times New Roman" w:hAnsi="Times New Roman"/>
          <w:sz w:val="24"/>
          <w:szCs w:val="24"/>
        </w:rPr>
        <w:t>广西钦州保税港区是中国的特色港，是开放层次最高、功能最齐全、政策最优惠的海关特殊监管区域之一，享有保税、退税、免税三大政策。在功能上，广西钦州保税港区以物流、加工、港口作业为主要功能。</w:t>
      </w:r>
    </w:p>
    <w:p w14:paraId="4CD191A2">
      <w:pPr>
        <w:widowControl/>
        <w:spacing w:line="360" w:lineRule="auto"/>
        <w:ind w:firstLine="482" w:firstLineChars="200"/>
        <w:jc w:val="left"/>
        <w:rPr>
          <w:rFonts w:ascii="Times New Roman" w:hAnsi="Times New Roman"/>
          <w:b/>
          <w:bCs/>
          <w:sz w:val="24"/>
          <w:szCs w:val="24"/>
        </w:rPr>
      </w:pPr>
      <w:r>
        <w:rPr>
          <w:rFonts w:ascii="Times New Roman" w:hAnsi="Times New Roman"/>
          <w:b/>
          <w:bCs/>
          <w:sz w:val="24"/>
          <w:szCs w:val="24"/>
        </w:rPr>
        <w:t xml:space="preserve">（1）基本概况 </w:t>
      </w:r>
    </w:p>
    <w:p w14:paraId="1ECCD077">
      <w:pPr>
        <w:widowControl/>
        <w:spacing w:line="360" w:lineRule="auto"/>
        <w:ind w:firstLine="480" w:firstLineChars="200"/>
        <w:jc w:val="left"/>
        <w:rPr>
          <w:rFonts w:ascii="Times New Roman" w:hAnsi="Times New Roman"/>
          <w:sz w:val="24"/>
          <w:szCs w:val="24"/>
        </w:rPr>
      </w:pPr>
      <w:r>
        <w:rPr>
          <w:rFonts w:ascii="Times New Roman" w:hAnsi="Times New Roman"/>
          <w:sz w:val="24"/>
          <w:szCs w:val="24"/>
        </w:rPr>
        <w:t xml:space="preserve">2008年5月29日，国务院正式批准设立广西钦州保税港区，这是继上海洋山、天津东疆、大连大窑湾、海南洋浦、宁波梅山之后的全国第六个保税港区，也是我国中西部地区唯一的保税港区。 </w:t>
      </w:r>
    </w:p>
    <w:p w14:paraId="32662C30">
      <w:pPr>
        <w:widowControl/>
        <w:spacing w:line="360" w:lineRule="auto"/>
        <w:ind w:firstLine="480" w:firstLineChars="200"/>
        <w:jc w:val="left"/>
        <w:rPr>
          <w:rFonts w:ascii="Times New Roman" w:hAnsi="Times New Roman"/>
          <w:sz w:val="24"/>
          <w:szCs w:val="24"/>
        </w:rPr>
      </w:pPr>
      <w:r>
        <w:rPr>
          <w:rFonts w:ascii="Times New Roman" w:hAnsi="Times New Roman"/>
          <w:sz w:val="24"/>
          <w:szCs w:val="24"/>
        </w:rPr>
        <w:t>广西钦州保税港区是我国西部沿海唯一的保税港区，是中国距东盟最近的保税港区，地处中国-东盟国际大通道和西南地区出海的最前沿，是广西北部湾经济区开放开发的核心平台和强力引擎。</w:t>
      </w:r>
    </w:p>
    <w:p w14:paraId="14BA07CE">
      <w:pPr>
        <w:widowControl/>
        <w:spacing w:line="360" w:lineRule="auto"/>
        <w:ind w:firstLine="480" w:firstLineChars="200"/>
        <w:jc w:val="left"/>
        <w:rPr>
          <w:rFonts w:ascii="Times New Roman" w:hAnsi="Times New Roman"/>
          <w:sz w:val="24"/>
          <w:szCs w:val="24"/>
        </w:rPr>
      </w:pPr>
      <w:r>
        <w:rPr>
          <w:rFonts w:ascii="Times New Roman" w:hAnsi="Times New Roman"/>
          <w:sz w:val="24"/>
          <w:szCs w:val="24"/>
        </w:rPr>
        <w:t>广西钦州保税港区规划总面积10平方公里，由码头作业区、保税物流区、出口加工区和综合服务区组成，现已全面开港运营，各项业务开展顺利；2014年1月至7月份的港口货物吞吐量1096.3万吨，同比增长23.04%，其中集装箱吞吐量37.1万标箱，增长21.94%位居环北部湾各港口前茅；目前已开通至香港、台湾高雄和新加坡、曼谷、越南海防的外贸集装箱航线，以及至广州、厦门、宁波、连云港、青岛、大连等国内主要沿海港口集装箱直航航线；已有中海运、中石油等150家企业进驻，众多企业正在提出项目申请，保税港已成为投资的热土，发展前景无限广阔。</w:t>
      </w:r>
    </w:p>
    <w:p w14:paraId="3FCA1F8F">
      <w:pPr>
        <w:widowControl/>
        <w:spacing w:line="360" w:lineRule="auto"/>
        <w:ind w:firstLine="482" w:firstLineChars="200"/>
        <w:jc w:val="left"/>
        <w:rPr>
          <w:rFonts w:ascii="Times New Roman" w:hAnsi="Times New Roman"/>
          <w:b/>
          <w:bCs/>
          <w:sz w:val="24"/>
          <w:szCs w:val="24"/>
        </w:rPr>
      </w:pPr>
      <w:r>
        <w:rPr>
          <w:rFonts w:ascii="Times New Roman" w:hAnsi="Times New Roman"/>
          <w:b/>
          <w:bCs/>
          <w:sz w:val="24"/>
          <w:szCs w:val="24"/>
        </w:rPr>
        <w:t>（</w:t>
      </w:r>
      <w:r>
        <w:rPr>
          <w:rFonts w:hint="eastAsia" w:ascii="Times New Roman" w:hAnsi="Times New Roman"/>
          <w:b/>
          <w:bCs/>
          <w:sz w:val="24"/>
          <w:szCs w:val="24"/>
        </w:rPr>
        <w:t>2</w:t>
      </w:r>
      <w:r>
        <w:rPr>
          <w:rFonts w:ascii="Times New Roman" w:hAnsi="Times New Roman"/>
          <w:b/>
          <w:bCs/>
          <w:sz w:val="24"/>
          <w:szCs w:val="24"/>
        </w:rPr>
        <w:t xml:space="preserve">）运作模式 </w:t>
      </w:r>
    </w:p>
    <w:p w14:paraId="482993DB">
      <w:pPr>
        <w:widowControl/>
        <w:spacing w:line="360" w:lineRule="auto"/>
        <w:ind w:firstLine="480" w:firstLineChars="200"/>
        <w:jc w:val="left"/>
        <w:rPr>
          <w:rFonts w:ascii="Times New Roman" w:hAnsi="Times New Roman"/>
          <w:sz w:val="24"/>
          <w:szCs w:val="24"/>
        </w:rPr>
      </w:pPr>
      <w:r>
        <w:rPr>
          <w:rFonts w:ascii="Times New Roman" w:hAnsi="Times New Roman"/>
          <w:sz w:val="24"/>
          <w:szCs w:val="24"/>
        </w:rPr>
        <w:t>保税港区具有口岸、物流、加工三大功能，是我国目前开放程次最高、政策最优惠、功能最齐全、通关最便捷、区位优势最明显的特殊经济功能区。可以开展货物储存、国际贸易、国际采购与分销配送、国际中转、商品展示、加工研发、港口作业、检测维修服务以及海关允许的其他业务。</w:t>
      </w:r>
    </w:p>
    <w:p w14:paraId="7E1A0967">
      <w:pPr>
        <w:widowControl/>
        <w:spacing w:line="360" w:lineRule="auto"/>
        <w:ind w:firstLine="482" w:firstLineChars="200"/>
        <w:jc w:val="left"/>
        <w:rPr>
          <w:rFonts w:ascii="Times New Roman" w:hAnsi="Times New Roman"/>
          <w:b/>
          <w:bCs/>
          <w:sz w:val="24"/>
          <w:szCs w:val="24"/>
        </w:rPr>
      </w:pPr>
      <w:r>
        <w:rPr>
          <w:rFonts w:ascii="Times New Roman" w:hAnsi="Times New Roman"/>
          <w:b/>
          <w:bCs/>
          <w:sz w:val="24"/>
          <w:szCs w:val="24"/>
        </w:rPr>
        <w:t>（</w:t>
      </w:r>
      <w:r>
        <w:rPr>
          <w:rFonts w:hint="eastAsia" w:ascii="Times New Roman" w:hAnsi="Times New Roman"/>
          <w:b/>
          <w:bCs/>
          <w:sz w:val="24"/>
          <w:szCs w:val="24"/>
        </w:rPr>
        <w:t>3</w:t>
      </w:r>
      <w:r>
        <w:rPr>
          <w:rFonts w:ascii="Times New Roman" w:hAnsi="Times New Roman"/>
          <w:b/>
          <w:bCs/>
          <w:sz w:val="24"/>
          <w:szCs w:val="24"/>
        </w:rPr>
        <w:t>）建设情况</w:t>
      </w:r>
    </w:p>
    <w:p w14:paraId="47E7B43F">
      <w:pPr>
        <w:widowControl/>
        <w:spacing w:line="360" w:lineRule="auto"/>
        <w:ind w:firstLine="480" w:firstLineChars="200"/>
        <w:jc w:val="left"/>
        <w:rPr>
          <w:rFonts w:ascii="Times New Roman" w:hAnsi="Times New Roman"/>
          <w:sz w:val="24"/>
          <w:szCs w:val="24"/>
        </w:rPr>
      </w:pPr>
      <w:r>
        <w:rPr>
          <w:rFonts w:ascii="Times New Roman" w:hAnsi="Times New Roman"/>
          <w:sz w:val="24"/>
          <w:szCs w:val="24"/>
        </w:rPr>
        <w:t>钦州保税港区按照“统一规划、分期实施、逐条建成”的原则，分三期进行建设。第一期工程建设2.5平方公里，总投资估算31.34亿元，其中经营性项目投资23.35亿元，非营利性项目7.99亿元。一期基础设施工程全面完成。在一期吹沙填海形成的2.5平方公里土地上，投资28.28亿元，建成了3.5万平方米的行政综合大楼、6.4公里长的围网、两个10万吨级码头，以及卡口、监控中心、查验场等监管的查验设施。目前，保税港区一期2.5平方公里已开发完成、全面运营，二、三期7.5平方公里吹填完成，目前已引入智能手机及平板电脑、LED照明、冷冻食品物流加工、高档家具、棉纺加工等10个加工、物流项目入区建设，总投资额达29.3亿元。</w:t>
      </w:r>
    </w:p>
    <w:p w14:paraId="1EFAAA3B">
      <w:pPr>
        <w:pStyle w:val="6"/>
        <w:numPr>
          <w:ilvl w:val="2"/>
          <w:numId w:val="3"/>
        </w:numPr>
        <w:rPr>
          <w:szCs w:val="24"/>
        </w:rPr>
      </w:pPr>
      <w:r>
        <w:rPr>
          <w:rFonts w:hint="eastAsia"/>
          <w:szCs w:val="24"/>
        </w:rPr>
        <w:t>定位与规模</w:t>
      </w:r>
    </w:p>
    <w:p w14:paraId="11616F01">
      <w:pPr>
        <w:widowControl/>
        <w:spacing w:line="360" w:lineRule="auto"/>
        <w:ind w:firstLine="482" w:firstLineChars="200"/>
        <w:jc w:val="left"/>
        <w:rPr>
          <w:rFonts w:ascii="Times New Roman" w:hAnsi="Times New Roman"/>
          <w:b/>
          <w:bCs/>
          <w:sz w:val="24"/>
          <w:szCs w:val="24"/>
        </w:rPr>
      </w:pPr>
      <w:r>
        <w:rPr>
          <w:rFonts w:hint="eastAsia" w:ascii="Times New Roman" w:hAnsi="Times New Roman"/>
          <w:b/>
          <w:bCs/>
          <w:sz w:val="24"/>
          <w:szCs w:val="24"/>
        </w:rPr>
        <w:t>（1）发展定位</w:t>
      </w:r>
    </w:p>
    <w:p w14:paraId="61EC3D79">
      <w:pPr>
        <w:widowControl/>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广西钦州保税港区是广西北部湾经济区开放开发的核心平台；是中国—东盟合作以及面向国际开放开发的区域性国际航运中心、物流中心和出口加工基地。</w:t>
      </w:r>
    </w:p>
    <w:p w14:paraId="3EFF2911">
      <w:pPr>
        <w:widowControl/>
        <w:spacing w:line="360" w:lineRule="auto"/>
        <w:ind w:firstLine="482" w:firstLineChars="200"/>
        <w:jc w:val="left"/>
        <w:rPr>
          <w:rFonts w:ascii="Times New Roman" w:hAnsi="Times New Roman"/>
          <w:b/>
          <w:bCs/>
          <w:sz w:val="24"/>
          <w:szCs w:val="24"/>
        </w:rPr>
      </w:pPr>
      <w:r>
        <w:rPr>
          <w:rFonts w:hint="eastAsia" w:ascii="Times New Roman" w:hAnsi="Times New Roman"/>
          <w:b/>
          <w:bCs/>
          <w:sz w:val="24"/>
          <w:szCs w:val="24"/>
        </w:rPr>
        <w:t>（2）发展规模</w:t>
      </w:r>
    </w:p>
    <w:p w14:paraId="5DD75068">
      <w:pPr>
        <w:widowControl/>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① 用地规模</w:t>
      </w:r>
    </w:p>
    <w:p w14:paraId="2834A0D1">
      <w:pPr>
        <w:widowControl/>
        <w:spacing w:line="360" w:lineRule="auto"/>
        <w:ind w:firstLine="480" w:firstLineChars="200"/>
        <w:jc w:val="left"/>
        <w:rPr>
          <w:rFonts w:ascii="Times New Roman" w:hAnsi="Times New Roman"/>
          <w:sz w:val="24"/>
          <w:szCs w:val="24"/>
        </w:rPr>
      </w:pPr>
      <w:r>
        <w:rPr>
          <w:rFonts w:ascii="Times New Roman" w:hAnsi="Times New Roman"/>
          <w:sz w:val="24"/>
          <w:szCs w:val="24"/>
        </w:rPr>
        <w:t>到2020年，规划区城市建设用地为1000.0公顷。</w:t>
      </w:r>
    </w:p>
    <w:p w14:paraId="060A2F25">
      <w:pPr>
        <w:widowControl/>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② 经济规模：根据目前钦州港的现状，钦州保税港区近期应向以出口加工为主的类型发展，逐步向兼加工贸易与转口贸易于一身的综合性自由贸易区发展。随着转口贸易的不断发展，三产的比重将逐步</w:t>
      </w:r>
      <w:r>
        <w:rPr>
          <w:rFonts w:hint="eastAsia" w:ascii="Times New Roman" w:hAnsi="Times New Roman"/>
          <w:sz w:val="24"/>
          <w:szCs w:val="24"/>
          <w:lang w:eastAsia="zh-CN"/>
        </w:rPr>
        <w:t>地</w:t>
      </w:r>
      <w:r>
        <w:rPr>
          <w:rFonts w:hint="eastAsia" w:ascii="Times New Roman" w:hAnsi="Times New Roman"/>
          <w:sz w:val="24"/>
          <w:szCs w:val="24"/>
        </w:rPr>
        <w:t>提高。</w:t>
      </w:r>
    </w:p>
    <w:p w14:paraId="4FBF6147">
      <w:pPr>
        <w:widowControl/>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预测2020年地区生产总值达到200～300亿元。其中，二产、三产比重为4：6，第二产业的增加值将达到80～120亿元，第三产业的增加值将达到120～180亿元。</w:t>
      </w:r>
    </w:p>
    <w:p w14:paraId="7C03BB87">
      <w:pPr>
        <w:widowControl/>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③ 人口规模</w:t>
      </w:r>
    </w:p>
    <w:p w14:paraId="363E28F9">
      <w:pPr>
        <w:widowControl/>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根据工业用地和物流用地的就业密度，保税港区可提供的直接工作岗位为2.5万至3.1万个。</w:t>
      </w:r>
    </w:p>
    <w:p w14:paraId="09B6A6E9">
      <w:pPr>
        <w:pStyle w:val="6"/>
        <w:numPr>
          <w:ilvl w:val="2"/>
          <w:numId w:val="3"/>
        </w:numPr>
        <w:rPr>
          <w:szCs w:val="24"/>
        </w:rPr>
      </w:pPr>
      <w:bookmarkStart w:id="147" w:name="_Toc347417831"/>
      <w:bookmarkStart w:id="148" w:name="_Toc290830737"/>
      <w:bookmarkStart w:id="149" w:name="_Toc434426550"/>
      <w:bookmarkStart w:id="150" w:name="_Toc247517977"/>
      <w:bookmarkStart w:id="151" w:name="_Toc285809996"/>
      <w:bookmarkStart w:id="152" w:name="_Toc313088755"/>
      <w:r>
        <w:rPr>
          <w:rFonts w:hint="eastAsia"/>
          <w:szCs w:val="24"/>
        </w:rPr>
        <w:t>产业发展规划</w:t>
      </w:r>
    </w:p>
    <w:p w14:paraId="3F2DF2F0">
      <w:pPr>
        <w:widowControl/>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钦州保税港区依托钦州港和钦州港工业区，建成服务西南、辐射东盟的航运中心，并形成以汽车组装（含摩托车）、电子加工、新材料（环保材料、新型建筑材料）、机械设备（建筑机械、工程机械、农用机械、环保机械）、纺织服装、家具制造与组装、粮油加工等产业为主的出口加工基地，建成以汽车整车及其零部件、特种钢材和有色金属、石油和化工产品、高档纸制品、食用油等为主的中转交易物流中心；积极发展以服务大西南和东盟的国际中转、国际配送、国际采购和国际转口贸易。</w:t>
      </w:r>
    </w:p>
    <w:p w14:paraId="60CDC72A">
      <w:pPr>
        <w:widowControl/>
        <w:spacing w:line="360" w:lineRule="auto"/>
        <w:ind w:firstLine="482" w:firstLineChars="200"/>
        <w:jc w:val="left"/>
        <w:rPr>
          <w:rFonts w:ascii="Times New Roman" w:hAnsi="Times New Roman"/>
          <w:b/>
          <w:bCs/>
          <w:sz w:val="24"/>
          <w:szCs w:val="24"/>
        </w:rPr>
      </w:pPr>
      <w:r>
        <w:rPr>
          <w:rFonts w:hint="eastAsia" w:ascii="Times New Roman" w:hAnsi="Times New Roman"/>
          <w:b/>
          <w:bCs/>
          <w:sz w:val="24"/>
          <w:szCs w:val="24"/>
        </w:rPr>
        <w:t>（1）出口加工</w:t>
      </w:r>
    </w:p>
    <w:p w14:paraId="515E7843">
      <w:pPr>
        <w:widowControl/>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机械设备和高新技术产业已成为我国各保税区的主导产业。机械设备和高新技术产业由于其企业占地较小，单位面积产出高，比较利于充分利用保税港区有限的土地。钦州保税港区也应当将建筑机械、工程机械、农用机械以及环保机械作为其出口加工的主要产业。</w:t>
      </w:r>
    </w:p>
    <w:p w14:paraId="303892A9">
      <w:pPr>
        <w:widowControl/>
        <w:spacing w:line="360" w:lineRule="auto"/>
        <w:ind w:firstLine="482" w:firstLineChars="200"/>
        <w:jc w:val="left"/>
        <w:rPr>
          <w:rFonts w:ascii="Times New Roman" w:hAnsi="Times New Roman"/>
          <w:b/>
          <w:bCs/>
          <w:sz w:val="24"/>
          <w:szCs w:val="24"/>
        </w:rPr>
      </w:pPr>
      <w:r>
        <w:rPr>
          <w:rFonts w:hint="eastAsia" w:ascii="Times New Roman" w:hAnsi="Times New Roman"/>
          <w:b/>
          <w:bCs/>
          <w:sz w:val="24"/>
          <w:szCs w:val="24"/>
        </w:rPr>
        <w:t>（2）保税物流</w:t>
      </w:r>
    </w:p>
    <w:p w14:paraId="055F1B97">
      <w:pPr>
        <w:widowControl/>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钦州保税港区将发展成我国西南地区以石油、化工产品为主的区域性航运和物流中心，并建成我国大西南地区重要的石化产品出口加工基地；钦州保税港区将成为我国大西南地区以石油和下游深加工为主要业务的国际性航运和物流中心，国际市场辐射到东南亚地区。</w:t>
      </w:r>
    </w:p>
    <w:p w14:paraId="2CB21A31">
      <w:pPr>
        <w:widowControl/>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钦州保税港区要依托机械设备、电子加工为主的出口加工基地以及工业区的机械制造、金属加工的产业区，积极发展以机械、电器为主的国际贸易和物流；形成我国大西南地区以及面向东盟的机械设备产品物流和中转贸易中心。</w:t>
      </w:r>
    </w:p>
    <w:p w14:paraId="47A39554">
      <w:pPr>
        <w:widowControl/>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同时，钦州港工业区正在积极发展特种钢铁，以及铬、镍等有色金属产业，钦州保税港区利用区域资源优势，大力发展以钢材、特种钢铁，以及铬、镍、铝等有色金属产业为主的保税仓储物流产业。</w:t>
      </w:r>
    </w:p>
    <w:p w14:paraId="69A494F3">
      <w:pPr>
        <w:widowControl/>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钦州大型制浆造纸基地的建成，也将推动钦州保税港区发展成我国重要的浆纸及纸制品出口加工基地。</w:t>
      </w:r>
    </w:p>
    <w:p w14:paraId="69F31B85">
      <w:pPr>
        <w:widowControl/>
        <w:spacing w:line="360" w:lineRule="auto"/>
        <w:ind w:firstLine="482" w:firstLineChars="200"/>
        <w:jc w:val="left"/>
        <w:rPr>
          <w:rFonts w:ascii="Times New Roman" w:hAnsi="Times New Roman"/>
          <w:b/>
          <w:bCs/>
          <w:sz w:val="24"/>
          <w:szCs w:val="24"/>
        </w:rPr>
      </w:pPr>
      <w:r>
        <w:rPr>
          <w:rFonts w:hint="eastAsia" w:ascii="Times New Roman" w:hAnsi="Times New Roman"/>
          <w:b/>
          <w:bCs/>
          <w:sz w:val="24"/>
          <w:szCs w:val="24"/>
        </w:rPr>
        <w:t>（3）汽车进出口</w:t>
      </w:r>
    </w:p>
    <w:p w14:paraId="2E73B714">
      <w:pPr>
        <w:widowControl/>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目前钦州保税港区已获得汽车整车进出口许可权，成为继广州口岸之后，西南地区第二个汽车整车进出口口岸。随着国家西部大开发战略的实施，西部地区步入了快速发展时期，大西南地区有着广阔的汽车消费潜在市场。另外，大西南地区有包括柳州汽车基地、四川汽车基地等汽车产业基地，而东盟各国对汽车的需求量也较大，我国汽车出口的比重也在不断</w:t>
      </w:r>
      <w:r>
        <w:rPr>
          <w:rFonts w:hint="eastAsia" w:ascii="Times New Roman" w:hAnsi="Times New Roman"/>
          <w:sz w:val="24"/>
          <w:szCs w:val="24"/>
          <w:lang w:eastAsia="zh-CN"/>
        </w:rPr>
        <w:t>地</w:t>
      </w:r>
      <w:r>
        <w:rPr>
          <w:rFonts w:hint="eastAsia" w:ascii="Times New Roman" w:hAnsi="Times New Roman"/>
          <w:sz w:val="24"/>
          <w:szCs w:val="24"/>
        </w:rPr>
        <w:t>增加，钦州保税港区要抓住这个机遇，加快汽车进出口口岸建设，尽快形成西南地区的汽车进出口基地，并发展与汽车相配套的一系列产业，成为集进口汽车展览、展示、交易及配套产业于一体的汽车进出口基地。</w:t>
      </w:r>
    </w:p>
    <w:p w14:paraId="2843341D">
      <w:pPr>
        <w:widowControl/>
        <w:spacing w:line="360" w:lineRule="auto"/>
        <w:ind w:firstLine="482" w:firstLineChars="200"/>
        <w:jc w:val="left"/>
        <w:rPr>
          <w:rFonts w:ascii="Times New Roman" w:hAnsi="Times New Roman"/>
          <w:b/>
          <w:bCs/>
          <w:sz w:val="24"/>
          <w:szCs w:val="24"/>
        </w:rPr>
      </w:pPr>
      <w:r>
        <w:rPr>
          <w:rFonts w:hint="eastAsia" w:ascii="Times New Roman" w:hAnsi="Times New Roman"/>
          <w:b/>
          <w:bCs/>
          <w:sz w:val="24"/>
          <w:szCs w:val="24"/>
        </w:rPr>
        <w:t>（4）国际贸易</w:t>
      </w:r>
    </w:p>
    <w:p w14:paraId="3532F8B4">
      <w:pPr>
        <w:widowControl/>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国际中转：即进入钦州保税港区的国际中转货物和国内货物，可进行分拆、集拼，再运至境内外目的港，钦州保税港区还将提供进口保税货物整箱堆存的服务，货物可以根据货主需要在钦州保税港区内进行综合处理或国际中转，开展货物进口、出口、中转的集运、多国多地区的快速集并和国际联合快运等业务，加快货物在境内外的快速流动。</w:t>
      </w:r>
    </w:p>
    <w:p w14:paraId="7F7BE5C2">
      <w:pPr>
        <w:widowControl/>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钦州保税港区可以利用东盟自由贸易区的政策，使得国内、国外与东盟国家之间的集装箱通过钦州保税港区来中转。预计，其中转量将达到8%。</w:t>
      </w:r>
    </w:p>
    <w:p w14:paraId="4F2A318C">
      <w:pPr>
        <w:widowControl/>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国际配送：在钦州保税港区陆上特定区域设立仓储物流区，进境保税货物进入该库场后可进行商业性简单加工、批量转换，然后向境内、外分拨配送。对进口保税货物进行分拣、分配、分销、分送等配送分拨业务，或进行临港增值加工后向国内外配送。</w:t>
      </w:r>
    </w:p>
    <w:p w14:paraId="20BB9B42">
      <w:pPr>
        <w:widowControl/>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国际采购：国内货物进入钦州保税港区港口或港区卡口即可享受出口退税政策，对采购进区的国内货物和保税货物进行出口集运的综合处理或商业性的简单加工后向国内外分销、返销。对采购进区的国际货物和进口保税货物进行出口集运的综合处理和邻港增值加工后向国内外分销。</w:t>
      </w:r>
    </w:p>
    <w:p w14:paraId="583FECD2">
      <w:pPr>
        <w:widowControl/>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国际转口贸易：钦州保税港区内的企业可从事转口贸易、交易、展示、出样、订货等经营活动。赋予保税港区内企业在区内开展转口贸易功能。国际转口贸易功能是鼓励进区企业开展国际物流运作，开展以转口贸易为核心的服务贸易，从而促进外贸进出口业务的快速发展和口岸功能的全面提升。</w:t>
      </w:r>
    </w:p>
    <w:p w14:paraId="276D16D2">
      <w:pPr>
        <w:pStyle w:val="6"/>
        <w:numPr>
          <w:ilvl w:val="2"/>
          <w:numId w:val="3"/>
        </w:numPr>
        <w:rPr>
          <w:szCs w:val="24"/>
        </w:rPr>
      </w:pPr>
      <w:r>
        <w:rPr>
          <w:rFonts w:hint="eastAsia"/>
          <w:szCs w:val="24"/>
        </w:rPr>
        <w:t>相关用地布局规划</w:t>
      </w:r>
    </w:p>
    <w:p w14:paraId="1F114AA9">
      <w:pPr>
        <w:widowControl/>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保税港区规划形成码头作业、物流加工、管理服务等主要功能区。其中保税物流区及出口加工区介绍如下：</w:t>
      </w:r>
    </w:p>
    <w:p w14:paraId="7569FD19">
      <w:pPr>
        <w:widowControl/>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规划二号路东侧用地作为物流加工区，集物流、加工、仓储功能于一体，大部分作为保税物流区，部分作为出口加工区。规划占地面积505公顷，其中工业用地131.12公顷，物流用地303.11公顷。整体布局基于方格网道路系统，矩形地块使用灵活、简洁。</w:t>
      </w:r>
    </w:p>
    <w:p w14:paraId="7E1FA1C3">
      <w:pPr>
        <w:widowControl/>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规划调整充分考虑到中石油仓储项目进驻对用地布局、用地构成以及道路网结构的影响，结合保税港区发展规律，先期重点发展出口加工，形成一定的产业基础后，重点发展国际中转、国际采购、国际配送等保税物流业，带动区域发展。因此，规划调整二三期用地构成，将二期港区四大街、东海路、港区九大街以及三号路围合的地块调整为工业用地，重点发展电子设备、机械零部件等高附加值产业，三期重点布局保税物流用地。</w:t>
      </w:r>
    </w:p>
    <w:p w14:paraId="1E8DB572">
      <w:pPr>
        <w:widowControl/>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物流加工区土地使用地块适宜规模为5～10公顷。可划分为若干区块，将每个区块划分为若干个基本模块，模块内部可以根据不同的需要进一步细分用地。</w:t>
      </w:r>
    </w:p>
    <w:p w14:paraId="3D7696C7">
      <w:pPr>
        <w:widowControl/>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货物存储一般分为两种类型：露天堆场和库房储存，并在其中配以相应的服务用房，以及附属的加工和生产设备。库房又可分为普通仓库和特种仓库（冷库等）。</w:t>
      </w:r>
    </w:p>
    <w:p w14:paraId="09832B42">
      <w:pPr>
        <w:widowControl/>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库房按照形式分有内部设有办公室的单层库房和不同层面有不同装卸和仓储设备的多层库房等，库房尺寸可大小结合，常见库房进深65～70米左右、长度可根据地块尺寸而定，一般净高10～12米左右；也可设计进深130米左右的大型库房，长度随地块而定，面积较大、内部可灵活分割，划分给若干承租人，节约建设成本、提高效率。</w:t>
      </w:r>
    </w:p>
    <w:p w14:paraId="081F4A16">
      <w:pPr>
        <w:widowControl/>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库</w:t>
      </w:r>
      <w:r>
        <w:rPr>
          <w:rFonts w:hint="eastAsia" w:ascii="Times New Roman" w:hAnsi="Times New Roman"/>
          <w:sz w:val="24"/>
          <w:szCs w:val="24"/>
          <w:lang w:eastAsia="zh-CN"/>
        </w:rPr>
        <w:t>房</w:t>
      </w:r>
      <w:r>
        <w:rPr>
          <w:rFonts w:hint="eastAsia" w:ascii="Times New Roman" w:hAnsi="Times New Roman"/>
          <w:sz w:val="24"/>
          <w:szCs w:val="24"/>
        </w:rPr>
        <w:t>规划充足的卸货月台和供卡车行驶、临时停放的空间，以满足快捷的物流需要</w:t>
      </w:r>
    </w:p>
    <w:p w14:paraId="3369EFEE">
      <w:pPr>
        <w:widowControl/>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保税物流区及加工区中南部配套一处小型服务设施，并整体协调考虑。在每个区块中，结合建设的实际需要，可配置少量服务设施。</w:t>
      </w:r>
    </w:p>
    <w:p w14:paraId="0226514F">
      <w:pPr>
        <w:pStyle w:val="6"/>
        <w:numPr>
          <w:ilvl w:val="2"/>
          <w:numId w:val="3"/>
        </w:numPr>
        <w:rPr>
          <w:szCs w:val="24"/>
        </w:rPr>
      </w:pPr>
      <w:r>
        <w:rPr>
          <w:rFonts w:hint="eastAsia"/>
          <w:szCs w:val="24"/>
        </w:rPr>
        <w:t>相关市政基础设施规划</w:t>
      </w:r>
    </w:p>
    <w:p w14:paraId="130A00FE">
      <w:pPr>
        <w:widowControl/>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（1）给水工程</w:t>
      </w:r>
    </w:p>
    <w:p w14:paraId="01D4DA16">
      <w:pPr>
        <w:widowControl/>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现状港区二水厂规模5万立方米/日，近期扩容至10万立方米/日，远期扩容至30万立方米/日，规划大榄坪水厂设计规模30万立方米/日，规划保税港区水源引自港区二水厂和大榄坪水厂。在规划区主要道路上敷设200～300mm供水管道。保税港区一期水源引自港区二水厂，保税港区内低质用水宜采用深度处理达标后的中水。</w:t>
      </w:r>
    </w:p>
    <w:p w14:paraId="5DBF1EE2">
      <w:pPr>
        <w:widowControl/>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（2）污水工程</w:t>
      </w:r>
    </w:p>
    <w:p w14:paraId="0810BA58">
      <w:pPr>
        <w:widowControl/>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钦州港保税港区排水方式采用雨、污水分流制。</w:t>
      </w:r>
    </w:p>
    <w:p w14:paraId="04C97E37">
      <w:pPr>
        <w:widowControl/>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加大污水处理率，积极回用处理达标以后的中水，所有企业生产废水必须达到国家排放标准后进入市政管网。</w:t>
      </w:r>
    </w:p>
    <w:p w14:paraId="40FBB8F4">
      <w:pPr>
        <w:widowControl/>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保税港区内规划一座污水泵站，占地3500平方米，污水经污水泵站提升后向北排入规划大榄坪污水处理厂。在规划区主要道路上敷设300～1600mm污水管道，保税港区东侧规划四号路上敷设一条Φ1800mm的污水管道，将大榄坪污水处理厂处理达标后的部分污水排入远离航道的海域。</w:t>
      </w:r>
    </w:p>
    <w:p w14:paraId="13F35298">
      <w:pPr>
        <w:widowControl/>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（3）电力工程</w:t>
      </w:r>
    </w:p>
    <w:p w14:paraId="78B43E8C">
      <w:pPr>
        <w:widowControl/>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在保税港区内规划2座110kV变电站，规模3×5万kVA/座，占地5000平方米/座，电源由现状港口220kV变电站和规划大榄坪220kV变电站提供，双电源保障保税港区供电。保税港区一期用电由现状港口220kV变电站提供。</w:t>
      </w:r>
    </w:p>
    <w:p w14:paraId="35D07CF1">
      <w:pPr>
        <w:widowControl/>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在保税港区内公建、工业厂房及仓库屋顶安装太阳能利用装置，太阳能光电转换设备可以为保税港区夜间照明供电，太阳能热水器可以为港区办公人员提供生活热水。</w:t>
      </w:r>
    </w:p>
    <w:p w14:paraId="1A55FB9A">
      <w:pPr>
        <w:widowControl/>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（4）燃气工程</w:t>
      </w:r>
    </w:p>
    <w:p w14:paraId="69322A55">
      <w:pPr>
        <w:widowControl/>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规划钦州市采用液化天然气作为城市气源；气源引自三墩20万吨级LNG码头，LNG上岸气化后</w:t>
      </w:r>
      <w:r>
        <w:rPr>
          <w:rFonts w:hint="eastAsia" w:ascii="Times New Roman" w:hAnsi="Times New Roman"/>
          <w:sz w:val="24"/>
          <w:szCs w:val="24"/>
          <w:lang w:eastAsia="zh-CN"/>
        </w:rPr>
        <w:t>进入</w:t>
      </w:r>
      <w:r>
        <w:rPr>
          <w:rFonts w:hint="eastAsia" w:ascii="Times New Roman" w:hAnsi="Times New Roman"/>
          <w:sz w:val="24"/>
          <w:szCs w:val="24"/>
        </w:rPr>
        <w:t>钦州港高中压燃气调压站。本规划区自北侧高中压燃气调压站引入中压燃气管线为保税港区供气。</w:t>
      </w:r>
    </w:p>
    <w:p w14:paraId="32DF05C3">
      <w:pPr>
        <w:pStyle w:val="5"/>
        <w:numPr>
          <w:ilvl w:val="1"/>
          <w:numId w:val="3"/>
        </w:numPr>
      </w:pPr>
      <w:bookmarkStart w:id="153" w:name="_Toc7362"/>
      <w:r>
        <w:t>环境空气质量现状调查与评价</w:t>
      </w:r>
      <w:bookmarkEnd w:id="147"/>
      <w:bookmarkEnd w:id="148"/>
      <w:bookmarkEnd w:id="149"/>
      <w:bookmarkEnd w:id="150"/>
      <w:bookmarkEnd w:id="151"/>
      <w:bookmarkEnd w:id="152"/>
      <w:bookmarkEnd w:id="153"/>
    </w:p>
    <w:p w14:paraId="30ECD78B">
      <w:pPr>
        <w:pStyle w:val="6"/>
        <w:numPr>
          <w:ilvl w:val="2"/>
          <w:numId w:val="3"/>
        </w:numPr>
      </w:pPr>
      <w:r>
        <w:t>空气质量达标区判定</w:t>
      </w:r>
    </w:p>
    <w:p w14:paraId="0915B0D6">
      <w:pPr>
        <w:spacing w:line="360" w:lineRule="auto"/>
        <w:ind w:firstLine="480" w:firstLineChars="200"/>
        <w:rPr>
          <w:rFonts w:ascii="Times New Roman" w:hAnsi="Times New Roman"/>
          <w:sz w:val="24"/>
          <w:szCs w:val="24"/>
        </w:rPr>
      </w:pPr>
      <w:r>
        <w:rPr>
          <w:rFonts w:ascii="Times New Roman" w:hAnsi="Times New Roman"/>
          <w:sz w:val="24"/>
          <w:szCs w:val="24"/>
        </w:rPr>
        <w:t>根据《环境影响评价技术导则大气环境》（HJ2.2-2018）中6.2的要求，项目所在区域达标判定，优先采用国家或者地方生态环境主管部门公开发布的评价基准年环境质量公告或环境质量报告中的数据或结论，而城市环境空气质量达标情况评价指标为SO</w:t>
      </w:r>
      <w:r>
        <w:rPr>
          <w:rFonts w:ascii="Times New Roman" w:hAnsi="Times New Roman"/>
          <w:sz w:val="24"/>
          <w:szCs w:val="24"/>
          <w:vertAlign w:val="subscript"/>
        </w:rPr>
        <w:t>2</w:t>
      </w:r>
      <w:r>
        <w:rPr>
          <w:rFonts w:ascii="Times New Roman" w:hAnsi="Times New Roman"/>
          <w:sz w:val="24"/>
          <w:szCs w:val="24"/>
        </w:rPr>
        <w:t>、NO</w:t>
      </w:r>
      <w:r>
        <w:rPr>
          <w:rFonts w:ascii="Times New Roman" w:hAnsi="Times New Roman"/>
          <w:sz w:val="24"/>
          <w:szCs w:val="24"/>
          <w:vertAlign w:val="subscript"/>
        </w:rPr>
        <w:t>2</w:t>
      </w:r>
      <w:r>
        <w:rPr>
          <w:rFonts w:ascii="Times New Roman" w:hAnsi="Times New Roman"/>
          <w:sz w:val="24"/>
          <w:szCs w:val="24"/>
        </w:rPr>
        <w:t>、PM</w:t>
      </w:r>
      <w:r>
        <w:rPr>
          <w:rFonts w:ascii="Times New Roman" w:hAnsi="Times New Roman"/>
          <w:sz w:val="24"/>
          <w:szCs w:val="24"/>
          <w:vertAlign w:val="subscript"/>
        </w:rPr>
        <w:t>10</w:t>
      </w:r>
      <w:r>
        <w:rPr>
          <w:rFonts w:ascii="Times New Roman" w:hAnsi="Times New Roman"/>
          <w:sz w:val="24"/>
          <w:szCs w:val="24"/>
        </w:rPr>
        <w:t>、PM</w:t>
      </w:r>
      <w:r>
        <w:rPr>
          <w:rFonts w:ascii="Times New Roman" w:hAnsi="Times New Roman"/>
          <w:sz w:val="24"/>
          <w:szCs w:val="24"/>
          <w:vertAlign w:val="subscript"/>
        </w:rPr>
        <w:t>2.5</w:t>
      </w:r>
      <w:r>
        <w:rPr>
          <w:rFonts w:ascii="Times New Roman" w:hAnsi="Times New Roman"/>
          <w:sz w:val="24"/>
          <w:szCs w:val="24"/>
        </w:rPr>
        <w:t>、CO和O</w:t>
      </w:r>
      <w:r>
        <w:rPr>
          <w:rFonts w:ascii="Times New Roman" w:hAnsi="Times New Roman"/>
          <w:sz w:val="24"/>
          <w:szCs w:val="24"/>
          <w:vertAlign w:val="subscript"/>
        </w:rPr>
        <w:t>3</w:t>
      </w:r>
      <w:r>
        <w:rPr>
          <w:rFonts w:ascii="Times New Roman" w:hAnsi="Times New Roman"/>
          <w:sz w:val="24"/>
          <w:szCs w:val="24"/>
        </w:rPr>
        <w:t>，六项污染物全部达标即为城市环境空气质量达标。</w:t>
      </w:r>
    </w:p>
    <w:p w14:paraId="202DC435">
      <w:pPr>
        <w:spacing w:line="360" w:lineRule="auto"/>
        <w:ind w:firstLine="480" w:firstLineChars="200"/>
        <w:rPr>
          <w:rFonts w:ascii="Times New Roman" w:hAnsi="Times New Roman"/>
          <w:sz w:val="24"/>
          <w:szCs w:val="24"/>
        </w:rPr>
      </w:pPr>
      <w:r>
        <w:rPr>
          <w:rFonts w:ascii="Times New Roman" w:hAnsi="Times New Roman"/>
          <w:sz w:val="24"/>
          <w:szCs w:val="24"/>
        </w:rPr>
        <w:t>根据《环境影响评价技术导则大气环境》（HJ2.2-2018），</w:t>
      </w:r>
      <w:r>
        <w:rPr>
          <w:rFonts w:ascii="宋体" w:hAnsi="宋体"/>
          <w:sz w:val="24"/>
          <w:szCs w:val="24"/>
        </w:rPr>
        <w:t>“</w:t>
      </w:r>
      <w:r>
        <w:rPr>
          <w:rFonts w:ascii="Times New Roman" w:hAnsi="Times New Roman"/>
          <w:sz w:val="24"/>
          <w:szCs w:val="24"/>
        </w:rPr>
        <w:t>依据评价所需环境空气质量现状、气象资料等数据的可获得性、数据质量、代表性等因素，选择近3年中数据相对完整的1个日历年作为评价基准年</w:t>
      </w:r>
      <w:r>
        <w:rPr>
          <w:rFonts w:ascii="宋体" w:hAnsi="宋体"/>
          <w:sz w:val="24"/>
          <w:szCs w:val="24"/>
        </w:rPr>
        <w:t>”</w:t>
      </w:r>
      <w:r>
        <w:rPr>
          <w:rFonts w:ascii="Times New Roman" w:hAnsi="Times New Roman"/>
          <w:sz w:val="24"/>
          <w:szCs w:val="24"/>
        </w:rPr>
        <w:t>。</w:t>
      </w:r>
    </w:p>
    <w:p w14:paraId="53B8F782">
      <w:pPr>
        <w:spacing w:line="360" w:lineRule="auto"/>
        <w:ind w:firstLine="480" w:firstLineChars="200"/>
        <w:rPr>
          <w:rFonts w:ascii="Times New Roman" w:hAnsi="Times New Roman"/>
          <w:sz w:val="24"/>
          <w:szCs w:val="24"/>
        </w:rPr>
      </w:pPr>
      <w:r>
        <w:rPr>
          <w:rFonts w:ascii="Times New Roman" w:hAnsi="Times New Roman"/>
          <w:sz w:val="24"/>
          <w:szCs w:val="24"/>
        </w:rPr>
        <w:t>根据《自治区生态环境厅关于通报2023年设区城市及各县（市、区）环境空气质量的函》（桂环函〔2024〕58号），的数据，区域基本污染物现状监测及评价结果见表3.3-1。</w:t>
      </w:r>
    </w:p>
    <w:p w14:paraId="16CCDD27">
      <w:pPr>
        <w:spacing w:line="360" w:lineRule="auto"/>
        <w:ind w:firstLine="480" w:firstLineChars="200"/>
        <w:rPr>
          <w:rFonts w:ascii="Times New Roman" w:hAnsi="Times New Roman"/>
          <w:sz w:val="24"/>
          <w:szCs w:val="24"/>
        </w:rPr>
      </w:pPr>
    </w:p>
    <w:p w14:paraId="4C4CE7FA">
      <w:pPr>
        <w:pStyle w:val="8"/>
        <w:numPr>
          <w:ilvl w:val="4"/>
          <w:numId w:val="3"/>
        </w:numPr>
        <w:spacing w:line="440" w:lineRule="exact"/>
        <w:ind w:firstLine="482" w:firstLineChars="200"/>
        <w:rPr>
          <w:spacing w:val="-2"/>
          <w:kern w:val="0"/>
          <w:sz w:val="24"/>
          <w:szCs w:val="20"/>
        </w:rPr>
      </w:pPr>
      <w:r>
        <w:rPr>
          <w:sz w:val="24"/>
          <w:szCs w:val="24"/>
        </w:rPr>
        <w:t>区域空气质量现状评价表</w:t>
      </w:r>
    </w:p>
    <w:tbl>
      <w:tblPr>
        <w:tblStyle w:val="88"/>
        <w:tblW w:w="928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47"/>
        <w:gridCol w:w="2250"/>
        <w:gridCol w:w="1590"/>
        <w:gridCol w:w="1455"/>
        <w:gridCol w:w="1485"/>
        <w:gridCol w:w="1261"/>
      </w:tblGrid>
      <w:tr w14:paraId="3DC170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trPr>
        <w:tc>
          <w:tcPr>
            <w:tcW w:w="1247" w:type="dxa"/>
            <w:shd w:val="clear" w:color="auto" w:fill="auto"/>
            <w:vAlign w:val="center"/>
          </w:tcPr>
          <w:p w14:paraId="3D6C2E3F">
            <w:pPr>
              <w:pStyle w:val="827"/>
              <w:rPr>
                <w:rFonts w:ascii="Times New Roman" w:hAnsi="Times New Roman"/>
                <w:b/>
                <w:bCs/>
              </w:rPr>
            </w:pPr>
            <w:r>
              <w:rPr>
                <w:rFonts w:ascii="Times New Roman" w:hAnsi="Times New Roman"/>
                <w:b/>
                <w:bCs/>
              </w:rPr>
              <w:t>污染物</w:t>
            </w:r>
          </w:p>
        </w:tc>
        <w:tc>
          <w:tcPr>
            <w:tcW w:w="2250" w:type="dxa"/>
            <w:shd w:val="clear" w:color="auto" w:fill="auto"/>
            <w:vAlign w:val="center"/>
          </w:tcPr>
          <w:p w14:paraId="7A370B36">
            <w:pPr>
              <w:pStyle w:val="827"/>
              <w:rPr>
                <w:rFonts w:ascii="Times New Roman" w:hAnsi="Times New Roman"/>
                <w:b/>
                <w:bCs/>
              </w:rPr>
            </w:pPr>
            <w:r>
              <w:rPr>
                <w:rFonts w:ascii="Times New Roman" w:hAnsi="Times New Roman"/>
                <w:b/>
                <w:bCs/>
              </w:rPr>
              <w:t>年评价指标</w:t>
            </w:r>
          </w:p>
        </w:tc>
        <w:tc>
          <w:tcPr>
            <w:tcW w:w="1590" w:type="dxa"/>
            <w:shd w:val="clear" w:color="auto" w:fill="auto"/>
            <w:vAlign w:val="center"/>
          </w:tcPr>
          <w:p w14:paraId="2CB61F23">
            <w:pPr>
              <w:pStyle w:val="827"/>
              <w:rPr>
                <w:rFonts w:ascii="Times New Roman" w:hAnsi="Times New Roman"/>
                <w:b/>
                <w:bCs/>
              </w:rPr>
            </w:pPr>
            <w:r>
              <w:rPr>
                <w:rFonts w:ascii="Times New Roman" w:hAnsi="Times New Roman"/>
                <w:b/>
                <w:bCs/>
              </w:rPr>
              <w:t>现状浓度（μg/m</w:t>
            </w:r>
            <w:r>
              <w:rPr>
                <w:rFonts w:ascii="Times New Roman" w:hAnsi="Times New Roman"/>
                <w:b/>
                <w:bCs/>
                <w:vertAlign w:val="superscript"/>
              </w:rPr>
              <w:t>3</w:t>
            </w:r>
            <w:r>
              <w:rPr>
                <w:rFonts w:ascii="Times New Roman" w:hAnsi="Times New Roman"/>
                <w:b/>
                <w:bCs/>
              </w:rPr>
              <w:t>）</w:t>
            </w:r>
          </w:p>
        </w:tc>
        <w:tc>
          <w:tcPr>
            <w:tcW w:w="1455" w:type="dxa"/>
            <w:shd w:val="clear" w:color="auto" w:fill="auto"/>
            <w:vAlign w:val="center"/>
          </w:tcPr>
          <w:p w14:paraId="61D559C1">
            <w:pPr>
              <w:pStyle w:val="827"/>
              <w:rPr>
                <w:rFonts w:ascii="Times New Roman" w:hAnsi="Times New Roman"/>
                <w:b/>
                <w:bCs/>
              </w:rPr>
            </w:pPr>
            <w:r>
              <w:rPr>
                <w:rFonts w:ascii="Times New Roman" w:hAnsi="Times New Roman"/>
                <w:b/>
                <w:bCs/>
              </w:rPr>
              <w:t>标准值（μg/m</w:t>
            </w:r>
            <w:r>
              <w:rPr>
                <w:rFonts w:ascii="Times New Roman" w:hAnsi="Times New Roman"/>
                <w:b/>
                <w:bCs/>
                <w:vertAlign w:val="superscript"/>
              </w:rPr>
              <w:t>3</w:t>
            </w:r>
            <w:r>
              <w:rPr>
                <w:rFonts w:ascii="Times New Roman" w:hAnsi="Times New Roman"/>
                <w:b/>
                <w:bCs/>
              </w:rPr>
              <w:t>）</w:t>
            </w:r>
          </w:p>
        </w:tc>
        <w:tc>
          <w:tcPr>
            <w:tcW w:w="1485" w:type="dxa"/>
            <w:shd w:val="clear" w:color="auto" w:fill="auto"/>
            <w:vAlign w:val="center"/>
          </w:tcPr>
          <w:p w14:paraId="50E12B5C">
            <w:pPr>
              <w:pStyle w:val="827"/>
              <w:rPr>
                <w:rFonts w:ascii="Times New Roman" w:hAnsi="Times New Roman"/>
                <w:b/>
                <w:bCs/>
              </w:rPr>
            </w:pPr>
            <w:r>
              <w:rPr>
                <w:rFonts w:ascii="Times New Roman" w:hAnsi="Times New Roman"/>
                <w:b/>
                <w:bCs/>
              </w:rPr>
              <w:t>最大浓度占标率%</w:t>
            </w:r>
          </w:p>
        </w:tc>
        <w:tc>
          <w:tcPr>
            <w:tcW w:w="1261" w:type="dxa"/>
            <w:shd w:val="clear" w:color="auto" w:fill="auto"/>
            <w:vAlign w:val="center"/>
          </w:tcPr>
          <w:p w14:paraId="694957FD">
            <w:pPr>
              <w:pStyle w:val="827"/>
              <w:rPr>
                <w:rFonts w:ascii="Times New Roman" w:hAnsi="Times New Roman"/>
                <w:b/>
                <w:bCs/>
              </w:rPr>
            </w:pPr>
            <w:r>
              <w:rPr>
                <w:rFonts w:ascii="Times New Roman" w:hAnsi="Times New Roman"/>
                <w:b/>
                <w:bCs/>
              </w:rPr>
              <w:t>达标情况</w:t>
            </w:r>
          </w:p>
        </w:tc>
      </w:tr>
      <w:tr w14:paraId="348D49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47" w:type="dxa"/>
            <w:shd w:val="clear" w:color="auto" w:fill="auto"/>
            <w:vAlign w:val="center"/>
          </w:tcPr>
          <w:p w14:paraId="4105FEC6">
            <w:pPr>
              <w:pStyle w:val="827"/>
              <w:rPr>
                <w:rFonts w:ascii="Times New Roman" w:hAnsi="Times New Roman"/>
              </w:rPr>
            </w:pPr>
            <w:r>
              <w:rPr>
                <w:rFonts w:ascii="Times New Roman" w:hAnsi="Times New Roman"/>
              </w:rPr>
              <w:t>SO</w:t>
            </w:r>
            <w:r>
              <w:rPr>
                <w:rFonts w:ascii="Times New Roman" w:hAnsi="Times New Roman"/>
                <w:vertAlign w:val="subscript"/>
              </w:rPr>
              <w:t>2</w:t>
            </w:r>
          </w:p>
        </w:tc>
        <w:tc>
          <w:tcPr>
            <w:tcW w:w="2250" w:type="dxa"/>
            <w:shd w:val="clear" w:color="auto" w:fill="auto"/>
            <w:vAlign w:val="center"/>
          </w:tcPr>
          <w:p w14:paraId="1E0BB9B7">
            <w:pPr>
              <w:pStyle w:val="827"/>
              <w:rPr>
                <w:rFonts w:ascii="Times New Roman" w:hAnsi="Times New Roman"/>
              </w:rPr>
            </w:pPr>
            <w:r>
              <w:rPr>
                <w:rFonts w:ascii="Times New Roman" w:hAnsi="Times New Roman"/>
              </w:rPr>
              <w:t>年平均</w:t>
            </w:r>
          </w:p>
        </w:tc>
        <w:tc>
          <w:tcPr>
            <w:tcW w:w="1590" w:type="dxa"/>
            <w:shd w:val="clear" w:color="auto" w:fill="auto"/>
            <w:vAlign w:val="center"/>
          </w:tcPr>
          <w:p w14:paraId="42E05568">
            <w:pPr>
              <w:pStyle w:val="827"/>
              <w:rPr>
                <w:rFonts w:ascii="Times New Roman" w:hAnsi="Times New Roman"/>
              </w:rPr>
            </w:pPr>
            <w:r>
              <w:rPr>
                <w:rFonts w:ascii="Times New Roman" w:hAnsi="Times New Roman"/>
              </w:rPr>
              <w:t>8</w:t>
            </w:r>
          </w:p>
        </w:tc>
        <w:tc>
          <w:tcPr>
            <w:tcW w:w="1455" w:type="dxa"/>
            <w:shd w:val="clear" w:color="auto" w:fill="auto"/>
            <w:vAlign w:val="center"/>
          </w:tcPr>
          <w:p w14:paraId="33394BE7">
            <w:pPr>
              <w:pStyle w:val="827"/>
              <w:rPr>
                <w:rFonts w:ascii="Times New Roman" w:hAnsi="Times New Roman"/>
              </w:rPr>
            </w:pPr>
          </w:p>
        </w:tc>
        <w:tc>
          <w:tcPr>
            <w:tcW w:w="1485" w:type="dxa"/>
            <w:shd w:val="clear" w:color="auto" w:fill="auto"/>
            <w:vAlign w:val="center"/>
          </w:tcPr>
          <w:p w14:paraId="38219D95">
            <w:pPr>
              <w:pStyle w:val="827"/>
              <w:rPr>
                <w:rFonts w:ascii="Times New Roman" w:hAnsi="Times New Roman"/>
              </w:rPr>
            </w:pPr>
          </w:p>
        </w:tc>
        <w:tc>
          <w:tcPr>
            <w:tcW w:w="1261" w:type="dxa"/>
            <w:shd w:val="clear" w:color="auto" w:fill="auto"/>
            <w:vAlign w:val="center"/>
          </w:tcPr>
          <w:p w14:paraId="7CA72D99">
            <w:pPr>
              <w:pStyle w:val="827"/>
              <w:rPr>
                <w:rFonts w:ascii="Times New Roman" w:hAnsi="Times New Roman"/>
              </w:rPr>
            </w:pPr>
            <w:r>
              <w:rPr>
                <w:rFonts w:ascii="Times New Roman" w:hAnsi="Times New Roman"/>
              </w:rPr>
              <w:t>达标</w:t>
            </w:r>
          </w:p>
        </w:tc>
      </w:tr>
      <w:tr w14:paraId="0012F5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47" w:type="dxa"/>
            <w:shd w:val="clear" w:color="auto" w:fill="auto"/>
            <w:vAlign w:val="center"/>
          </w:tcPr>
          <w:p w14:paraId="2B5A1956">
            <w:pPr>
              <w:pStyle w:val="827"/>
              <w:rPr>
                <w:rFonts w:ascii="Times New Roman" w:hAnsi="Times New Roman"/>
              </w:rPr>
            </w:pPr>
            <w:r>
              <w:rPr>
                <w:rFonts w:ascii="Times New Roman" w:hAnsi="Times New Roman"/>
              </w:rPr>
              <w:t>NO</w:t>
            </w:r>
            <w:r>
              <w:rPr>
                <w:rFonts w:ascii="Times New Roman" w:hAnsi="Times New Roman"/>
                <w:vertAlign w:val="subscript"/>
              </w:rPr>
              <w:t>2</w:t>
            </w:r>
          </w:p>
        </w:tc>
        <w:tc>
          <w:tcPr>
            <w:tcW w:w="2250" w:type="dxa"/>
            <w:shd w:val="clear" w:color="auto" w:fill="auto"/>
            <w:vAlign w:val="center"/>
          </w:tcPr>
          <w:p w14:paraId="3A8AC4F8">
            <w:pPr>
              <w:pStyle w:val="827"/>
              <w:rPr>
                <w:rFonts w:ascii="Times New Roman" w:hAnsi="Times New Roman"/>
              </w:rPr>
            </w:pPr>
            <w:r>
              <w:rPr>
                <w:rFonts w:ascii="Times New Roman" w:hAnsi="Times New Roman"/>
              </w:rPr>
              <w:t>年平均</w:t>
            </w:r>
          </w:p>
        </w:tc>
        <w:tc>
          <w:tcPr>
            <w:tcW w:w="1590" w:type="dxa"/>
            <w:shd w:val="clear" w:color="auto" w:fill="auto"/>
            <w:vAlign w:val="center"/>
          </w:tcPr>
          <w:p w14:paraId="78B337EE">
            <w:pPr>
              <w:pStyle w:val="827"/>
              <w:rPr>
                <w:rFonts w:ascii="Times New Roman" w:hAnsi="Times New Roman"/>
              </w:rPr>
            </w:pPr>
            <w:r>
              <w:rPr>
                <w:rFonts w:ascii="Times New Roman" w:hAnsi="Times New Roman"/>
              </w:rPr>
              <w:t>19</w:t>
            </w:r>
          </w:p>
        </w:tc>
        <w:tc>
          <w:tcPr>
            <w:tcW w:w="1455" w:type="dxa"/>
            <w:shd w:val="clear" w:color="auto" w:fill="auto"/>
            <w:vAlign w:val="center"/>
          </w:tcPr>
          <w:p w14:paraId="0E759D80">
            <w:pPr>
              <w:pStyle w:val="827"/>
              <w:rPr>
                <w:rFonts w:ascii="Times New Roman" w:hAnsi="Times New Roman"/>
              </w:rPr>
            </w:pPr>
          </w:p>
        </w:tc>
        <w:tc>
          <w:tcPr>
            <w:tcW w:w="1485" w:type="dxa"/>
            <w:shd w:val="clear" w:color="auto" w:fill="auto"/>
            <w:vAlign w:val="center"/>
          </w:tcPr>
          <w:p w14:paraId="5127EAAD">
            <w:pPr>
              <w:pStyle w:val="827"/>
              <w:rPr>
                <w:rFonts w:ascii="Times New Roman" w:hAnsi="Times New Roman"/>
              </w:rPr>
            </w:pPr>
          </w:p>
        </w:tc>
        <w:tc>
          <w:tcPr>
            <w:tcW w:w="1261" w:type="dxa"/>
            <w:shd w:val="clear" w:color="auto" w:fill="auto"/>
            <w:vAlign w:val="center"/>
          </w:tcPr>
          <w:p w14:paraId="0362CB03">
            <w:pPr>
              <w:pStyle w:val="827"/>
              <w:rPr>
                <w:rFonts w:ascii="Times New Roman" w:hAnsi="Times New Roman"/>
              </w:rPr>
            </w:pPr>
            <w:r>
              <w:rPr>
                <w:rFonts w:ascii="Times New Roman" w:hAnsi="Times New Roman"/>
              </w:rPr>
              <w:t>达标</w:t>
            </w:r>
          </w:p>
        </w:tc>
      </w:tr>
      <w:tr w14:paraId="2DE943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47" w:type="dxa"/>
            <w:shd w:val="clear" w:color="auto" w:fill="auto"/>
            <w:vAlign w:val="center"/>
          </w:tcPr>
          <w:p w14:paraId="7264E1AB">
            <w:pPr>
              <w:pStyle w:val="827"/>
              <w:rPr>
                <w:rFonts w:ascii="Times New Roman" w:hAnsi="Times New Roman"/>
              </w:rPr>
            </w:pPr>
            <w:r>
              <w:rPr>
                <w:rFonts w:ascii="Times New Roman" w:hAnsi="Times New Roman"/>
              </w:rPr>
              <w:t>PM</w:t>
            </w:r>
            <w:r>
              <w:rPr>
                <w:rFonts w:ascii="Times New Roman" w:hAnsi="Times New Roman"/>
                <w:vertAlign w:val="subscript"/>
              </w:rPr>
              <w:t>10</w:t>
            </w:r>
          </w:p>
        </w:tc>
        <w:tc>
          <w:tcPr>
            <w:tcW w:w="2250" w:type="dxa"/>
            <w:shd w:val="clear" w:color="auto" w:fill="auto"/>
            <w:vAlign w:val="center"/>
          </w:tcPr>
          <w:p w14:paraId="23325D54">
            <w:pPr>
              <w:pStyle w:val="827"/>
              <w:rPr>
                <w:rFonts w:ascii="Times New Roman" w:hAnsi="Times New Roman"/>
              </w:rPr>
            </w:pPr>
            <w:r>
              <w:rPr>
                <w:rFonts w:ascii="Times New Roman" w:hAnsi="Times New Roman"/>
              </w:rPr>
              <w:t>年平均</w:t>
            </w:r>
          </w:p>
        </w:tc>
        <w:tc>
          <w:tcPr>
            <w:tcW w:w="1590" w:type="dxa"/>
            <w:shd w:val="clear" w:color="auto" w:fill="auto"/>
            <w:vAlign w:val="center"/>
          </w:tcPr>
          <w:p w14:paraId="5E331889">
            <w:pPr>
              <w:pStyle w:val="827"/>
              <w:rPr>
                <w:rFonts w:ascii="Times New Roman" w:hAnsi="Times New Roman"/>
              </w:rPr>
            </w:pPr>
            <w:r>
              <w:rPr>
                <w:rFonts w:ascii="Times New Roman" w:hAnsi="Times New Roman"/>
              </w:rPr>
              <w:t>44</w:t>
            </w:r>
          </w:p>
        </w:tc>
        <w:tc>
          <w:tcPr>
            <w:tcW w:w="1455" w:type="dxa"/>
            <w:shd w:val="clear" w:color="auto" w:fill="auto"/>
            <w:vAlign w:val="center"/>
          </w:tcPr>
          <w:p w14:paraId="6941225F">
            <w:pPr>
              <w:pStyle w:val="827"/>
              <w:rPr>
                <w:rFonts w:ascii="Times New Roman" w:hAnsi="Times New Roman"/>
              </w:rPr>
            </w:pPr>
          </w:p>
        </w:tc>
        <w:tc>
          <w:tcPr>
            <w:tcW w:w="1485" w:type="dxa"/>
            <w:shd w:val="clear" w:color="auto" w:fill="auto"/>
            <w:vAlign w:val="center"/>
          </w:tcPr>
          <w:p w14:paraId="02D09837">
            <w:pPr>
              <w:pStyle w:val="827"/>
              <w:rPr>
                <w:rFonts w:ascii="Times New Roman" w:hAnsi="Times New Roman"/>
              </w:rPr>
            </w:pPr>
          </w:p>
        </w:tc>
        <w:tc>
          <w:tcPr>
            <w:tcW w:w="1261" w:type="dxa"/>
            <w:shd w:val="clear" w:color="auto" w:fill="auto"/>
            <w:vAlign w:val="center"/>
          </w:tcPr>
          <w:p w14:paraId="176C3992">
            <w:pPr>
              <w:pStyle w:val="827"/>
              <w:rPr>
                <w:rFonts w:ascii="Times New Roman" w:hAnsi="Times New Roman"/>
              </w:rPr>
            </w:pPr>
            <w:r>
              <w:rPr>
                <w:rFonts w:ascii="Times New Roman" w:hAnsi="Times New Roman"/>
              </w:rPr>
              <w:t>达标</w:t>
            </w:r>
          </w:p>
        </w:tc>
      </w:tr>
      <w:tr w14:paraId="109FFD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47" w:type="dxa"/>
            <w:shd w:val="clear" w:color="auto" w:fill="auto"/>
            <w:vAlign w:val="center"/>
          </w:tcPr>
          <w:p w14:paraId="68CA803B">
            <w:pPr>
              <w:pStyle w:val="827"/>
              <w:rPr>
                <w:rFonts w:ascii="Times New Roman" w:hAnsi="Times New Roman"/>
              </w:rPr>
            </w:pPr>
            <w:r>
              <w:rPr>
                <w:rFonts w:ascii="Times New Roman" w:hAnsi="Times New Roman"/>
              </w:rPr>
              <w:t>PM</w:t>
            </w:r>
            <w:r>
              <w:rPr>
                <w:rFonts w:ascii="Times New Roman" w:hAnsi="Times New Roman"/>
                <w:vertAlign w:val="subscript"/>
              </w:rPr>
              <w:t>2.5</w:t>
            </w:r>
          </w:p>
        </w:tc>
        <w:tc>
          <w:tcPr>
            <w:tcW w:w="2250" w:type="dxa"/>
            <w:shd w:val="clear" w:color="auto" w:fill="auto"/>
            <w:vAlign w:val="center"/>
          </w:tcPr>
          <w:p w14:paraId="3BA646C7">
            <w:pPr>
              <w:pStyle w:val="827"/>
              <w:rPr>
                <w:rFonts w:ascii="Times New Roman" w:hAnsi="Times New Roman"/>
              </w:rPr>
            </w:pPr>
            <w:r>
              <w:rPr>
                <w:rFonts w:ascii="Times New Roman" w:hAnsi="Times New Roman"/>
              </w:rPr>
              <w:t>年平均</w:t>
            </w:r>
          </w:p>
        </w:tc>
        <w:tc>
          <w:tcPr>
            <w:tcW w:w="1590" w:type="dxa"/>
            <w:shd w:val="clear" w:color="auto" w:fill="auto"/>
            <w:vAlign w:val="center"/>
          </w:tcPr>
          <w:p w14:paraId="74F616FB">
            <w:pPr>
              <w:pStyle w:val="827"/>
              <w:rPr>
                <w:rFonts w:ascii="Times New Roman" w:hAnsi="Times New Roman"/>
              </w:rPr>
            </w:pPr>
            <w:r>
              <w:rPr>
                <w:rFonts w:ascii="Times New Roman" w:hAnsi="Times New Roman"/>
              </w:rPr>
              <w:t>24.3</w:t>
            </w:r>
          </w:p>
        </w:tc>
        <w:tc>
          <w:tcPr>
            <w:tcW w:w="1455" w:type="dxa"/>
            <w:shd w:val="clear" w:color="auto" w:fill="auto"/>
            <w:vAlign w:val="center"/>
          </w:tcPr>
          <w:p w14:paraId="1FDCA175">
            <w:pPr>
              <w:pStyle w:val="827"/>
              <w:rPr>
                <w:rFonts w:ascii="Times New Roman" w:hAnsi="Times New Roman"/>
              </w:rPr>
            </w:pPr>
          </w:p>
        </w:tc>
        <w:tc>
          <w:tcPr>
            <w:tcW w:w="1485" w:type="dxa"/>
            <w:shd w:val="clear" w:color="auto" w:fill="auto"/>
            <w:vAlign w:val="center"/>
          </w:tcPr>
          <w:p w14:paraId="6E2ACC29">
            <w:pPr>
              <w:pStyle w:val="827"/>
              <w:rPr>
                <w:rFonts w:ascii="Times New Roman" w:hAnsi="Times New Roman"/>
              </w:rPr>
            </w:pPr>
          </w:p>
        </w:tc>
        <w:tc>
          <w:tcPr>
            <w:tcW w:w="1261" w:type="dxa"/>
            <w:shd w:val="clear" w:color="auto" w:fill="auto"/>
            <w:vAlign w:val="center"/>
          </w:tcPr>
          <w:p w14:paraId="7AE725BF">
            <w:pPr>
              <w:pStyle w:val="827"/>
              <w:rPr>
                <w:rFonts w:ascii="Times New Roman" w:hAnsi="Times New Roman"/>
              </w:rPr>
            </w:pPr>
            <w:r>
              <w:rPr>
                <w:rFonts w:ascii="Times New Roman" w:hAnsi="Times New Roman"/>
              </w:rPr>
              <w:t>达标</w:t>
            </w:r>
          </w:p>
        </w:tc>
      </w:tr>
      <w:tr w14:paraId="55D942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47" w:type="dxa"/>
            <w:shd w:val="clear" w:color="auto" w:fill="auto"/>
            <w:vAlign w:val="center"/>
          </w:tcPr>
          <w:p w14:paraId="64BDE43A">
            <w:pPr>
              <w:pStyle w:val="827"/>
              <w:rPr>
                <w:rFonts w:ascii="Times New Roman" w:hAnsi="Times New Roman"/>
              </w:rPr>
            </w:pPr>
            <w:r>
              <w:rPr>
                <w:rFonts w:ascii="Times New Roman" w:hAnsi="Times New Roman"/>
              </w:rPr>
              <w:t>CO</w:t>
            </w:r>
          </w:p>
        </w:tc>
        <w:tc>
          <w:tcPr>
            <w:tcW w:w="2250" w:type="dxa"/>
            <w:shd w:val="clear" w:color="auto" w:fill="auto"/>
            <w:vAlign w:val="center"/>
          </w:tcPr>
          <w:p w14:paraId="63E962BB">
            <w:pPr>
              <w:pStyle w:val="827"/>
              <w:rPr>
                <w:rFonts w:ascii="Times New Roman" w:hAnsi="Times New Roman"/>
              </w:rPr>
            </w:pPr>
            <w:r>
              <w:rPr>
                <w:rFonts w:ascii="Times New Roman" w:hAnsi="Times New Roman"/>
              </w:rPr>
              <w:t>24小时平均第95百分位数</w:t>
            </w:r>
          </w:p>
        </w:tc>
        <w:tc>
          <w:tcPr>
            <w:tcW w:w="1590" w:type="dxa"/>
            <w:shd w:val="clear" w:color="auto" w:fill="auto"/>
            <w:vAlign w:val="center"/>
          </w:tcPr>
          <w:p w14:paraId="0B7D7BB9">
            <w:pPr>
              <w:pStyle w:val="827"/>
              <w:rPr>
                <w:rFonts w:ascii="Times New Roman" w:hAnsi="Times New Roman"/>
              </w:rPr>
            </w:pPr>
            <w:r>
              <w:rPr>
                <w:rFonts w:ascii="Times New Roman" w:hAnsi="Times New Roman"/>
              </w:rPr>
              <w:t>1100</w:t>
            </w:r>
          </w:p>
        </w:tc>
        <w:tc>
          <w:tcPr>
            <w:tcW w:w="1455" w:type="dxa"/>
            <w:shd w:val="clear" w:color="auto" w:fill="auto"/>
            <w:vAlign w:val="center"/>
          </w:tcPr>
          <w:p w14:paraId="68002F3D">
            <w:pPr>
              <w:pStyle w:val="827"/>
              <w:rPr>
                <w:rFonts w:ascii="Times New Roman" w:hAnsi="Times New Roman"/>
              </w:rPr>
            </w:pPr>
          </w:p>
        </w:tc>
        <w:tc>
          <w:tcPr>
            <w:tcW w:w="1485" w:type="dxa"/>
            <w:shd w:val="clear" w:color="auto" w:fill="auto"/>
            <w:vAlign w:val="center"/>
          </w:tcPr>
          <w:p w14:paraId="6A21187D">
            <w:pPr>
              <w:pStyle w:val="827"/>
              <w:rPr>
                <w:rFonts w:ascii="Times New Roman" w:hAnsi="Times New Roman"/>
              </w:rPr>
            </w:pPr>
          </w:p>
        </w:tc>
        <w:tc>
          <w:tcPr>
            <w:tcW w:w="1261" w:type="dxa"/>
            <w:shd w:val="clear" w:color="auto" w:fill="auto"/>
            <w:vAlign w:val="center"/>
          </w:tcPr>
          <w:p w14:paraId="12B571BE">
            <w:pPr>
              <w:pStyle w:val="827"/>
              <w:rPr>
                <w:rFonts w:ascii="Times New Roman" w:hAnsi="Times New Roman"/>
              </w:rPr>
            </w:pPr>
            <w:r>
              <w:rPr>
                <w:rFonts w:ascii="Times New Roman" w:hAnsi="Times New Roman"/>
              </w:rPr>
              <w:t>达标</w:t>
            </w:r>
          </w:p>
        </w:tc>
      </w:tr>
      <w:tr w14:paraId="1F3781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47" w:type="dxa"/>
            <w:shd w:val="clear" w:color="auto" w:fill="auto"/>
            <w:vAlign w:val="center"/>
          </w:tcPr>
          <w:p w14:paraId="0AE9E4E1">
            <w:pPr>
              <w:pStyle w:val="827"/>
              <w:rPr>
                <w:rFonts w:ascii="Times New Roman" w:hAnsi="Times New Roman"/>
              </w:rPr>
            </w:pPr>
            <w:r>
              <w:rPr>
                <w:rFonts w:ascii="Times New Roman" w:hAnsi="Times New Roman"/>
              </w:rPr>
              <w:t>O</w:t>
            </w:r>
            <w:r>
              <w:rPr>
                <w:rFonts w:ascii="Times New Roman" w:hAnsi="Times New Roman"/>
                <w:vertAlign w:val="subscript"/>
              </w:rPr>
              <w:t>3</w:t>
            </w:r>
          </w:p>
        </w:tc>
        <w:tc>
          <w:tcPr>
            <w:tcW w:w="2250" w:type="dxa"/>
            <w:shd w:val="clear" w:color="auto" w:fill="auto"/>
            <w:vAlign w:val="center"/>
          </w:tcPr>
          <w:p w14:paraId="49FE5099">
            <w:pPr>
              <w:pStyle w:val="827"/>
              <w:rPr>
                <w:rFonts w:ascii="Times New Roman" w:hAnsi="Times New Roman"/>
              </w:rPr>
            </w:pPr>
            <w:r>
              <w:rPr>
                <w:rFonts w:ascii="Times New Roman" w:hAnsi="Times New Roman"/>
              </w:rPr>
              <w:t>日最大8小时平均第90百分位数</w:t>
            </w:r>
          </w:p>
        </w:tc>
        <w:tc>
          <w:tcPr>
            <w:tcW w:w="1590" w:type="dxa"/>
            <w:shd w:val="clear" w:color="auto" w:fill="auto"/>
            <w:vAlign w:val="center"/>
          </w:tcPr>
          <w:p w14:paraId="3C66D4A6">
            <w:pPr>
              <w:pStyle w:val="827"/>
              <w:rPr>
                <w:rFonts w:ascii="Times New Roman" w:hAnsi="Times New Roman"/>
              </w:rPr>
            </w:pPr>
            <w:r>
              <w:rPr>
                <w:rFonts w:ascii="Times New Roman" w:hAnsi="Times New Roman"/>
              </w:rPr>
              <w:t>118</w:t>
            </w:r>
          </w:p>
        </w:tc>
        <w:tc>
          <w:tcPr>
            <w:tcW w:w="1455" w:type="dxa"/>
            <w:shd w:val="clear" w:color="auto" w:fill="auto"/>
            <w:vAlign w:val="center"/>
          </w:tcPr>
          <w:p w14:paraId="4FF8C0B1">
            <w:pPr>
              <w:pStyle w:val="827"/>
              <w:rPr>
                <w:rFonts w:ascii="Times New Roman" w:hAnsi="Times New Roman"/>
              </w:rPr>
            </w:pPr>
          </w:p>
        </w:tc>
        <w:tc>
          <w:tcPr>
            <w:tcW w:w="1485" w:type="dxa"/>
            <w:shd w:val="clear" w:color="auto" w:fill="auto"/>
            <w:vAlign w:val="center"/>
          </w:tcPr>
          <w:p w14:paraId="15051EB8">
            <w:pPr>
              <w:pStyle w:val="827"/>
              <w:rPr>
                <w:rFonts w:ascii="Times New Roman" w:hAnsi="Times New Roman"/>
              </w:rPr>
            </w:pPr>
          </w:p>
        </w:tc>
        <w:tc>
          <w:tcPr>
            <w:tcW w:w="1261" w:type="dxa"/>
            <w:shd w:val="clear" w:color="auto" w:fill="auto"/>
            <w:vAlign w:val="center"/>
          </w:tcPr>
          <w:p w14:paraId="00783936">
            <w:pPr>
              <w:pStyle w:val="827"/>
              <w:rPr>
                <w:rFonts w:ascii="Times New Roman" w:hAnsi="Times New Roman"/>
              </w:rPr>
            </w:pPr>
            <w:r>
              <w:rPr>
                <w:rFonts w:ascii="Times New Roman" w:hAnsi="Times New Roman"/>
              </w:rPr>
              <w:t>达标</w:t>
            </w:r>
          </w:p>
        </w:tc>
      </w:tr>
    </w:tbl>
    <w:p w14:paraId="2F650874">
      <w:pPr>
        <w:spacing w:line="360" w:lineRule="auto"/>
        <w:ind w:firstLine="480" w:firstLineChars="200"/>
        <w:rPr>
          <w:rFonts w:ascii="Times New Roman" w:hAnsi="Times New Roman"/>
          <w:sz w:val="24"/>
          <w:szCs w:val="24"/>
        </w:rPr>
      </w:pPr>
    </w:p>
    <w:p w14:paraId="52021794">
      <w:pPr>
        <w:spacing w:line="360" w:lineRule="auto"/>
        <w:ind w:firstLine="480" w:firstLineChars="200"/>
        <w:rPr>
          <w:rFonts w:ascii="Times New Roman" w:hAnsi="Times New Roman"/>
          <w:sz w:val="24"/>
          <w:szCs w:val="24"/>
        </w:rPr>
      </w:pPr>
      <w:r>
        <w:rPr>
          <w:rFonts w:ascii="Times New Roman" w:hAnsi="Times New Roman"/>
          <w:sz w:val="24"/>
          <w:szCs w:val="24"/>
        </w:rPr>
        <w:t>由上表可知，2023年钦州市SO</w:t>
      </w:r>
      <w:r>
        <w:rPr>
          <w:rFonts w:ascii="Times New Roman" w:hAnsi="Times New Roman"/>
          <w:sz w:val="24"/>
          <w:szCs w:val="24"/>
          <w:vertAlign w:val="subscript"/>
        </w:rPr>
        <w:t>2</w:t>
      </w:r>
      <w:r>
        <w:rPr>
          <w:rFonts w:ascii="Times New Roman" w:hAnsi="Times New Roman"/>
          <w:sz w:val="24"/>
          <w:szCs w:val="24"/>
        </w:rPr>
        <w:t>、NO</w:t>
      </w:r>
      <w:r>
        <w:rPr>
          <w:rFonts w:ascii="Times New Roman" w:hAnsi="Times New Roman"/>
          <w:sz w:val="24"/>
          <w:szCs w:val="24"/>
          <w:vertAlign w:val="subscript"/>
        </w:rPr>
        <w:t>2</w:t>
      </w:r>
      <w:r>
        <w:rPr>
          <w:rFonts w:ascii="Times New Roman" w:hAnsi="Times New Roman"/>
          <w:sz w:val="24"/>
          <w:szCs w:val="24"/>
        </w:rPr>
        <w:t>、PM</w:t>
      </w:r>
      <w:r>
        <w:rPr>
          <w:rFonts w:ascii="Times New Roman" w:hAnsi="Times New Roman"/>
          <w:sz w:val="24"/>
          <w:szCs w:val="24"/>
          <w:vertAlign w:val="subscript"/>
        </w:rPr>
        <w:t>10</w:t>
      </w:r>
      <w:r>
        <w:rPr>
          <w:rFonts w:ascii="Times New Roman" w:hAnsi="Times New Roman"/>
          <w:sz w:val="24"/>
          <w:szCs w:val="24"/>
        </w:rPr>
        <w:t>、PM</w:t>
      </w:r>
      <w:r>
        <w:rPr>
          <w:rFonts w:ascii="Times New Roman" w:hAnsi="Times New Roman"/>
          <w:sz w:val="24"/>
          <w:szCs w:val="24"/>
          <w:vertAlign w:val="subscript"/>
        </w:rPr>
        <w:t>2.5</w:t>
      </w:r>
      <w:r>
        <w:rPr>
          <w:rFonts w:ascii="Times New Roman" w:hAnsi="Times New Roman"/>
          <w:sz w:val="24"/>
          <w:szCs w:val="24"/>
        </w:rPr>
        <w:t>年平均质量浓度以及CO 24小时平均第95百分位数、O</w:t>
      </w:r>
      <w:r>
        <w:rPr>
          <w:rFonts w:ascii="Times New Roman" w:hAnsi="Times New Roman"/>
          <w:sz w:val="24"/>
          <w:szCs w:val="24"/>
          <w:vertAlign w:val="subscript"/>
        </w:rPr>
        <w:t>3</w:t>
      </w:r>
      <w:r>
        <w:rPr>
          <w:rFonts w:ascii="Times New Roman" w:hAnsi="Times New Roman"/>
          <w:sz w:val="24"/>
          <w:szCs w:val="24"/>
        </w:rPr>
        <w:t>日最大8小时平均第90百分位数浓度均达到《环境空气质量标准》（GB3095-2012）及其2018年修改单的二级标准要求，所以项目所属区域环境空气质量良好，区域环境空气质量为达标区。</w:t>
      </w:r>
    </w:p>
    <w:p w14:paraId="354F6B43">
      <w:pPr>
        <w:pStyle w:val="6"/>
        <w:numPr>
          <w:ilvl w:val="2"/>
          <w:numId w:val="3"/>
        </w:numPr>
      </w:pPr>
      <w:r>
        <w:rPr>
          <w:rFonts w:hint="eastAsia"/>
        </w:rPr>
        <w:t>基本污染物环境质量现状评价</w:t>
      </w:r>
    </w:p>
    <w:p w14:paraId="42D2A715">
      <w:pPr>
        <w:spacing w:line="360" w:lineRule="auto"/>
        <w:ind w:firstLine="480" w:firstLineChars="200"/>
        <w:rPr>
          <w:rFonts w:ascii="Times New Roman" w:hAnsi="Times New Roman"/>
          <w:sz w:val="24"/>
          <w:szCs w:val="24"/>
        </w:rPr>
      </w:pPr>
      <w:r>
        <w:rPr>
          <w:rFonts w:ascii="Times New Roman" w:hAnsi="Times New Roman"/>
          <w:sz w:val="24"/>
          <w:szCs w:val="24"/>
        </w:rPr>
        <w:t>依据《环境影响评价技术导则大气环境》（HJ2.2-2018）的要求，为了解拟建项目周边环境空气质量状况，由于评价范围内无长期环境质量监测点，本项目采用市环保站（E108.6236</w:t>
      </w:r>
      <w:r>
        <w:rPr>
          <w:rFonts w:hint="eastAsia" w:ascii="Times New Roman" w:hAnsi="Times New Roman"/>
          <w:sz w:val="24"/>
          <w:szCs w:val="24"/>
        </w:rPr>
        <w:t>°</w:t>
      </w:r>
      <w:r>
        <w:rPr>
          <w:rFonts w:ascii="Times New Roman" w:hAnsi="Times New Roman"/>
          <w:sz w:val="24"/>
          <w:szCs w:val="24"/>
        </w:rPr>
        <w:t>，N21.9667</w:t>
      </w:r>
      <w:r>
        <w:rPr>
          <w:rFonts w:hint="eastAsia" w:ascii="Times New Roman" w:hAnsi="Times New Roman"/>
          <w:sz w:val="24"/>
          <w:szCs w:val="24"/>
        </w:rPr>
        <w:t>°</w:t>
      </w:r>
      <w:r>
        <w:rPr>
          <w:rFonts w:ascii="Times New Roman" w:hAnsi="Times New Roman"/>
          <w:sz w:val="24"/>
          <w:szCs w:val="24"/>
        </w:rPr>
        <w:t>）监测站点202</w:t>
      </w:r>
      <w:r>
        <w:rPr>
          <w:rFonts w:hint="eastAsia" w:ascii="Times New Roman" w:hAnsi="Times New Roman"/>
          <w:sz w:val="24"/>
          <w:szCs w:val="24"/>
        </w:rPr>
        <w:t>3</w:t>
      </w:r>
      <w:r>
        <w:rPr>
          <w:rFonts w:ascii="Times New Roman" w:hAnsi="Times New Roman"/>
          <w:sz w:val="24"/>
          <w:szCs w:val="24"/>
        </w:rPr>
        <w:t>年全年监测数据，数据来源于广西壮族自治区环境保护厅网站数据中心。</w:t>
      </w:r>
    </w:p>
    <w:p w14:paraId="26609DE2">
      <w:pPr>
        <w:spacing w:line="360" w:lineRule="auto"/>
        <w:ind w:firstLine="480" w:firstLineChars="200"/>
        <w:rPr>
          <w:rFonts w:ascii="Times New Roman" w:hAnsi="Times New Roman"/>
          <w:sz w:val="24"/>
          <w:szCs w:val="24"/>
        </w:rPr>
      </w:pPr>
      <w:r>
        <w:rPr>
          <w:rFonts w:ascii="Times New Roman" w:hAnsi="Times New Roman"/>
          <w:sz w:val="24"/>
          <w:szCs w:val="24"/>
        </w:rPr>
        <w:t>根据《环境空气质量评价技术规范（试行）》（HJ663-2013）表1中年评价相关要求，对SO</w:t>
      </w:r>
      <w:r>
        <w:rPr>
          <w:rFonts w:ascii="Times New Roman" w:hAnsi="Times New Roman"/>
          <w:sz w:val="24"/>
          <w:szCs w:val="24"/>
          <w:vertAlign w:val="subscript"/>
        </w:rPr>
        <w:t>2</w:t>
      </w:r>
      <w:r>
        <w:rPr>
          <w:rFonts w:ascii="Times New Roman" w:hAnsi="Times New Roman"/>
          <w:sz w:val="24"/>
          <w:szCs w:val="24"/>
        </w:rPr>
        <w:t>、NO</w:t>
      </w:r>
      <w:r>
        <w:rPr>
          <w:rFonts w:ascii="Times New Roman" w:hAnsi="Times New Roman"/>
          <w:sz w:val="24"/>
          <w:szCs w:val="24"/>
          <w:vertAlign w:val="subscript"/>
        </w:rPr>
        <w:t>2</w:t>
      </w:r>
      <w:r>
        <w:rPr>
          <w:rFonts w:ascii="Times New Roman" w:hAnsi="Times New Roman"/>
          <w:sz w:val="24"/>
          <w:szCs w:val="24"/>
        </w:rPr>
        <w:t>的年平均和日均值保证率为24小时平均第98百分位数对应浓度值进行统计，对PM</w:t>
      </w:r>
      <w:r>
        <w:rPr>
          <w:rFonts w:ascii="Times New Roman" w:hAnsi="Times New Roman"/>
          <w:sz w:val="24"/>
          <w:szCs w:val="24"/>
          <w:vertAlign w:val="subscript"/>
        </w:rPr>
        <w:t>10</w:t>
      </w:r>
      <w:r>
        <w:rPr>
          <w:rFonts w:ascii="Times New Roman" w:hAnsi="Times New Roman"/>
          <w:sz w:val="24"/>
          <w:szCs w:val="24"/>
        </w:rPr>
        <w:t>、PM</w:t>
      </w:r>
      <w:r>
        <w:rPr>
          <w:rFonts w:ascii="Times New Roman" w:hAnsi="Times New Roman"/>
          <w:sz w:val="24"/>
          <w:szCs w:val="24"/>
          <w:vertAlign w:val="subscript"/>
        </w:rPr>
        <w:t>2.5</w:t>
      </w:r>
      <w:r>
        <w:rPr>
          <w:rFonts w:ascii="Times New Roman" w:hAnsi="Times New Roman"/>
          <w:sz w:val="24"/>
          <w:szCs w:val="24"/>
        </w:rPr>
        <w:t>的年平均和日均值保证率为24小时平均第95百分位数对应浓度值进行统计，对CO日均值保证率为24小时平均第95百分位数对应浓度值进行统计，对O</w:t>
      </w:r>
      <w:r>
        <w:rPr>
          <w:rFonts w:ascii="Times New Roman" w:hAnsi="Times New Roman"/>
          <w:sz w:val="24"/>
          <w:szCs w:val="24"/>
          <w:vertAlign w:val="subscript"/>
        </w:rPr>
        <w:t>3</w:t>
      </w:r>
      <w:r>
        <w:rPr>
          <w:rFonts w:ascii="Times New Roman" w:hAnsi="Times New Roman"/>
          <w:sz w:val="24"/>
          <w:szCs w:val="24"/>
        </w:rPr>
        <w:t>日最大8小时平均第90百分位数对应浓度值进行统计，得出</w:t>
      </w:r>
      <w:r>
        <w:rPr>
          <w:rFonts w:hint="eastAsia" w:ascii="Times New Roman" w:hAnsi="Times New Roman"/>
          <w:sz w:val="24"/>
          <w:szCs w:val="24"/>
        </w:rPr>
        <w:t>2023</w:t>
      </w:r>
      <w:r>
        <w:rPr>
          <w:rFonts w:ascii="Times New Roman" w:hAnsi="Times New Roman"/>
          <w:sz w:val="24"/>
          <w:szCs w:val="24"/>
        </w:rPr>
        <w:t>年评价区环境空气质量监测数</w:t>
      </w:r>
      <w:r>
        <w:rPr>
          <w:rFonts w:hint="eastAsia" w:ascii="Times New Roman" w:hAnsi="Times New Roman"/>
          <w:sz w:val="24"/>
          <w:szCs w:val="24"/>
        </w:rPr>
        <w:t>据</w:t>
      </w:r>
      <w:r>
        <w:rPr>
          <w:rFonts w:ascii="Times New Roman" w:hAnsi="Times New Roman"/>
          <w:sz w:val="24"/>
          <w:szCs w:val="24"/>
        </w:rPr>
        <w:t>统计如表</w:t>
      </w:r>
      <w:r>
        <w:rPr>
          <w:rFonts w:hint="eastAsia" w:ascii="Times New Roman" w:hAnsi="Times New Roman"/>
          <w:sz w:val="24"/>
          <w:szCs w:val="24"/>
        </w:rPr>
        <w:t>3.3</w:t>
      </w:r>
      <w:r>
        <w:rPr>
          <w:rFonts w:ascii="Times New Roman" w:hAnsi="Times New Roman"/>
          <w:sz w:val="24"/>
          <w:szCs w:val="24"/>
        </w:rPr>
        <w:t>-2所示。</w:t>
      </w:r>
    </w:p>
    <w:p w14:paraId="6395A4FE">
      <w:pPr>
        <w:pStyle w:val="8"/>
        <w:numPr>
          <w:ilvl w:val="4"/>
          <w:numId w:val="3"/>
        </w:numPr>
        <w:spacing w:line="440" w:lineRule="exact"/>
        <w:ind w:firstLine="482" w:firstLineChars="200"/>
        <w:rPr>
          <w:sz w:val="24"/>
          <w:szCs w:val="24"/>
        </w:rPr>
      </w:pPr>
      <w:r>
        <w:rPr>
          <w:sz w:val="24"/>
          <w:szCs w:val="24"/>
        </w:rPr>
        <w:t>基本污染物空气质量现状评价表</w:t>
      </w:r>
    </w:p>
    <w:tbl>
      <w:tblPr>
        <w:tblStyle w:val="88"/>
        <w:tblW w:w="9027"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960"/>
        <w:gridCol w:w="2639"/>
        <w:gridCol w:w="1210"/>
        <w:gridCol w:w="1394"/>
        <w:gridCol w:w="1320"/>
        <w:gridCol w:w="1504"/>
      </w:tblGrid>
      <w:tr w14:paraId="6F6C6BD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960" w:type="dxa"/>
            <w:tcMar>
              <w:top w:w="0" w:type="dxa"/>
              <w:left w:w="0" w:type="dxa"/>
              <w:bottom w:w="0" w:type="dxa"/>
              <w:right w:w="0" w:type="dxa"/>
            </w:tcMar>
            <w:vAlign w:val="center"/>
          </w:tcPr>
          <w:p w14:paraId="7EE77F75">
            <w:pPr>
              <w:jc w:val="center"/>
              <w:rPr>
                <w:rFonts w:ascii="Times New Roman" w:hAnsi="Times New Roman"/>
                <w:b/>
                <w:bCs/>
                <w:szCs w:val="21"/>
              </w:rPr>
            </w:pPr>
            <w:r>
              <w:rPr>
                <w:rFonts w:ascii="Times New Roman" w:hAnsi="Times New Roman"/>
                <w:b/>
                <w:bCs/>
                <w:szCs w:val="21"/>
              </w:rPr>
              <w:t>污染物</w:t>
            </w:r>
          </w:p>
        </w:tc>
        <w:tc>
          <w:tcPr>
            <w:tcW w:w="2639" w:type="dxa"/>
            <w:tcMar>
              <w:top w:w="0" w:type="dxa"/>
              <w:left w:w="0" w:type="dxa"/>
              <w:bottom w:w="0" w:type="dxa"/>
              <w:right w:w="0" w:type="dxa"/>
            </w:tcMar>
            <w:vAlign w:val="center"/>
          </w:tcPr>
          <w:p w14:paraId="1211ADE2">
            <w:pPr>
              <w:jc w:val="center"/>
              <w:rPr>
                <w:rFonts w:ascii="Times New Roman" w:hAnsi="Times New Roman"/>
                <w:b/>
                <w:bCs/>
                <w:szCs w:val="21"/>
              </w:rPr>
            </w:pPr>
            <w:r>
              <w:rPr>
                <w:rFonts w:ascii="Times New Roman" w:hAnsi="Times New Roman"/>
                <w:b/>
                <w:bCs/>
                <w:szCs w:val="21"/>
              </w:rPr>
              <w:t>年平均指标</w:t>
            </w:r>
          </w:p>
        </w:tc>
        <w:tc>
          <w:tcPr>
            <w:tcW w:w="1210" w:type="dxa"/>
            <w:tcMar>
              <w:top w:w="0" w:type="dxa"/>
              <w:left w:w="0" w:type="dxa"/>
              <w:bottom w:w="0" w:type="dxa"/>
              <w:right w:w="0" w:type="dxa"/>
            </w:tcMar>
            <w:vAlign w:val="center"/>
          </w:tcPr>
          <w:p w14:paraId="4B486CAD">
            <w:pPr>
              <w:jc w:val="center"/>
              <w:rPr>
                <w:rFonts w:ascii="Times New Roman" w:hAnsi="Times New Roman"/>
                <w:b/>
                <w:bCs/>
                <w:szCs w:val="21"/>
              </w:rPr>
            </w:pPr>
            <w:r>
              <w:rPr>
                <w:rFonts w:ascii="Times New Roman" w:hAnsi="Times New Roman"/>
                <w:b/>
                <w:bCs/>
                <w:szCs w:val="21"/>
              </w:rPr>
              <w:t>现状浓度（µg/m</w:t>
            </w:r>
            <w:r>
              <w:rPr>
                <w:rFonts w:ascii="Times New Roman" w:hAnsi="Times New Roman"/>
                <w:b/>
                <w:bCs/>
                <w:szCs w:val="21"/>
                <w:vertAlign w:val="superscript"/>
              </w:rPr>
              <w:t>3</w:t>
            </w:r>
            <w:r>
              <w:rPr>
                <w:rFonts w:ascii="Times New Roman" w:hAnsi="Times New Roman"/>
                <w:b/>
                <w:bCs/>
                <w:szCs w:val="21"/>
              </w:rPr>
              <w:t>）</w:t>
            </w:r>
          </w:p>
        </w:tc>
        <w:tc>
          <w:tcPr>
            <w:tcW w:w="1394" w:type="dxa"/>
            <w:tcMar>
              <w:top w:w="0" w:type="dxa"/>
              <w:left w:w="0" w:type="dxa"/>
              <w:bottom w:w="0" w:type="dxa"/>
              <w:right w:w="0" w:type="dxa"/>
            </w:tcMar>
            <w:vAlign w:val="center"/>
          </w:tcPr>
          <w:p w14:paraId="347DFDD1">
            <w:pPr>
              <w:jc w:val="center"/>
              <w:rPr>
                <w:rFonts w:ascii="Times New Roman" w:hAnsi="Times New Roman"/>
                <w:b/>
                <w:bCs/>
                <w:szCs w:val="21"/>
              </w:rPr>
            </w:pPr>
            <w:r>
              <w:rPr>
                <w:rFonts w:ascii="Times New Roman" w:hAnsi="Times New Roman"/>
                <w:b/>
                <w:bCs/>
                <w:szCs w:val="21"/>
              </w:rPr>
              <w:t>标准值（µg/m</w:t>
            </w:r>
            <w:r>
              <w:rPr>
                <w:rFonts w:ascii="Times New Roman" w:hAnsi="Times New Roman"/>
                <w:b/>
                <w:bCs/>
                <w:szCs w:val="21"/>
                <w:vertAlign w:val="superscript"/>
              </w:rPr>
              <w:t>3</w:t>
            </w:r>
            <w:r>
              <w:rPr>
                <w:rFonts w:ascii="Times New Roman" w:hAnsi="Times New Roman"/>
                <w:b/>
                <w:bCs/>
                <w:szCs w:val="21"/>
              </w:rPr>
              <w:t>）</w:t>
            </w:r>
          </w:p>
        </w:tc>
        <w:tc>
          <w:tcPr>
            <w:tcW w:w="1320" w:type="dxa"/>
            <w:tcMar>
              <w:top w:w="0" w:type="dxa"/>
              <w:left w:w="0" w:type="dxa"/>
              <w:bottom w:w="0" w:type="dxa"/>
              <w:right w:w="0" w:type="dxa"/>
            </w:tcMar>
            <w:vAlign w:val="center"/>
          </w:tcPr>
          <w:p w14:paraId="607F1404">
            <w:pPr>
              <w:jc w:val="center"/>
              <w:rPr>
                <w:rFonts w:ascii="Times New Roman" w:hAnsi="Times New Roman"/>
                <w:b/>
                <w:bCs/>
                <w:szCs w:val="21"/>
              </w:rPr>
            </w:pPr>
            <w:r>
              <w:rPr>
                <w:rFonts w:ascii="Times New Roman" w:hAnsi="Times New Roman"/>
                <w:b/>
                <w:bCs/>
                <w:szCs w:val="21"/>
              </w:rPr>
              <w:t>占标率（%）</w:t>
            </w:r>
          </w:p>
        </w:tc>
        <w:tc>
          <w:tcPr>
            <w:tcW w:w="1504" w:type="dxa"/>
            <w:tcMar>
              <w:top w:w="0" w:type="dxa"/>
              <w:left w:w="0" w:type="dxa"/>
              <w:bottom w:w="0" w:type="dxa"/>
              <w:right w:w="0" w:type="dxa"/>
            </w:tcMar>
            <w:vAlign w:val="center"/>
          </w:tcPr>
          <w:p w14:paraId="062FB62C">
            <w:pPr>
              <w:jc w:val="center"/>
              <w:rPr>
                <w:rFonts w:ascii="Times New Roman" w:hAnsi="Times New Roman"/>
                <w:b/>
                <w:bCs/>
                <w:szCs w:val="21"/>
              </w:rPr>
            </w:pPr>
            <w:r>
              <w:rPr>
                <w:rFonts w:ascii="Times New Roman" w:hAnsi="Times New Roman"/>
                <w:b/>
                <w:bCs/>
                <w:szCs w:val="21"/>
              </w:rPr>
              <w:t>达标情况</w:t>
            </w:r>
          </w:p>
        </w:tc>
      </w:tr>
      <w:tr w14:paraId="0622617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960" w:type="dxa"/>
            <w:vMerge w:val="restart"/>
            <w:tcMar>
              <w:top w:w="0" w:type="dxa"/>
              <w:left w:w="0" w:type="dxa"/>
              <w:bottom w:w="0" w:type="dxa"/>
              <w:right w:w="0" w:type="dxa"/>
            </w:tcMar>
            <w:vAlign w:val="center"/>
          </w:tcPr>
          <w:p w14:paraId="2D72A167">
            <w:pPr>
              <w:jc w:val="center"/>
              <w:rPr>
                <w:rFonts w:ascii="Times New Roman" w:hAnsi="Times New Roman"/>
                <w:szCs w:val="21"/>
              </w:rPr>
            </w:pPr>
            <w:r>
              <w:rPr>
                <w:rFonts w:ascii="Times New Roman" w:hAnsi="Times New Roman"/>
                <w:szCs w:val="21"/>
              </w:rPr>
              <w:t>SO</w:t>
            </w:r>
            <w:r>
              <w:rPr>
                <w:rFonts w:ascii="Times New Roman" w:hAnsi="Times New Roman"/>
                <w:szCs w:val="21"/>
                <w:vertAlign w:val="subscript"/>
              </w:rPr>
              <w:t>2</w:t>
            </w:r>
          </w:p>
        </w:tc>
        <w:tc>
          <w:tcPr>
            <w:tcW w:w="2639" w:type="dxa"/>
            <w:tcMar>
              <w:top w:w="0" w:type="dxa"/>
              <w:left w:w="0" w:type="dxa"/>
              <w:bottom w:w="0" w:type="dxa"/>
              <w:right w:w="0" w:type="dxa"/>
            </w:tcMar>
            <w:vAlign w:val="center"/>
          </w:tcPr>
          <w:p w14:paraId="21A6B52D">
            <w:pPr>
              <w:jc w:val="center"/>
              <w:rPr>
                <w:rFonts w:ascii="Times New Roman" w:hAnsi="Times New Roman"/>
                <w:szCs w:val="21"/>
              </w:rPr>
            </w:pPr>
            <w:r>
              <w:rPr>
                <w:rFonts w:ascii="Times New Roman" w:hAnsi="Times New Roman"/>
                <w:szCs w:val="21"/>
              </w:rPr>
              <w:t>24小时平均第98百分位数</w:t>
            </w:r>
          </w:p>
        </w:tc>
        <w:tc>
          <w:tcPr>
            <w:tcW w:w="1210" w:type="dxa"/>
            <w:tcMar>
              <w:top w:w="0" w:type="dxa"/>
              <w:left w:w="0" w:type="dxa"/>
              <w:bottom w:w="0" w:type="dxa"/>
              <w:right w:w="0" w:type="dxa"/>
            </w:tcMar>
            <w:vAlign w:val="center"/>
          </w:tcPr>
          <w:p w14:paraId="13814123">
            <w:pPr>
              <w:jc w:val="center"/>
              <w:rPr>
                <w:rFonts w:ascii="Times New Roman" w:hAnsi="Times New Roman"/>
                <w:szCs w:val="21"/>
              </w:rPr>
            </w:pPr>
            <w:r>
              <w:rPr>
                <w:rFonts w:ascii="Times New Roman" w:hAnsi="Times New Roman"/>
                <w:szCs w:val="21"/>
              </w:rPr>
              <w:t>16</w:t>
            </w:r>
          </w:p>
        </w:tc>
        <w:tc>
          <w:tcPr>
            <w:tcW w:w="1394" w:type="dxa"/>
            <w:tcMar>
              <w:top w:w="0" w:type="dxa"/>
              <w:left w:w="0" w:type="dxa"/>
              <w:bottom w:w="0" w:type="dxa"/>
              <w:right w:w="0" w:type="dxa"/>
            </w:tcMar>
            <w:vAlign w:val="center"/>
          </w:tcPr>
          <w:p w14:paraId="60ACA19F">
            <w:pPr>
              <w:jc w:val="center"/>
              <w:rPr>
                <w:rFonts w:ascii="Times New Roman" w:hAnsi="Times New Roman"/>
                <w:szCs w:val="21"/>
              </w:rPr>
            </w:pPr>
          </w:p>
        </w:tc>
        <w:tc>
          <w:tcPr>
            <w:tcW w:w="1320" w:type="dxa"/>
            <w:tcMar>
              <w:top w:w="0" w:type="dxa"/>
              <w:left w:w="0" w:type="dxa"/>
              <w:bottom w:w="0" w:type="dxa"/>
              <w:right w:w="0" w:type="dxa"/>
            </w:tcMar>
            <w:vAlign w:val="center"/>
          </w:tcPr>
          <w:p w14:paraId="59C13CA8">
            <w:pPr>
              <w:jc w:val="center"/>
              <w:rPr>
                <w:rFonts w:ascii="Times New Roman" w:hAnsi="Times New Roman"/>
                <w:szCs w:val="21"/>
              </w:rPr>
            </w:pPr>
          </w:p>
        </w:tc>
        <w:tc>
          <w:tcPr>
            <w:tcW w:w="1504" w:type="dxa"/>
            <w:tcMar>
              <w:top w:w="0" w:type="dxa"/>
              <w:left w:w="0" w:type="dxa"/>
              <w:bottom w:w="0" w:type="dxa"/>
              <w:right w:w="0" w:type="dxa"/>
            </w:tcMar>
            <w:vAlign w:val="center"/>
          </w:tcPr>
          <w:p w14:paraId="6540E873">
            <w:pPr>
              <w:jc w:val="center"/>
              <w:rPr>
                <w:rFonts w:ascii="Times New Roman" w:hAnsi="Times New Roman"/>
                <w:szCs w:val="21"/>
              </w:rPr>
            </w:pPr>
            <w:r>
              <w:rPr>
                <w:rFonts w:ascii="Times New Roman" w:hAnsi="Times New Roman"/>
                <w:szCs w:val="21"/>
              </w:rPr>
              <w:t>达标</w:t>
            </w:r>
          </w:p>
        </w:tc>
      </w:tr>
      <w:tr w14:paraId="0A1160B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960" w:type="dxa"/>
            <w:vMerge w:val="continue"/>
            <w:vAlign w:val="center"/>
          </w:tcPr>
          <w:p w14:paraId="7000E179">
            <w:pPr>
              <w:jc w:val="center"/>
              <w:rPr>
                <w:rFonts w:ascii="Times New Roman" w:hAnsi="Times New Roman"/>
                <w:szCs w:val="21"/>
              </w:rPr>
            </w:pPr>
          </w:p>
        </w:tc>
        <w:tc>
          <w:tcPr>
            <w:tcW w:w="2639" w:type="dxa"/>
            <w:vAlign w:val="center"/>
          </w:tcPr>
          <w:p w14:paraId="6CD6CC5A">
            <w:pPr>
              <w:jc w:val="center"/>
              <w:rPr>
                <w:rFonts w:ascii="Times New Roman" w:hAnsi="Times New Roman"/>
                <w:szCs w:val="21"/>
              </w:rPr>
            </w:pPr>
            <w:r>
              <w:rPr>
                <w:rFonts w:ascii="Times New Roman" w:hAnsi="Times New Roman"/>
                <w:szCs w:val="21"/>
              </w:rPr>
              <w:t>年平均质量浓度</w:t>
            </w:r>
          </w:p>
        </w:tc>
        <w:tc>
          <w:tcPr>
            <w:tcW w:w="1210" w:type="dxa"/>
            <w:vAlign w:val="center"/>
          </w:tcPr>
          <w:p w14:paraId="076A7A08">
            <w:pPr>
              <w:jc w:val="center"/>
              <w:rPr>
                <w:rFonts w:ascii="Times New Roman" w:hAnsi="Times New Roman"/>
                <w:szCs w:val="21"/>
              </w:rPr>
            </w:pPr>
            <w:r>
              <w:rPr>
                <w:rFonts w:ascii="Times New Roman" w:hAnsi="Times New Roman"/>
                <w:szCs w:val="21"/>
              </w:rPr>
              <w:t>9</w:t>
            </w:r>
          </w:p>
        </w:tc>
        <w:tc>
          <w:tcPr>
            <w:tcW w:w="1394" w:type="dxa"/>
            <w:vAlign w:val="center"/>
          </w:tcPr>
          <w:p w14:paraId="1AD83696">
            <w:pPr>
              <w:jc w:val="center"/>
              <w:rPr>
                <w:rFonts w:ascii="Times New Roman" w:hAnsi="Times New Roman"/>
                <w:szCs w:val="21"/>
              </w:rPr>
            </w:pPr>
          </w:p>
        </w:tc>
        <w:tc>
          <w:tcPr>
            <w:tcW w:w="1320" w:type="dxa"/>
            <w:vAlign w:val="center"/>
          </w:tcPr>
          <w:p w14:paraId="73B2DC60">
            <w:pPr>
              <w:jc w:val="center"/>
              <w:rPr>
                <w:rFonts w:ascii="Times New Roman" w:hAnsi="Times New Roman"/>
                <w:szCs w:val="21"/>
              </w:rPr>
            </w:pPr>
          </w:p>
        </w:tc>
        <w:tc>
          <w:tcPr>
            <w:tcW w:w="1504" w:type="dxa"/>
            <w:vAlign w:val="center"/>
          </w:tcPr>
          <w:p w14:paraId="2FBD3E72">
            <w:pPr>
              <w:jc w:val="center"/>
              <w:rPr>
                <w:rFonts w:ascii="Times New Roman" w:hAnsi="Times New Roman"/>
                <w:szCs w:val="21"/>
              </w:rPr>
            </w:pPr>
            <w:r>
              <w:rPr>
                <w:rFonts w:ascii="Times New Roman" w:hAnsi="Times New Roman"/>
                <w:szCs w:val="21"/>
              </w:rPr>
              <w:t>达标</w:t>
            </w:r>
          </w:p>
        </w:tc>
      </w:tr>
      <w:tr w14:paraId="4346C5C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960" w:type="dxa"/>
            <w:vMerge w:val="restart"/>
            <w:vAlign w:val="center"/>
          </w:tcPr>
          <w:p w14:paraId="57B873B8">
            <w:pPr>
              <w:jc w:val="center"/>
              <w:rPr>
                <w:rFonts w:ascii="Times New Roman" w:hAnsi="Times New Roman"/>
                <w:szCs w:val="21"/>
              </w:rPr>
            </w:pPr>
            <w:r>
              <w:rPr>
                <w:rFonts w:ascii="Times New Roman" w:hAnsi="Times New Roman"/>
                <w:szCs w:val="21"/>
              </w:rPr>
              <w:t>NO</w:t>
            </w:r>
            <w:r>
              <w:rPr>
                <w:rFonts w:ascii="Times New Roman" w:hAnsi="Times New Roman"/>
                <w:szCs w:val="21"/>
                <w:vertAlign w:val="subscript"/>
              </w:rPr>
              <w:t>2</w:t>
            </w:r>
          </w:p>
        </w:tc>
        <w:tc>
          <w:tcPr>
            <w:tcW w:w="2639" w:type="dxa"/>
            <w:vAlign w:val="center"/>
          </w:tcPr>
          <w:p w14:paraId="5A3C43DE">
            <w:pPr>
              <w:jc w:val="center"/>
              <w:rPr>
                <w:rFonts w:ascii="Times New Roman" w:hAnsi="Times New Roman"/>
                <w:szCs w:val="21"/>
              </w:rPr>
            </w:pPr>
            <w:r>
              <w:rPr>
                <w:rFonts w:ascii="Times New Roman" w:hAnsi="Times New Roman"/>
                <w:szCs w:val="21"/>
              </w:rPr>
              <w:t>24小时平均第98百分位数</w:t>
            </w:r>
          </w:p>
        </w:tc>
        <w:tc>
          <w:tcPr>
            <w:tcW w:w="1210" w:type="dxa"/>
            <w:vAlign w:val="center"/>
          </w:tcPr>
          <w:p w14:paraId="55047650">
            <w:pPr>
              <w:jc w:val="center"/>
              <w:rPr>
                <w:rFonts w:ascii="Times New Roman" w:hAnsi="Times New Roman"/>
                <w:szCs w:val="21"/>
              </w:rPr>
            </w:pPr>
            <w:r>
              <w:rPr>
                <w:rFonts w:ascii="Times New Roman" w:hAnsi="Times New Roman"/>
                <w:szCs w:val="21"/>
              </w:rPr>
              <w:t>46</w:t>
            </w:r>
          </w:p>
        </w:tc>
        <w:tc>
          <w:tcPr>
            <w:tcW w:w="1394" w:type="dxa"/>
            <w:vAlign w:val="center"/>
          </w:tcPr>
          <w:p w14:paraId="273BACA9">
            <w:pPr>
              <w:jc w:val="center"/>
              <w:rPr>
                <w:rFonts w:ascii="Times New Roman" w:hAnsi="Times New Roman"/>
                <w:szCs w:val="21"/>
              </w:rPr>
            </w:pPr>
          </w:p>
        </w:tc>
        <w:tc>
          <w:tcPr>
            <w:tcW w:w="1320" w:type="dxa"/>
            <w:vAlign w:val="center"/>
          </w:tcPr>
          <w:p w14:paraId="375BA1D1">
            <w:pPr>
              <w:jc w:val="center"/>
              <w:rPr>
                <w:rFonts w:ascii="Times New Roman" w:hAnsi="Times New Roman"/>
                <w:szCs w:val="21"/>
              </w:rPr>
            </w:pPr>
          </w:p>
        </w:tc>
        <w:tc>
          <w:tcPr>
            <w:tcW w:w="1504" w:type="dxa"/>
            <w:vAlign w:val="center"/>
          </w:tcPr>
          <w:p w14:paraId="515BA145">
            <w:pPr>
              <w:jc w:val="center"/>
              <w:rPr>
                <w:rFonts w:ascii="Times New Roman" w:hAnsi="Times New Roman"/>
                <w:szCs w:val="21"/>
              </w:rPr>
            </w:pPr>
            <w:r>
              <w:rPr>
                <w:rFonts w:ascii="Times New Roman" w:hAnsi="Times New Roman"/>
                <w:szCs w:val="21"/>
              </w:rPr>
              <w:t>达标</w:t>
            </w:r>
          </w:p>
        </w:tc>
      </w:tr>
      <w:tr w14:paraId="52EF83E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960" w:type="dxa"/>
            <w:vMerge w:val="continue"/>
            <w:vAlign w:val="center"/>
          </w:tcPr>
          <w:p w14:paraId="0D1F65B4">
            <w:pPr>
              <w:jc w:val="center"/>
              <w:rPr>
                <w:rFonts w:ascii="Times New Roman" w:hAnsi="Times New Roman"/>
                <w:szCs w:val="21"/>
              </w:rPr>
            </w:pPr>
          </w:p>
        </w:tc>
        <w:tc>
          <w:tcPr>
            <w:tcW w:w="2639" w:type="dxa"/>
            <w:vAlign w:val="center"/>
          </w:tcPr>
          <w:p w14:paraId="088D5328">
            <w:pPr>
              <w:jc w:val="center"/>
              <w:rPr>
                <w:rFonts w:ascii="Times New Roman" w:hAnsi="Times New Roman"/>
                <w:szCs w:val="21"/>
              </w:rPr>
            </w:pPr>
            <w:r>
              <w:rPr>
                <w:rFonts w:ascii="Times New Roman" w:hAnsi="Times New Roman"/>
                <w:szCs w:val="21"/>
              </w:rPr>
              <w:t>年平均质量浓度</w:t>
            </w:r>
          </w:p>
        </w:tc>
        <w:tc>
          <w:tcPr>
            <w:tcW w:w="1210" w:type="dxa"/>
            <w:vAlign w:val="center"/>
          </w:tcPr>
          <w:p w14:paraId="30BBD1D1">
            <w:pPr>
              <w:jc w:val="center"/>
              <w:rPr>
                <w:rFonts w:ascii="Times New Roman" w:hAnsi="Times New Roman"/>
                <w:szCs w:val="21"/>
              </w:rPr>
            </w:pPr>
            <w:r>
              <w:rPr>
                <w:rFonts w:ascii="Times New Roman" w:hAnsi="Times New Roman"/>
                <w:szCs w:val="21"/>
              </w:rPr>
              <w:t>23</w:t>
            </w:r>
          </w:p>
        </w:tc>
        <w:tc>
          <w:tcPr>
            <w:tcW w:w="1394" w:type="dxa"/>
            <w:vAlign w:val="center"/>
          </w:tcPr>
          <w:p w14:paraId="306CFFD1">
            <w:pPr>
              <w:jc w:val="center"/>
              <w:rPr>
                <w:rFonts w:ascii="Times New Roman" w:hAnsi="Times New Roman"/>
                <w:szCs w:val="21"/>
              </w:rPr>
            </w:pPr>
          </w:p>
        </w:tc>
        <w:tc>
          <w:tcPr>
            <w:tcW w:w="1320" w:type="dxa"/>
            <w:vAlign w:val="center"/>
          </w:tcPr>
          <w:p w14:paraId="609EB3F0">
            <w:pPr>
              <w:jc w:val="center"/>
              <w:rPr>
                <w:rFonts w:ascii="Times New Roman" w:hAnsi="Times New Roman"/>
                <w:szCs w:val="21"/>
              </w:rPr>
            </w:pPr>
          </w:p>
        </w:tc>
        <w:tc>
          <w:tcPr>
            <w:tcW w:w="1504" w:type="dxa"/>
            <w:vAlign w:val="center"/>
          </w:tcPr>
          <w:p w14:paraId="4369F52C">
            <w:pPr>
              <w:jc w:val="center"/>
              <w:rPr>
                <w:rFonts w:ascii="Times New Roman" w:hAnsi="Times New Roman"/>
                <w:szCs w:val="21"/>
              </w:rPr>
            </w:pPr>
            <w:r>
              <w:rPr>
                <w:rFonts w:ascii="Times New Roman" w:hAnsi="Times New Roman"/>
                <w:szCs w:val="21"/>
              </w:rPr>
              <w:t>达标</w:t>
            </w:r>
          </w:p>
        </w:tc>
      </w:tr>
      <w:tr w14:paraId="08C0221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960" w:type="dxa"/>
            <w:vMerge w:val="restart"/>
            <w:vAlign w:val="center"/>
          </w:tcPr>
          <w:p w14:paraId="49A43CD6">
            <w:pPr>
              <w:jc w:val="center"/>
              <w:rPr>
                <w:rFonts w:ascii="Times New Roman" w:hAnsi="Times New Roman"/>
                <w:szCs w:val="21"/>
              </w:rPr>
            </w:pPr>
            <w:r>
              <w:rPr>
                <w:rFonts w:ascii="Times New Roman" w:hAnsi="Times New Roman"/>
                <w:szCs w:val="21"/>
              </w:rPr>
              <w:t>PM</w:t>
            </w:r>
            <w:r>
              <w:rPr>
                <w:rFonts w:ascii="Times New Roman" w:hAnsi="Times New Roman"/>
                <w:szCs w:val="21"/>
                <w:vertAlign w:val="subscript"/>
              </w:rPr>
              <w:t>10</w:t>
            </w:r>
          </w:p>
        </w:tc>
        <w:tc>
          <w:tcPr>
            <w:tcW w:w="2639" w:type="dxa"/>
            <w:vAlign w:val="center"/>
          </w:tcPr>
          <w:p w14:paraId="3CBECA9D">
            <w:pPr>
              <w:rPr>
                <w:rFonts w:ascii="Times New Roman" w:hAnsi="Times New Roman"/>
                <w:szCs w:val="21"/>
              </w:rPr>
            </w:pPr>
            <w:r>
              <w:rPr>
                <w:rFonts w:ascii="Times New Roman" w:hAnsi="Times New Roman"/>
                <w:szCs w:val="21"/>
              </w:rPr>
              <w:t>24小时平均第95百分位数</w:t>
            </w:r>
          </w:p>
        </w:tc>
        <w:tc>
          <w:tcPr>
            <w:tcW w:w="1210" w:type="dxa"/>
            <w:vAlign w:val="center"/>
          </w:tcPr>
          <w:p w14:paraId="7E6FBFF3">
            <w:pPr>
              <w:jc w:val="center"/>
              <w:rPr>
                <w:rFonts w:ascii="Times New Roman" w:hAnsi="Times New Roman"/>
                <w:szCs w:val="21"/>
              </w:rPr>
            </w:pPr>
            <w:r>
              <w:rPr>
                <w:rFonts w:ascii="Times New Roman" w:hAnsi="Times New Roman"/>
                <w:szCs w:val="21"/>
              </w:rPr>
              <w:t>103</w:t>
            </w:r>
          </w:p>
        </w:tc>
        <w:tc>
          <w:tcPr>
            <w:tcW w:w="1394" w:type="dxa"/>
            <w:vAlign w:val="center"/>
          </w:tcPr>
          <w:p w14:paraId="2023C218">
            <w:pPr>
              <w:jc w:val="center"/>
              <w:rPr>
                <w:rFonts w:ascii="Times New Roman" w:hAnsi="Times New Roman"/>
                <w:szCs w:val="21"/>
              </w:rPr>
            </w:pPr>
          </w:p>
        </w:tc>
        <w:tc>
          <w:tcPr>
            <w:tcW w:w="1320" w:type="dxa"/>
            <w:vAlign w:val="center"/>
          </w:tcPr>
          <w:p w14:paraId="16D9CD17">
            <w:pPr>
              <w:jc w:val="center"/>
              <w:rPr>
                <w:rFonts w:ascii="Times New Roman" w:hAnsi="Times New Roman"/>
                <w:szCs w:val="21"/>
              </w:rPr>
            </w:pPr>
          </w:p>
        </w:tc>
        <w:tc>
          <w:tcPr>
            <w:tcW w:w="1504" w:type="dxa"/>
            <w:vAlign w:val="center"/>
          </w:tcPr>
          <w:p w14:paraId="3C9DB1F0">
            <w:pPr>
              <w:jc w:val="center"/>
              <w:rPr>
                <w:rFonts w:ascii="Times New Roman" w:hAnsi="Times New Roman"/>
                <w:szCs w:val="21"/>
              </w:rPr>
            </w:pPr>
            <w:r>
              <w:rPr>
                <w:rFonts w:ascii="Times New Roman" w:hAnsi="Times New Roman"/>
                <w:szCs w:val="21"/>
              </w:rPr>
              <w:t>达标</w:t>
            </w:r>
          </w:p>
        </w:tc>
      </w:tr>
      <w:tr w14:paraId="52C546D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960" w:type="dxa"/>
            <w:vMerge w:val="continue"/>
            <w:vAlign w:val="center"/>
          </w:tcPr>
          <w:p w14:paraId="4DE7FD3B">
            <w:pPr>
              <w:jc w:val="center"/>
              <w:rPr>
                <w:rFonts w:ascii="Times New Roman" w:hAnsi="Times New Roman"/>
                <w:szCs w:val="21"/>
              </w:rPr>
            </w:pPr>
          </w:p>
        </w:tc>
        <w:tc>
          <w:tcPr>
            <w:tcW w:w="2639" w:type="dxa"/>
            <w:vAlign w:val="center"/>
          </w:tcPr>
          <w:p w14:paraId="57EAA177">
            <w:pPr>
              <w:jc w:val="center"/>
              <w:rPr>
                <w:rFonts w:ascii="Times New Roman" w:hAnsi="Times New Roman"/>
                <w:szCs w:val="21"/>
              </w:rPr>
            </w:pPr>
            <w:r>
              <w:rPr>
                <w:rFonts w:ascii="Times New Roman" w:hAnsi="Times New Roman"/>
                <w:szCs w:val="21"/>
              </w:rPr>
              <w:t>年平均质量浓度</w:t>
            </w:r>
          </w:p>
        </w:tc>
        <w:tc>
          <w:tcPr>
            <w:tcW w:w="1210" w:type="dxa"/>
            <w:vAlign w:val="center"/>
          </w:tcPr>
          <w:p w14:paraId="5F4134AF">
            <w:pPr>
              <w:jc w:val="center"/>
              <w:rPr>
                <w:rFonts w:ascii="Times New Roman" w:hAnsi="Times New Roman"/>
                <w:szCs w:val="21"/>
              </w:rPr>
            </w:pPr>
            <w:r>
              <w:rPr>
                <w:rFonts w:ascii="Times New Roman" w:hAnsi="Times New Roman"/>
                <w:szCs w:val="21"/>
              </w:rPr>
              <w:t>52</w:t>
            </w:r>
          </w:p>
        </w:tc>
        <w:tc>
          <w:tcPr>
            <w:tcW w:w="1394" w:type="dxa"/>
            <w:vAlign w:val="center"/>
          </w:tcPr>
          <w:p w14:paraId="638F1156">
            <w:pPr>
              <w:jc w:val="center"/>
              <w:rPr>
                <w:rFonts w:ascii="Times New Roman" w:hAnsi="Times New Roman"/>
                <w:szCs w:val="21"/>
              </w:rPr>
            </w:pPr>
          </w:p>
        </w:tc>
        <w:tc>
          <w:tcPr>
            <w:tcW w:w="1320" w:type="dxa"/>
            <w:vAlign w:val="center"/>
          </w:tcPr>
          <w:p w14:paraId="02990270">
            <w:pPr>
              <w:jc w:val="center"/>
              <w:rPr>
                <w:rFonts w:ascii="Times New Roman" w:hAnsi="Times New Roman"/>
                <w:szCs w:val="21"/>
              </w:rPr>
            </w:pPr>
          </w:p>
        </w:tc>
        <w:tc>
          <w:tcPr>
            <w:tcW w:w="1504" w:type="dxa"/>
            <w:vAlign w:val="center"/>
          </w:tcPr>
          <w:p w14:paraId="42FF2F45">
            <w:pPr>
              <w:jc w:val="center"/>
              <w:rPr>
                <w:rFonts w:ascii="Times New Roman" w:hAnsi="Times New Roman"/>
                <w:szCs w:val="21"/>
              </w:rPr>
            </w:pPr>
            <w:r>
              <w:rPr>
                <w:rFonts w:ascii="Times New Roman" w:hAnsi="Times New Roman"/>
                <w:szCs w:val="21"/>
              </w:rPr>
              <w:t>达标</w:t>
            </w:r>
          </w:p>
        </w:tc>
      </w:tr>
      <w:tr w14:paraId="3346466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960" w:type="dxa"/>
            <w:vMerge w:val="restart"/>
            <w:vAlign w:val="center"/>
          </w:tcPr>
          <w:p w14:paraId="753B1EE9">
            <w:pPr>
              <w:jc w:val="center"/>
              <w:rPr>
                <w:rFonts w:ascii="Times New Roman" w:hAnsi="Times New Roman"/>
                <w:szCs w:val="21"/>
              </w:rPr>
            </w:pPr>
            <w:r>
              <w:rPr>
                <w:rFonts w:ascii="Times New Roman" w:hAnsi="Times New Roman"/>
                <w:szCs w:val="21"/>
              </w:rPr>
              <w:t>PM</w:t>
            </w:r>
            <w:r>
              <w:rPr>
                <w:rFonts w:ascii="Times New Roman" w:hAnsi="Times New Roman"/>
                <w:szCs w:val="21"/>
                <w:vertAlign w:val="subscript"/>
              </w:rPr>
              <w:t>2.5</w:t>
            </w:r>
          </w:p>
        </w:tc>
        <w:tc>
          <w:tcPr>
            <w:tcW w:w="2639" w:type="dxa"/>
            <w:vAlign w:val="center"/>
          </w:tcPr>
          <w:p w14:paraId="781DC00F">
            <w:pPr>
              <w:jc w:val="center"/>
              <w:rPr>
                <w:rFonts w:ascii="Times New Roman" w:hAnsi="Times New Roman"/>
                <w:szCs w:val="21"/>
              </w:rPr>
            </w:pPr>
            <w:r>
              <w:rPr>
                <w:rFonts w:ascii="Times New Roman" w:hAnsi="Times New Roman"/>
                <w:szCs w:val="21"/>
              </w:rPr>
              <w:t>24小时平均第95百分位数</w:t>
            </w:r>
          </w:p>
        </w:tc>
        <w:tc>
          <w:tcPr>
            <w:tcW w:w="1210" w:type="dxa"/>
            <w:vAlign w:val="center"/>
          </w:tcPr>
          <w:p w14:paraId="285E038D">
            <w:pPr>
              <w:jc w:val="center"/>
              <w:rPr>
                <w:rFonts w:ascii="Times New Roman" w:hAnsi="Times New Roman"/>
                <w:szCs w:val="21"/>
              </w:rPr>
            </w:pPr>
            <w:r>
              <w:rPr>
                <w:rFonts w:ascii="Times New Roman" w:hAnsi="Times New Roman"/>
                <w:szCs w:val="21"/>
              </w:rPr>
              <w:t>58</w:t>
            </w:r>
          </w:p>
        </w:tc>
        <w:tc>
          <w:tcPr>
            <w:tcW w:w="1394" w:type="dxa"/>
            <w:vAlign w:val="center"/>
          </w:tcPr>
          <w:p w14:paraId="39BAF4B1">
            <w:pPr>
              <w:jc w:val="center"/>
              <w:rPr>
                <w:rFonts w:ascii="Times New Roman" w:hAnsi="Times New Roman"/>
                <w:szCs w:val="21"/>
              </w:rPr>
            </w:pPr>
          </w:p>
        </w:tc>
        <w:tc>
          <w:tcPr>
            <w:tcW w:w="1320" w:type="dxa"/>
            <w:vAlign w:val="center"/>
          </w:tcPr>
          <w:p w14:paraId="5449F42E">
            <w:pPr>
              <w:jc w:val="center"/>
              <w:rPr>
                <w:rFonts w:ascii="Times New Roman" w:hAnsi="Times New Roman"/>
                <w:szCs w:val="21"/>
              </w:rPr>
            </w:pPr>
          </w:p>
        </w:tc>
        <w:tc>
          <w:tcPr>
            <w:tcW w:w="1504" w:type="dxa"/>
            <w:vAlign w:val="center"/>
          </w:tcPr>
          <w:p w14:paraId="3429664C">
            <w:pPr>
              <w:jc w:val="center"/>
              <w:rPr>
                <w:rFonts w:ascii="Times New Roman" w:hAnsi="Times New Roman"/>
                <w:szCs w:val="21"/>
              </w:rPr>
            </w:pPr>
            <w:r>
              <w:rPr>
                <w:rFonts w:ascii="Times New Roman" w:hAnsi="Times New Roman"/>
                <w:szCs w:val="21"/>
              </w:rPr>
              <w:t>达标</w:t>
            </w:r>
          </w:p>
        </w:tc>
      </w:tr>
      <w:tr w14:paraId="3F6578F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960" w:type="dxa"/>
            <w:vMerge w:val="continue"/>
            <w:vAlign w:val="center"/>
          </w:tcPr>
          <w:p w14:paraId="2A08B51E">
            <w:pPr>
              <w:jc w:val="center"/>
              <w:rPr>
                <w:rFonts w:ascii="Times New Roman" w:hAnsi="Times New Roman"/>
                <w:szCs w:val="21"/>
              </w:rPr>
            </w:pPr>
          </w:p>
        </w:tc>
        <w:tc>
          <w:tcPr>
            <w:tcW w:w="2639" w:type="dxa"/>
            <w:vAlign w:val="center"/>
          </w:tcPr>
          <w:p w14:paraId="2B18FA7E">
            <w:pPr>
              <w:jc w:val="center"/>
              <w:rPr>
                <w:rFonts w:ascii="Times New Roman" w:hAnsi="Times New Roman"/>
                <w:szCs w:val="21"/>
              </w:rPr>
            </w:pPr>
            <w:r>
              <w:rPr>
                <w:rFonts w:ascii="Times New Roman" w:hAnsi="Times New Roman"/>
                <w:szCs w:val="21"/>
              </w:rPr>
              <w:t>年平均质量浓度</w:t>
            </w:r>
          </w:p>
        </w:tc>
        <w:tc>
          <w:tcPr>
            <w:tcW w:w="1210" w:type="dxa"/>
            <w:vAlign w:val="center"/>
          </w:tcPr>
          <w:p w14:paraId="784E8F42">
            <w:pPr>
              <w:jc w:val="center"/>
              <w:rPr>
                <w:rFonts w:ascii="Times New Roman" w:hAnsi="Times New Roman"/>
                <w:szCs w:val="21"/>
              </w:rPr>
            </w:pPr>
            <w:r>
              <w:rPr>
                <w:rFonts w:ascii="Times New Roman" w:hAnsi="Times New Roman"/>
                <w:szCs w:val="21"/>
              </w:rPr>
              <w:t>26</w:t>
            </w:r>
          </w:p>
        </w:tc>
        <w:tc>
          <w:tcPr>
            <w:tcW w:w="1394" w:type="dxa"/>
            <w:vAlign w:val="center"/>
          </w:tcPr>
          <w:p w14:paraId="78DACEDC">
            <w:pPr>
              <w:jc w:val="center"/>
              <w:rPr>
                <w:rFonts w:ascii="Times New Roman" w:hAnsi="Times New Roman"/>
                <w:szCs w:val="21"/>
              </w:rPr>
            </w:pPr>
          </w:p>
        </w:tc>
        <w:tc>
          <w:tcPr>
            <w:tcW w:w="1320" w:type="dxa"/>
            <w:vAlign w:val="center"/>
          </w:tcPr>
          <w:p w14:paraId="7D3EBFBC">
            <w:pPr>
              <w:jc w:val="center"/>
              <w:rPr>
                <w:rFonts w:ascii="Times New Roman" w:hAnsi="Times New Roman"/>
                <w:szCs w:val="21"/>
              </w:rPr>
            </w:pPr>
          </w:p>
        </w:tc>
        <w:tc>
          <w:tcPr>
            <w:tcW w:w="1504" w:type="dxa"/>
            <w:vAlign w:val="center"/>
          </w:tcPr>
          <w:p w14:paraId="6B4E8C33">
            <w:pPr>
              <w:jc w:val="center"/>
              <w:rPr>
                <w:rFonts w:ascii="Times New Roman" w:hAnsi="Times New Roman"/>
                <w:szCs w:val="21"/>
              </w:rPr>
            </w:pPr>
            <w:r>
              <w:rPr>
                <w:rFonts w:ascii="Times New Roman" w:hAnsi="Times New Roman"/>
                <w:szCs w:val="21"/>
              </w:rPr>
              <w:t>达标</w:t>
            </w:r>
          </w:p>
        </w:tc>
      </w:tr>
      <w:tr w14:paraId="3080421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960" w:type="dxa"/>
            <w:vAlign w:val="center"/>
          </w:tcPr>
          <w:p w14:paraId="32DD6522">
            <w:pPr>
              <w:jc w:val="center"/>
              <w:rPr>
                <w:rFonts w:ascii="Times New Roman" w:hAnsi="Times New Roman"/>
                <w:szCs w:val="21"/>
              </w:rPr>
            </w:pPr>
            <w:r>
              <w:rPr>
                <w:rFonts w:ascii="Times New Roman" w:hAnsi="Times New Roman"/>
                <w:szCs w:val="21"/>
              </w:rPr>
              <w:t>CO</w:t>
            </w:r>
          </w:p>
        </w:tc>
        <w:tc>
          <w:tcPr>
            <w:tcW w:w="2639" w:type="dxa"/>
            <w:vAlign w:val="center"/>
          </w:tcPr>
          <w:p w14:paraId="727D89F0">
            <w:pPr>
              <w:jc w:val="center"/>
              <w:rPr>
                <w:rFonts w:ascii="Times New Roman" w:hAnsi="Times New Roman"/>
                <w:szCs w:val="21"/>
              </w:rPr>
            </w:pPr>
            <w:r>
              <w:rPr>
                <w:rFonts w:ascii="Times New Roman" w:hAnsi="Times New Roman"/>
                <w:szCs w:val="21"/>
              </w:rPr>
              <w:t>24小时平均第95百分位数</w:t>
            </w:r>
          </w:p>
        </w:tc>
        <w:tc>
          <w:tcPr>
            <w:tcW w:w="1210" w:type="dxa"/>
            <w:vAlign w:val="center"/>
          </w:tcPr>
          <w:p w14:paraId="5521AC0E">
            <w:pPr>
              <w:jc w:val="center"/>
              <w:rPr>
                <w:rFonts w:ascii="Times New Roman" w:hAnsi="Times New Roman"/>
                <w:szCs w:val="21"/>
              </w:rPr>
            </w:pPr>
            <w:r>
              <w:rPr>
                <w:rFonts w:ascii="Times New Roman" w:hAnsi="Times New Roman"/>
                <w:szCs w:val="21"/>
              </w:rPr>
              <w:t>1200</w:t>
            </w:r>
          </w:p>
        </w:tc>
        <w:tc>
          <w:tcPr>
            <w:tcW w:w="1394" w:type="dxa"/>
            <w:vAlign w:val="center"/>
          </w:tcPr>
          <w:p w14:paraId="07D27646">
            <w:pPr>
              <w:jc w:val="center"/>
              <w:rPr>
                <w:rFonts w:ascii="Times New Roman" w:hAnsi="Times New Roman"/>
                <w:szCs w:val="21"/>
              </w:rPr>
            </w:pPr>
          </w:p>
        </w:tc>
        <w:tc>
          <w:tcPr>
            <w:tcW w:w="1320" w:type="dxa"/>
            <w:vAlign w:val="center"/>
          </w:tcPr>
          <w:p w14:paraId="300FFF19">
            <w:pPr>
              <w:jc w:val="center"/>
              <w:rPr>
                <w:rFonts w:ascii="Times New Roman" w:hAnsi="Times New Roman"/>
                <w:szCs w:val="21"/>
              </w:rPr>
            </w:pPr>
          </w:p>
        </w:tc>
        <w:tc>
          <w:tcPr>
            <w:tcW w:w="1504" w:type="dxa"/>
            <w:vAlign w:val="center"/>
          </w:tcPr>
          <w:p w14:paraId="70BA273D">
            <w:pPr>
              <w:jc w:val="center"/>
              <w:rPr>
                <w:rFonts w:ascii="Times New Roman" w:hAnsi="Times New Roman"/>
                <w:szCs w:val="21"/>
              </w:rPr>
            </w:pPr>
            <w:r>
              <w:rPr>
                <w:rFonts w:ascii="Times New Roman" w:hAnsi="Times New Roman"/>
                <w:szCs w:val="21"/>
              </w:rPr>
              <w:t>达标</w:t>
            </w:r>
          </w:p>
        </w:tc>
      </w:tr>
      <w:tr w14:paraId="1413A42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960" w:type="dxa"/>
            <w:vAlign w:val="center"/>
          </w:tcPr>
          <w:p w14:paraId="4374AB7F">
            <w:pPr>
              <w:jc w:val="center"/>
              <w:rPr>
                <w:rFonts w:ascii="Times New Roman" w:hAnsi="Times New Roman"/>
                <w:szCs w:val="21"/>
              </w:rPr>
            </w:pPr>
            <w:r>
              <w:rPr>
                <w:rFonts w:ascii="Times New Roman" w:hAnsi="Times New Roman"/>
                <w:szCs w:val="21"/>
              </w:rPr>
              <w:t>O</w:t>
            </w:r>
            <w:r>
              <w:rPr>
                <w:rFonts w:ascii="Times New Roman" w:hAnsi="Times New Roman"/>
                <w:szCs w:val="21"/>
                <w:vertAlign w:val="subscript"/>
              </w:rPr>
              <w:t>3</w:t>
            </w:r>
          </w:p>
        </w:tc>
        <w:tc>
          <w:tcPr>
            <w:tcW w:w="2639" w:type="dxa"/>
            <w:vAlign w:val="center"/>
          </w:tcPr>
          <w:p w14:paraId="6DE40EFC">
            <w:pPr>
              <w:jc w:val="center"/>
              <w:rPr>
                <w:rFonts w:ascii="Times New Roman" w:hAnsi="Times New Roman"/>
                <w:szCs w:val="21"/>
              </w:rPr>
            </w:pPr>
            <w:r>
              <w:rPr>
                <w:rFonts w:ascii="Times New Roman" w:hAnsi="Times New Roman"/>
                <w:szCs w:val="21"/>
              </w:rPr>
              <w:t>日最大8小时平均第90百分位数</w:t>
            </w:r>
          </w:p>
        </w:tc>
        <w:tc>
          <w:tcPr>
            <w:tcW w:w="1210" w:type="dxa"/>
            <w:vAlign w:val="center"/>
          </w:tcPr>
          <w:p w14:paraId="611FD04E">
            <w:pPr>
              <w:jc w:val="center"/>
              <w:rPr>
                <w:rFonts w:ascii="Times New Roman" w:hAnsi="Times New Roman"/>
                <w:szCs w:val="21"/>
              </w:rPr>
            </w:pPr>
            <w:r>
              <w:rPr>
                <w:rFonts w:ascii="Times New Roman" w:hAnsi="Times New Roman"/>
                <w:szCs w:val="21"/>
              </w:rPr>
              <w:t>145</w:t>
            </w:r>
          </w:p>
        </w:tc>
        <w:tc>
          <w:tcPr>
            <w:tcW w:w="1394" w:type="dxa"/>
            <w:vAlign w:val="center"/>
          </w:tcPr>
          <w:p w14:paraId="1C873CCB">
            <w:pPr>
              <w:jc w:val="center"/>
              <w:rPr>
                <w:rFonts w:ascii="Times New Roman" w:hAnsi="Times New Roman"/>
                <w:szCs w:val="21"/>
              </w:rPr>
            </w:pPr>
          </w:p>
        </w:tc>
        <w:tc>
          <w:tcPr>
            <w:tcW w:w="1320" w:type="dxa"/>
            <w:vAlign w:val="center"/>
          </w:tcPr>
          <w:p w14:paraId="0B340646">
            <w:pPr>
              <w:jc w:val="center"/>
              <w:rPr>
                <w:rFonts w:ascii="Times New Roman" w:hAnsi="Times New Roman"/>
                <w:szCs w:val="21"/>
              </w:rPr>
            </w:pPr>
          </w:p>
        </w:tc>
        <w:tc>
          <w:tcPr>
            <w:tcW w:w="1504" w:type="dxa"/>
            <w:vAlign w:val="center"/>
          </w:tcPr>
          <w:p w14:paraId="65E16CB1">
            <w:pPr>
              <w:jc w:val="center"/>
              <w:rPr>
                <w:rFonts w:ascii="Times New Roman" w:hAnsi="Times New Roman"/>
                <w:szCs w:val="21"/>
              </w:rPr>
            </w:pPr>
            <w:r>
              <w:rPr>
                <w:rFonts w:ascii="Times New Roman" w:hAnsi="Times New Roman"/>
                <w:szCs w:val="21"/>
              </w:rPr>
              <w:t>达标</w:t>
            </w:r>
          </w:p>
        </w:tc>
      </w:tr>
    </w:tbl>
    <w:p w14:paraId="508D74E9">
      <w:pPr>
        <w:spacing w:line="360" w:lineRule="auto"/>
        <w:ind w:firstLine="480" w:firstLineChars="200"/>
        <w:rPr>
          <w:rFonts w:ascii="Times New Roman" w:hAnsi="Times New Roman"/>
          <w:sz w:val="24"/>
          <w:szCs w:val="24"/>
        </w:rPr>
      </w:pPr>
    </w:p>
    <w:p w14:paraId="5DCAFB70">
      <w:pPr>
        <w:spacing w:line="360" w:lineRule="auto"/>
        <w:ind w:firstLine="480" w:firstLineChars="200"/>
        <w:rPr>
          <w:rFonts w:ascii="Times New Roman" w:hAnsi="Times New Roman"/>
          <w:sz w:val="24"/>
          <w:szCs w:val="24"/>
        </w:rPr>
      </w:pPr>
      <w:r>
        <w:rPr>
          <w:rFonts w:ascii="Times New Roman" w:hAnsi="Times New Roman"/>
          <w:sz w:val="24"/>
          <w:szCs w:val="24"/>
        </w:rPr>
        <w:t>从202</w:t>
      </w:r>
      <w:r>
        <w:rPr>
          <w:rFonts w:hint="eastAsia" w:ascii="Times New Roman" w:hAnsi="Times New Roman"/>
          <w:sz w:val="24"/>
          <w:szCs w:val="24"/>
        </w:rPr>
        <w:t>3</w:t>
      </w:r>
      <w:r>
        <w:rPr>
          <w:rFonts w:ascii="Times New Roman" w:hAnsi="Times New Roman"/>
          <w:sz w:val="24"/>
          <w:szCs w:val="24"/>
        </w:rPr>
        <w:t>年评价区环境空气质量监测数据统计结果分析，202</w:t>
      </w:r>
      <w:r>
        <w:rPr>
          <w:rFonts w:hint="eastAsia" w:ascii="Times New Roman" w:hAnsi="Times New Roman"/>
          <w:sz w:val="24"/>
          <w:szCs w:val="24"/>
        </w:rPr>
        <w:t>3</w:t>
      </w:r>
      <w:r>
        <w:rPr>
          <w:rFonts w:ascii="Times New Roman" w:hAnsi="Times New Roman"/>
          <w:sz w:val="24"/>
          <w:szCs w:val="24"/>
        </w:rPr>
        <w:t>年钦州市全市SO</w:t>
      </w:r>
      <w:r>
        <w:rPr>
          <w:rFonts w:ascii="Times New Roman" w:hAnsi="Times New Roman"/>
          <w:sz w:val="24"/>
          <w:szCs w:val="24"/>
          <w:vertAlign w:val="subscript"/>
        </w:rPr>
        <w:t>2</w:t>
      </w:r>
      <w:r>
        <w:rPr>
          <w:rFonts w:ascii="Times New Roman" w:hAnsi="Times New Roman"/>
          <w:sz w:val="24"/>
          <w:szCs w:val="24"/>
        </w:rPr>
        <w:t>、NO</w:t>
      </w:r>
      <w:r>
        <w:rPr>
          <w:rFonts w:ascii="Times New Roman" w:hAnsi="Times New Roman"/>
          <w:sz w:val="24"/>
          <w:szCs w:val="24"/>
          <w:vertAlign w:val="subscript"/>
        </w:rPr>
        <w:t>2</w:t>
      </w:r>
      <w:r>
        <w:rPr>
          <w:rFonts w:ascii="Times New Roman" w:hAnsi="Times New Roman"/>
          <w:sz w:val="24"/>
          <w:szCs w:val="24"/>
        </w:rPr>
        <w:t>、PM</w:t>
      </w:r>
      <w:r>
        <w:rPr>
          <w:rFonts w:ascii="Times New Roman" w:hAnsi="Times New Roman"/>
          <w:sz w:val="24"/>
          <w:szCs w:val="24"/>
          <w:vertAlign w:val="subscript"/>
        </w:rPr>
        <w:t>10</w:t>
      </w:r>
      <w:r>
        <w:rPr>
          <w:rFonts w:ascii="Times New Roman" w:hAnsi="Times New Roman"/>
          <w:sz w:val="24"/>
          <w:szCs w:val="24"/>
        </w:rPr>
        <w:t>、PM</w:t>
      </w:r>
      <w:r>
        <w:rPr>
          <w:rFonts w:ascii="Times New Roman" w:hAnsi="Times New Roman"/>
          <w:sz w:val="24"/>
          <w:szCs w:val="24"/>
          <w:vertAlign w:val="subscript"/>
        </w:rPr>
        <w:t>2.5</w:t>
      </w:r>
      <w:r>
        <w:rPr>
          <w:rFonts w:ascii="Times New Roman" w:hAnsi="Times New Roman"/>
          <w:sz w:val="24"/>
          <w:szCs w:val="24"/>
        </w:rPr>
        <w:t>、CO、O</w:t>
      </w:r>
      <w:r>
        <w:rPr>
          <w:rFonts w:ascii="Times New Roman" w:hAnsi="Times New Roman"/>
          <w:sz w:val="24"/>
          <w:szCs w:val="24"/>
          <w:vertAlign w:val="subscript"/>
        </w:rPr>
        <w:t>3</w:t>
      </w:r>
      <w:r>
        <w:rPr>
          <w:rFonts w:ascii="Times New Roman" w:hAnsi="Times New Roman"/>
          <w:sz w:val="24"/>
          <w:szCs w:val="24"/>
        </w:rPr>
        <w:t>年平均浓度及相对百分位数浓度均能达到《环境空气质量标准》（GB3095-2012）中的二级标准要求。</w:t>
      </w:r>
    </w:p>
    <w:p w14:paraId="4F1CEE00">
      <w:pPr>
        <w:pStyle w:val="6"/>
        <w:numPr>
          <w:ilvl w:val="2"/>
          <w:numId w:val="3"/>
        </w:numPr>
        <w:spacing w:line="440" w:lineRule="exact"/>
      </w:pPr>
      <w:r>
        <w:t>补充监测点布设</w:t>
      </w:r>
    </w:p>
    <w:p w14:paraId="23E34893">
      <w:pPr>
        <w:spacing w:line="360" w:lineRule="auto"/>
        <w:ind w:firstLine="480" w:firstLineChars="200"/>
        <w:rPr>
          <w:rFonts w:ascii="Times New Roman" w:hAnsi="Times New Roman"/>
          <w:sz w:val="24"/>
          <w:szCs w:val="24"/>
        </w:rPr>
      </w:pPr>
      <w:r>
        <w:rPr>
          <w:rFonts w:ascii="Times New Roman" w:hAnsi="Times New Roman"/>
          <w:sz w:val="24"/>
          <w:szCs w:val="24"/>
        </w:rPr>
        <w:t>根据《环境影响评价技术导则 大气环境》（HJ 2.2-2018）环境空气质量现状调查与评价的要求，二级评价项目应当调查评价范围内有环境质量标准的评价因子的环境质量监测数据或进行补充监测。</w:t>
      </w:r>
    </w:p>
    <w:p w14:paraId="6163E952">
      <w:pPr>
        <w:spacing w:line="360" w:lineRule="auto"/>
        <w:ind w:firstLine="480" w:firstLineChars="200"/>
        <w:rPr>
          <w:rFonts w:ascii="Times New Roman" w:hAnsi="Times New Roman"/>
          <w:sz w:val="24"/>
          <w:szCs w:val="24"/>
        </w:rPr>
      </w:pPr>
      <w:r>
        <w:rPr>
          <w:rFonts w:ascii="Times New Roman" w:hAnsi="Times New Roman"/>
          <w:sz w:val="24"/>
          <w:szCs w:val="24"/>
        </w:rPr>
        <w:t>根据项目所在地的常年主导风向及功能分区，结合评价范围内环境敏感点的分布情况及评价区域内地形地貌，在项目所在场区距离项目</w:t>
      </w:r>
      <w:r>
        <w:rPr>
          <w:rFonts w:hint="eastAsia" w:ascii="Times New Roman" w:hAnsi="Times New Roman"/>
          <w:sz w:val="24"/>
          <w:szCs w:val="24"/>
        </w:rPr>
        <w:t>车间北侧</w:t>
      </w:r>
      <w:r>
        <w:rPr>
          <w:rFonts w:ascii="Times New Roman" w:hAnsi="Times New Roman"/>
          <w:sz w:val="24"/>
          <w:szCs w:val="24"/>
        </w:rPr>
        <w:t>50m处设置1个大气环境现状监测点，具体位置见表3.3-</w:t>
      </w:r>
      <w:r>
        <w:rPr>
          <w:rFonts w:hint="eastAsia" w:ascii="Times New Roman" w:hAnsi="Times New Roman"/>
          <w:sz w:val="24"/>
          <w:szCs w:val="24"/>
        </w:rPr>
        <w:t>3</w:t>
      </w:r>
      <w:r>
        <w:rPr>
          <w:rFonts w:ascii="Times New Roman" w:hAnsi="Times New Roman"/>
          <w:sz w:val="24"/>
          <w:szCs w:val="24"/>
        </w:rPr>
        <w:t>和附图</w:t>
      </w:r>
      <w:r>
        <w:rPr>
          <w:rFonts w:hint="eastAsia" w:ascii="Times New Roman" w:hAnsi="Times New Roman"/>
          <w:sz w:val="24"/>
          <w:szCs w:val="24"/>
        </w:rPr>
        <w:t>4。</w:t>
      </w:r>
    </w:p>
    <w:p w14:paraId="50FAD84A">
      <w:pPr>
        <w:pStyle w:val="8"/>
        <w:numPr>
          <w:ilvl w:val="4"/>
          <w:numId w:val="3"/>
        </w:numPr>
        <w:rPr>
          <w:sz w:val="24"/>
          <w:szCs w:val="24"/>
        </w:rPr>
      </w:pPr>
      <w:r>
        <w:rPr>
          <w:sz w:val="24"/>
          <w:szCs w:val="24"/>
        </w:rPr>
        <w:t>环境空气质量现状监测点</w:t>
      </w:r>
    </w:p>
    <w:tbl>
      <w:tblPr>
        <w:tblStyle w:val="88"/>
        <w:tblW w:w="928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04"/>
        <w:gridCol w:w="1993"/>
        <w:gridCol w:w="2981"/>
        <w:gridCol w:w="3308"/>
      </w:tblGrid>
      <w:tr w14:paraId="5ACB6D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04" w:type="dxa"/>
            <w:vAlign w:val="center"/>
          </w:tcPr>
          <w:p w14:paraId="42485F22">
            <w:pPr>
              <w:jc w:val="center"/>
              <w:rPr>
                <w:rFonts w:ascii="Times New Roman" w:hAnsi="Times New Roman"/>
                <w:spacing w:val="-2"/>
                <w:kern w:val="0"/>
                <w:szCs w:val="21"/>
              </w:rPr>
            </w:pPr>
            <w:r>
              <w:rPr>
                <w:rFonts w:ascii="Times New Roman" w:hAnsi="Times New Roman"/>
                <w:spacing w:val="-2"/>
                <w:kern w:val="0"/>
                <w:szCs w:val="21"/>
              </w:rPr>
              <w:t>序号</w:t>
            </w:r>
          </w:p>
        </w:tc>
        <w:tc>
          <w:tcPr>
            <w:tcW w:w="1993" w:type="dxa"/>
            <w:vAlign w:val="center"/>
          </w:tcPr>
          <w:p w14:paraId="6D76636E">
            <w:pPr>
              <w:jc w:val="center"/>
              <w:rPr>
                <w:rFonts w:ascii="Times New Roman" w:hAnsi="Times New Roman"/>
                <w:spacing w:val="-2"/>
                <w:kern w:val="0"/>
                <w:szCs w:val="21"/>
              </w:rPr>
            </w:pPr>
            <w:r>
              <w:rPr>
                <w:rFonts w:ascii="Times New Roman" w:hAnsi="Times New Roman"/>
                <w:spacing w:val="-2"/>
                <w:kern w:val="0"/>
                <w:szCs w:val="21"/>
              </w:rPr>
              <w:t>监测点名称</w:t>
            </w:r>
          </w:p>
        </w:tc>
        <w:tc>
          <w:tcPr>
            <w:tcW w:w="2981" w:type="dxa"/>
            <w:vAlign w:val="center"/>
          </w:tcPr>
          <w:p w14:paraId="71D1691F">
            <w:pPr>
              <w:jc w:val="center"/>
              <w:rPr>
                <w:rFonts w:ascii="Times New Roman" w:hAnsi="Times New Roman"/>
                <w:spacing w:val="-2"/>
                <w:kern w:val="0"/>
                <w:szCs w:val="21"/>
              </w:rPr>
            </w:pPr>
            <w:r>
              <w:rPr>
                <w:rFonts w:ascii="Times New Roman" w:hAnsi="Times New Roman"/>
                <w:spacing w:val="-2"/>
                <w:kern w:val="0"/>
                <w:szCs w:val="21"/>
              </w:rPr>
              <w:t>相对项目位置方位</w:t>
            </w:r>
          </w:p>
        </w:tc>
        <w:tc>
          <w:tcPr>
            <w:tcW w:w="3308" w:type="dxa"/>
            <w:vAlign w:val="center"/>
          </w:tcPr>
          <w:p w14:paraId="09BAB557">
            <w:pPr>
              <w:jc w:val="center"/>
              <w:rPr>
                <w:rFonts w:ascii="Times New Roman" w:hAnsi="Times New Roman"/>
                <w:spacing w:val="-2"/>
                <w:kern w:val="0"/>
                <w:szCs w:val="21"/>
              </w:rPr>
            </w:pPr>
            <w:r>
              <w:rPr>
                <w:rFonts w:ascii="Times New Roman" w:hAnsi="Times New Roman"/>
                <w:spacing w:val="-2"/>
                <w:kern w:val="0"/>
                <w:szCs w:val="21"/>
              </w:rPr>
              <w:t>布点依据</w:t>
            </w:r>
          </w:p>
        </w:tc>
      </w:tr>
      <w:tr w14:paraId="1AEF15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04" w:type="dxa"/>
            <w:vAlign w:val="center"/>
          </w:tcPr>
          <w:p w14:paraId="49329A03">
            <w:pPr>
              <w:jc w:val="center"/>
              <w:rPr>
                <w:rFonts w:ascii="Times New Roman" w:hAnsi="Times New Roman"/>
                <w:spacing w:val="-2"/>
                <w:kern w:val="0"/>
                <w:szCs w:val="21"/>
              </w:rPr>
            </w:pPr>
            <w:r>
              <w:rPr>
                <w:rFonts w:ascii="Times New Roman" w:hAnsi="Times New Roman"/>
                <w:spacing w:val="-2"/>
                <w:kern w:val="0"/>
                <w:szCs w:val="21"/>
              </w:rPr>
              <w:t>1</w:t>
            </w:r>
          </w:p>
        </w:tc>
        <w:tc>
          <w:tcPr>
            <w:tcW w:w="1993" w:type="dxa"/>
            <w:vAlign w:val="center"/>
          </w:tcPr>
          <w:p w14:paraId="354B38A3">
            <w:pPr>
              <w:jc w:val="center"/>
              <w:rPr>
                <w:rFonts w:ascii="Times New Roman" w:hAnsi="Times New Roman"/>
                <w:spacing w:val="-2"/>
                <w:kern w:val="0"/>
                <w:szCs w:val="21"/>
              </w:rPr>
            </w:pPr>
            <w:r>
              <w:rPr>
                <w:rFonts w:ascii="Times New Roman" w:hAnsi="Times New Roman"/>
                <w:spacing w:val="-2"/>
                <w:kern w:val="0"/>
                <w:szCs w:val="21"/>
              </w:rPr>
              <w:t>项目</w:t>
            </w:r>
            <w:r>
              <w:rPr>
                <w:rFonts w:hint="eastAsia" w:ascii="Times New Roman" w:hAnsi="Times New Roman"/>
                <w:spacing w:val="-2"/>
                <w:kern w:val="0"/>
                <w:szCs w:val="21"/>
              </w:rPr>
              <w:t>北侧</w:t>
            </w:r>
          </w:p>
        </w:tc>
        <w:tc>
          <w:tcPr>
            <w:tcW w:w="2981" w:type="dxa"/>
            <w:vAlign w:val="center"/>
          </w:tcPr>
          <w:p w14:paraId="21C88D00">
            <w:pPr>
              <w:jc w:val="center"/>
              <w:rPr>
                <w:rFonts w:ascii="Times New Roman" w:hAnsi="Times New Roman"/>
                <w:spacing w:val="-2"/>
                <w:kern w:val="0"/>
                <w:szCs w:val="21"/>
              </w:rPr>
            </w:pPr>
            <w:r>
              <w:rPr>
                <w:rFonts w:ascii="Times New Roman" w:hAnsi="Times New Roman"/>
                <w:spacing w:val="-2"/>
                <w:kern w:val="0"/>
                <w:szCs w:val="21"/>
              </w:rPr>
              <w:t>车间</w:t>
            </w:r>
            <w:r>
              <w:rPr>
                <w:rFonts w:hint="eastAsia" w:ascii="Times New Roman" w:hAnsi="Times New Roman"/>
                <w:spacing w:val="-2"/>
                <w:kern w:val="0"/>
                <w:szCs w:val="21"/>
              </w:rPr>
              <w:t>北侧</w:t>
            </w:r>
            <w:r>
              <w:rPr>
                <w:rFonts w:ascii="Times New Roman" w:hAnsi="Times New Roman"/>
                <w:spacing w:val="-2"/>
                <w:kern w:val="0"/>
                <w:szCs w:val="21"/>
              </w:rPr>
              <w:t>50m</w:t>
            </w:r>
          </w:p>
        </w:tc>
        <w:tc>
          <w:tcPr>
            <w:tcW w:w="3308" w:type="dxa"/>
            <w:vAlign w:val="center"/>
          </w:tcPr>
          <w:p w14:paraId="25D5ECED">
            <w:pPr>
              <w:jc w:val="center"/>
              <w:rPr>
                <w:rFonts w:ascii="Times New Roman" w:hAnsi="Times New Roman"/>
                <w:spacing w:val="-2"/>
                <w:kern w:val="0"/>
                <w:szCs w:val="21"/>
              </w:rPr>
            </w:pPr>
            <w:r>
              <w:rPr>
                <w:rFonts w:ascii="Times New Roman" w:hAnsi="Times New Roman"/>
                <w:spacing w:val="-2"/>
                <w:kern w:val="0"/>
                <w:szCs w:val="21"/>
              </w:rPr>
              <w:t>项目位置</w:t>
            </w:r>
          </w:p>
        </w:tc>
      </w:tr>
    </w:tbl>
    <w:p w14:paraId="610DC601">
      <w:pPr>
        <w:spacing w:line="360" w:lineRule="auto"/>
        <w:ind w:firstLine="420" w:firstLineChars="200"/>
        <w:rPr>
          <w:rFonts w:ascii="Times New Roman" w:hAnsi="Times New Roman"/>
        </w:rPr>
      </w:pPr>
    </w:p>
    <w:p w14:paraId="68720B33">
      <w:pPr>
        <w:pStyle w:val="6"/>
        <w:numPr>
          <w:ilvl w:val="2"/>
          <w:numId w:val="3"/>
        </w:numPr>
      </w:pPr>
      <w:r>
        <w:t>项目监测因子及分析方法</w:t>
      </w:r>
    </w:p>
    <w:p w14:paraId="7A248083">
      <w:pPr>
        <w:spacing w:line="360" w:lineRule="auto"/>
        <w:ind w:firstLine="480" w:firstLineChars="200"/>
        <w:rPr>
          <w:rFonts w:ascii="Times New Roman" w:hAnsi="Times New Roman"/>
          <w:sz w:val="24"/>
          <w:szCs w:val="24"/>
        </w:rPr>
      </w:pPr>
      <w:r>
        <w:rPr>
          <w:rFonts w:ascii="Times New Roman" w:hAnsi="Times New Roman"/>
          <w:sz w:val="24"/>
          <w:szCs w:val="24"/>
        </w:rPr>
        <w:t>根据区域环境污染特征和本项目特点，选取TSP作为本项目环境空气现状监测因子。TSP测24小时平均值，监测采样的同时记录风向、风速、气温、气压和湿度。</w:t>
      </w:r>
    </w:p>
    <w:p w14:paraId="65630B63">
      <w:pPr>
        <w:spacing w:line="360" w:lineRule="auto"/>
        <w:ind w:firstLine="480" w:firstLineChars="200"/>
        <w:rPr>
          <w:rFonts w:ascii="Times New Roman" w:hAnsi="Times New Roman"/>
        </w:rPr>
      </w:pPr>
      <w:r>
        <w:rPr>
          <w:rFonts w:ascii="Times New Roman" w:hAnsi="Times New Roman"/>
          <w:sz w:val="24"/>
          <w:szCs w:val="24"/>
        </w:rPr>
        <w:t>按《环境空气质量手工监测技术规范》（HJ/T194-2005）和国家环保局《空气和废气监测分析方法》（2003年第四版）进行监测，详见表3.</w:t>
      </w:r>
      <w:r>
        <w:rPr>
          <w:rFonts w:hint="eastAsia" w:ascii="Times New Roman" w:hAnsi="Times New Roman"/>
          <w:sz w:val="24"/>
          <w:szCs w:val="24"/>
        </w:rPr>
        <w:t>3</w:t>
      </w:r>
      <w:r>
        <w:rPr>
          <w:rFonts w:ascii="Times New Roman" w:hAnsi="Times New Roman"/>
          <w:sz w:val="24"/>
          <w:szCs w:val="24"/>
        </w:rPr>
        <w:t>-</w:t>
      </w:r>
      <w:r>
        <w:rPr>
          <w:rFonts w:hint="eastAsia" w:ascii="Times New Roman" w:hAnsi="Times New Roman"/>
          <w:sz w:val="24"/>
          <w:szCs w:val="24"/>
        </w:rPr>
        <w:t>4</w:t>
      </w:r>
      <w:r>
        <w:rPr>
          <w:rFonts w:ascii="Times New Roman" w:hAnsi="Times New Roman"/>
          <w:sz w:val="24"/>
          <w:szCs w:val="24"/>
        </w:rPr>
        <w:t>。</w:t>
      </w:r>
    </w:p>
    <w:p w14:paraId="23B8C117">
      <w:pPr>
        <w:pStyle w:val="8"/>
        <w:numPr>
          <w:ilvl w:val="4"/>
          <w:numId w:val="3"/>
        </w:numPr>
        <w:rPr>
          <w:sz w:val="24"/>
          <w:szCs w:val="24"/>
        </w:rPr>
      </w:pPr>
      <w:r>
        <w:rPr>
          <w:sz w:val="24"/>
          <w:szCs w:val="24"/>
        </w:rPr>
        <w:t>监测分析方法及检出下限</w:t>
      </w:r>
    </w:p>
    <w:tbl>
      <w:tblPr>
        <w:tblStyle w:val="88"/>
        <w:tblW w:w="928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86"/>
        <w:gridCol w:w="5273"/>
        <w:gridCol w:w="2327"/>
      </w:tblGrid>
      <w:tr w14:paraId="7A7D43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86" w:type="dxa"/>
            <w:vAlign w:val="center"/>
          </w:tcPr>
          <w:p w14:paraId="01D446F5">
            <w:pPr>
              <w:jc w:val="center"/>
              <w:rPr>
                <w:rFonts w:ascii="Times New Roman" w:hAnsi="Times New Roman"/>
                <w:b/>
                <w:bCs/>
                <w:spacing w:val="-2"/>
                <w:kern w:val="0"/>
                <w:szCs w:val="21"/>
              </w:rPr>
            </w:pPr>
            <w:r>
              <w:rPr>
                <w:rFonts w:ascii="Times New Roman" w:hAnsi="Times New Roman"/>
                <w:b/>
                <w:bCs/>
                <w:spacing w:val="-2"/>
                <w:kern w:val="0"/>
                <w:szCs w:val="21"/>
              </w:rPr>
              <w:t>监测项目</w:t>
            </w:r>
          </w:p>
        </w:tc>
        <w:tc>
          <w:tcPr>
            <w:tcW w:w="5273" w:type="dxa"/>
            <w:vAlign w:val="center"/>
          </w:tcPr>
          <w:p w14:paraId="47B2CFF0">
            <w:pPr>
              <w:jc w:val="center"/>
              <w:rPr>
                <w:rFonts w:ascii="Times New Roman" w:hAnsi="Times New Roman"/>
                <w:b/>
                <w:bCs/>
                <w:spacing w:val="-2"/>
                <w:kern w:val="0"/>
                <w:szCs w:val="21"/>
              </w:rPr>
            </w:pPr>
            <w:r>
              <w:rPr>
                <w:rFonts w:ascii="Times New Roman" w:hAnsi="Times New Roman"/>
                <w:b/>
                <w:bCs/>
                <w:spacing w:val="-2"/>
                <w:kern w:val="0"/>
                <w:szCs w:val="21"/>
              </w:rPr>
              <w:t>分析、采样方法</w:t>
            </w:r>
          </w:p>
        </w:tc>
        <w:tc>
          <w:tcPr>
            <w:tcW w:w="2327" w:type="dxa"/>
            <w:vAlign w:val="center"/>
          </w:tcPr>
          <w:p w14:paraId="31E0071A">
            <w:pPr>
              <w:jc w:val="center"/>
              <w:rPr>
                <w:rFonts w:ascii="Times New Roman" w:hAnsi="Times New Roman"/>
                <w:b/>
                <w:bCs/>
                <w:spacing w:val="-2"/>
                <w:kern w:val="0"/>
                <w:szCs w:val="21"/>
              </w:rPr>
            </w:pPr>
            <w:r>
              <w:rPr>
                <w:rFonts w:ascii="Times New Roman" w:hAnsi="Times New Roman"/>
                <w:b/>
                <w:bCs/>
                <w:spacing w:val="-2"/>
                <w:kern w:val="0"/>
                <w:szCs w:val="21"/>
              </w:rPr>
              <w:t>检出下限</w:t>
            </w:r>
          </w:p>
        </w:tc>
      </w:tr>
      <w:tr w14:paraId="0A003A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86" w:type="dxa"/>
            <w:vAlign w:val="center"/>
          </w:tcPr>
          <w:p w14:paraId="32A34F2F">
            <w:pPr>
              <w:jc w:val="center"/>
              <w:rPr>
                <w:rFonts w:ascii="Times New Roman" w:hAnsi="Times New Roman"/>
                <w:spacing w:val="-2"/>
                <w:kern w:val="0"/>
                <w:szCs w:val="21"/>
              </w:rPr>
            </w:pPr>
            <w:r>
              <w:rPr>
                <w:rFonts w:ascii="Times New Roman" w:hAnsi="Times New Roman"/>
                <w:spacing w:val="-2"/>
                <w:kern w:val="0"/>
                <w:szCs w:val="21"/>
              </w:rPr>
              <w:t>大气采样</w:t>
            </w:r>
          </w:p>
        </w:tc>
        <w:tc>
          <w:tcPr>
            <w:tcW w:w="5273" w:type="dxa"/>
            <w:vAlign w:val="center"/>
          </w:tcPr>
          <w:p w14:paraId="3E219C8F">
            <w:pPr>
              <w:ind w:left="-107" w:leftChars="-51" w:right="-107" w:rightChars="-51"/>
              <w:jc w:val="center"/>
              <w:rPr>
                <w:rFonts w:ascii="Times New Roman" w:hAnsi="Times New Roman"/>
                <w:spacing w:val="-2"/>
                <w:kern w:val="0"/>
                <w:szCs w:val="21"/>
              </w:rPr>
            </w:pPr>
            <w:r>
              <w:rPr>
                <w:rFonts w:ascii="Times New Roman" w:hAnsi="Times New Roman"/>
                <w:spacing w:val="-2"/>
                <w:kern w:val="0"/>
                <w:szCs w:val="21"/>
              </w:rPr>
              <w:t>环境空气质量手工监测技术规范 HJ 194-2017及修改单</w:t>
            </w:r>
          </w:p>
        </w:tc>
        <w:tc>
          <w:tcPr>
            <w:tcW w:w="2327" w:type="dxa"/>
            <w:vAlign w:val="center"/>
          </w:tcPr>
          <w:p w14:paraId="2A7FF5AA">
            <w:pPr>
              <w:jc w:val="center"/>
              <w:rPr>
                <w:rFonts w:ascii="Times New Roman" w:hAnsi="Times New Roman"/>
                <w:spacing w:val="-2"/>
                <w:kern w:val="0"/>
                <w:szCs w:val="21"/>
              </w:rPr>
            </w:pPr>
            <w:r>
              <w:rPr>
                <w:rFonts w:ascii="Times New Roman" w:hAnsi="Times New Roman"/>
                <w:spacing w:val="-2"/>
                <w:kern w:val="0"/>
                <w:szCs w:val="21"/>
              </w:rPr>
              <w:t>/</w:t>
            </w:r>
          </w:p>
        </w:tc>
      </w:tr>
      <w:tr w14:paraId="3C2187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86" w:type="dxa"/>
            <w:vAlign w:val="center"/>
          </w:tcPr>
          <w:p w14:paraId="45DD6FBE">
            <w:pPr>
              <w:ind w:left="-107" w:leftChars="-51" w:right="-107" w:rightChars="-51"/>
              <w:jc w:val="center"/>
              <w:rPr>
                <w:rFonts w:ascii="Times New Roman" w:hAnsi="Times New Roman"/>
                <w:spacing w:val="-2"/>
                <w:kern w:val="0"/>
                <w:szCs w:val="21"/>
              </w:rPr>
            </w:pPr>
            <w:r>
              <w:rPr>
                <w:rFonts w:ascii="Times New Roman" w:hAnsi="Times New Roman"/>
                <w:spacing w:val="-2"/>
                <w:kern w:val="0"/>
                <w:szCs w:val="21"/>
              </w:rPr>
              <w:t>总悬浮颗粒物</w:t>
            </w:r>
          </w:p>
        </w:tc>
        <w:tc>
          <w:tcPr>
            <w:tcW w:w="5273" w:type="dxa"/>
            <w:vAlign w:val="center"/>
          </w:tcPr>
          <w:p w14:paraId="5B14A39D">
            <w:pPr>
              <w:ind w:left="-107" w:leftChars="-51" w:right="-107" w:rightChars="-51"/>
              <w:jc w:val="center"/>
              <w:rPr>
                <w:rFonts w:ascii="Times New Roman" w:hAnsi="Times New Roman"/>
                <w:spacing w:val="-2"/>
                <w:kern w:val="0"/>
                <w:szCs w:val="21"/>
              </w:rPr>
            </w:pPr>
            <w:r>
              <w:rPr>
                <w:rFonts w:ascii="Times New Roman" w:hAnsi="Times New Roman"/>
                <w:spacing w:val="-2"/>
                <w:kern w:val="0"/>
                <w:szCs w:val="21"/>
              </w:rPr>
              <w:t>《环境空气 总悬浮颗粒物的测定 重量法》HJ1263-2022</w:t>
            </w:r>
          </w:p>
        </w:tc>
        <w:tc>
          <w:tcPr>
            <w:tcW w:w="2327" w:type="dxa"/>
            <w:vAlign w:val="center"/>
          </w:tcPr>
          <w:p w14:paraId="41D5A4D6">
            <w:pPr>
              <w:ind w:left="-107" w:leftChars="-51" w:right="-107" w:rightChars="-51"/>
              <w:jc w:val="center"/>
              <w:rPr>
                <w:rFonts w:ascii="Times New Roman" w:hAnsi="Times New Roman"/>
                <w:spacing w:val="-2"/>
                <w:kern w:val="0"/>
                <w:szCs w:val="21"/>
              </w:rPr>
            </w:pPr>
            <w:r>
              <w:rPr>
                <w:rFonts w:ascii="Times New Roman" w:hAnsi="Times New Roman"/>
                <w:spacing w:val="-2"/>
                <w:kern w:val="0"/>
                <w:szCs w:val="21"/>
              </w:rPr>
              <w:t>0.007mg/m</w:t>
            </w:r>
            <w:r>
              <w:rPr>
                <w:rFonts w:ascii="Times New Roman" w:hAnsi="Times New Roman"/>
                <w:spacing w:val="-2"/>
                <w:kern w:val="0"/>
                <w:szCs w:val="21"/>
                <w:vertAlign w:val="superscript"/>
              </w:rPr>
              <w:t>3</w:t>
            </w:r>
          </w:p>
        </w:tc>
      </w:tr>
    </w:tbl>
    <w:p w14:paraId="6D5EBAD5">
      <w:pPr>
        <w:spacing w:line="360" w:lineRule="auto"/>
        <w:ind w:firstLine="420" w:firstLineChars="200"/>
        <w:rPr>
          <w:rFonts w:ascii="Times New Roman" w:hAnsi="Times New Roman"/>
        </w:rPr>
      </w:pPr>
    </w:p>
    <w:p w14:paraId="6632660D">
      <w:pPr>
        <w:pStyle w:val="6"/>
        <w:numPr>
          <w:ilvl w:val="2"/>
          <w:numId w:val="3"/>
        </w:numPr>
      </w:pPr>
      <w:r>
        <w:t>项目监测时间和频率</w:t>
      </w:r>
    </w:p>
    <w:p w14:paraId="3681F77C">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本项目大气环境质量现状的监测时间为2024年11月01日</w:t>
      </w:r>
      <w:r>
        <w:rPr>
          <w:rFonts w:hint="eastAsia" w:ascii="Times New Roman" w:hAnsi="Times New Roman"/>
          <w:spacing w:val="-2"/>
          <w:kern w:val="0"/>
          <w:sz w:val="24"/>
          <w:szCs w:val="20"/>
          <w:lang w:eastAsia="zh-CN"/>
        </w:rPr>
        <w:t>—</w:t>
      </w:r>
      <w:r>
        <w:rPr>
          <w:rFonts w:ascii="Times New Roman" w:hAnsi="Times New Roman"/>
          <w:spacing w:val="-2"/>
          <w:kern w:val="0"/>
          <w:sz w:val="24"/>
          <w:szCs w:val="20"/>
        </w:rPr>
        <w:t>11月0</w:t>
      </w:r>
      <w:r>
        <w:rPr>
          <w:rFonts w:hint="eastAsia" w:ascii="Times New Roman" w:hAnsi="Times New Roman"/>
          <w:spacing w:val="-2"/>
          <w:kern w:val="0"/>
          <w:sz w:val="24"/>
          <w:szCs w:val="20"/>
        </w:rPr>
        <w:t>8</w:t>
      </w:r>
      <w:r>
        <w:rPr>
          <w:rFonts w:ascii="Times New Roman" w:hAnsi="Times New Roman"/>
          <w:spacing w:val="-2"/>
          <w:kern w:val="0"/>
          <w:sz w:val="24"/>
          <w:szCs w:val="20"/>
        </w:rPr>
        <w:t>日，连</w:t>
      </w:r>
      <w:r>
        <w:rPr>
          <w:rFonts w:hint="eastAsia" w:ascii="Times New Roman" w:hAnsi="Times New Roman"/>
          <w:spacing w:val="-2"/>
          <w:kern w:val="0"/>
          <w:sz w:val="24"/>
          <w:szCs w:val="20"/>
          <w:lang w:eastAsia="zh-CN"/>
        </w:rPr>
        <w:t>续监</w:t>
      </w:r>
      <w:r>
        <w:rPr>
          <w:rFonts w:ascii="Times New Roman" w:hAnsi="Times New Roman"/>
          <w:spacing w:val="-2"/>
          <w:kern w:val="0"/>
          <w:sz w:val="24"/>
          <w:szCs w:val="20"/>
        </w:rPr>
        <w:t>测7天。</w:t>
      </w:r>
    </w:p>
    <w:p w14:paraId="33002611">
      <w:pPr>
        <w:pStyle w:val="6"/>
        <w:numPr>
          <w:ilvl w:val="2"/>
          <w:numId w:val="3"/>
        </w:numPr>
      </w:pPr>
      <w:r>
        <w:t>评价标准</w:t>
      </w:r>
    </w:p>
    <w:p w14:paraId="27C121BC">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环境空气质量执行《环境空气质量标准》（GB3095-2012）二级标准。</w:t>
      </w:r>
    </w:p>
    <w:p w14:paraId="3737EEAE">
      <w:pPr>
        <w:pStyle w:val="6"/>
        <w:numPr>
          <w:ilvl w:val="2"/>
          <w:numId w:val="3"/>
        </w:numPr>
      </w:pPr>
      <w:r>
        <w:t>评价方法</w:t>
      </w:r>
    </w:p>
    <w:p w14:paraId="77CC6AB1">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统计监测结果，给出各取值时间最大质量浓度占相应标准质量浓度限值的百分比和超标率。如百分比大于100%，则为超标。占标百分比计算公式如下：</w:t>
      </w:r>
    </w:p>
    <w:p w14:paraId="7825EE33">
      <w:pPr>
        <w:spacing w:line="360" w:lineRule="auto"/>
        <w:ind w:firstLine="472" w:firstLineChars="200"/>
        <w:jc w:val="center"/>
        <w:rPr>
          <w:rFonts w:ascii="Times New Roman" w:hAnsi="Times New Roman"/>
          <w:spacing w:val="-2"/>
          <w:kern w:val="0"/>
          <w:sz w:val="24"/>
          <w:szCs w:val="24"/>
        </w:rPr>
      </w:pPr>
      <w:r>
        <w:rPr>
          <w:rFonts w:ascii="Times New Roman" w:hAnsi="Times New Roman"/>
          <w:spacing w:val="-2"/>
          <w:kern w:val="0"/>
          <w:position w:val="-30"/>
          <w:sz w:val="24"/>
          <w:szCs w:val="24"/>
        </w:rPr>
        <w:object>
          <v:shape id="_x0000_i1026" o:spt="75" type="#_x0000_t75" style="height:36.3pt;width:79.5pt;" o:ole="t" filled="f" o:preferrelative="t" stroked="f" coordsize="21600,21600">
            <v:path/>
            <v:fill on="f" focussize="0,0"/>
            <v:stroke on="f" joinstyle="miter"/>
            <v:imagedata r:id="rId23" o:title=""/>
            <o:lock v:ext="edit" aspectratio="t"/>
            <w10:wrap type="none"/>
            <w10:anchorlock/>
          </v:shape>
          <o:OLEObject Type="Embed" ProgID="Equation.KSEE3" ShapeID="_x0000_i1026" DrawAspect="Content" ObjectID="_1468075726" r:id="rId22">
            <o:LockedField>false</o:LockedField>
          </o:OLEObject>
        </w:object>
      </w:r>
    </w:p>
    <w:p w14:paraId="62301BED">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式中：</w:t>
      </w:r>
      <w:r>
        <w:rPr>
          <w:rFonts w:ascii="Times New Roman" w:hAnsi="Times New Roman"/>
          <w:i/>
          <w:spacing w:val="-2"/>
          <w:kern w:val="0"/>
          <w:sz w:val="24"/>
          <w:szCs w:val="24"/>
        </w:rPr>
        <w:t>P</w:t>
      </w:r>
      <w:r>
        <w:rPr>
          <w:rFonts w:ascii="Times New Roman" w:hAnsi="Times New Roman"/>
          <w:i/>
          <w:spacing w:val="-2"/>
          <w:kern w:val="0"/>
          <w:sz w:val="24"/>
          <w:szCs w:val="24"/>
          <w:vertAlign w:val="subscript"/>
        </w:rPr>
        <w:t>i</w:t>
      </w:r>
      <w:r>
        <w:rPr>
          <w:rFonts w:ascii="Times New Roman" w:hAnsi="Times New Roman"/>
          <w:spacing w:val="-2"/>
          <w:kern w:val="0"/>
          <w:sz w:val="24"/>
          <w:szCs w:val="24"/>
        </w:rPr>
        <w:t>——污染物最大质量浓度占标率，%；</w:t>
      </w:r>
    </w:p>
    <w:p w14:paraId="6AAC479C">
      <w:pPr>
        <w:spacing w:line="360" w:lineRule="auto"/>
        <w:ind w:firstLine="1062" w:firstLineChars="450"/>
        <w:rPr>
          <w:rFonts w:ascii="Times New Roman" w:hAnsi="Times New Roman"/>
          <w:spacing w:val="-2"/>
          <w:kern w:val="0"/>
          <w:sz w:val="24"/>
          <w:szCs w:val="24"/>
        </w:rPr>
      </w:pPr>
      <w:r>
        <w:rPr>
          <w:rFonts w:ascii="Times New Roman" w:hAnsi="Times New Roman"/>
          <w:i/>
          <w:spacing w:val="-2"/>
          <w:kern w:val="0"/>
          <w:sz w:val="24"/>
          <w:szCs w:val="24"/>
        </w:rPr>
        <w:t>C</w:t>
      </w:r>
      <w:r>
        <w:rPr>
          <w:rFonts w:ascii="Times New Roman" w:hAnsi="Times New Roman"/>
          <w:i/>
          <w:spacing w:val="-2"/>
          <w:kern w:val="0"/>
          <w:sz w:val="24"/>
          <w:szCs w:val="24"/>
          <w:vertAlign w:val="subscript"/>
        </w:rPr>
        <w:t>i</w:t>
      </w:r>
      <w:r>
        <w:rPr>
          <w:rFonts w:ascii="Times New Roman" w:hAnsi="Times New Roman"/>
          <w:spacing w:val="-2"/>
          <w:kern w:val="0"/>
          <w:sz w:val="24"/>
          <w:szCs w:val="24"/>
        </w:rPr>
        <w:t>——监测结果最大质量浓度，mg/m</w:t>
      </w:r>
      <w:r>
        <w:rPr>
          <w:rFonts w:ascii="Times New Roman" w:hAnsi="Times New Roman"/>
          <w:spacing w:val="-2"/>
          <w:kern w:val="0"/>
          <w:sz w:val="24"/>
          <w:szCs w:val="24"/>
          <w:vertAlign w:val="superscript"/>
        </w:rPr>
        <w:t>3</w:t>
      </w:r>
      <w:r>
        <w:rPr>
          <w:rFonts w:ascii="Times New Roman" w:hAnsi="Times New Roman"/>
          <w:spacing w:val="-2"/>
          <w:kern w:val="0"/>
          <w:sz w:val="24"/>
          <w:szCs w:val="24"/>
        </w:rPr>
        <w:t>；</w:t>
      </w:r>
    </w:p>
    <w:p w14:paraId="6E4416D1">
      <w:pPr>
        <w:spacing w:line="360" w:lineRule="auto"/>
        <w:ind w:firstLine="1062" w:firstLineChars="450"/>
        <w:rPr>
          <w:rFonts w:ascii="Times New Roman" w:hAnsi="Times New Roman"/>
          <w:spacing w:val="-2"/>
          <w:kern w:val="0"/>
          <w:sz w:val="24"/>
          <w:szCs w:val="24"/>
        </w:rPr>
      </w:pPr>
      <w:r>
        <w:rPr>
          <w:rFonts w:ascii="Times New Roman" w:hAnsi="Times New Roman"/>
          <w:i/>
          <w:spacing w:val="-2"/>
          <w:kern w:val="0"/>
          <w:sz w:val="24"/>
          <w:szCs w:val="24"/>
        </w:rPr>
        <w:t>C</w:t>
      </w:r>
      <w:r>
        <w:rPr>
          <w:rFonts w:ascii="Times New Roman" w:hAnsi="Times New Roman"/>
          <w:i/>
          <w:spacing w:val="-2"/>
          <w:kern w:val="0"/>
          <w:sz w:val="24"/>
          <w:szCs w:val="24"/>
          <w:vertAlign w:val="subscript"/>
        </w:rPr>
        <w:t>0i</w:t>
      </w:r>
      <w:r>
        <w:rPr>
          <w:rFonts w:ascii="Times New Roman" w:hAnsi="Times New Roman"/>
          <w:spacing w:val="-2"/>
          <w:kern w:val="0"/>
          <w:sz w:val="24"/>
          <w:szCs w:val="24"/>
        </w:rPr>
        <w:t>——大气环境质量标准，mg/m</w:t>
      </w:r>
      <w:r>
        <w:rPr>
          <w:rFonts w:ascii="Times New Roman" w:hAnsi="Times New Roman"/>
          <w:spacing w:val="-2"/>
          <w:kern w:val="0"/>
          <w:sz w:val="24"/>
          <w:szCs w:val="24"/>
          <w:vertAlign w:val="superscript"/>
        </w:rPr>
        <w:t>3</w:t>
      </w:r>
      <w:r>
        <w:rPr>
          <w:rFonts w:ascii="Times New Roman" w:hAnsi="Times New Roman"/>
          <w:spacing w:val="-2"/>
          <w:kern w:val="0"/>
          <w:sz w:val="24"/>
          <w:szCs w:val="24"/>
        </w:rPr>
        <w:t>。</w:t>
      </w:r>
    </w:p>
    <w:p w14:paraId="452C4663">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超标率计算公式如下：</w:t>
      </w:r>
    </w:p>
    <w:p w14:paraId="4E95248C">
      <w:pPr>
        <w:spacing w:line="360" w:lineRule="auto"/>
        <w:ind w:firstLine="472" w:firstLineChars="200"/>
        <w:jc w:val="center"/>
        <w:rPr>
          <w:rFonts w:ascii="Times New Roman" w:hAnsi="Times New Roman"/>
          <w:spacing w:val="-2"/>
          <w:kern w:val="0"/>
          <w:sz w:val="24"/>
          <w:szCs w:val="24"/>
        </w:rPr>
      </w:pPr>
      <w:r>
        <w:rPr>
          <w:rFonts w:ascii="Times New Roman" w:hAnsi="Times New Roman"/>
          <w:spacing w:val="-2"/>
          <w:kern w:val="0"/>
          <w:sz w:val="24"/>
          <w:szCs w:val="24"/>
        </w:rPr>
        <w:t>超标率=</w:t>
      </w:r>
      <w:r>
        <w:rPr>
          <w:rFonts w:ascii="Times New Roman" w:hAnsi="Times New Roman"/>
          <w:spacing w:val="-2"/>
          <w:kern w:val="0"/>
          <w:position w:val="-30"/>
          <w:sz w:val="24"/>
          <w:szCs w:val="24"/>
        </w:rPr>
        <w:object>
          <v:shape id="_x0000_i1027" o:spt="75" type="#_x0000_t75" style="height:36.3pt;width:79.5pt;" o:ole="t" filled="f" o:preferrelative="t" stroked="f" coordsize="21600,21600">
            <v:path/>
            <v:fill on="f" focussize="0,0"/>
            <v:stroke on="f" joinstyle="miter"/>
            <v:imagedata r:id="rId25" o:title=""/>
            <o:lock v:ext="edit" aspectratio="t"/>
            <w10:wrap type="none"/>
            <w10:anchorlock/>
          </v:shape>
          <o:OLEObject Type="Embed" ProgID="Equation.KSEE3" ShapeID="_x0000_i1027" DrawAspect="Content" ObjectID="_1468075727" r:id="rId24">
            <o:LockedField>false</o:LockedField>
          </o:OLEObject>
        </w:object>
      </w:r>
    </w:p>
    <w:p w14:paraId="4AA7EDDE">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4"/>
        </w:rPr>
        <w:t>式中：字符含义同上。</w:t>
      </w:r>
    </w:p>
    <w:p w14:paraId="275D43C7">
      <w:pPr>
        <w:pStyle w:val="6"/>
        <w:numPr>
          <w:ilvl w:val="2"/>
          <w:numId w:val="3"/>
        </w:numPr>
      </w:pPr>
      <w:r>
        <w:t>监测结果及评价</w:t>
      </w:r>
    </w:p>
    <w:p w14:paraId="3FFDF2DF">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各测点的监测统计结果见表3.</w:t>
      </w:r>
      <w:r>
        <w:rPr>
          <w:rFonts w:hint="eastAsia" w:ascii="Times New Roman" w:hAnsi="Times New Roman"/>
          <w:spacing w:val="-2"/>
          <w:kern w:val="0"/>
          <w:sz w:val="24"/>
          <w:szCs w:val="24"/>
        </w:rPr>
        <w:t>3</w:t>
      </w:r>
      <w:r>
        <w:rPr>
          <w:rFonts w:ascii="Times New Roman" w:hAnsi="Times New Roman"/>
          <w:spacing w:val="-2"/>
          <w:kern w:val="0"/>
          <w:sz w:val="24"/>
          <w:szCs w:val="24"/>
        </w:rPr>
        <w:t>-</w:t>
      </w:r>
      <w:r>
        <w:rPr>
          <w:rFonts w:hint="eastAsia" w:ascii="Times New Roman" w:hAnsi="Times New Roman"/>
          <w:spacing w:val="-2"/>
          <w:kern w:val="0"/>
          <w:sz w:val="24"/>
          <w:szCs w:val="24"/>
        </w:rPr>
        <w:t>5</w:t>
      </w:r>
      <w:r>
        <w:rPr>
          <w:rFonts w:ascii="Times New Roman" w:hAnsi="Times New Roman"/>
          <w:spacing w:val="-2"/>
          <w:kern w:val="0"/>
          <w:sz w:val="24"/>
          <w:szCs w:val="24"/>
        </w:rPr>
        <w:t>、表3.</w:t>
      </w:r>
      <w:r>
        <w:rPr>
          <w:rFonts w:hint="eastAsia" w:ascii="Times New Roman" w:hAnsi="Times New Roman"/>
          <w:spacing w:val="-2"/>
          <w:kern w:val="0"/>
          <w:sz w:val="24"/>
          <w:szCs w:val="24"/>
        </w:rPr>
        <w:t>3</w:t>
      </w:r>
      <w:r>
        <w:rPr>
          <w:rFonts w:ascii="Times New Roman" w:hAnsi="Times New Roman"/>
          <w:spacing w:val="-2"/>
          <w:kern w:val="0"/>
          <w:sz w:val="24"/>
          <w:szCs w:val="24"/>
        </w:rPr>
        <w:t>-</w:t>
      </w:r>
      <w:r>
        <w:rPr>
          <w:rFonts w:hint="eastAsia" w:ascii="Times New Roman" w:hAnsi="Times New Roman"/>
          <w:spacing w:val="-2"/>
          <w:kern w:val="0"/>
          <w:sz w:val="24"/>
          <w:szCs w:val="24"/>
        </w:rPr>
        <w:t>6</w:t>
      </w:r>
      <w:r>
        <w:rPr>
          <w:rFonts w:ascii="Times New Roman" w:hAnsi="Times New Roman"/>
          <w:spacing w:val="-2"/>
          <w:kern w:val="0"/>
          <w:sz w:val="24"/>
          <w:szCs w:val="24"/>
        </w:rPr>
        <w:t>。</w:t>
      </w:r>
    </w:p>
    <w:p w14:paraId="0C5B3D17">
      <w:pPr>
        <w:pStyle w:val="8"/>
        <w:numPr>
          <w:ilvl w:val="4"/>
          <w:numId w:val="3"/>
        </w:numPr>
        <w:rPr>
          <w:sz w:val="24"/>
          <w:szCs w:val="24"/>
        </w:rPr>
      </w:pPr>
      <w:r>
        <w:rPr>
          <w:sz w:val="24"/>
          <w:szCs w:val="24"/>
        </w:rPr>
        <w:t>环境空气质量监测结果</w:t>
      </w:r>
    </w:p>
    <w:tbl>
      <w:tblPr>
        <w:tblStyle w:val="88"/>
        <w:tblW w:w="934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15"/>
        <w:gridCol w:w="1847"/>
        <w:gridCol w:w="1063"/>
        <w:gridCol w:w="1063"/>
        <w:gridCol w:w="1063"/>
        <w:gridCol w:w="1063"/>
        <w:gridCol w:w="1063"/>
        <w:gridCol w:w="1063"/>
      </w:tblGrid>
      <w:tr w14:paraId="287567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5" w:type="dxa"/>
            <w:shd w:val="clear" w:color="auto" w:fill="auto"/>
            <w:vAlign w:val="center"/>
          </w:tcPr>
          <w:p w14:paraId="23435A4C">
            <w:pPr>
              <w:widowControl/>
              <w:jc w:val="center"/>
              <w:rPr>
                <w:rFonts w:ascii="Times New Roman" w:hAnsi="Times New Roman"/>
                <w:b/>
                <w:bCs/>
                <w:kern w:val="0"/>
                <w:szCs w:val="21"/>
              </w:rPr>
            </w:pPr>
            <w:r>
              <w:rPr>
                <w:rFonts w:ascii="Times New Roman" w:hAnsi="Times New Roman"/>
                <w:b/>
                <w:bCs/>
                <w:kern w:val="0"/>
                <w:szCs w:val="21"/>
              </w:rPr>
              <w:t>监测点位</w:t>
            </w:r>
          </w:p>
        </w:tc>
        <w:tc>
          <w:tcPr>
            <w:tcW w:w="1847" w:type="dxa"/>
            <w:shd w:val="clear" w:color="auto" w:fill="auto"/>
            <w:vAlign w:val="center"/>
          </w:tcPr>
          <w:p w14:paraId="69EBDF43">
            <w:pPr>
              <w:widowControl/>
              <w:jc w:val="center"/>
              <w:rPr>
                <w:rFonts w:ascii="Times New Roman" w:hAnsi="Times New Roman"/>
                <w:b/>
                <w:bCs/>
                <w:kern w:val="0"/>
                <w:szCs w:val="21"/>
              </w:rPr>
            </w:pPr>
            <w:r>
              <w:rPr>
                <w:rFonts w:ascii="Times New Roman" w:hAnsi="Times New Roman"/>
                <w:b/>
                <w:bCs/>
                <w:kern w:val="0"/>
                <w:szCs w:val="21"/>
              </w:rPr>
              <w:t>检测日期</w:t>
            </w:r>
          </w:p>
        </w:tc>
        <w:tc>
          <w:tcPr>
            <w:tcW w:w="1063" w:type="dxa"/>
            <w:shd w:val="clear" w:color="auto" w:fill="auto"/>
            <w:vAlign w:val="center"/>
          </w:tcPr>
          <w:p w14:paraId="18E0FC63">
            <w:pPr>
              <w:widowControl/>
              <w:jc w:val="center"/>
              <w:rPr>
                <w:rFonts w:ascii="Times New Roman" w:hAnsi="Times New Roman"/>
                <w:b/>
                <w:bCs/>
                <w:kern w:val="0"/>
                <w:szCs w:val="21"/>
              </w:rPr>
            </w:pPr>
            <w:r>
              <w:rPr>
                <w:rFonts w:ascii="Times New Roman" w:hAnsi="Times New Roman"/>
                <w:b/>
                <w:bCs/>
                <w:kern w:val="0"/>
                <w:szCs w:val="21"/>
              </w:rPr>
              <w:t>监测结果µg/m</w:t>
            </w:r>
            <w:r>
              <w:rPr>
                <w:rFonts w:ascii="Times New Roman" w:hAnsi="Times New Roman"/>
                <w:b/>
                <w:bCs/>
                <w:kern w:val="0"/>
                <w:szCs w:val="21"/>
                <w:vertAlign w:val="superscript"/>
              </w:rPr>
              <w:t>3</w:t>
            </w:r>
          </w:p>
        </w:tc>
        <w:tc>
          <w:tcPr>
            <w:tcW w:w="1063" w:type="dxa"/>
            <w:shd w:val="clear" w:color="auto" w:fill="auto"/>
            <w:vAlign w:val="center"/>
          </w:tcPr>
          <w:p w14:paraId="0A3F1CCA">
            <w:pPr>
              <w:widowControl/>
              <w:jc w:val="center"/>
              <w:rPr>
                <w:rFonts w:ascii="Times New Roman" w:hAnsi="Times New Roman"/>
                <w:b/>
                <w:bCs/>
                <w:kern w:val="0"/>
                <w:szCs w:val="21"/>
              </w:rPr>
            </w:pPr>
            <w:r>
              <w:rPr>
                <w:rFonts w:ascii="Times New Roman" w:hAnsi="Times New Roman"/>
                <w:b/>
                <w:bCs/>
                <w:kern w:val="0"/>
                <w:szCs w:val="21"/>
              </w:rPr>
              <w:t>气温℃</w:t>
            </w:r>
          </w:p>
        </w:tc>
        <w:tc>
          <w:tcPr>
            <w:tcW w:w="1063" w:type="dxa"/>
            <w:shd w:val="clear" w:color="auto" w:fill="auto"/>
            <w:vAlign w:val="center"/>
          </w:tcPr>
          <w:p w14:paraId="3240150D">
            <w:pPr>
              <w:widowControl/>
              <w:jc w:val="center"/>
              <w:rPr>
                <w:rFonts w:ascii="Times New Roman" w:hAnsi="Times New Roman"/>
                <w:b/>
                <w:bCs/>
                <w:kern w:val="0"/>
                <w:szCs w:val="21"/>
              </w:rPr>
            </w:pPr>
            <w:r>
              <w:rPr>
                <w:rFonts w:ascii="Times New Roman" w:hAnsi="Times New Roman"/>
                <w:b/>
                <w:bCs/>
                <w:kern w:val="0"/>
                <w:szCs w:val="21"/>
              </w:rPr>
              <w:t>气压kPa</w:t>
            </w:r>
          </w:p>
        </w:tc>
        <w:tc>
          <w:tcPr>
            <w:tcW w:w="1063" w:type="dxa"/>
            <w:shd w:val="clear" w:color="auto" w:fill="auto"/>
            <w:vAlign w:val="center"/>
          </w:tcPr>
          <w:p w14:paraId="5F7458E1">
            <w:pPr>
              <w:widowControl/>
              <w:jc w:val="center"/>
              <w:rPr>
                <w:rFonts w:ascii="Times New Roman" w:hAnsi="Times New Roman"/>
                <w:b/>
                <w:bCs/>
                <w:kern w:val="0"/>
                <w:szCs w:val="21"/>
              </w:rPr>
            </w:pPr>
            <w:r>
              <w:rPr>
                <w:rFonts w:ascii="Times New Roman" w:hAnsi="Times New Roman"/>
                <w:b/>
                <w:bCs/>
                <w:kern w:val="0"/>
                <w:szCs w:val="21"/>
              </w:rPr>
              <w:t>相对湿度%</w:t>
            </w:r>
          </w:p>
        </w:tc>
        <w:tc>
          <w:tcPr>
            <w:tcW w:w="1063" w:type="dxa"/>
            <w:shd w:val="clear" w:color="auto" w:fill="auto"/>
            <w:vAlign w:val="center"/>
          </w:tcPr>
          <w:p w14:paraId="0D82A2AF">
            <w:pPr>
              <w:widowControl/>
              <w:jc w:val="center"/>
              <w:rPr>
                <w:rFonts w:ascii="Times New Roman" w:hAnsi="Times New Roman"/>
                <w:b/>
                <w:bCs/>
                <w:kern w:val="0"/>
                <w:szCs w:val="21"/>
              </w:rPr>
            </w:pPr>
            <w:r>
              <w:rPr>
                <w:rFonts w:ascii="Times New Roman" w:hAnsi="Times New Roman"/>
                <w:b/>
                <w:bCs/>
                <w:kern w:val="0"/>
                <w:szCs w:val="21"/>
              </w:rPr>
              <w:t>风速m/s</w:t>
            </w:r>
          </w:p>
        </w:tc>
        <w:tc>
          <w:tcPr>
            <w:tcW w:w="1063" w:type="dxa"/>
            <w:shd w:val="clear" w:color="auto" w:fill="auto"/>
            <w:vAlign w:val="center"/>
          </w:tcPr>
          <w:p w14:paraId="67A7B91C">
            <w:pPr>
              <w:widowControl/>
              <w:jc w:val="center"/>
              <w:rPr>
                <w:rFonts w:ascii="Times New Roman" w:hAnsi="Times New Roman"/>
                <w:b/>
                <w:bCs/>
                <w:kern w:val="0"/>
                <w:szCs w:val="21"/>
              </w:rPr>
            </w:pPr>
            <w:r>
              <w:rPr>
                <w:rFonts w:ascii="Times New Roman" w:hAnsi="Times New Roman"/>
                <w:b/>
                <w:bCs/>
                <w:kern w:val="0"/>
                <w:szCs w:val="21"/>
              </w:rPr>
              <w:t>风向</w:t>
            </w:r>
          </w:p>
        </w:tc>
      </w:tr>
      <w:tr w14:paraId="7E5B6E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5" w:type="dxa"/>
            <w:vMerge w:val="restart"/>
            <w:shd w:val="clear" w:color="auto" w:fill="auto"/>
            <w:vAlign w:val="center"/>
          </w:tcPr>
          <w:p w14:paraId="3B0E7F6B">
            <w:pPr>
              <w:widowControl/>
              <w:jc w:val="center"/>
              <w:rPr>
                <w:rFonts w:ascii="Times New Roman" w:hAnsi="Times New Roman"/>
                <w:kern w:val="0"/>
                <w:szCs w:val="21"/>
              </w:rPr>
            </w:pPr>
            <w:r>
              <w:rPr>
                <w:rFonts w:ascii="Times New Roman" w:hAnsi="Times New Roman"/>
                <w:kern w:val="0"/>
                <w:szCs w:val="21"/>
              </w:rPr>
              <w:t>项目</w:t>
            </w:r>
            <w:r>
              <w:rPr>
                <w:rFonts w:hint="eastAsia" w:ascii="Times New Roman" w:hAnsi="Times New Roman"/>
                <w:kern w:val="0"/>
                <w:szCs w:val="21"/>
              </w:rPr>
              <w:t>场</w:t>
            </w:r>
            <w:r>
              <w:rPr>
                <w:rFonts w:ascii="Times New Roman" w:hAnsi="Times New Roman"/>
                <w:kern w:val="0"/>
                <w:szCs w:val="21"/>
              </w:rPr>
              <w:t>区</w:t>
            </w:r>
          </w:p>
        </w:tc>
        <w:tc>
          <w:tcPr>
            <w:tcW w:w="1847" w:type="dxa"/>
            <w:shd w:val="clear" w:color="auto" w:fill="auto"/>
            <w:vAlign w:val="center"/>
          </w:tcPr>
          <w:p w14:paraId="363B0124">
            <w:pPr>
              <w:widowControl/>
              <w:jc w:val="center"/>
              <w:rPr>
                <w:rFonts w:ascii="Times New Roman" w:hAnsi="Times New Roman"/>
                <w:kern w:val="0"/>
                <w:szCs w:val="21"/>
              </w:rPr>
            </w:pPr>
            <w:r>
              <w:rPr>
                <w:rFonts w:ascii="Times New Roman" w:hAnsi="Times New Roman"/>
                <w:kern w:val="0"/>
                <w:szCs w:val="21"/>
              </w:rPr>
              <w:t>2024.11.01</w:t>
            </w:r>
            <w:r>
              <w:rPr>
                <w:rFonts w:hint="eastAsia" w:ascii="Times New Roman" w:hAnsi="Times New Roman"/>
                <w:kern w:val="0"/>
                <w:szCs w:val="21"/>
              </w:rPr>
              <w:t>～02</w:t>
            </w:r>
          </w:p>
        </w:tc>
        <w:tc>
          <w:tcPr>
            <w:tcW w:w="1063" w:type="dxa"/>
            <w:shd w:val="clear" w:color="auto" w:fill="auto"/>
            <w:vAlign w:val="center"/>
          </w:tcPr>
          <w:p w14:paraId="10A790AE">
            <w:pPr>
              <w:widowControl/>
              <w:jc w:val="center"/>
              <w:rPr>
                <w:rFonts w:ascii="Times New Roman" w:hAnsi="Times New Roman"/>
                <w:kern w:val="0"/>
                <w:szCs w:val="21"/>
              </w:rPr>
            </w:pPr>
          </w:p>
        </w:tc>
        <w:tc>
          <w:tcPr>
            <w:tcW w:w="1063" w:type="dxa"/>
            <w:shd w:val="clear" w:color="auto" w:fill="auto"/>
            <w:vAlign w:val="center"/>
          </w:tcPr>
          <w:p w14:paraId="07662B72">
            <w:pPr>
              <w:widowControl/>
              <w:jc w:val="center"/>
              <w:rPr>
                <w:rFonts w:ascii="Times New Roman" w:hAnsi="Times New Roman"/>
                <w:kern w:val="0"/>
                <w:szCs w:val="21"/>
              </w:rPr>
            </w:pPr>
          </w:p>
        </w:tc>
        <w:tc>
          <w:tcPr>
            <w:tcW w:w="1063" w:type="dxa"/>
            <w:shd w:val="clear" w:color="auto" w:fill="auto"/>
            <w:vAlign w:val="center"/>
          </w:tcPr>
          <w:p w14:paraId="759D6BC8">
            <w:pPr>
              <w:widowControl/>
              <w:jc w:val="center"/>
              <w:rPr>
                <w:rFonts w:ascii="Times New Roman" w:hAnsi="Times New Roman"/>
                <w:kern w:val="0"/>
                <w:szCs w:val="21"/>
              </w:rPr>
            </w:pPr>
          </w:p>
        </w:tc>
        <w:tc>
          <w:tcPr>
            <w:tcW w:w="1063" w:type="dxa"/>
            <w:shd w:val="clear" w:color="auto" w:fill="auto"/>
            <w:vAlign w:val="center"/>
          </w:tcPr>
          <w:p w14:paraId="333CE0C7">
            <w:pPr>
              <w:widowControl/>
              <w:jc w:val="center"/>
              <w:rPr>
                <w:rFonts w:ascii="Times New Roman" w:hAnsi="Times New Roman"/>
                <w:kern w:val="0"/>
                <w:szCs w:val="21"/>
              </w:rPr>
            </w:pPr>
          </w:p>
        </w:tc>
        <w:tc>
          <w:tcPr>
            <w:tcW w:w="1063" w:type="dxa"/>
            <w:shd w:val="clear" w:color="auto" w:fill="auto"/>
            <w:vAlign w:val="center"/>
          </w:tcPr>
          <w:p w14:paraId="4187F55B">
            <w:pPr>
              <w:widowControl/>
              <w:jc w:val="center"/>
              <w:rPr>
                <w:rFonts w:ascii="Times New Roman" w:hAnsi="Times New Roman"/>
                <w:kern w:val="0"/>
                <w:szCs w:val="21"/>
              </w:rPr>
            </w:pPr>
          </w:p>
        </w:tc>
        <w:tc>
          <w:tcPr>
            <w:tcW w:w="1063" w:type="dxa"/>
            <w:shd w:val="clear" w:color="auto" w:fill="auto"/>
            <w:vAlign w:val="center"/>
          </w:tcPr>
          <w:p w14:paraId="17DC6D57">
            <w:pPr>
              <w:widowControl/>
              <w:jc w:val="center"/>
              <w:rPr>
                <w:rFonts w:ascii="Times New Roman" w:hAnsi="Times New Roman"/>
                <w:kern w:val="0"/>
                <w:szCs w:val="21"/>
              </w:rPr>
            </w:pPr>
          </w:p>
        </w:tc>
      </w:tr>
      <w:tr w14:paraId="44D069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5" w:type="dxa"/>
            <w:vMerge w:val="continue"/>
            <w:shd w:val="clear" w:color="auto" w:fill="auto"/>
            <w:vAlign w:val="center"/>
          </w:tcPr>
          <w:p w14:paraId="14B6CAA0">
            <w:pPr>
              <w:widowControl/>
              <w:jc w:val="center"/>
              <w:rPr>
                <w:rFonts w:ascii="Times New Roman" w:hAnsi="Times New Roman"/>
                <w:kern w:val="0"/>
                <w:szCs w:val="21"/>
              </w:rPr>
            </w:pPr>
          </w:p>
        </w:tc>
        <w:tc>
          <w:tcPr>
            <w:tcW w:w="1847" w:type="dxa"/>
            <w:shd w:val="clear" w:color="auto" w:fill="auto"/>
            <w:vAlign w:val="center"/>
          </w:tcPr>
          <w:p w14:paraId="43882448">
            <w:pPr>
              <w:widowControl/>
              <w:jc w:val="center"/>
              <w:rPr>
                <w:rFonts w:ascii="Times New Roman" w:hAnsi="Times New Roman"/>
                <w:kern w:val="0"/>
                <w:szCs w:val="21"/>
              </w:rPr>
            </w:pPr>
            <w:r>
              <w:rPr>
                <w:rFonts w:ascii="Times New Roman" w:hAnsi="Times New Roman"/>
                <w:kern w:val="0"/>
                <w:szCs w:val="21"/>
              </w:rPr>
              <w:t>2024.11.02</w:t>
            </w:r>
            <w:r>
              <w:rPr>
                <w:rFonts w:hint="eastAsia" w:ascii="Times New Roman" w:hAnsi="Times New Roman"/>
                <w:kern w:val="0"/>
                <w:szCs w:val="21"/>
              </w:rPr>
              <w:t>～03</w:t>
            </w:r>
          </w:p>
        </w:tc>
        <w:tc>
          <w:tcPr>
            <w:tcW w:w="1063" w:type="dxa"/>
            <w:shd w:val="clear" w:color="auto" w:fill="auto"/>
            <w:vAlign w:val="center"/>
          </w:tcPr>
          <w:p w14:paraId="58E4B4EC">
            <w:pPr>
              <w:widowControl/>
              <w:jc w:val="center"/>
              <w:rPr>
                <w:rFonts w:ascii="Times New Roman" w:hAnsi="Times New Roman"/>
                <w:kern w:val="0"/>
                <w:szCs w:val="21"/>
              </w:rPr>
            </w:pPr>
          </w:p>
        </w:tc>
        <w:tc>
          <w:tcPr>
            <w:tcW w:w="1063" w:type="dxa"/>
            <w:shd w:val="clear" w:color="auto" w:fill="auto"/>
            <w:vAlign w:val="center"/>
          </w:tcPr>
          <w:p w14:paraId="58FDA89C">
            <w:pPr>
              <w:widowControl/>
              <w:jc w:val="center"/>
              <w:rPr>
                <w:rFonts w:ascii="Times New Roman" w:hAnsi="Times New Roman"/>
                <w:kern w:val="0"/>
                <w:szCs w:val="21"/>
              </w:rPr>
            </w:pPr>
          </w:p>
        </w:tc>
        <w:tc>
          <w:tcPr>
            <w:tcW w:w="1063" w:type="dxa"/>
            <w:shd w:val="clear" w:color="auto" w:fill="auto"/>
            <w:vAlign w:val="center"/>
          </w:tcPr>
          <w:p w14:paraId="163A5193">
            <w:pPr>
              <w:widowControl/>
              <w:jc w:val="center"/>
              <w:rPr>
                <w:rFonts w:ascii="Times New Roman" w:hAnsi="Times New Roman"/>
                <w:kern w:val="0"/>
                <w:szCs w:val="21"/>
              </w:rPr>
            </w:pPr>
          </w:p>
        </w:tc>
        <w:tc>
          <w:tcPr>
            <w:tcW w:w="1063" w:type="dxa"/>
            <w:shd w:val="clear" w:color="auto" w:fill="auto"/>
            <w:vAlign w:val="center"/>
          </w:tcPr>
          <w:p w14:paraId="56583344">
            <w:pPr>
              <w:widowControl/>
              <w:jc w:val="center"/>
              <w:rPr>
                <w:rFonts w:ascii="Times New Roman" w:hAnsi="Times New Roman"/>
                <w:kern w:val="0"/>
                <w:szCs w:val="21"/>
              </w:rPr>
            </w:pPr>
          </w:p>
        </w:tc>
        <w:tc>
          <w:tcPr>
            <w:tcW w:w="1063" w:type="dxa"/>
            <w:shd w:val="clear" w:color="auto" w:fill="auto"/>
            <w:vAlign w:val="center"/>
          </w:tcPr>
          <w:p w14:paraId="10B3A0C1">
            <w:pPr>
              <w:widowControl/>
              <w:jc w:val="center"/>
              <w:rPr>
                <w:rFonts w:ascii="Times New Roman" w:hAnsi="Times New Roman"/>
                <w:kern w:val="0"/>
                <w:szCs w:val="21"/>
              </w:rPr>
            </w:pPr>
          </w:p>
        </w:tc>
        <w:tc>
          <w:tcPr>
            <w:tcW w:w="1063" w:type="dxa"/>
            <w:shd w:val="clear" w:color="auto" w:fill="auto"/>
            <w:vAlign w:val="center"/>
          </w:tcPr>
          <w:p w14:paraId="562AD8EA">
            <w:pPr>
              <w:widowControl/>
              <w:jc w:val="center"/>
              <w:rPr>
                <w:rFonts w:ascii="Times New Roman" w:hAnsi="Times New Roman"/>
                <w:kern w:val="0"/>
                <w:szCs w:val="21"/>
              </w:rPr>
            </w:pPr>
          </w:p>
        </w:tc>
      </w:tr>
      <w:tr w14:paraId="3C7BB8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5" w:type="dxa"/>
            <w:vMerge w:val="continue"/>
            <w:shd w:val="clear" w:color="auto" w:fill="auto"/>
            <w:vAlign w:val="center"/>
          </w:tcPr>
          <w:p w14:paraId="0A78447B">
            <w:pPr>
              <w:widowControl/>
              <w:jc w:val="center"/>
              <w:rPr>
                <w:rFonts w:ascii="Times New Roman" w:hAnsi="Times New Roman"/>
                <w:kern w:val="0"/>
                <w:szCs w:val="21"/>
              </w:rPr>
            </w:pPr>
          </w:p>
        </w:tc>
        <w:tc>
          <w:tcPr>
            <w:tcW w:w="1847" w:type="dxa"/>
            <w:shd w:val="clear" w:color="auto" w:fill="auto"/>
            <w:vAlign w:val="center"/>
          </w:tcPr>
          <w:p w14:paraId="42E7D616">
            <w:pPr>
              <w:widowControl/>
              <w:jc w:val="center"/>
              <w:rPr>
                <w:rFonts w:ascii="Times New Roman" w:hAnsi="Times New Roman"/>
                <w:kern w:val="0"/>
                <w:szCs w:val="21"/>
              </w:rPr>
            </w:pPr>
            <w:r>
              <w:rPr>
                <w:rFonts w:ascii="Times New Roman" w:hAnsi="Times New Roman"/>
                <w:kern w:val="0"/>
                <w:szCs w:val="21"/>
              </w:rPr>
              <w:t>2024.11.03</w:t>
            </w:r>
            <w:r>
              <w:rPr>
                <w:rFonts w:hint="eastAsia" w:ascii="Times New Roman" w:hAnsi="Times New Roman"/>
                <w:kern w:val="0"/>
                <w:szCs w:val="21"/>
              </w:rPr>
              <w:t>～04</w:t>
            </w:r>
          </w:p>
        </w:tc>
        <w:tc>
          <w:tcPr>
            <w:tcW w:w="1063" w:type="dxa"/>
            <w:shd w:val="clear" w:color="auto" w:fill="auto"/>
            <w:vAlign w:val="center"/>
          </w:tcPr>
          <w:p w14:paraId="530CD4B2">
            <w:pPr>
              <w:widowControl/>
              <w:jc w:val="center"/>
              <w:rPr>
                <w:rFonts w:ascii="Times New Roman" w:hAnsi="Times New Roman"/>
                <w:kern w:val="0"/>
                <w:szCs w:val="21"/>
              </w:rPr>
            </w:pPr>
          </w:p>
        </w:tc>
        <w:tc>
          <w:tcPr>
            <w:tcW w:w="1063" w:type="dxa"/>
            <w:shd w:val="clear" w:color="auto" w:fill="auto"/>
            <w:vAlign w:val="center"/>
          </w:tcPr>
          <w:p w14:paraId="2E488E2D">
            <w:pPr>
              <w:widowControl/>
              <w:jc w:val="center"/>
              <w:rPr>
                <w:rFonts w:ascii="Times New Roman" w:hAnsi="Times New Roman"/>
                <w:kern w:val="0"/>
                <w:szCs w:val="21"/>
              </w:rPr>
            </w:pPr>
          </w:p>
        </w:tc>
        <w:tc>
          <w:tcPr>
            <w:tcW w:w="1063" w:type="dxa"/>
            <w:shd w:val="clear" w:color="auto" w:fill="auto"/>
            <w:vAlign w:val="center"/>
          </w:tcPr>
          <w:p w14:paraId="30832233">
            <w:pPr>
              <w:widowControl/>
              <w:jc w:val="center"/>
              <w:rPr>
                <w:rFonts w:ascii="Times New Roman" w:hAnsi="Times New Roman"/>
                <w:kern w:val="0"/>
                <w:szCs w:val="21"/>
              </w:rPr>
            </w:pPr>
          </w:p>
        </w:tc>
        <w:tc>
          <w:tcPr>
            <w:tcW w:w="1063" w:type="dxa"/>
            <w:shd w:val="clear" w:color="auto" w:fill="auto"/>
            <w:vAlign w:val="center"/>
          </w:tcPr>
          <w:p w14:paraId="31C3CDCD">
            <w:pPr>
              <w:widowControl/>
              <w:jc w:val="center"/>
              <w:rPr>
                <w:rFonts w:ascii="Times New Roman" w:hAnsi="Times New Roman"/>
                <w:kern w:val="0"/>
                <w:szCs w:val="21"/>
              </w:rPr>
            </w:pPr>
          </w:p>
        </w:tc>
        <w:tc>
          <w:tcPr>
            <w:tcW w:w="1063" w:type="dxa"/>
            <w:shd w:val="clear" w:color="auto" w:fill="auto"/>
            <w:vAlign w:val="center"/>
          </w:tcPr>
          <w:p w14:paraId="3FBB120E">
            <w:pPr>
              <w:widowControl/>
              <w:jc w:val="center"/>
              <w:rPr>
                <w:rFonts w:ascii="Times New Roman" w:hAnsi="Times New Roman"/>
                <w:kern w:val="0"/>
                <w:szCs w:val="21"/>
              </w:rPr>
            </w:pPr>
          </w:p>
        </w:tc>
        <w:tc>
          <w:tcPr>
            <w:tcW w:w="1063" w:type="dxa"/>
            <w:shd w:val="clear" w:color="auto" w:fill="auto"/>
            <w:vAlign w:val="center"/>
          </w:tcPr>
          <w:p w14:paraId="06B08219">
            <w:pPr>
              <w:widowControl/>
              <w:jc w:val="center"/>
              <w:rPr>
                <w:rFonts w:ascii="Times New Roman" w:hAnsi="Times New Roman"/>
                <w:kern w:val="0"/>
                <w:szCs w:val="21"/>
              </w:rPr>
            </w:pPr>
          </w:p>
        </w:tc>
      </w:tr>
      <w:tr w14:paraId="453F3C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5" w:type="dxa"/>
            <w:vMerge w:val="continue"/>
            <w:shd w:val="clear" w:color="auto" w:fill="auto"/>
            <w:vAlign w:val="center"/>
          </w:tcPr>
          <w:p w14:paraId="716F2669">
            <w:pPr>
              <w:widowControl/>
              <w:jc w:val="center"/>
              <w:rPr>
                <w:rFonts w:ascii="Times New Roman" w:hAnsi="Times New Roman"/>
                <w:kern w:val="0"/>
                <w:szCs w:val="21"/>
              </w:rPr>
            </w:pPr>
          </w:p>
        </w:tc>
        <w:tc>
          <w:tcPr>
            <w:tcW w:w="1847" w:type="dxa"/>
            <w:shd w:val="clear" w:color="auto" w:fill="auto"/>
            <w:vAlign w:val="center"/>
          </w:tcPr>
          <w:p w14:paraId="50217238">
            <w:pPr>
              <w:widowControl/>
              <w:jc w:val="center"/>
              <w:rPr>
                <w:rFonts w:ascii="Times New Roman" w:hAnsi="Times New Roman"/>
                <w:kern w:val="0"/>
                <w:szCs w:val="21"/>
              </w:rPr>
            </w:pPr>
            <w:r>
              <w:rPr>
                <w:rFonts w:ascii="Times New Roman" w:hAnsi="Times New Roman"/>
                <w:kern w:val="0"/>
                <w:szCs w:val="21"/>
              </w:rPr>
              <w:t>2024.11.04</w:t>
            </w:r>
            <w:r>
              <w:rPr>
                <w:rFonts w:hint="eastAsia" w:ascii="Times New Roman" w:hAnsi="Times New Roman"/>
                <w:kern w:val="0"/>
                <w:szCs w:val="21"/>
              </w:rPr>
              <w:t>～05</w:t>
            </w:r>
          </w:p>
        </w:tc>
        <w:tc>
          <w:tcPr>
            <w:tcW w:w="1063" w:type="dxa"/>
            <w:shd w:val="clear" w:color="auto" w:fill="auto"/>
            <w:vAlign w:val="center"/>
          </w:tcPr>
          <w:p w14:paraId="2E27B3B9">
            <w:pPr>
              <w:widowControl/>
              <w:jc w:val="center"/>
              <w:rPr>
                <w:rFonts w:ascii="Times New Roman" w:hAnsi="Times New Roman"/>
                <w:kern w:val="0"/>
                <w:szCs w:val="21"/>
              </w:rPr>
            </w:pPr>
          </w:p>
        </w:tc>
        <w:tc>
          <w:tcPr>
            <w:tcW w:w="1063" w:type="dxa"/>
            <w:shd w:val="clear" w:color="auto" w:fill="auto"/>
            <w:vAlign w:val="center"/>
          </w:tcPr>
          <w:p w14:paraId="442690D4">
            <w:pPr>
              <w:widowControl/>
              <w:jc w:val="center"/>
              <w:rPr>
                <w:rFonts w:ascii="Times New Roman" w:hAnsi="Times New Roman"/>
                <w:kern w:val="0"/>
                <w:szCs w:val="21"/>
              </w:rPr>
            </w:pPr>
          </w:p>
        </w:tc>
        <w:tc>
          <w:tcPr>
            <w:tcW w:w="1063" w:type="dxa"/>
            <w:shd w:val="clear" w:color="auto" w:fill="auto"/>
            <w:vAlign w:val="center"/>
          </w:tcPr>
          <w:p w14:paraId="168EFFF1">
            <w:pPr>
              <w:widowControl/>
              <w:jc w:val="center"/>
              <w:rPr>
                <w:rFonts w:ascii="Times New Roman" w:hAnsi="Times New Roman"/>
                <w:kern w:val="0"/>
                <w:szCs w:val="21"/>
              </w:rPr>
            </w:pPr>
          </w:p>
        </w:tc>
        <w:tc>
          <w:tcPr>
            <w:tcW w:w="1063" w:type="dxa"/>
            <w:shd w:val="clear" w:color="auto" w:fill="auto"/>
            <w:vAlign w:val="center"/>
          </w:tcPr>
          <w:p w14:paraId="06FD7BBF">
            <w:pPr>
              <w:widowControl/>
              <w:jc w:val="center"/>
              <w:rPr>
                <w:rFonts w:ascii="Times New Roman" w:hAnsi="Times New Roman"/>
                <w:kern w:val="0"/>
                <w:szCs w:val="21"/>
              </w:rPr>
            </w:pPr>
          </w:p>
        </w:tc>
        <w:tc>
          <w:tcPr>
            <w:tcW w:w="1063" w:type="dxa"/>
            <w:shd w:val="clear" w:color="auto" w:fill="auto"/>
            <w:vAlign w:val="center"/>
          </w:tcPr>
          <w:p w14:paraId="458114E5">
            <w:pPr>
              <w:widowControl/>
              <w:jc w:val="center"/>
              <w:rPr>
                <w:rFonts w:ascii="Times New Roman" w:hAnsi="Times New Roman"/>
                <w:kern w:val="0"/>
                <w:szCs w:val="21"/>
              </w:rPr>
            </w:pPr>
          </w:p>
        </w:tc>
        <w:tc>
          <w:tcPr>
            <w:tcW w:w="1063" w:type="dxa"/>
            <w:shd w:val="clear" w:color="auto" w:fill="auto"/>
            <w:vAlign w:val="center"/>
          </w:tcPr>
          <w:p w14:paraId="040B6C1D">
            <w:pPr>
              <w:widowControl/>
              <w:jc w:val="center"/>
              <w:rPr>
                <w:rFonts w:ascii="Times New Roman" w:hAnsi="Times New Roman"/>
                <w:kern w:val="0"/>
                <w:szCs w:val="21"/>
              </w:rPr>
            </w:pPr>
          </w:p>
        </w:tc>
      </w:tr>
      <w:tr w14:paraId="123E7E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5" w:type="dxa"/>
            <w:vMerge w:val="continue"/>
            <w:shd w:val="clear" w:color="auto" w:fill="auto"/>
            <w:vAlign w:val="center"/>
          </w:tcPr>
          <w:p w14:paraId="2605806C">
            <w:pPr>
              <w:widowControl/>
              <w:jc w:val="center"/>
              <w:rPr>
                <w:rFonts w:ascii="Times New Roman" w:hAnsi="Times New Roman"/>
                <w:kern w:val="0"/>
                <w:szCs w:val="21"/>
              </w:rPr>
            </w:pPr>
          </w:p>
        </w:tc>
        <w:tc>
          <w:tcPr>
            <w:tcW w:w="1847" w:type="dxa"/>
            <w:shd w:val="clear" w:color="auto" w:fill="auto"/>
            <w:vAlign w:val="center"/>
          </w:tcPr>
          <w:p w14:paraId="3C1C6ED9">
            <w:pPr>
              <w:widowControl/>
              <w:jc w:val="center"/>
              <w:rPr>
                <w:rFonts w:ascii="Times New Roman" w:hAnsi="Times New Roman"/>
                <w:kern w:val="0"/>
                <w:szCs w:val="21"/>
              </w:rPr>
            </w:pPr>
            <w:r>
              <w:rPr>
                <w:rFonts w:ascii="Times New Roman" w:hAnsi="Times New Roman"/>
                <w:kern w:val="0"/>
                <w:szCs w:val="21"/>
              </w:rPr>
              <w:t>2024.11.05</w:t>
            </w:r>
            <w:r>
              <w:rPr>
                <w:rFonts w:hint="eastAsia" w:ascii="Times New Roman" w:hAnsi="Times New Roman"/>
                <w:kern w:val="0"/>
                <w:szCs w:val="21"/>
              </w:rPr>
              <w:t>～06</w:t>
            </w:r>
          </w:p>
        </w:tc>
        <w:tc>
          <w:tcPr>
            <w:tcW w:w="1063" w:type="dxa"/>
            <w:shd w:val="clear" w:color="auto" w:fill="auto"/>
            <w:vAlign w:val="center"/>
          </w:tcPr>
          <w:p w14:paraId="29D55CD7">
            <w:pPr>
              <w:widowControl/>
              <w:jc w:val="center"/>
              <w:rPr>
                <w:rFonts w:ascii="Times New Roman" w:hAnsi="Times New Roman"/>
                <w:kern w:val="0"/>
                <w:szCs w:val="21"/>
              </w:rPr>
            </w:pPr>
          </w:p>
        </w:tc>
        <w:tc>
          <w:tcPr>
            <w:tcW w:w="1063" w:type="dxa"/>
            <w:shd w:val="clear" w:color="auto" w:fill="auto"/>
            <w:vAlign w:val="center"/>
          </w:tcPr>
          <w:p w14:paraId="79576E0E">
            <w:pPr>
              <w:widowControl/>
              <w:jc w:val="center"/>
              <w:rPr>
                <w:rFonts w:ascii="Times New Roman" w:hAnsi="Times New Roman"/>
                <w:kern w:val="0"/>
                <w:szCs w:val="21"/>
              </w:rPr>
            </w:pPr>
          </w:p>
        </w:tc>
        <w:tc>
          <w:tcPr>
            <w:tcW w:w="1063" w:type="dxa"/>
            <w:shd w:val="clear" w:color="auto" w:fill="auto"/>
            <w:vAlign w:val="center"/>
          </w:tcPr>
          <w:p w14:paraId="2A261A01">
            <w:pPr>
              <w:widowControl/>
              <w:jc w:val="center"/>
              <w:rPr>
                <w:rFonts w:ascii="Times New Roman" w:hAnsi="Times New Roman"/>
                <w:kern w:val="0"/>
                <w:szCs w:val="21"/>
              </w:rPr>
            </w:pPr>
          </w:p>
        </w:tc>
        <w:tc>
          <w:tcPr>
            <w:tcW w:w="1063" w:type="dxa"/>
            <w:shd w:val="clear" w:color="auto" w:fill="auto"/>
            <w:vAlign w:val="center"/>
          </w:tcPr>
          <w:p w14:paraId="12C06937">
            <w:pPr>
              <w:widowControl/>
              <w:jc w:val="center"/>
              <w:rPr>
                <w:rFonts w:ascii="Times New Roman" w:hAnsi="Times New Roman"/>
                <w:kern w:val="0"/>
                <w:szCs w:val="21"/>
              </w:rPr>
            </w:pPr>
          </w:p>
        </w:tc>
        <w:tc>
          <w:tcPr>
            <w:tcW w:w="1063" w:type="dxa"/>
            <w:shd w:val="clear" w:color="auto" w:fill="auto"/>
            <w:vAlign w:val="center"/>
          </w:tcPr>
          <w:p w14:paraId="7A911614">
            <w:pPr>
              <w:widowControl/>
              <w:jc w:val="center"/>
              <w:rPr>
                <w:rFonts w:ascii="Times New Roman" w:hAnsi="Times New Roman"/>
                <w:kern w:val="0"/>
                <w:szCs w:val="21"/>
              </w:rPr>
            </w:pPr>
          </w:p>
        </w:tc>
        <w:tc>
          <w:tcPr>
            <w:tcW w:w="1063" w:type="dxa"/>
            <w:shd w:val="clear" w:color="auto" w:fill="auto"/>
            <w:vAlign w:val="center"/>
          </w:tcPr>
          <w:p w14:paraId="2B08F8D3">
            <w:pPr>
              <w:widowControl/>
              <w:jc w:val="center"/>
              <w:rPr>
                <w:rFonts w:ascii="Times New Roman" w:hAnsi="Times New Roman"/>
                <w:kern w:val="0"/>
                <w:szCs w:val="21"/>
              </w:rPr>
            </w:pPr>
          </w:p>
        </w:tc>
      </w:tr>
      <w:tr w14:paraId="27C777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5" w:type="dxa"/>
            <w:vMerge w:val="continue"/>
            <w:shd w:val="clear" w:color="auto" w:fill="auto"/>
            <w:vAlign w:val="center"/>
          </w:tcPr>
          <w:p w14:paraId="028262BF">
            <w:pPr>
              <w:widowControl/>
              <w:jc w:val="center"/>
              <w:rPr>
                <w:rFonts w:ascii="Times New Roman" w:hAnsi="Times New Roman"/>
                <w:kern w:val="0"/>
                <w:szCs w:val="21"/>
              </w:rPr>
            </w:pPr>
          </w:p>
        </w:tc>
        <w:tc>
          <w:tcPr>
            <w:tcW w:w="1847" w:type="dxa"/>
            <w:shd w:val="clear" w:color="auto" w:fill="auto"/>
            <w:vAlign w:val="center"/>
          </w:tcPr>
          <w:p w14:paraId="5F12EC43">
            <w:pPr>
              <w:widowControl/>
              <w:jc w:val="center"/>
              <w:rPr>
                <w:rFonts w:ascii="Times New Roman" w:hAnsi="Times New Roman"/>
                <w:kern w:val="0"/>
                <w:szCs w:val="21"/>
              </w:rPr>
            </w:pPr>
            <w:r>
              <w:rPr>
                <w:rFonts w:ascii="Times New Roman" w:hAnsi="Times New Roman"/>
                <w:kern w:val="0"/>
                <w:szCs w:val="21"/>
              </w:rPr>
              <w:t>2024.11.06</w:t>
            </w:r>
            <w:r>
              <w:rPr>
                <w:rFonts w:hint="eastAsia" w:ascii="Times New Roman" w:hAnsi="Times New Roman"/>
                <w:kern w:val="0"/>
                <w:szCs w:val="21"/>
              </w:rPr>
              <w:t>～07</w:t>
            </w:r>
          </w:p>
        </w:tc>
        <w:tc>
          <w:tcPr>
            <w:tcW w:w="1063" w:type="dxa"/>
            <w:shd w:val="clear" w:color="auto" w:fill="auto"/>
            <w:vAlign w:val="center"/>
          </w:tcPr>
          <w:p w14:paraId="73FEACFE">
            <w:pPr>
              <w:widowControl/>
              <w:jc w:val="center"/>
              <w:rPr>
                <w:rFonts w:ascii="Times New Roman" w:hAnsi="Times New Roman"/>
                <w:kern w:val="0"/>
                <w:szCs w:val="21"/>
              </w:rPr>
            </w:pPr>
          </w:p>
        </w:tc>
        <w:tc>
          <w:tcPr>
            <w:tcW w:w="1063" w:type="dxa"/>
            <w:shd w:val="clear" w:color="auto" w:fill="auto"/>
            <w:vAlign w:val="center"/>
          </w:tcPr>
          <w:p w14:paraId="0C3F7746">
            <w:pPr>
              <w:widowControl/>
              <w:jc w:val="center"/>
              <w:rPr>
                <w:rFonts w:ascii="Times New Roman" w:hAnsi="Times New Roman"/>
                <w:kern w:val="0"/>
                <w:szCs w:val="21"/>
              </w:rPr>
            </w:pPr>
          </w:p>
        </w:tc>
        <w:tc>
          <w:tcPr>
            <w:tcW w:w="1063" w:type="dxa"/>
            <w:shd w:val="clear" w:color="auto" w:fill="auto"/>
            <w:vAlign w:val="center"/>
          </w:tcPr>
          <w:p w14:paraId="79CF7A97">
            <w:pPr>
              <w:widowControl/>
              <w:jc w:val="center"/>
              <w:rPr>
                <w:rFonts w:ascii="Times New Roman" w:hAnsi="Times New Roman"/>
                <w:kern w:val="0"/>
                <w:szCs w:val="21"/>
              </w:rPr>
            </w:pPr>
          </w:p>
        </w:tc>
        <w:tc>
          <w:tcPr>
            <w:tcW w:w="1063" w:type="dxa"/>
            <w:shd w:val="clear" w:color="auto" w:fill="auto"/>
            <w:vAlign w:val="center"/>
          </w:tcPr>
          <w:p w14:paraId="279EDB9B">
            <w:pPr>
              <w:widowControl/>
              <w:jc w:val="center"/>
              <w:rPr>
                <w:rFonts w:ascii="Times New Roman" w:hAnsi="Times New Roman"/>
                <w:kern w:val="0"/>
                <w:szCs w:val="21"/>
              </w:rPr>
            </w:pPr>
          </w:p>
        </w:tc>
        <w:tc>
          <w:tcPr>
            <w:tcW w:w="1063" w:type="dxa"/>
            <w:shd w:val="clear" w:color="auto" w:fill="auto"/>
            <w:vAlign w:val="center"/>
          </w:tcPr>
          <w:p w14:paraId="145BA0C1">
            <w:pPr>
              <w:widowControl/>
              <w:jc w:val="center"/>
              <w:rPr>
                <w:rFonts w:ascii="Times New Roman" w:hAnsi="Times New Roman"/>
                <w:kern w:val="0"/>
                <w:szCs w:val="21"/>
              </w:rPr>
            </w:pPr>
          </w:p>
        </w:tc>
        <w:tc>
          <w:tcPr>
            <w:tcW w:w="1063" w:type="dxa"/>
            <w:shd w:val="clear" w:color="auto" w:fill="auto"/>
            <w:vAlign w:val="center"/>
          </w:tcPr>
          <w:p w14:paraId="1A32BE9E">
            <w:pPr>
              <w:widowControl/>
              <w:jc w:val="center"/>
              <w:rPr>
                <w:rFonts w:ascii="Times New Roman" w:hAnsi="Times New Roman"/>
                <w:kern w:val="0"/>
                <w:szCs w:val="21"/>
              </w:rPr>
            </w:pPr>
          </w:p>
        </w:tc>
      </w:tr>
      <w:tr w14:paraId="02FD87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5" w:type="dxa"/>
            <w:vMerge w:val="continue"/>
            <w:shd w:val="clear" w:color="auto" w:fill="auto"/>
            <w:vAlign w:val="center"/>
          </w:tcPr>
          <w:p w14:paraId="2A3514DB">
            <w:pPr>
              <w:widowControl/>
              <w:jc w:val="center"/>
              <w:rPr>
                <w:rFonts w:ascii="Times New Roman" w:hAnsi="Times New Roman"/>
                <w:kern w:val="0"/>
                <w:szCs w:val="21"/>
              </w:rPr>
            </w:pPr>
          </w:p>
        </w:tc>
        <w:tc>
          <w:tcPr>
            <w:tcW w:w="1847" w:type="dxa"/>
            <w:shd w:val="clear" w:color="auto" w:fill="auto"/>
            <w:vAlign w:val="center"/>
          </w:tcPr>
          <w:p w14:paraId="516DDEEA">
            <w:pPr>
              <w:widowControl/>
              <w:jc w:val="center"/>
              <w:rPr>
                <w:rFonts w:ascii="Times New Roman" w:hAnsi="Times New Roman"/>
                <w:kern w:val="0"/>
                <w:szCs w:val="21"/>
              </w:rPr>
            </w:pPr>
            <w:r>
              <w:rPr>
                <w:rFonts w:ascii="Times New Roman" w:hAnsi="Times New Roman"/>
                <w:kern w:val="0"/>
                <w:szCs w:val="21"/>
              </w:rPr>
              <w:t>2024.11.07</w:t>
            </w:r>
            <w:r>
              <w:rPr>
                <w:rFonts w:hint="eastAsia" w:ascii="Times New Roman" w:hAnsi="Times New Roman"/>
                <w:kern w:val="0"/>
                <w:szCs w:val="21"/>
              </w:rPr>
              <w:t>～08</w:t>
            </w:r>
          </w:p>
        </w:tc>
        <w:tc>
          <w:tcPr>
            <w:tcW w:w="1063" w:type="dxa"/>
            <w:shd w:val="clear" w:color="auto" w:fill="auto"/>
            <w:vAlign w:val="center"/>
          </w:tcPr>
          <w:p w14:paraId="7F0D8A2D">
            <w:pPr>
              <w:widowControl/>
              <w:jc w:val="center"/>
              <w:rPr>
                <w:rFonts w:ascii="Times New Roman" w:hAnsi="Times New Roman"/>
                <w:kern w:val="0"/>
                <w:szCs w:val="21"/>
              </w:rPr>
            </w:pPr>
          </w:p>
        </w:tc>
        <w:tc>
          <w:tcPr>
            <w:tcW w:w="1063" w:type="dxa"/>
            <w:shd w:val="clear" w:color="auto" w:fill="auto"/>
            <w:vAlign w:val="center"/>
          </w:tcPr>
          <w:p w14:paraId="457AD204">
            <w:pPr>
              <w:widowControl/>
              <w:jc w:val="center"/>
              <w:rPr>
                <w:rFonts w:ascii="Times New Roman" w:hAnsi="Times New Roman"/>
                <w:kern w:val="0"/>
                <w:szCs w:val="21"/>
              </w:rPr>
            </w:pPr>
          </w:p>
        </w:tc>
        <w:tc>
          <w:tcPr>
            <w:tcW w:w="1063" w:type="dxa"/>
            <w:shd w:val="clear" w:color="auto" w:fill="auto"/>
            <w:vAlign w:val="center"/>
          </w:tcPr>
          <w:p w14:paraId="13D7AC10">
            <w:pPr>
              <w:widowControl/>
              <w:jc w:val="center"/>
              <w:rPr>
                <w:rFonts w:ascii="Times New Roman" w:hAnsi="Times New Roman"/>
                <w:kern w:val="0"/>
                <w:szCs w:val="21"/>
              </w:rPr>
            </w:pPr>
          </w:p>
        </w:tc>
        <w:tc>
          <w:tcPr>
            <w:tcW w:w="1063" w:type="dxa"/>
            <w:shd w:val="clear" w:color="auto" w:fill="auto"/>
            <w:vAlign w:val="center"/>
          </w:tcPr>
          <w:p w14:paraId="53F095A9">
            <w:pPr>
              <w:widowControl/>
              <w:jc w:val="center"/>
              <w:rPr>
                <w:rFonts w:ascii="Times New Roman" w:hAnsi="Times New Roman"/>
                <w:kern w:val="0"/>
                <w:szCs w:val="21"/>
              </w:rPr>
            </w:pPr>
          </w:p>
        </w:tc>
        <w:tc>
          <w:tcPr>
            <w:tcW w:w="1063" w:type="dxa"/>
            <w:shd w:val="clear" w:color="auto" w:fill="auto"/>
            <w:vAlign w:val="center"/>
          </w:tcPr>
          <w:p w14:paraId="4FAA68E8">
            <w:pPr>
              <w:widowControl/>
              <w:jc w:val="center"/>
              <w:rPr>
                <w:rFonts w:ascii="Times New Roman" w:hAnsi="Times New Roman"/>
                <w:kern w:val="0"/>
                <w:szCs w:val="21"/>
              </w:rPr>
            </w:pPr>
          </w:p>
        </w:tc>
        <w:tc>
          <w:tcPr>
            <w:tcW w:w="1063" w:type="dxa"/>
            <w:shd w:val="clear" w:color="auto" w:fill="auto"/>
            <w:vAlign w:val="center"/>
          </w:tcPr>
          <w:p w14:paraId="5787776D">
            <w:pPr>
              <w:widowControl/>
              <w:jc w:val="center"/>
              <w:rPr>
                <w:rFonts w:ascii="Times New Roman" w:hAnsi="Times New Roman"/>
                <w:kern w:val="0"/>
                <w:szCs w:val="21"/>
              </w:rPr>
            </w:pPr>
          </w:p>
        </w:tc>
      </w:tr>
    </w:tbl>
    <w:p w14:paraId="53332AF5">
      <w:pPr>
        <w:spacing w:line="360" w:lineRule="auto"/>
        <w:ind w:firstLine="474" w:firstLineChars="200"/>
        <w:rPr>
          <w:rFonts w:ascii="Times New Roman" w:hAnsi="Times New Roman"/>
          <w:b/>
          <w:spacing w:val="-2"/>
          <w:kern w:val="0"/>
          <w:sz w:val="24"/>
          <w:szCs w:val="24"/>
        </w:rPr>
      </w:pPr>
    </w:p>
    <w:p w14:paraId="6D03D10B">
      <w:pPr>
        <w:pStyle w:val="8"/>
        <w:numPr>
          <w:ilvl w:val="4"/>
          <w:numId w:val="3"/>
        </w:numPr>
        <w:rPr>
          <w:sz w:val="24"/>
          <w:szCs w:val="24"/>
        </w:rPr>
      </w:pPr>
      <w:r>
        <w:rPr>
          <w:sz w:val="24"/>
          <w:szCs w:val="24"/>
        </w:rPr>
        <w:t>环境空气质量监测统计结果</w:t>
      </w:r>
    </w:p>
    <w:tbl>
      <w:tblPr>
        <w:tblStyle w:val="88"/>
        <w:tblW w:w="928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374"/>
        <w:gridCol w:w="4557"/>
        <w:gridCol w:w="2355"/>
      </w:tblGrid>
      <w:tr w14:paraId="6C2517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74" w:type="dxa"/>
            <w:vMerge w:val="restart"/>
            <w:tcBorders>
              <w:tl2br w:val="single" w:color="auto" w:sz="8" w:space="0"/>
            </w:tcBorders>
            <w:vAlign w:val="center"/>
          </w:tcPr>
          <w:p w14:paraId="4677943F">
            <w:pPr>
              <w:wordWrap w:val="0"/>
              <w:snapToGrid w:val="0"/>
              <w:ind w:right="-42" w:rightChars="-20" w:firstLine="414" w:firstLineChars="200"/>
              <w:jc w:val="right"/>
              <w:rPr>
                <w:rFonts w:ascii="Times New Roman" w:hAnsi="Times New Roman"/>
                <w:b/>
                <w:bCs/>
                <w:spacing w:val="-2"/>
                <w:kern w:val="0"/>
                <w:szCs w:val="21"/>
              </w:rPr>
            </w:pPr>
            <w:r>
              <w:rPr>
                <w:rFonts w:ascii="Times New Roman" w:hAnsi="Times New Roman"/>
                <w:b/>
                <w:bCs/>
                <w:spacing w:val="-2"/>
                <w:kern w:val="0"/>
                <w:szCs w:val="21"/>
              </w:rPr>
              <w:t xml:space="preserve">污染物  </w:t>
            </w:r>
          </w:p>
          <w:p w14:paraId="747F1B76">
            <w:pPr>
              <w:snapToGrid w:val="0"/>
              <w:ind w:right="-42" w:rightChars="-20" w:firstLine="207" w:firstLineChars="100"/>
              <w:rPr>
                <w:rFonts w:ascii="Times New Roman" w:hAnsi="Times New Roman"/>
                <w:b/>
                <w:bCs/>
                <w:spacing w:val="-2"/>
                <w:kern w:val="0"/>
                <w:szCs w:val="21"/>
              </w:rPr>
            </w:pPr>
            <w:r>
              <w:rPr>
                <w:rFonts w:ascii="Times New Roman" w:hAnsi="Times New Roman"/>
                <w:b/>
                <w:bCs/>
                <w:spacing w:val="-2"/>
                <w:kern w:val="0"/>
                <w:szCs w:val="21"/>
              </w:rPr>
              <w:t>监测点</w:t>
            </w:r>
          </w:p>
        </w:tc>
        <w:tc>
          <w:tcPr>
            <w:tcW w:w="4557" w:type="dxa"/>
            <w:vAlign w:val="center"/>
          </w:tcPr>
          <w:p w14:paraId="4B4D7142">
            <w:pPr>
              <w:snapToGrid w:val="0"/>
              <w:ind w:right="-20"/>
              <w:jc w:val="center"/>
              <w:rPr>
                <w:rFonts w:ascii="Times New Roman" w:hAnsi="Times New Roman"/>
                <w:b/>
                <w:bCs/>
                <w:spacing w:val="-2"/>
                <w:kern w:val="0"/>
                <w:szCs w:val="21"/>
              </w:rPr>
            </w:pPr>
            <w:r>
              <w:rPr>
                <w:rFonts w:ascii="Times New Roman" w:hAnsi="Times New Roman"/>
                <w:b/>
                <w:bCs/>
                <w:spacing w:val="-2"/>
                <w:kern w:val="0"/>
                <w:szCs w:val="21"/>
              </w:rPr>
              <w:t>统计项目</w:t>
            </w:r>
          </w:p>
        </w:tc>
        <w:tc>
          <w:tcPr>
            <w:tcW w:w="2355" w:type="dxa"/>
            <w:vAlign w:val="center"/>
          </w:tcPr>
          <w:p w14:paraId="74FEC053">
            <w:pPr>
              <w:snapToGrid w:val="0"/>
              <w:ind w:right="-20"/>
              <w:jc w:val="center"/>
              <w:rPr>
                <w:rFonts w:ascii="Times New Roman" w:hAnsi="Times New Roman"/>
                <w:b/>
                <w:bCs/>
                <w:spacing w:val="-2"/>
                <w:kern w:val="0"/>
                <w:szCs w:val="21"/>
              </w:rPr>
            </w:pPr>
            <w:r>
              <w:rPr>
                <w:rFonts w:ascii="Times New Roman" w:hAnsi="Times New Roman"/>
                <w:b/>
                <w:bCs/>
                <w:spacing w:val="-2"/>
                <w:kern w:val="0"/>
                <w:szCs w:val="21"/>
              </w:rPr>
              <w:t>TSP</w:t>
            </w:r>
          </w:p>
        </w:tc>
      </w:tr>
      <w:tr w14:paraId="122FA7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74" w:type="dxa"/>
            <w:vMerge w:val="continue"/>
            <w:tcBorders>
              <w:tl2br w:val="single" w:color="auto" w:sz="8" w:space="0"/>
            </w:tcBorders>
            <w:vAlign w:val="center"/>
          </w:tcPr>
          <w:p w14:paraId="660B2F6D">
            <w:pPr>
              <w:snapToGrid w:val="0"/>
              <w:ind w:right="-42" w:rightChars="-20"/>
              <w:jc w:val="center"/>
              <w:rPr>
                <w:rFonts w:ascii="Times New Roman" w:hAnsi="Times New Roman"/>
                <w:b/>
                <w:bCs/>
                <w:spacing w:val="-2"/>
                <w:kern w:val="0"/>
                <w:szCs w:val="21"/>
              </w:rPr>
            </w:pPr>
          </w:p>
        </w:tc>
        <w:tc>
          <w:tcPr>
            <w:tcW w:w="4557" w:type="dxa"/>
            <w:vAlign w:val="center"/>
          </w:tcPr>
          <w:p w14:paraId="56275D1C">
            <w:pPr>
              <w:snapToGrid w:val="0"/>
              <w:ind w:right="-20"/>
              <w:jc w:val="center"/>
              <w:rPr>
                <w:rFonts w:ascii="Times New Roman" w:hAnsi="Times New Roman"/>
                <w:b/>
                <w:bCs/>
                <w:spacing w:val="-2"/>
                <w:kern w:val="0"/>
                <w:szCs w:val="21"/>
              </w:rPr>
            </w:pPr>
            <w:r>
              <w:rPr>
                <w:rFonts w:ascii="Times New Roman" w:hAnsi="Times New Roman"/>
                <w:b/>
                <w:bCs/>
                <w:spacing w:val="-2"/>
                <w:kern w:val="0"/>
                <w:szCs w:val="21"/>
              </w:rPr>
              <w:t>24小时平均浓度标准值(µg/m</w:t>
            </w:r>
            <w:r>
              <w:rPr>
                <w:rFonts w:ascii="Times New Roman" w:hAnsi="Times New Roman"/>
                <w:b/>
                <w:bCs/>
                <w:spacing w:val="-2"/>
                <w:kern w:val="0"/>
                <w:szCs w:val="21"/>
                <w:vertAlign w:val="superscript"/>
              </w:rPr>
              <w:t>3</w:t>
            </w:r>
            <w:r>
              <w:rPr>
                <w:rFonts w:ascii="Times New Roman" w:hAnsi="Times New Roman"/>
                <w:b/>
                <w:bCs/>
                <w:spacing w:val="-2"/>
                <w:kern w:val="0"/>
                <w:szCs w:val="21"/>
              </w:rPr>
              <w:t>)</w:t>
            </w:r>
          </w:p>
        </w:tc>
        <w:tc>
          <w:tcPr>
            <w:tcW w:w="2355" w:type="dxa"/>
            <w:vAlign w:val="center"/>
          </w:tcPr>
          <w:p w14:paraId="3F2BE652">
            <w:pPr>
              <w:jc w:val="center"/>
              <w:rPr>
                <w:rFonts w:ascii="Times New Roman" w:hAnsi="Times New Roman"/>
                <w:b/>
                <w:bCs/>
                <w:spacing w:val="-2"/>
                <w:kern w:val="0"/>
                <w:szCs w:val="21"/>
              </w:rPr>
            </w:pPr>
            <w:r>
              <w:rPr>
                <w:rFonts w:ascii="Times New Roman" w:hAnsi="Times New Roman"/>
                <w:b/>
                <w:bCs/>
                <w:spacing w:val="-2"/>
                <w:kern w:val="0"/>
                <w:szCs w:val="21"/>
              </w:rPr>
              <w:t>300</w:t>
            </w:r>
          </w:p>
        </w:tc>
      </w:tr>
      <w:tr w14:paraId="68AEBC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74" w:type="dxa"/>
            <w:vMerge w:val="restart"/>
            <w:vAlign w:val="center"/>
          </w:tcPr>
          <w:p w14:paraId="49488FF9">
            <w:pPr>
              <w:jc w:val="center"/>
              <w:rPr>
                <w:rFonts w:ascii="Times New Roman" w:hAnsi="Times New Roman"/>
                <w:spacing w:val="-2"/>
                <w:kern w:val="0"/>
                <w:szCs w:val="21"/>
              </w:rPr>
            </w:pPr>
            <w:r>
              <w:rPr>
                <w:rFonts w:ascii="Times New Roman" w:hAnsi="Times New Roman"/>
                <w:spacing w:val="-2"/>
                <w:kern w:val="0"/>
                <w:szCs w:val="21"/>
              </w:rPr>
              <w:t>项目</w:t>
            </w:r>
            <w:r>
              <w:rPr>
                <w:rFonts w:hint="eastAsia" w:ascii="Times New Roman" w:hAnsi="Times New Roman"/>
                <w:spacing w:val="-2"/>
                <w:kern w:val="0"/>
                <w:szCs w:val="21"/>
              </w:rPr>
              <w:t>场区</w:t>
            </w:r>
          </w:p>
        </w:tc>
        <w:tc>
          <w:tcPr>
            <w:tcW w:w="4557" w:type="dxa"/>
            <w:vAlign w:val="center"/>
          </w:tcPr>
          <w:p w14:paraId="7FC81B7F">
            <w:pPr>
              <w:snapToGrid w:val="0"/>
              <w:jc w:val="center"/>
              <w:rPr>
                <w:rFonts w:ascii="Times New Roman" w:hAnsi="Times New Roman"/>
                <w:spacing w:val="-2"/>
                <w:kern w:val="0"/>
                <w:szCs w:val="21"/>
              </w:rPr>
            </w:pPr>
            <w:r>
              <w:rPr>
                <w:rFonts w:ascii="Times New Roman" w:hAnsi="Times New Roman"/>
                <w:spacing w:val="-2"/>
                <w:kern w:val="0"/>
                <w:szCs w:val="21"/>
              </w:rPr>
              <w:t>24小时平均值范围(µg/m</w:t>
            </w:r>
            <w:r>
              <w:rPr>
                <w:rFonts w:ascii="Times New Roman" w:hAnsi="Times New Roman"/>
                <w:spacing w:val="-2"/>
                <w:kern w:val="0"/>
                <w:szCs w:val="21"/>
                <w:vertAlign w:val="superscript"/>
              </w:rPr>
              <w:t>3</w:t>
            </w:r>
            <w:r>
              <w:rPr>
                <w:rFonts w:ascii="Times New Roman" w:hAnsi="Times New Roman"/>
                <w:spacing w:val="-2"/>
                <w:kern w:val="0"/>
                <w:szCs w:val="21"/>
              </w:rPr>
              <w:t>)</w:t>
            </w:r>
          </w:p>
        </w:tc>
        <w:tc>
          <w:tcPr>
            <w:tcW w:w="2355" w:type="dxa"/>
            <w:vAlign w:val="center"/>
          </w:tcPr>
          <w:p w14:paraId="3AD3C163">
            <w:pPr>
              <w:snapToGrid w:val="0"/>
              <w:jc w:val="center"/>
              <w:rPr>
                <w:rFonts w:ascii="Times New Roman" w:hAnsi="Times New Roman"/>
                <w:spacing w:val="-2"/>
                <w:kern w:val="0"/>
                <w:szCs w:val="21"/>
              </w:rPr>
            </w:pPr>
          </w:p>
        </w:tc>
      </w:tr>
      <w:tr w14:paraId="09F74F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74" w:type="dxa"/>
            <w:vMerge w:val="continue"/>
            <w:vAlign w:val="center"/>
          </w:tcPr>
          <w:p w14:paraId="127B68F6">
            <w:pPr>
              <w:snapToGrid w:val="0"/>
              <w:ind w:right="-42"/>
              <w:jc w:val="center"/>
              <w:rPr>
                <w:rFonts w:ascii="Times New Roman" w:hAnsi="Times New Roman"/>
                <w:spacing w:val="-2"/>
                <w:kern w:val="0"/>
                <w:szCs w:val="21"/>
              </w:rPr>
            </w:pPr>
          </w:p>
        </w:tc>
        <w:tc>
          <w:tcPr>
            <w:tcW w:w="4557" w:type="dxa"/>
            <w:vAlign w:val="center"/>
          </w:tcPr>
          <w:p w14:paraId="237670AC">
            <w:pPr>
              <w:snapToGrid w:val="0"/>
              <w:jc w:val="center"/>
              <w:rPr>
                <w:rFonts w:ascii="Times New Roman" w:hAnsi="Times New Roman"/>
                <w:spacing w:val="-2"/>
                <w:kern w:val="0"/>
                <w:szCs w:val="21"/>
              </w:rPr>
            </w:pPr>
            <w:r>
              <w:rPr>
                <w:rFonts w:ascii="Times New Roman" w:hAnsi="Times New Roman"/>
                <w:spacing w:val="-2"/>
                <w:kern w:val="0"/>
                <w:szCs w:val="21"/>
              </w:rPr>
              <w:t>最大占标率（%）</w:t>
            </w:r>
          </w:p>
        </w:tc>
        <w:tc>
          <w:tcPr>
            <w:tcW w:w="2355" w:type="dxa"/>
            <w:vAlign w:val="center"/>
          </w:tcPr>
          <w:p w14:paraId="11CD3F05">
            <w:pPr>
              <w:snapToGrid w:val="0"/>
              <w:jc w:val="center"/>
              <w:rPr>
                <w:rFonts w:ascii="Times New Roman" w:hAnsi="Times New Roman"/>
                <w:spacing w:val="-2"/>
                <w:kern w:val="0"/>
                <w:szCs w:val="21"/>
              </w:rPr>
            </w:pPr>
          </w:p>
        </w:tc>
      </w:tr>
    </w:tbl>
    <w:p w14:paraId="6FB9584C">
      <w:pPr>
        <w:spacing w:line="360" w:lineRule="auto"/>
        <w:ind w:firstLine="472" w:firstLineChars="200"/>
        <w:rPr>
          <w:rFonts w:ascii="Times New Roman" w:hAnsi="Times New Roman"/>
          <w:spacing w:val="-2"/>
          <w:kern w:val="0"/>
          <w:sz w:val="24"/>
          <w:szCs w:val="24"/>
        </w:rPr>
      </w:pPr>
    </w:p>
    <w:p w14:paraId="347D4662">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根据监测结果，项目所在区域TSP监测点的 24小时平均浓度在</w:t>
      </w:r>
      <w:r>
        <w:rPr>
          <w:rFonts w:ascii="Times New Roman" w:hAnsi="Times New Roman"/>
          <w:color w:val="FFFFFF" w:themeColor="background1"/>
          <w:spacing w:val="-2"/>
          <w:kern w:val="0"/>
          <w:sz w:val="24"/>
          <w:szCs w:val="24"/>
          <w14:textFill>
            <w14:solidFill>
              <w14:schemeClr w14:val="bg1"/>
            </w14:solidFill>
          </w14:textFill>
        </w:rPr>
        <w:t>85</w:t>
      </w:r>
      <w:r>
        <w:rPr>
          <w:rFonts w:hint="eastAsia" w:ascii="Times New Roman" w:hAnsi="Times New Roman"/>
          <w:color w:val="FFFFFF" w:themeColor="background1"/>
          <w:sz w:val="24"/>
          <w:szCs w:val="24"/>
          <w14:textFill>
            <w14:solidFill>
              <w14:schemeClr w14:val="bg1"/>
            </w14:solidFill>
          </w14:textFill>
        </w:rPr>
        <w:t>～</w:t>
      </w:r>
      <w:r>
        <w:rPr>
          <w:rFonts w:ascii="Times New Roman" w:hAnsi="Times New Roman"/>
          <w:color w:val="FFFFFF" w:themeColor="background1"/>
          <w:spacing w:val="-2"/>
          <w:kern w:val="0"/>
          <w:sz w:val="24"/>
          <w:szCs w:val="24"/>
          <w14:textFill>
            <w14:solidFill>
              <w14:schemeClr w14:val="bg1"/>
            </w14:solidFill>
          </w14:textFill>
        </w:rPr>
        <w:t>95</w:t>
      </w:r>
      <w:r>
        <w:rPr>
          <w:rFonts w:ascii="Times New Roman" w:hAnsi="Times New Roman"/>
          <w:spacing w:val="-2"/>
          <w:kern w:val="0"/>
          <w:sz w:val="24"/>
          <w:szCs w:val="24"/>
        </w:rPr>
        <w:t>µg/m</w:t>
      </w:r>
      <w:r>
        <w:rPr>
          <w:rFonts w:ascii="Times New Roman" w:hAnsi="Times New Roman"/>
          <w:spacing w:val="-2"/>
          <w:kern w:val="0"/>
          <w:sz w:val="24"/>
          <w:szCs w:val="24"/>
          <w:vertAlign w:val="superscript"/>
        </w:rPr>
        <w:t>3</w:t>
      </w:r>
      <w:r>
        <w:rPr>
          <w:rFonts w:ascii="Times New Roman" w:hAnsi="Times New Roman"/>
          <w:spacing w:val="-2"/>
          <w:kern w:val="0"/>
          <w:sz w:val="24"/>
          <w:szCs w:val="24"/>
        </w:rPr>
        <w:t>之间，最大监测值占标准限值的</w:t>
      </w:r>
      <w:r>
        <w:rPr>
          <w:rFonts w:ascii="Times New Roman" w:hAnsi="Times New Roman"/>
          <w:color w:val="FFFFFF" w:themeColor="background1"/>
          <w:spacing w:val="-2"/>
          <w:kern w:val="0"/>
          <w:sz w:val="24"/>
          <w:szCs w:val="24"/>
          <w14:textFill>
            <w14:solidFill>
              <w14:schemeClr w14:val="bg1"/>
            </w14:solidFill>
          </w14:textFill>
        </w:rPr>
        <w:t>31.67</w:t>
      </w:r>
      <w:r>
        <w:rPr>
          <w:rFonts w:ascii="Times New Roman" w:hAnsi="Times New Roman"/>
          <w:spacing w:val="-2"/>
          <w:kern w:val="0"/>
          <w:sz w:val="24"/>
          <w:szCs w:val="24"/>
        </w:rPr>
        <w:t>%，低于《环境空气质量标准》（GB3095-2012）二级标准中24小时平均浓度值300μg/m</w:t>
      </w:r>
      <w:r>
        <w:rPr>
          <w:rFonts w:ascii="Times New Roman" w:hAnsi="Times New Roman"/>
          <w:spacing w:val="-2"/>
          <w:kern w:val="0"/>
          <w:sz w:val="24"/>
          <w:szCs w:val="24"/>
          <w:vertAlign w:val="superscript"/>
        </w:rPr>
        <w:t>3</w:t>
      </w:r>
      <w:r>
        <w:rPr>
          <w:rFonts w:ascii="Times New Roman" w:hAnsi="Times New Roman"/>
          <w:spacing w:val="-2"/>
          <w:kern w:val="0"/>
          <w:sz w:val="24"/>
          <w:szCs w:val="24"/>
        </w:rPr>
        <w:t>，表明评价区域环境空气中TSP浓度符合二级标准要求，评价区域内环境空气质量现状良好。</w:t>
      </w:r>
    </w:p>
    <w:p w14:paraId="4501F14C">
      <w:pPr>
        <w:keepNext/>
        <w:keepLines/>
        <w:spacing w:line="360" w:lineRule="auto"/>
        <w:outlineLvl w:val="2"/>
        <w:rPr>
          <w:rFonts w:ascii="Times New Roman" w:hAnsi="Times New Roman" w:eastAsia="黑体"/>
          <w:b/>
          <w:bCs/>
          <w:spacing w:val="-2"/>
          <w:kern w:val="0"/>
          <w:sz w:val="24"/>
          <w:szCs w:val="24"/>
        </w:rPr>
      </w:pPr>
      <w:r>
        <w:rPr>
          <w:rFonts w:ascii="Times New Roman" w:hAnsi="Times New Roman" w:eastAsia="黑体"/>
          <w:b/>
          <w:bCs/>
          <w:spacing w:val="-2"/>
          <w:kern w:val="0"/>
          <w:sz w:val="24"/>
          <w:szCs w:val="24"/>
        </w:rPr>
        <w:t>3.2.7小结</w:t>
      </w:r>
    </w:p>
    <w:p w14:paraId="7692C653">
      <w:pPr>
        <w:spacing w:line="360" w:lineRule="auto"/>
        <w:ind w:firstLine="472" w:firstLineChars="200"/>
        <w:rPr>
          <w:rFonts w:ascii="Times New Roman" w:hAnsi="Times New Roman"/>
          <w:spacing w:val="-2"/>
          <w:kern w:val="0"/>
          <w:sz w:val="24"/>
          <w:szCs w:val="24"/>
        </w:rPr>
      </w:pPr>
      <w:bookmarkStart w:id="154" w:name="_Toc237785650"/>
      <w:bookmarkStart w:id="155" w:name="_Toc275424738"/>
      <w:bookmarkStart w:id="156" w:name="_Toc296593027"/>
      <w:bookmarkStart w:id="157" w:name="_Toc228717453"/>
      <w:bookmarkStart w:id="158" w:name="_Toc232280176"/>
      <w:bookmarkStart w:id="159" w:name="_Toc240856968"/>
      <w:bookmarkStart w:id="160" w:name="_Toc172900972"/>
      <w:bookmarkStart w:id="161" w:name="_Toc269629933"/>
      <w:bookmarkStart w:id="162" w:name="_Toc150335033"/>
      <w:bookmarkStart w:id="163" w:name="_Toc252741842"/>
      <w:bookmarkStart w:id="164" w:name="_Toc281330278"/>
      <w:r>
        <w:rPr>
          <w:rFonts w:ascii="Times New Roman" w:hAnsi="Times New Roman"/>
          <w:spacing w:val="-2"/>
          <w:kern w:val="0"/>
          <w:sz w:val="24"/>
          <w:szCs w:val="24"/>
        </w:rPr>
        <w:t>项目所在区域环境空气PM</w:t>
      </w:r>
      <w:r>
        <w:rPr>
          <w:rFonts w:ascii="Times New Roman" w:hAnsi="Times New Roman"/>
          <w:spacing w:val="-2"/>
          <w:kern w:val="0"/>
          <w:sz w:val="24"/>
          <w:szCs w:val="24"/>
          <w:vertAlign w:val="subscript"/>
        </w:rPr>
        <w:t>10</w:t>
      </w:r>
      <w:r>
        <w:rPr>
          <w:rFonts w:ascii="Times New Roman" w:hAnsi="Times New Roman"/>
          <w:spacing w:val="-2"/>
          <w:kern w:val="0"/>
          <w:sz w:val="24"/>
          <w:szCs w:val="24"/>
        </w:rPr>
        <w:t>、PM</w:t>
      </w:r>
      <w:r>
        <w:rPr>
          <w:rFonts w:ascii="Times New Roman" w:hAnsi="Times New Roman"/>
          <w:spacing w:val="-2"/>
          <w:kern w:val="0"/>
          <w:sz w:val="24"/>
          <w:szCs w:val="24"/>
          <w:vertAlign w:val="subscript"/>
        </w:rPr>
        <w:t>2.5</w:t>
      </w:r>
      <w:r>
        <w:rPr>
          <w:rFonts w:ascii="Times New Roman" w:hAnsi="Times New Roman"/>
          <w:spacing w:val="-2"/>
          <w:kern w:val="0"/>
          <w:sz w:val="24"/>
          <w:szCs w:val="24"/>
        </w:rPr>
        <w:t>、SO</w:t>
      </w:r>
      <w:r>
        <w:rPr>
          <w:rFonts w:ascii="Times New Roman" w:hAnsi="Times New Roman"/>
          <w:spacing w:val="-2"/>
          <w:kern w:val="0"/>
          <w:sz w:val="24"/>
          <w:szCs w:val="24"/>
          <w:vertAlign w:val="subscript"/>
        </w:rPr>
        <w:t>2</w:t>
      </w:r>
      <w:r>
        <w:rPr>
          <w:rFonts w:ascii="Times New Roman" w:hAnsi="Times New Roman"/>
          <w:spacing w:val="-2"/>
          <w:kern w:val="0"/>
          <w:sz w:val="24"/>
          <w:szCs w:val="24"/>
        </w:rPr>
        <w:t>、NO</w:t>
      </w:r>
      <w:r>
        <w:rPr>
          <w:rFonts w:ascii="Times New Roman" w:hAnsi="Times New Roman"/>
          <w:spacing w:val="-2"/>
          <w:kern w:val="0"/>
          <w:sz w:val="24"/>
          <w:szCs w:val="24"/>
          <w:vertAlign w:val="subscript"/>
        </w:rPr>
        <w:t>2</w:t>
      </w:r>
      <w:r>
        <w:rPr>
          <w:rFonts w:ascii="Times New Roman" w:hAnsi="Times New Roman"/>
          <w:spacing w:val="-2"/>
          <w:kern w:val="0"/>
          <w:sz w:val="24"/>
          <w:szCs w:val="24"/>
        </w:rPr>
        <w:t>、O</w:t>
      </w:r>
      <w:r>
        <w:rPr>
          <w:rFonts w:ascii="Times New Roman" w:hAnsi="Times New Roman"/>
          <w:spacing w:val="-2"/>
          <w:kern w:val="0"/>
          <w:sz w:val="24"/>
          <w:szCs w:val="24"/>
          <w:vertAlign w:val="subscript"/>
        </w:rPr>
        <w:t>3</w:t>
      </w:r>
      <w:r>
        <w:rPr>
          <w:rFonts w:ascii="Times New Roman" w:hAnsi="Times New Roman"/>
          <w:spacing w:val="-2"/>
          <w:kern w:val="0"/>
          <w:sz w:val="24"/>
          <w:szCs w:val="24"/>
        </w:rPr>
        <w:t>、CO全部达到《环境空气质量标准》（GB3095-2012）二级标准，项目区域属达标区。</w:t>
      </w:r>
    </w:p>
    <w:p w14:paraId="77CF568F">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本次在项目生产车间</w:t>
      </w:r>
      <w:r>
        <w:rPr>
          <w:rFonts w:hint="eastAsia" w:ascii="Times New Roman" w:hAnsi="Times New Roman"/>
          <w:spacing w:val="-2"/>
          <w:kern w:val="0"/>
          <w:sz w:val="24"/>
          <w:szCs w:val="24"/>
        </w:rPr>
        <w:t>北面</w:t>
      </w:r>
      <w:r>
        <w:rPr>
          <w:rFonts w:ascii="Times New Roman" w:hAnsi="Times New Roman"/>
          <w:spacing w:val="-2"/>
          <w:kern w:val="0"/>
          <w:sz w:val="24"/>
          <w:szCs w:val="24"/>
        </w:rPr>
        <w:t>设1个大气环境质量现状监测点，监测因子为TSP。监测结果表明，各测点TSP 24小时平均浓度值均满足《环境空气质量标准》（GB3095-2012）二级标准要求。</w:t>
      </w:r>
    </w:p>
    <w:bookmarkEnd w:id="154"/>
    <w:bookmarkEnd w:id="155"/>
    <w:bookmarkEnd w:id="156"/>
    <w:bookmarkEnd w:id="157"/>
    <w:bookmarkEnd w:id="158"/>
    <w:bookmarkEnd w:id="159"/>
    <w:bookmarkEnd w:id="160"/>
    <w:bookmarkEnd w:id="161"/>
    <w:bookmarkEnd w:id="162"/>
    <w:bookmarkEnd w:id="163"/>
    <w:bookmarkEnd w:id="164"/>
    <w:p w14:paraId="6838A841">
      <w:pPr>
        <w:pStyle w:val="5"/>
        <w:numPr>
          <w:ilvl w:val="1"/>
          <w:numId w:val="3"/>
        </w:numPr>
      </w:pPr>
      <w:bookmarkStart w:id="165" w:name="_Toc1206"/>
      <w:r>
        <w:rPr>
          <w:rFonts w:hint="eastAsia"/>
        </w:rPr>
        <w:t>海洋</w:t>
      </w:r>
      <w:r>
        <w:t>环境质量现状调查与评价</w:t>
      </w:r>
      <w:bookmarkEnd w:id="165"/>
    </w:p>
    <w:p w14:paraId="609BACA3">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根据广西壮族自治区海洋环境监测中心站2024年10月对广西近岸海域水质状况的调查，10月广西近岸海域水质为一般。17个自动监测站中，水质优良（第一、二类水质）站位共13个，占比76.47%，同比上升5.88个百分点；第三类水质站位1个，占比5.88%，同比上升5.88个百分点；第四类水质站位共3个，占比17.65%，同比持平；无劣四类水质站位，同比下降11.76个百分点。</w:t>
      </w:r>
    </w:p>
    <w:p w14:paraId="4F3AE00D">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项目污水依托大榄坪污水处理厂进一步处理，大榄坪污水处理厂深海排放点所在海域为海域水质自动监测站GX06号站位。2023年10相比，钦州市GX06站位（茅尾海中部海域）水质由劣四类上升为第三类；2024年9月相比，钦州市GX06站位（茅尾海中部海域）水质由第四类上升为第三类。2024年大榄坪污水处理厂深海排放点区域海水枯平丰水期各监测因子均达到《海水水质标准》（GB3097-1997）第四类标准。</w:t>
      </w:r>
    </w:p>
    <w:p w14:paraId="20B22FB6">
      <w:pPr>
        <w:pStyle w:val="5"/>
        <w:numPr>
          <w:ilvl w:val="1"/>
          <w:numId w:val="3"/>
        </w:numPr>
      </w:pPr>
      <w:bookmarkStart w:id="166" w:name="_Toc10486"/>
      <w:bookmarkStart w:id="167" w:name="_Toc434426552"/>
      <w:r>
        <w:t>地下水环境质量现状调查与评价</w:t>
      </w:r>
      <w:bookmarkEnd w:id="166"/>
      <w:bookmarkEnd w:id="167"/>
    </w:p>
    <w:p w14:paraId="6EDD1C8D">
      <w:pPr>
        <w:pStyle w:val="6"/>
        <w:numPr>
          <w:ilvl w:val="2"/>
          <w:numId w:val="3"/>
        </w:numPr>
      </w:pPr>
      <w:r>
        <w:t>监测布点</w:t>
      </w:r>
    </w:p>
    <w:p w14:paraId="339D3958">
      <w:pPr>
        <w:spacing w:line="360" w:lineRule="auto"/>
        <w:ind w:firstLine="521" w:firstLineChars="221"/>
        <w:rPr>
          <w:rFonts w:ascii="Times New Roman" w:hAnsi="Times New Roman"/>
          <w:spacing w:val="-2"/>
          <w:kern w:val="0"/>
          <w:sz w:val="24"/>
          <w:szCs w:val="20"/>
        </w:rPr>
      </w:pPr>
      <w:r>
        <w:rPr>
          <w:rFonts w:ascii="Times New Roman" w:hAnsi="Times New Roman"/>
          <w:spacing w:val="-2"/>
          <w:kern w:val="0"/>
          <w:sz w:val="24"/>
          <w:szCs w:val="20"/>
        </w:rPr>
        <w:t>为了解本项目区域范围内地下水环境质量现状，项目周围环境敏感点情况结合地下水走向，地下水环境质量监测共设置6个地下水监测点，其中3个水质、水位监测点，3个水位监测点，位置见表3.</w:t>
      </w:r>
      <w:r>
        <w:rPr>
          <w:rFonts w:hint="eastAsia" w:ascii="Times New Roman" w:hAnsi="Times New Roman"/>
          <w:spacing w:val="-2"/>
          <w:kern w:val="0"/>
          <w:sz w:val="24"/>
          <w:szCs w:val="20"/>
        </w:rPr>
        <w:t>5</w:t>
      </w:r>
      <w:r>
        <w:rPr>
          <w:rFonts w:ascii="Times New Roman" w:hAnsi="Times New Roman"/>
          <w:spacing w:val="-2"/>
          <w:kern w:val="0"/>
          <w:sz w:val="24"/>
          <w:szCs w:val="20"/>
        </w:rPr>
        <w:t>-1和附图</w:t>
      </w:r>
      <w:r>
        <w:rPr>
          <w:rFonts w:hint="eastAsia" w:ascii="Times New Roman" w:hAnsi="Times New Roman"/>
          <w:spacing w:val="-2"/>
          <w:kern w:val="0"/>
          <w:sz w:val="24"/>
          <w:szCs w:val="20"/>
        </w:rPr>
        <w:t>4</w:t>
      </w:r>
      <w:r>
        <w:rPr>
          <w:rFonts w:ascii="Times New Roman" w:hAnsi="Times New Roman"/>
          <w:spacing w:val="-2"/>
          <w:kern w:val="0"/>
          <w:sz w:val="24"/>
          <w:szCs w:val="20"/>
        </w:rPr>
        <w:t>。</w:t>
      </w:r>
    </w:p>
    <w:p w14:paraId="31ADC301">
      <w:pPr>
        <w:pStyle w:val="8"/>
        <w:numPr>
          <w:ilvl w:val="4"/>
          <w:numId w:val="3"/>
        </w:numPr>
        <w:rPr>
          <w:sz w:val="24"/>
          <w:szCs w:val="24"/>
        </w:rPr>
      </w:pPr>
      <w:r>
        <w:rPr>
          <w:sz w:val="24"/>
          <w:szCs w:val="24"/>
        </w:rPr>
        <w:t>地下水环境现状调查布点</w:t>
      </w:r>
    </w:p>
    <w:tbl>
      <w:tblPr>
        <w:tblStyle w:val="88"/>
        <w:tblW w:w="928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409"/>
        <w:gridCol w:w="1134"/>
        <w:gridCol w:w="1701"/>
        <w:gridCol w:w="1418"/>
        <w:gridCol w:w="1648"/>
      </w:tblGrid>
      <w:tr w14:paraId="0BA160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trPr>
        <w:tc>
          <w:tcPr>
            <w:tcW w:w="978" w:type="dxa"/>
            <w:shd w:val="clear" w:color="auto" w:fill="auto"/>
            <w:vAlign w:val="center"/>
          </w:tcPr>
          <w:p w14:paraId="721ED5A0">
            <w:pPr>
              <w:jc w:val="center"/>
              <w:rPr>
                <w:rFonts w:ascii="Times New Roman" w:hAnsi="Times New Roman"/>
                <w:b/>
                <w:bCs/>
              </w:rPr>
            </w:pPr>
            <w:r>
              <w:rPr>
                <w:rFonts w:ascii="Times New Roman" w:hAnsi="Times New Roman"/>
                <w:b/>
                <w:bCs/>
              </w:rPr>
              <w:t>序号</w:t>
            </w:r>
          </w:p>
        </w:tc>
        <w:tc>
          <w:tcPr>
            <w:tcW w:w="2409" w:type="dxa"/>
            <w:shd w:val="clear" w:color="auto" w:fill="auto"/>
            <w:vAlign w:val="center"/>
          </w:tcPr>
          <w:p w14:paraId="23F65A48">
            <w:pPr>
              <w:jc w:val="center"/>
              <w:rPr>
                <w:rFonts w:ascii="Times New Roman" w:hAnsi="Times New Roman"/>
                <w:b/>
                <w:bCs/>
              </w:rPr>
            </w:pPr>
            <w:r>
              <w:rPr>
                <w:rFonts w:ascii="Times New Roman" w:hAnsi="Times New Roman"/>
                <w:b/>
                <w:bCs/>
              </w:rPr>
              <w:t>采样点名称</w:t>
            </w:r>
          </w:p>
        </w:tc>
        <w:tc>
          <w:tcPr>
            <w:tcW w:w="1134" w:type="dxa"/>
            <w:shd w:val="clear" w:color="auto" w:fill="auto"/>
            <w:vAlign w:val="center"/>
          </w:tcPr>
          <w:p w14:paraId="3CF23913">
            <w:pPr>
              <w:jc w:val="center"/>
              <w:rPr>
                <w:rFonts w:ascii="Times New Roman" w:hAnsi="Times New Roman"/>
                <w:b/>
                <w:bCs/>
              </w:rPr>
            </w:pPr>
            <w:r>
              <w:rPr>
                <w:rFonts w:ascii="Times New Roman" w:hAnsi="Times New Roman"/>
                <w:b/>
                <w:bCs/>
              </w:rPr>
              <w:t>属性</w:t>
            </w:r>
          </w:p>
        </w:tc>
        <w:tc>
          <w:tcPr>
            <w:tcW w:w="1701" w:type="dxa"/>
            <w:shd w:val="clear" w:color="auto" w:fill="auto"/>
            <w:vAlign w:val="center"/>
          </w:tcPr>
          <w:p w14:paraId="33845B3B">
            <w:pPr>
              <w:jc w:val="center"/>
              <w:rPr>
                <w:rFonts w:ascii="Times New Roman" w:hAnsi="Times New Roman"/>
                <w:b/>
                <w:bCs/>
              </w:rPr>
            </w:pPr>
            <w:r>
              <w:rPr>
                <w:rFonts w:ascii="Times New Roman" w:hAnsi="Times New Roman"/>
                <w:b/>
                <w:bCs/>
              </w:rPr>
              <w:t>与项目的相对位置/距离</w:t>
            </w:r>
          </w:p>
        </w:tc>
        <w:tc>
          <w:tcPr>
            <w:tcW w:w="1418" w:type="dxa"/>
            <w:shd w:val="clear" w:color="auto" w:fill="auto"/>
            <w:vAlign w:val="center"/>
          </w:tcPr>
          <w:p w14:paraId="77ACAB4A">
            <w:pPr>
              <w:jc w:val="center"/>
              <w:rPr>
                <w:rFonts w:ascii="Times New Roman" w:hAnsi="Times New Roman"/>
                <w:b/>
                <w:bCs/>
              </w:rPr>
            </w:pPr>
            <w:r>
              <w:rPr>
                <w:rFonts w:ascii="Times New Roman" w:hAnsi="Times New Roman"/>
                <w:b/>
                <w:bCs/>
              </w:rPr>
              <w:t>上下游关系</w:t>
            </w:r>
          </w:p>
        </w:tc>
        <w:tc>
          <w:tcPr>
            <w:tcW w:w="1648" w:type="dxa"/>
            <w:shd w:val="clear" w:color="auto" w:fill="auto"/>
            <w:vAlign w:val="center"/>
          </w:tcPr>
          <w:p w14:paraId="36343350">
            <w:pPr>
              <w:jc w:val="center"/>
              <w:rPr>
                <w:rFonts w:ascii="Times New Roman" w:hAnsi="Times New Roman"/>
                <w:b/>
                <w:bCs/>
              </w:rPr>
            </w:pPr>
            <w:r>
              <w:rPr>
                <w:rFonts w:ascii="Times New Roman" w:hAnsi="Times New Roman"/>
                <w:b/>
                <w:bCs/>
              </w:rPr>
              <w:t>监测项目</w:t>
            </w:r>
          </w:p>
        </w:tc>
      </w:tr>
      <w:tr w14:paraId="1ADB7B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78" w:type="dxa"/>
            <w:shd w:val="clear" w:color="auto" w:fill="auto"/>
            <w:vAlign w:val="center"/>
          </w:tcPr>
          <w:p w14:paraId="4903B3EF">
            <w:pPr>
              <w:jc w:val="center"/>
              <w:rPr>
                <w:rFonts w:ascii="Times New Roman" w:hAnsi="Times New Roman"/>
              </w:rPr>
            </w:pPr>
            <w:r>
              <w:rPr>
                <w:rFonts w:ascii="Times New Roman" w:hAnsi="Times New Roman"/>
              </w:rPr>
              <w:t>UW1</w:t>
            </w:r>
          </w:p>
        </w:tc>
        <w:tc>
          <w:tcPr>
            <w:tcW w:w="2409" w:type="dxa"/>
            <w:shd w:val="clear" w:color="auto" w:fill="auto"/>
            <w:vAlign w:val="center"/>
          </w:tcPr>
          <w:p w14:paraId="2E1AB64F">
            <w:pPr>
              <w:jc w:val="center"/>
              <w:rPr>
                <w:rFonts w:ascii="Times New Roman" w:hAnsi="Times New Roman"/>
              </w:rPr>
            </w:pPr>
            <w:r>
              <w:rPr>
                <w:rFonts w:ascii="Times New Roman" w:hAnsi="Times New Roman"/>
                <w:szCs w:val="21"/>
              </w:rPr>
              <w:t>项目所在地</w:t>
            </w:r>
          </w:p>
        </w:tc>
        <w:tc>
          <w:tcPr>
            <w:tcW w:w="1134" w:type="dxa"/>
            <w:shd w:val="clear" w:color="auto" w:fill="auto"/>
            <w:vAlign w:val="center"/>
          </w:tcPr>
          <w:p w14:paraId="51D0D069">
            <w:pPr>
              <w:jc w:val="center"/>
              <w:rPr>
                <w:rFonts w:ascii="Times New Roman" w:hAnsi="Times New Roman"/>
              </w:rPr>
            </w:pPr>
            <w:r>
              <w:rPr>
                <w:rFonts w:ascii="Times New Roman" w:hAnsi="Times New Roman"/>
              </w:rPr>
              <w:t>/</w:t>
            </w:r>
          </w:p>
        </w:tc>
        <w:tc>
          <w:tcPr>
            <w:tcW w:w="1701" w:type="dxa"/>
            <w:shd w:val="clear" w:color="auto" w:fill="auto"/>
            <w:vAlign w:val="center"/>
          </w:tcPr>
          <w:p w14:paraId="52D83292">
            <w:pPr>
              <w:jc w:val="center"/>
              <w:rPr>
                <w:rFonts w:ascii="Times New Roman" w:hAnsi="Times New Roman"/>
              </w:rPr>
            </w:pPr>
            <w:r>
              <w:rPr>
                <w:rFonts w:ascii="Times New Roman" w:hAnsi="Times New Roman"/>
              </w:rPr>
              <w:t>/</w:t>
            </w:r>
          </w:p>
        </w:tc>
        <w:tc>
          <w:tcPr>
            <w:tcW w:w="1418" w:type="dxa"/>
            <w:shd w:val="clear" w:color="auto" w:fill="auto"/>
            <w:vAlign w:val="center"/>
          </w:tcPr>
          <w:p w14:paraId="4B18F07E">
            <w:pPr>
              <w:jc w:val="center"/>
              <w:rPr>
                <w:rFonts w:ascii="Times New Roman" w:hAnsi="Times New Roman"/>
              </w:rPr>
            </w:pPr>
            <w:r>
              <w:rPr>
                <w:rFonts w:ascii="Times New Roman" w:hAnsi="Times New Roman"/>
              </w:rPr>
              <w:t>/</w:t>
            </w:r>
          </w:p>
        </w:tc>
        <w:tc>
          <w:tcPr>
            <w:tcW w:w="1648" w:type="dxa"/>
            <w:shd w:val="clear" w:color="auto" w:fill="auto"/>
            <w:vAlign w:val="center"/>
          </w:tcPr>
          <w:p w14:paraId="16CEE95E">
            <w:pPr>
              <w:jc w:val="center"/>
              <w:rPr>
                <w:rFonts w:ascii="Times New Roman" w:hAnsi="Times New Roman"/>
              </w:rPr>
            </w:pPr>
            <w:r>
              <w:rPr>
                <w:rFonts w:ascii="Times New Roman" w:hAnsi="Times New Roman"/>
              </w:rPr>
              <w:t>水质、水位</w:t>
            </w:r>
          </w:p>
        </w:tc>
      </w:tr>
      <w:tr w14:paraId="7BF00A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78" w:type="dxa"/>
            <w:shd w:val="clear" w:color="auto" w:fill="auto"/>
            <w:vAlign w:val="center"/>
          </w:tcPr>
          <w:p w14:paraId="71210B6C">
            <w:pPr>
              <w:jc w:val="center"/>
              <w:rPr>
                <w:rFonts w:ascii="Times New Roman" w:hAnsi="Times New Roman"/>
              </w:rPr>
            </w:pPr>
            <w:r>
              <w:rPr>
                <w:rFonts w:ascii="Times New Roman" w:hAnsi="Times New Roman"/>
              </w:rPr>
              <w:t>UW2</w:t>
            </w:r>
          </w:p>
        </w:tc>
        <w:tc>
          <w:tcPr>
            <w:tcW w:w="2409" w:type="dxa"/>
            <w:shd w:val="clear" w:color="auto" w:fill="auto"/>
            <w:vAlign w:val="center"/>
          </w:tcPr>
          <w:p w14:paraId="1BC01796">
            <w:pPr>
              <w:jc w:val="center"/>
              <w:rPr>
                <w:rFonts w:ascii="Times New Roman" w:hAnsi="Times New Roman"/>
              </w:rPr>
            </w:pPr>
            <w:r>
              <w:rPr>
                <w:rFonts w:ascii="Times New Roman" w:hAnsi="Times New Roman"/>
                <w:szCs w:val="21"/>
              </w:rPr>
              <w:t>港区七大街东段北侧（棉纺产业园北）</w:t>
            </w:r>
          </w:p>
        </w:tc>
        <w:tc>
          <w:tcPr>
            <w:tcW w:w="1134" w:type="dxa"/>
            <w:shd w:val="clear" w:color="auto" w:fill="auto"/>
            <w:vAlign w:val="center"/>
          </w:tcPr>
          <w:p w14:paraId="335597F4">
            <w:pPr>
              <w:jc w:val="center"/>
              <w:rPr>
                <w:rFonts w:ascii="Times New Roman" w:hAnsi="Times New Roman"/>
              </w:rPr>
            </w:pPr>
            <w:r>
              <w:rPr>
                <w:rFonts w:ascii="Times New Roman" w:hAnsi="Times New Roman"/>
              </w:rPr>
              <w:t>生产物流混合用地</w:t>
            </w:r>
          </w:p>
        </w:tc>
        <w:tc>
          <w:tcPr>
            <w:tcW w:w="1701" w:type="dxa"/>
            <w:shd w:val="clear" w:color="auto" w:fill="auto"/>
            <w:vAlign w:val="center"/>
          </w:tcPr>
          <w:p w14:paraId="75B349E6">
            <w:pPr>
              <w:jc w:val="center"/>
              <w:rPr>
                <w:rFonts w:ascii="Times New Roman" w:hAnsi="Times New Roman"/>
              </w:rPr>
            </w:pPr>
            <w:r>
              <w:rPr>
                <w:rFonts w:ascii="Times New Roman" w:hAnsi="Times New Roman"/>
              </w:rPr>
              <w:t>北面/750m</w:t>
            </w:r>
          </w:p>
        </w:tc>
        <w:tc>
          <w:tcPr>
            <w:tcW w:w="1418" w:type="dxa"/>
            <w:shd w:val="clear" w:color="auto" w:fill="auto"/>
            <w:vAlign w:val="center"/>
          </w:tcPr>
          <w:p w14:paraId="7A26E9B9">
            <w:pPr>
              <w:jc w:val="center"/>
              <w:rPr>
                <w:rFonts w:ascii="Times New Roman" w:hAnsi="Times New Roman"/>
              </w:rPr>
            </w:pPr>
            <w:r>
              <w:rPr>
                <w:rFonts w:ascii="Times New Roman" w:hAnsi="Times New Roman"/>
              </w:rPr>
              <w:t>上游</w:t>
            </w:r>
          </w:p>
        </w:tc>
        <w:tc>
          <w:tcPr>
            <w:tcW w:w="1648" w:type="dxa"/>
            <w:shd w:val="clear" w:color="auto" w:fill="auto"/>
            <w:vAlign w:val="center"/>
          </w:tcPr>
          <w:p w14:paraId="41E15113">
            <w:pPr>
              <w:jc w:val="center"/>
              <w:rPr>
                <w:rFonts w:ascii="Times New Roman" w:hAnsi="Times New Roman"/>
              </w:rPr>
            </w:pPr>
            <w:r>
              <w:rPr>
                <w:rFonts w:ascii="Times New Roman" w:hAnsi="Times New Roman"/>
              </w:rPr>
              <w:t>水质、水位</w:t>
            </w:r>
          </w:p>
        </w:tc>
      </w:tr>
      <w:tr w14:paraId="6868A1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78" w:type="dxa"/>
            <w:shd w:val="clear" w:color="auto" w:fill="auto"/>
          </w:tcPr>
          <w:p w14:paraId="42DF71A6">
            <w:pPr>
              <w:jc w:val="center"/>
              <w:rPr>
                <w:rFonts w:ascii="Times New Roman" w:hAnsi="Times New Roman"/>
              </w:rPr>
            </w:pPr>
            <w:r>
              <w:rPr>
                <w:rFonts w:ascii="Times New Roman" w:hAnsi="Times New Roman"/>
              </w:rPr>
              <w:t>UW3</w:t>
            </w:r>
          </w:p>
        </w:tc>
        <w:tc>
          <w:tcPr>
            <w:tcW w:w="2409" w:type="dxa"/>
            <w:shd w:val="clear" w:color="auto" w:fill="auto"/>
            <w:vAlign w:val="center"/>
          </w:tcPr>
          <w:p w14:paraId="1117C174">
            <w:pPr>
              <w:jc w:val="center"/>
              <w:rPr>
                <w:rFonts w:ascii="Times New Roman" w:hAnsi="Times New Roman"/>
              </w:rPr>
            </w:pPr>
            <w:r>
              <w:rPr>
                <w:rFonts w:ascii="Times New Roman" w:hAnsi="Times New Roman"/>
                <w:szCs w:val="21"/>
              </w:rPr>
              <w:t>港区十一大街中段北侧（侨益物流西）</w:t>
            </w:r>
          </w:p>
        </w:tc>
        <w:tc>
          <w:tcPr>
            <w:tcW w:w="1134" w:type="dxa"/>
            <w:shd w:val="clear" w:color="auto" w:fill="auto"/>
            <w:vAlign w:val="center"/>
          </w:tcPr>
          <w:p w14:paraId="576531F1">
            <w:pPr>
              <w:jc w:val="center"/>
              <w:rPr>
                <w:rFonts w:ascii="Times New Roman" w:hAnsi="Times New Roman"/>
              </w:rPr>
            </w:pPr>
            <w:r>
              <w:rPr>
                <w:rFonts w:ascii="Times New Roman" w:hAnsi="Times New Roman"/>
              </w:rPr>
              <w:t>物流仓储用地</w:t>
            </w:r>
          </w:p>
        </w:tc>
        <w:tc>
          <w:tcPr>
            <w:tcW w:w="1701" w:type="dxa"/>
            <w:shd w:val="clear" w:color="auto" w:fill="auto"/>
            <w:vAlign w:val="center"/>
          </w:tcPr>
          <w:p w14:paraId="6039CA3C">
            <w:pPr>
              <w:jc w:val="center"/>
              <w:rPr>
                <w:rFonts w:ascii="Times New Roman" w:hAnsi="Times New Roman"/>
              </w:rPr>
            </w:pPr>
            <w:r>
              <w:rPr>
                <w:rFonts w:ascii="Times New Roman" w:hAnsi="Times New Roman"/>
              </w:rPr>
              <w:t>东南面/570m</w:t>
            </w:r>
          </w:p>
        </w:tc>
        <w:tc>
          <w:tcPr>
            <w:tcW w:w="1418" w:type="dxa"/>
            <w:shd w:val="clear" w:color="auto" w:fill="auto"/>
            <w:vAlign w:val="center"/>
          </w:tcPr>
          <w:p w14:paraId="241037EA">
            <w:pPr>
              <w:jc w:val="center"/>
              <w:rPr>
                <w:rFonts w:ascii="Times New Roman" w:hAnsi="Times New Roman"/>
              </w:rPr>
            </w:pPr>
            <w:r>
              <w:rPr>
                <w:rFonts w:ascii="Times New Roman" w:hAnsi="Times New Roman"/>
              </w:rPr>
              <w:t>下游</w:t>
            </w:r>
          </w:p>
        </w:tc>
        <w:tc>
          <w:tcPr>
            <w:tcW w:w="1648" w:type="dxa"/>
            <w:shd w:val="clear" w:color="auto" w:fill="auto"/>
            <w:vAlign w:val="center"/>
          </w:tcPr>
          <w:p w14:paraId="1D3DD6DD">
            <w:pPr>
              <w:jc w:val="center"/>
              <w:rPr>
                <w:rFonts w:ascii="Times New Roman" w:hAnsi="Times New Roman"/>
              </w:rPr>
            </w:pPr>
            <w:r>
              <w:rPr>
                <w:rFonts w:ascii="Times New Roman" w:hAnsi="Times New Roman"/>
              </w:rPr>
              <w:t>水质、水位</w:t>
            </w:r>
          </w:p>
        </w:tc>
      </w:tr>
      <w:tr w14:paraId="32C4E2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78" w:type="dxa"/>
            <w:shd w:val="clear" w:color="auto" w:fill="auto"/>
          </w:tcPr>
          <w:p w14:paraId="11037F20">
            <w:pPr>
              <w:jc w:val="center"/>
              <w:rPr>
                <w:rFonts w:ascii="Times New Roman" w:hAnsi="Times New Roman"/>
              </w:rPr>
            </w:pPr>
            <w:r>
              <w:rPr>
                <w:rFonts w:ascii="Times New Roman" w:hAnsi="Times New Roman"/>
              </w:rPr>
              <w:t>UW4</w:t>
            </w:r>
          </w:p>
        </w:tc>
        <w:tc>
          <w:tcPr>
            <w:tcW w:w="2409" w:type="dxa"/>
            <w:shd w:val="clear" w:color="auto" w:fill="auto"/>
            <w:vAlign w:val="center"/>
          </w:tcPr>
          <w:p w14:paraId="4E309849">
            <w:pPr>
              <w:jc w:val="center"/>
              <w:rPr>
                <w:rFonts w:ascii="Times New Roman" w:hAnsi="Times New Roman"/>
              </w:rPr>
            </w:pPr>
            <w:r>
              <w:rPr>
                <w:rFonts w:ascii="Times New Roman" w:hAnsi="Times New Roman"/>
                <w:szCs w:val="21"/>
              </w:rPr>
              <w:t>中石油420库区南侧</w:t>
            </w:r>
          </w:p>
        </w:tc>
        <w:tc>
          <w:tcPr>
            <w:tcW w:w="1134" w:type="dxa"/>
            <w:shd w:val="clear" w:color="auto" w:fill="auto"/>
            <w:vAlign w:val="center"/>
          </w:tcPr>
          <w:p w14:paraId="394F020F">
            <w:pPr>
              <w:jc w:val="center"/>
              <w:rPr>
                <w:rFonts w:ascii="Times New Roman" w:hAnsi="Times New Roman"/>
              </w:rPr>
            </w:pPr>
            <w:r>
              <w:rPr>
                <w:rFonts w:ascii="Times New Roman" w:hAnsi="Times New Roman"/>
              </w:rPr>
              <w:t>物流仓储用地</w:t>
            </w:r>
          </w:p>
        </w:tc>
        <w:tc>
          <w:tcPr>
            <w:tcW w:w="1701" w:type="dxa"/>
            <w:shd w:val="clear" w:color="auto" w:fill="auto"/>
            <w:vAlign w:val="center"/>
          </w:tcPr>
          <w:p w14:paraId="270ED59D">
            <w:pPr>
              <w:jc w:val="center"/>
              <w:rPr>
                <w:rFonts w:ascii="Times New Roman" w:hAnsi="Times New Roman"/>
              </w:rPr>
            </w:pPr>
            <w:r>
              <w:rPr>
                <w:rFonts w:ascii="Times New Roman" w:hAnsi="Times New Roman"/>
              </w:rPr>
              <w:t>西北面/1050m</w:t>
            </w:r>
          </w:p>
        </w:tc>
        <w:tc>
          <w:tcPr>
            <w:tcW w:w="1418" w:type="dxa"/>
            <w:shd w:val="clear" w:color="auto" w:fill="auto"/>
            <w:vAlign w:val="center"/>
          </w:tcPr>
          <w:p w14:paraId="7F25AB8B">
            <w:pPr>
              <w:jc w:val="center"/>
              <w:rPr>
                <w:rFonts w:ascii="Times New Roman" w:hAnsi="Times New Roman"/>
              </w:rPr>
            </w:pPr>
            <w:r>
              <w:rPr>
                <w:rFonts w:hint="eastAsia" w:ascii="Times New Roman" w:hAnsi="Times New Roman"/>
              </w:rPr>
              <w:t>上游</w:t>
            </w:r>
          </w:p>
        </w:tc>
        <w:tc>
          <w:tcPr>
            <w:tcW w:w="1648" w:type="dxa"/>
            <w:shd w:val="clear" w:color="auto" w:fill="auto"/>
            <w:vAlign w:val="center"/>
          </w:tcPr>
          <w:p w14:paraId="6332E696">
            <w:pPr>
              <w:jc w:val="center"/>
              <w:rPr>
                <w:rFonts w:ascii="Times New Roman" w:hAnsi="Times New Roman"/>
              </w:rPr>
            </w:pPr>
            <w:r>
              <w:rPr>
                <w:rFonts w:ascii="Times New Roman" w:hAnsi="Times New Roman"/>
              </w:rPr>
              <w:t>水位</w:t>
            </w:r>
          </w:p>
        </w:tc>
      </w:tr>
      <w:tr w14:paraId="0D6EF9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78" w:type="dxa"/>
            <w:shd w:val="clear" w:color="auto" w:fill="auto"/>
          </w:tcPr>
          <w:p w14:paraId="462BA88D">
            <w:pPr>
              <w:jc w:val="center"/>
              <w:rPr>
                <w:rFonts w:ascii="Times New Roman" w:hAnsi="Times New Roman"/>
              </w:rPr>
            </w:pPr>
            <w:r>
              <w:rPr>
                <w:rFonts w:ascii="Times New Roman" w:hAnsi="Times New Roman"/>
              </w:rPr>
              <w:t>UW5</w:t>
            </w:r>
          </w:p>
        </w:tc>
        <w:tc>
          <w:tcPr>
            <w:tcW w:w="2409" w:type="dxa"/>
            <w:shd w:val="clear" w:color="auto" w:fill="auto"/>
            <w:vAlign w:val="center"/>
          </w:tcPr>
          <w:p w14:paraId="13EE029D">
            <w:pPr>
              <w:jc w:val="center"/>
              <w:rPr>
                <w:rFonts w:ascii="Times New Roman" w:hAnsi="Times New Roman"/>
              </w:rPr>
            </w:pPr>
            <w:r>
              <w:rPr>
                <w:rFonts w:ascii="Times New Roman" w:hAnsi="Times New Roman"/>
                <w:szCs w:val="21"/>
              </w:rPr>
              <w:t>港区八大街中段北侧（宇佳半导体南）</w:t>
            </w:r>
          </w:p>
        </w:tc>
        <w:tc>
          <w:tcPr>
            <w:tcW w:w="1134" w:type="dxa"/>
            <w:shd w:val="clear" w:color="auto" w:fill="auto"/>
            <w:vAlign w:val="center"/>
          </w:tcPr>
          <w:p w14:paraId="2CE70F43">
            <w:pPr>
              <w:jc w:val="center"/>
              <w:rPr>
                <w:rFonts w:ascii="Times New Roman" w:hAnsi="Times New Roman"/>
              </w:rPr>
            </w:pPr>
            <w:bookmarkStart w:id="168" w:name="OLE_LINK3"/>
            <w:r>
              <w:rPr>
                <w:rFonts w:ascii="Times New Roman" w:hAnsi="Times New Roman"/>
              </w:rPr>
              <w:t>物流仓储用地</w:t>
            </w:r>
            <w:bookmarkEnd w:id="168"/>
          </w:p>
        </w:tc>
        <w:tc>
          <w:tcPr>
            <w:tcW w:w="1701" w:type="dxa"/>
            <w:shd w:val="clear" w:color="auto" w:fill="auto"/>
            <w:vAlign w:val="center"/>
          </w:tcPr>
          <w:p w14:paraId="37414918">
            <w:pPr>
              <w:jc w:val="center"/>
              <w:rPr>
                <w:rFonts w:ascii="Times New Roman" w:hAnsi="Times New Roman"/>
              </w:rPr>
            </w:pPr>
            <w:r>
              <w:rPr>
                <w:rFonts w:ascii="Times New Roman" w:hAnsi="Times New Roman"/>
              </w:rPr>
              <w:t>西面/700m</w:t>
            </w:r>
          </w:p>
        </w:tc>
        <w:tc>
          <w:tcPr>
            <w:tcW w:w="1418" w:type="dxa"/>
            <w:shd w:val="clear" w:color="auto" w:fill="auto"/>
            <w:vAlign w:val="center"/>
          </w:tcPr>
          <w:p w14:paraId="5E9DE9B2">
            <w:pPr>
              <w:jc w:val="center"/>
              <w:rPr>
                <w:rFonts w:ascii="Times New Roman" w:hAnsi="Times New Roman"/>
              </w:rPr>
            </w:pPr>
            <w:r>
              <w:rPr>
                <w:rFonts w:hint="eastAsia" w:ascii="Times New Roman" w:hAnsi="Times New Roman"/>
              </w:rPr>
              <w:t>侧方</w:t>
            </w:r>
          </w:p>
        </w:tc>
        <w:tc>
          <w:tcPr>
            <w:tcW w:w="1648" w:type="dxa"/>
            <w:shd w:val="clear" w:color="auto" w:fill="auto"/>
            <w:vAlign w:val="center"/>
          </w:tcPr>
          <w:p w14:paraId="6B1B328B">
            <w:pPr>
              <w:jc w:val="center"/>
              <w:rPr>
                <w:rFonts w:ascii="Times New Roman" w:hAnsi="Times New Roman"/>
              </w:rPr>
            </w:pPr>
            <w:r>
              <w:rPr>
                <w:rFonts w:ascii="Times New Roman" w:hAnsi="Times New Roman"/>
              </w:rPr>
              <w:t>水位</w:t>
            </w:r>
          </w:p>
        </w:tc>
      </w:tr>
      <w:tr w14:paraId="750D08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78" w:type="dxa"/>
            <w:shd w:val="clear" w:color="auto" w:fill="auto"/>
          </w:tcPr>
          <w:p w14:paraId="7561D3E1">
            <w:pPr>
              <w:jc w:val="center"/>
              <w:rPr>
                <w:rFonts w:ascii="Times New Roman" w:hAnsi="Times New Roman"/>
              </w:rPr>
            </w:pPr>
            <w:r>
              <w:rPr>
                <w:rFonts w:ascii="Times New Roman" w:hAnsi="Times New Roman"/>
              </w:rPr>
              <w:t>UW6</w:t>
            </w:r>
          </w:p>
        </w:tc>
        <w:tc>
          <w:tcPr>
            <w:tcW w:w="2409" w:type="dxa"/>
            <w:shd w:val="clear" w:color="auto" w:fill="auto"/>
            <w:vAlign w:val="center"/>
          </w:tcPr>
          <w:p w14:paraId="450A502E">
            <w:pPr>
              <w:jc w:val="center"/>
              <w:rPr>
                <w:rFonts w:ascii="Times New Roman" w:hAnsi="Times New Roman"/>
              </w:rPr>
            </w:pPr>
            <w:r>
              <w:rPr>
                <w:rFonts w:ascii="Times New Roman" w:hAnsi="Times New Roman"/>
                <w:szCs w:val="21"/>
              </w:rPr>
              <w:t>港区十一大街中段南侧（中谷项目北）</w:t>
            </w:r>
          </w:p>
        </w:tc>
        <w:tc>
          <w:tcPr>
            <w:tcW w:w="1134" w:type="dxa"/>
            <w:shd w:val="clear" w:color="auto" w:fill="auto"/>
            <w:vAlign w:val="center"/>
          </w:tcPr>
          <w:p w14:paraId="37B2CEDA">
            <w:pPr>
              <w:jc w:val="center"/>
              <w:rPr>
                <w:rFonts w:ascii="Times New Roman" w:hAnsi="Times New Roman"/>
              </w:rPr>
            </w:pPr>
            <w:r>
              <w:rPr>
                <w:rFonts w:ascii="Times New Roman" w:hAnsi="Times New Roman"/>
              </w:rPr>
              <w:t>物流仓储用地</w:t>
            </w:r>
          </w:p>
        </w:tc>
        <w:tc>
          <w:tcPr>
            <w:tcW w:w="1701" w:type="dxa"/>
            <w:shd w:val="clear" w:color="auto" w:fill="auto"/>
            <w:vAlign w:val="center"/>
          </w:tcPr>
          <w:p w14:paraId="61B64860">
            <w:pPr>
              <w:jc w:val="center"/>
              <w:rPr>
                <w:rFonts w:ascii="Times New Roman" w:hAnsi="Times New Roman"/>
              </w:rPr>
            </w:pPr>
            <w:r>
              <w:rPr>
                <w:rFonts w:ascii="Times New Roman" w:hAnsi="Times New Roman"/>
              </w:rPr>
              <w:t>南面/1100m</w:t>
            </w:r>
          </w:p>
        </w:tc>
        <w:tc>
          <w:tcPr>
            <w:tcW w:w="1418" w:type="dxa"/>
            <w:shd w:val="clear" w:color="auto" w:fill="auto"/>
            <w:vAlign w:val="center"/>
          </w:tcPr>
          <w:p w14:paraId="29037A25">
            <w:pPr>
              <w:jc w:val="center"/>
              <w:rPr>
                <w:rFonts w:ascii="Times New Roman" w:hAnsi="Times New Roman"/>
              </w:rPr>
            </w:pPr>
            <w:r>
              <w:rPr>
                <w:rFonts w:hint="eastAsia" w:ascii="Times New Roman" w:hAnsi="Times New Roman"/>
              </w:rPr>
              <w:t>下</w:t>
            </w:r>
            <w:r>
              <w:rPr>
                <w:rFonts w:ascii="Times New Roman" w:hAnsi="Times New Roman"/>
              </w:rPr>
              <w:t>游</w:t>
            </w:r>
          </w:p>
        </w:tc>
        <w:tc>
          <w:tcPr>
            <w:tcW w:w="1648" w:type="dxa"/>
            <w:shd w:val="clear" w:color="auto" w:fill="auto"/>
            <w:vAlign w:val="center"/>
          </w:tcPr>
          <w:p w14:paraId="0571AD2B">
            <w:pPr>
              <w:jc w:val="center"/>
              <w:rPr>
                <w:rFonts w:ascii="Times New Roman" w:hAnsi="Times New Roman"/>
              </w:rPr>
            </w:pPr>
            <w:r>
              <w:rPr>
                <w:rFonts w:ascii="Times New Roman" w:hAnsi="Times New Roman"/>
              </w:rPr>
              <w:t>水位</w:t>
            </w:r>
          </w:p>
        </w:tc>
      </w:tr>
    </w:tbl>
    <w:p w14:paraId="1003C52B">
      <w:pPr>
        <w:spacing w:line="360" w:lineRule="auto"/>
        <w:ind w:firstLine="472" w:firstLineChars="200"/>
        <w:rPr>
          <w:rFonts w:ascii="Times New Roman" w:hAnsi="Times New Roman"/>
          <w:spacing w:val="-2"/>
          <w:kern w:val="0"/>
          <w:sz w:val="24"/>
          <w:szCs w:val="20"/>
        </w:rPr>
      </w:pPr>
    </w:p>
    <w:p w14:paraId="7BAFC4C8">
      <w:pPr>
        <w:pStyle w:val="6"/>
        <w:numPr>
          <w:ilvl w:val="2"/>
          <w:numId w:val="3"/>
        </w:numPr>
      </w:pPr>
      <w:r>
        <w:t>监测因子</w:t>
      </w:r>
    </w:p>
    <w:p w14:paraId="211D1569">
      <w:pPr>
        <w:widowControl/>
        <w:spacing w:line="360" w:lineRule="auto"/>
        <w:ind w:firstLine="531" w:firstLineChars="225"/>
        <w:rPr>
          <w:rFonts w:ascii="Times New Roman" w:hAnsi="Times New Roman"/>
          <w:spacing w:val="-2"/>
          <w:kern w:val="0"/>
          <w:sz w:val="24"/>
          <w:szCs w:val="20"/>
        </w:rPr>
      </w:pPr>
      <w:r>
        <w:rPr>
          <w:rFonts w:ascii="Times New Roman" w:hAnsi="Times New Roman"/>
          <w:spacing w:val="-2"/>
          <w:kern w:val="0"/>
          <w:sz w:val="24"/>
          <w:szCs w:val="20"/>
        </w:rPr>
        <w:t>UW1、UW2、UW3监测八大离子：K</w:t>
      </w:r>
      <w:r>
        <w:rPr>
          <w:rFonts w:ascii="Times New Roman" w:hAnsi="Times New Roman"/>
          <w:spacing w:val="-2"/>
          <w:kern w:val="0"/>
          <w:sz w:val="24"/>
          <w:szCs w:val="20"/>
          <w:vertAlign w:val="superscript"/>
        </w:rPr>
        <w:t>+</w:t>
      </w:r>
      <w:r>
        <w:rPr>
          <w:rFonts w:ascii="Times New Roman" w:hAnsi="Times New Roman"/>
          <w:spacing w:val="-2"/>
          <w:kern w:val="0"/>
          <w:sz w:val="24"/>
          <w:szCs w:val="20"/>
        </w:rPr>
        <w:t>、Na</w:t>
      </w:r>
      <w:r>
        <w:rPr>
          <w:rFonts w:ascii="Times New Roman" w:hAnsi="Times New Roman"/>
          <w:spacing w:val="-2"/>
          <w:kern w:val="0"/>
          <w:sz w:val="24"/>
          <w:szCs w:val="20"/>
          <w:vertAlign w:val="superscript"/>
        </w:rPr>
        <w:t>+</w:t>
      </w:r>
      <w:r>
        <w:rPr>
          <w:rFonts w:ascii="Times New Roman" w:hAnsi="Times New Roman"/>
          <w:spacing w:val="-2"/>
          <w:kern w:val="0"/>
          <w:sz w:val="24"/>
          <w:szCs w:val="20"/>
        </w:rPr>
        <w:t>、Ca</w:t>
      </w:r>
      <w:r>
        <w:rPr>
          <w:rFonts w:ascii="Times New Roman" w:hAnsi="Times New Roman"/>
          <w:spacing w:val="-2"/>
          <w:kern w:val="0"/>
          <w:sz w:val="24"/>
          <w:szCs w:val="20"/>
          <w:vertAlign w:val="superscript"/>
        </w:rPr>
        <w:t>2+</w:t>
      </w:r>
      <w:r>
        <w:rPr>
          <w:rFonts w:ascii="Times New Roman" w:hAnsi="Times New Roman"/>
          <w:spacing w:val="-2"/>
          <w:kern w:val="0"/>
          <w:sz w:val="24"/>
          <w:szCs w:val="20"/>
        </w:rPr>
        <w:t>、Mg</w:t>
      </w:r>
      <w:r>
        <w:rPr>
          <w:rFonts w:ascii="Times New Roman" w:hAnsi="Times New Roman"/>
          <w:spacing w:val="-2"/>
          <w:kern w:val="0"/>
          <w:sz w:val="24"/>
          <w:szCs w:val="20"/>
          <w:vertAlign w:val="superscript"/>
        </w:rPr>
        <w:t>2+</w:t>
      </w:r>
      <w:r>
        <w:rPr>
          <w:rFonts w:ascii="Times New Roman" w:hAnsi="Times New Roman"/>
          <w:spacing w:val="-2"/>
          <w:kern w:val="0"/>
          <w:sz w:val="24"/>
          <w:szCs w:val="20"/>
        </w:rPr>
        <w:t>、CO</w:t>
      </w:r>
      <w:r>
        <w:rPr>
          <w:rFonts w:ascii="Times New Roman" w:hAnsi="Times New Roman"/>
          <w:spacing w:val="-2"/>
          <w:kern w:val="0"/>
          <w:sz w:val="24"/>
          <w:szCs w:val="20"/>
          <w:vertAlign w:val="subscript"/>
        </w:rPr>
        <w:t>3</w:t>
      </w:r>
      <w:r>
        <w:rPr>
          <w:rFonts w:ascii="Times New Roman" w:hAnsi="Times New Roman"/>
          <w:spacing w:val="-2"/>
          <w:kern w:val="0"/>
          <w:sz w:val="24"/>
          <w:szCs w:val="20"/>
          <w:vertAlign w:val="superscript"/>
        </w:rPr>
        <w:t>2-</w:t>
      </w:r>
      <w:r>
        <w:rPr>
          <w:rFonts w:ascii="Times New Roman" w:hAnsi="Times New Roman"/>
          <w:spacing w:val="-2"/>
          <w:kern w:val="0"/>
          <w:sz w:val="24"/>
          <w:szCs w:val="20"/>
        </w:rPr>
        <w:t>、HCO</w:t>
      </w:r>
      <w:r>
        <w:rPr>
          <w:rFonts w:ascii="Times New Roman" w:hAnsi="Times New Roman"/>
          <w:spacing w:val="-2"/>
          <w:kern w:val="0"/>
          <w:sz w:val="24"/>
          <w:szCs w:val="20"/>
          <w:vertAlign w:val="superscript"/>
        </w:rPr>
        <w:t>3-</w:t>
      </w:r>
      <w:r>
        <w:rPr>
          <w:rFonts w:ascii="Times New Roman" w:hAnsi="Times New Roman"/>
          <w:spacing w:val="-2"/>
          <w:kern w:val="0"/>
          <w:sz w:val="24"/>
          <w:szCs w:val="20"/>
        </w:rPr>
        <w:t>、Cl</w:t>
      </w:r>
      <w:r>
        <w:rPr>
          <w:rFonts w:ascii="Times New Roman" w:hAnsi="Times New Roman"/>
          <w:spacing w:val="-2"/>
          <w:kern w:val="0"/>
          <w:sz w:val="24"/>
          <w:szCs w:val="20"/>
          <w:vertAlign w:val="superscript"/>
        </w:rPr>
        <w:t>-</w:t>
      </w:r>
      <w:r>
        <w:rPr>
          <w:rFonts w:ascii="Times New Roman" w:hAnsi="Times New Roman"/>
          <w:spacing w:val="-2"/>
          <w:kern w:val="0"/>
          <w:sz w:val="24"/>
          <w:szCs w:val="20"/>
        </w:rPr>
        <w:t>、SO</w:t>
      </w:r>
      <w:r>
        <w:rPr>
          <w:rFonts w:ascii="Times New Roman" w:hAnsi="Times New Roman"/>
          <w:spacing w:val="-2"/>
          <w:kern w:val="0"/>
          <w:sz w:val="24"/>
          <w:szCs w:val="20"/>
          <w:vertAlign w:val="subscript"/>
        </w:rPr>
        <w:t>4</w:t>
      </w:r>
      <w:r>
        <w:rPr>
          <w:rFonts w:ascii="Times New Roman" w:hAnsi="Times New Roman"/>
          <w:spacing w:val="-2"/>
          <w:kern w:val="0"/>
          <w:sz w:val="24"/>
          <w:szCs w:val="20"/>
          <w:vertAlign w:val="superscript"/>
        </w:rPr>
        <w:t>2-</w:t>
      </w:r>
      <w:r>
        <w:rPr>
          <w:rFonts w:ascii="Times New Roman" w:hAnsi="Times New Roman"/>
          <w:spacing w:val="-2"/>
          <w:kern w:val="0"/>
          <w:sz w:val="24"/>
          <w:szCs w:val="20"/>
        </w:rPr>
        <w:t>。</w:t>
      </w:r>
    </w:p>
    <w:p w14:paraId="73CB0E38">
      <w:pPr>
        <w:widowControl/>
        <w:spacing w:line="360" w:lineRule="auto"/>
        <w:ind w:firstLine="531" w:firstLineChars="225"/>
        <w:rPr>
          <w:rFonts w:ascii="Times New Roman" w:hAnsi="Times New Roman"/>
          <w:spacing w:val="-2"/>
          <w:kern w:val="0"/>
          <w:sz w:val="24"/>
          <w:szCs w:val="20"/>
        </w:rPr>
      </w:pPr>
      <w:r>
        <w:rPr>
          <w:rFonts w:ascii="Times New Roman" w:hAnsi="Times New Roman"/>
          <w:spacing w:val="-2"/>
          <w:kern w:val="0"/>
          <w:sz w:val="24"/>
          <w:szCs w:val="20"/>
        </w:rPr>
        <w:t>UW1、UW2、UW3监测基本因子：pH值、总硬度、高锰酸盐指数（耗氧量）、硝酸盐、亚硝酸盐、氨氮、砷、汞、铅、镉、锌、铜、六价铬、铁、锰。</w:t>
      </w:r>
    </w:p>
    <w:p w14:paraId="4FED7992">
      <w:pPr>
        <w:widowControl/>
        <w:spacing w:line="360" w:lineRule="auto"/>
        <w:ind w:firstLine="531" w:firstLineChars="225"/>
        <w:rPr>
          <w:rFonts w:ascii="Times New Roman" w:hAnsi="Times New Roman"/>
          <w:spacing w:val="-2"/>
          <w:kern w:val="0"/>
          <w:sz w:val="24"/>
          <w:szCs w:val="20"/>
        </w:rPr>
      </w:pPr>
      <w:r>
        <w:rPr>
          <w:rFonts w:ascii="Times New Roman" w:hAnsi="Times New Roman"/>
          <w:spacing w:val="-2"/>
          <w:kern w:val="0"/>
          <w:sz w:val="24"/>
          <w:szCs w:val="20"/>
        </w:rPr>
        <w:t>UW1～UW6监测水位、井深等。</w:t>
      </w:r>
    </w:p>
    <w:p w14:paraId="645DC05C">
      <w:pPr>
        <w:pStyle w:val="6"/>
        <w:numPr>
          <w:ilvl w:val="2"/>
          <w:numId w:val="3"/>
        </w:numPr>
      </w:pPr>
      <w:r>
        <w:t>监测时间及频率</w:t>
      </w:r>
    </w:p>
    <w:p w14:paraId="7BA97FF5">
      <w:pPr>
        <w:widowControl/>
        <w:spacing w:line="360" w:lineRule="auto"/>
        <w:ind w:firstLine="531" w:firstLineChars="225"/>
        <w:rPr>
          <w:rFonts w:ascii="Times New Roman" w:hAnsi="Times New Roman" w:eastAsia="黑体"/>
          <w:b/>
          <w:spacing w:val="-2"/>
          <w:kern w:val="0"/>
          <w:sz w:val="24"/>
          <w:szCs w:val="24"/>
        </w:rPr>
      </w:pPr>
      <w:r>
        <w:rPr>
          <w:rFonts w:ascii="Times New Roman" w:hAnsi="Times New Roman"/>
          <w:spacing w:val="-2"/>
          <w:kern w:val="0"/>
          <w:sz w:val="24"/>
          <w:szCs w:val="24"/>
        </w:rPr>
        <w:t>监测1天，采样时间为2021年11月1日，采样一次。</w:t>
      </w:r>
    </w:p>
    <w:p w14:paraId="309EC17B">
      <w:pPr>
        <w:pStyle w:val="6"/>
        <w:numPr>
          <w:ilvl w:val="2"/>
          <w:numId w:val="3"/>
        </w:numPr>
      </w:pPr>
      <w:r>
        <w:t>监测方法及检出限</w:t>
      </w:r>
    </w:p>
    <w:p w14:paraId="55715FAD">
      <w:pPr>
        <w:spacing w:line="360" w:lineRule="auto"/>
        <w:ind w:firstLine="472" w:firstLineChars="200"/>
        <w:jc w:val="left"/>
        <w:rPr>
          <w:rFonts w:ascii="Times New Roman" w:hAnsi="Times New Roman"/>
          <w:spacing w:val="-2"/>
          <w:kern w:val="0"/>
          <w:sz w:val="24"/>
          <w:szCs w:val="24"/>
        </w:rPr>
      </w:pPr>
      <w:r>
        <w:rPr>
          <w:rFonts w:ascii="Times New Roman" w:hAnsi="Times New Roman"/>
          <w:spacing w:val="-2"/>
          <w:kern w:val="0"/>
          <w:sz w:val="24"/>
          <w:szCs w:val="24"/>
        </w:rPr>
        <w:t>地下水水质监测分析方法按照《地下水环境监测技术规范》（HJ/T164-2004）和《水和废水监测分析方法》（2002版）有关规定进行，方法及检出限见表3.</w:t>
      </w:r>
      <w:r>
        <w:rPr>
          <w:rFonts w:hint="eastAsia" w:ascii="Times New Roman" w:hAnsi="Times New Roman"/>
          <w:spacing w:val="-2"/>
          <w:kern w:val="0"/>
          <w:sz w:val="24"/>
          <w:szCs w:val="24"/>
        </w:rPr>
        <w:t>5</w:t>
      </w:r>
      <w:r>
        <w:rPr>
          <w:rFonts w:ascii="Times New Roman" w:hAnsi="Times New Roman"/>
          <w:spacing w:val="-2"/>
          <w:kern w:val="0"/>
          <w:sz w:val="24"/>
          <w:szCs w:val="24"/>
        </w:rPr>
        <w:t>-2。</w:t>
      </w:r>
    </w:p>
    <w:p w14:paraId="79706170">
      <w:pPr>
        <w:pStyle w:val="8"/>
        <w:numPr>
          <w:ilvl w:val="4"/>
          <w:numId w:val="3"/>
        </w:numPr>
        <w:rPr>
          <w:sz w:val="24"/>
          <w:szCs w:val="24"/>
        </w:rPr>
      </w:pPr>
      <w:r>
        <w:rPr>
          <w:sz w:val="24"/>
          <w:szCs w:val="24"/>
        </w:rPr>
        <w:t>地下水水质分析方法及检出限</w:t>
      </w:r>
    </w:p>
    <w:tbl>
      <w:tblPr>
        <w:tblStyle w:val="88"/>
        <w:tblW w:w="892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94"/>
        <w:gridCol w:w="1134"/>
        <w:gridCol w:w="5670"/>
        <w:gridCol w:w="1428"/>
      </w:tblGrid>
      <w:tr w14:paraId="2FFA96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94" w:type="dxa"/>
            <w:shd w:val="clear" w:color="auto" w:fill="auto"/>
            <w:noWrap/>
            <w:vAlign w:val="center"/>
          </w:tcPr>
          <w:p w14:paraId="6756ED9C">
            <w:pPr>
              <w:widowControl/>
              <w:jc w:val="center"/>
              <w:rPr>
                <w:rFonts w:ascii="Times New Roman" w:hAnsi="Times New Roman"/>
                <w:b/>
                <w:bCs/>
                <w:kern w:val="0"/>
                <w:szCs w:val="21"/>
              </w:rPr>
            </w:pPr>
            <w:r>
              <w:rPr>
                <w:rFonts w:ascii="Times New Roman" w:hAnsi="Times New Roman"/>
                <w:b/>
                <w:bCs/>
                <w:kern w:val="0"/>
                <w:szCs w:val="21"/>
              </w:rPr>
              <w:t>序号</w:t>
            </w:r>
          </w:p>
        </w:tc>
        <w:tc>
          <w:tcPr>
            <w:tcW w:w="1134" w:type="dxa"/>
            <w:shd w:val="clear" w:color="auto" w:fill="auto"/>
            <w:noWrap/>
            <w:vAlign w:val="center"/>
          </w:tcPr>
          <w:p w14:paraId="0CE6777B">
            <w:pPr>
              <w:widowControl/>
              <w:jc w:val="center"/>
              <w:rPr>
                <w:rFonts w:ascii="Times New Roman" w:hAnsi="Times New Roman"/>
                <w:b/>
                <w:bCs/>
                <w:kern w:val="0"/>
                <w:szCs w:val="21"/>
              </w:rPr>
            </w:pPr>
            <w:r>
              <w:rPr>
                <w:rFonts w:ascii="Times New Roman" w:hAnsi="Times New Roman"/>
                <w:b/>
                <w:bCs/>
                <w:kern w:val="0"/>
                <w:szCs w:val="21"/>
              </w:rPr>
              <w:t>项目</w:t>
            </w:r>
          </w:p>
        </w:tc>
        <w:tc>
          <w:tcPr>
            <w:tcW w:w="5670" w:type="dxa"/>
            <w:shd w:val="clear" w:color="auto" w:fill="auto"/>
            <w:noWrap/>
            <w:vAlign w:val="center"/>
          </w:tcPr>
          <w:p w14:paraId="00825C31">
            <w:pPr>
              <w:widowControl/>
              <w:jc w:val="center"/>
              <w:rPr>
                <w:rFonts w:ascii="Times New Roman" w:hAnsi="Times New Roman"/>
                <w:b/>
                <w:bCs/>
                <w:kern w:val="0"/>
                <w:szCs w:val="21"/>
              </w:rPr>
            </w:pPr>
            <w:r>
              <w:rPr>
                <w:rFonts w:ascii="Times New Roman" w:hAnsi="Times New Roman"/>
                <w:b/>
                <w:bCs/>
                <w:kern w:val="0"/>
                <w:szCs w:val="21"/>
              </w:rPr>
              <w:t>监测方法</w:t>
            </w:r>
          </w:p>
        </w:tc>
        <w:tc>
          <w:tcPr>
            <w:tcW w:w="1428" w:type="dxa"/>
            <w:shd w:val="clear" w:color="auto" w:fill="auto"/>
            <w:noWrap/>
            <w:vAlign w:val="center"/>
          </w:tcPr>
          <w:p w14:paraId="24176140">
            <w:pPr>
              <w:widowControl/>
              <w:jc w:val="center"/>
              <w:rPr>
                <w:rFonts w:ascii="Times New Roman" w:hAnsi="Times New Roman"/>
                <w:b/>
                <w:bCs/>
                <w:kern w:val="0"/>
                <w:szCs w:val="21"/>
              </w:rPr>
            </w:pPr>
            <w:r>
              <w:rPr>
                <w:rFonts w:ascii="Times New Roman" w:hAnsi="Times New Roman"/>
                <w:b/>
                <w:bCs/>
                <w:kern w:val="0"/>
                <w:szCs w:val="21"/>
              </w:rPr>
              <w:t>检出限</w:t>
            </w:r>
          </w:p>
        </w:tc>
      </w:tr>
      <w:tr w14:paraId="37639E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4" w:type="dxa"/>
            <w:shd w:val="clear" w:color="auto" w:fill="auto"/>
            <w:noWrap/>
            <w:vAlign w:val="center"/>
          </w:tcPr>
          <w:p w14:paraId="3B6C0E44">
            <w:pPr>
              <w:widowControl/>
              <w:jc w:val="center"/>
              <w:rPr>
                <w:rFonts w:ascii="Times New Roman" w:hAnsi="Times New Roman"/>
                <w:kern w:val="0"/>
                <w:szCs w:val="21"/>
              </w:rPr>
            </w:pPr>
            <w:r>
              <w:rPr>
                <w:rFonts w:ascii="Times New Roman" w:hAnsi="Times New Roman"/>
                <w:kern w:val="0"/>
                <w:szCs w:val="21"/>
              </w:rPr>
              <w:t>1</w:t>
            </w:r>
          </w:p>
        </w:tc>
        <w:tc>
          <w:tcPr>
            <w:tcW w:w="1134" w:type="dxa"/>
            <w:shd w:val="clear" w:color="auto" w:fill="auto"/>
            <w:vAlign w:val="center"/>
          </w:tcPr>
          <w:p w14:paraId="3B6C2886">
            <w:pPr>
              <w:widowControl/>
              <w:jc w:val="center"/>
              <w:rPr>
                <w:rFonts w:ascii="Times New Roman" w:hAnsi="Times New Roman"/>
                <w:kern w:val="0"/>
                <w:szCs w:val="21"/>
              </w:rPr>
            </w:pPr>
            <w:r>
              <w:rPr>
                <w:rFonts w:ascii="Times New Roman" w:hAnsi="Times New Roman"/>
                <w:kern w:val="0"/>
                <w:szCs w:val="21"/>
              </w:rPr>
              <w:t>PH值</w:t>
            </w:r>
          </w:p>
        </w:tc>
        <w:tc>
          <w:tcPr>
            <w:tcW w:w="5670" w:type="dxa"/>
            <w:shd w:val="clear" w:color="auto" w:fill="auto"/>
            <w:vAlign w:val="center"/>
          </w:tcPr>
          <w:p w14:paraId="3F5B685C">
            <w:pPr>
              <w:widowControl/>
              <w:jc w:val="center"/>
              <w:rPr>
                <w:rFonts w:ascii="Times New Roman" w:hAnsi="Times New Roman"/>
                <w:kern w:val="0"/>
                <w:szCs w:val="21"/>
              </w:rPr>
            </w:pPr>
            <w:r>
              <w:rPr>
                <w:rFonts w:ascii="Times New Roman" w:hAnsi="Times New Roman"/>
                <w:kern w:val="0"/>
                <w:szCs w:val="21"/>
              </w:rPr>
              <w:t>水质 pH 值的测定 电极法HJ 1147-2020</w:t>
            </w:r>
          </w:p>
        </w:tc>
        <w:tc>
          <w:tcPr>
            <w:tcW w:w="1428" w:type="dxa"/>
            <w:shd w:val="clear" w:color="auto" w:fill="auto"/>
            <w:vAlign w:val="center"/>
          </w:tcPr>
          <w:p w14:paraId="30BF566F">
            <w:pPr>
              <w:widowControl/>
              <w:jc w:val="center"/>
              <w:rPr>
                <w:rFonts w:ascii="Times New Roman" w:hAnsi="Times New Roman"/>
                <w:kern w:val="0"/>
                <w:szCs w:val="21"/>
              </w:rPr>
            </w:pPr>
            <w:r>
              <w:rPr>
                <w:rFonts w:ascii="Times New Roman" w:hAnsi="Times New Roman"/>
                <w:kern w:val="0"/>
                <w:szCs w:val="21"/>
              </w:rPr>
              <w:t>/</w:t>
            </w:r>
          </w:p>
        </w:tc>
      </w:tr>
      <w:tr w14:paraId="6AF146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4" w:type="dxa"/>
            <w:shd w:val="clear" w:color="auto" w:fill="auto"/>
            <w:noWrap/>
            <w:vAlign w:val="center"/>
          </w:tcPr>
          <w:p w14:paraId="03D63DE1">
            <w:pPr>
              <w:widowControl/>
              <w:jc w:val="center"/>
              <w:rPr>
                <w:rFonts w:ascii="Times New Roman" w:hAnsi="Times New Roman"/>
                <w:kern w:val="0"/>
                <w:szCs w:val="21"/>
              </w:rPr>
            </w:pPr>
            <w:r>
              <w:rPr>
                <w:rFonts w:ascii="Times New Roman" w:hAnsi="Times New Roman"/>
                <w:kern w:val="0"/>
                <w:szCs w:val="21"/>
              </w:rPr>
              <w:t>2</w:t>
            </w:r>
          </w:p>
        </w:tc>
        <w:tc>
          <w:tcPr>
            <w:tcW w:w="1134" w:type="dxa"/>
            <w:shd w:val="clear" w:color="auto" w:fill="auto"/>
            <w:vAlign w:val="center"/>
          </w:tcPr>
          <w:p w14:paraId="4D10938A">
            <w:pPr>
              <w:widowControl/>
              <w:jc w:val="center"/>
              <w:rPr>
                <w:rFonts w:ascii="Times New Roman" w:hAnsi="Times New Roman"/>
                <w:kern w:val="0"/>
                <w:szCs w:val="21"/>
              </w:rPr>
            </w:pPr>
            <w:r>
              <w:rPr>
                <w:rFonts w:ascii="Times New Roman" w:hAnsi="Times New Roman"/>
                <w:kern w:val="0"/>
                <w:szCs w:val="21"/>
              </w:rPr>
              <w:t>总硬度</w:t>
            </w:r>
          </w:p>
        </w:tc>
        <w:tc>
          <w:tcPr>
            <w:tcW w:w="5670" w:type="dxa"/>
            <w:shd w:val="clear" w:color="auto" w:fill="auto"/>
            <w:vAlign w:val="center"/>
          </w:tcPr>
          <w:p w14:paraId="0FF8F4D2">
            <w:pPr>
              <w:widowControl/>
              <w:jc w:val="center"/>
              <w:rPr>
                <w:rFonts w:ascii="Times New Roman" w:hAnsi="Times New Roman"/>
                <w:kern w:val="0"/>
                <w:szCs w:val="21"/>
              </w:rPr>
            </w:pPr>
            <w:r>
              <w:rPr>
                <w:rFonts w:ascii="Times New Roman" w:hAnsi="Times New Roman"/>
                <w:kern w:val="0"/>
                <w:szCs w:val="21"/>
              </w:rPr>
              <w:t>水质 钙和镁总量的测定 EDTA 滴定法 GB 7477-1987</w:t>
            </w:r>
          </w:p>
        </w:tc>
        <w:tc>
          <w:tcPr>
            <w:tcW w:w="1428" w:type="dxa"/>
            <w:shd w:val="clear" w:color="auto" w:fill="auto"/>
            <w:vAlign w:val="center"/>
          </w:tcPr>
          <w:p w14:paraId="5CD4CE0A">
            <w:pPr>
              <w:widowControl/>
              <w:jc w:val="center"/>
              <w:rPr>
                <w:rFonts w:ascii="Times New Roman" w:hAnsi="Times New Roman"/>
                <w:kern w:val="0"/>
                <w:szCs w:val="21"/>
              </w:rPr>
            </w:pPr>
            <w:r>
              <w:rPr>
                <w:rFonts w:ascii="Times New Roman" w:hAnsi="Times New Roman"/>
                <w:kern w:val="0"/>
                <w:szCs w:val="21"/>
              </w:rPr>
              <w:t>0.05mmol/L（5mg/L）</w:t>
            </w:r>
          </w:p>
        </w:tc>
      </w:tr>
      <w:tr w14:paraId="3DF9EF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4" w:type="dxa"/>
            <w:shd w:val="clear" w:color="auto" w:fill="auto"/>
            <w:noWrap/>
            <w:vAlign w:val="center"/>
          </w:tcPr>
          <w:p w14:paraId="4537DE47">
            <w:pPr>
              <w:widowControl/>
              <w:jc w:val="center"/>
              <w:rPr>
                <w:rFonts w:ascii="Times New Roman" w:hAnsi="Times New Roman"/>
                <w:kern w:val="0"/>
                <w:szCs w:val="21"/>
              </w:rPr>
            </w:pPr>
            <w:r>
              <w:rPr>
                <w:rFonts w:ascii="Times New Roman" w:hAnsi="Times New Roman"/>
                <w:kern w:val="0"/>
                <w:szCs w:val="21"/>
              </w:rPr>
              <w:t>3</w:t>
            </w:r>
          </w:p>
        </w:tc>
        <w:tc>
          <w:tcPr>
            <w:tcW w:w="1134" w:type="dxa"/>
            <w:shd w:val="clear" w:color="auto" w:fill="auto"/>
            <w:vAlign w:val="center"/>
          </w:tcPr>
          <w:p w14:paraId="0B5735EB">
            <w:pPr>
              <w:widowControl/>
              <w:jc w:val="center"/>
              <w:rPr>
                <w:rFonts w:ascii="Times New Roman" w:hAnsi="Times New Roman"/>
                <w:kern w:val="0"/>
                <w:szCs w:val="21"/>
              </w:rPr>
            </w:pPr>
            <w:r>
              <w:rPr>
                <w:rFonts w:ascii="Times New Roman" w:hAnsi="Times New Roman"/>
                <w:kern w:val="0"/>
                <w:szCs w:val="21"/>
              </w:rPr>
              <w:t>高锰酸盐指数</w:t>
            </w:r>
          </w:p>
        </w:tc>
        <w:tc>
          <w:tcPr>
            <w:tcW w:w="5670" w:type="dxa"/>
            <w:shd w:val="clear" w:color="auto" w:fill="auto"/>
            <w:vAlign w:val="center"/>
          </w:tcPr>
          <w:p w14:paraId="2BBC2FF8">
            <w:pPr>
              <w:widowControl/>
              <w:jc w:val="center"/>
              <w:rPr>
                <w:rFonts w:ascii="Times New Roman" w:hAnsi="Times New Roman"/>
                <w:kern w:val="0"/>
                <w:szCs w:val="21"/>
              </w:rPr>
            </w:pPr>
            <w:r>
              <w:rPr>
                <w:rFonts w:ascii="Times New Roman" w:hAnsi="Times New Roman"/>
                <w:kern w:val="0"/>
                <w:szCs w:val="21"/>
              </w:rPr>
              <w:t>生活饮用水标准检验方法第7部分：有机物综合指标（4.1酸性高锰酸钾滴定法）GB/T 5750.7-2023</w:t>
            </w:r>
          </w:p>
        </w:tc>
        <w:tc>
          <w:tcPr>
            <w:tcW w:w="1428" w:type="dxa"/>
            <w:shd w:val="clear" w:color="auto" w:fill="auto"/>
            <w:vAlign w:val="center"/>
          </w:tcPr>
          <w:p w14:paraId="6D890E63">
            <w:pPr>
              <w:widowControl/>
              <w:jc w:val="center"/>
              <w:rPr>
                <w:rFonts w:ascii="Times New Roman" w:hAnsi="Times New Roman"/>
                <w:kern w:val="0"/>
                <w:szCs w:val="21"/>
              </w:rPr>
            </w:pPr>
            <w:r>
              <w:rPr>
                <w:rFonts w:ascii="Times New Roman" w:hAnsi="Times New Roman"/>
                <w:kern w:val="0"/>
                <w:szCs w:val="21"/>
              </w:rPr>
              <w:t>0.05mg/L</w:t>
            </w:r>
          </w:p>
        </w:tc>
      </w:tr>
      <w:tr w14:paraId="4FC5E3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4" w:type="dxa"/>
            <w:shd w:val="clear" w:color="auto" w:fill="auto"/>
            <w:noWrap/>
            <w:vAlign w:val="center"/>
          </w:tcPr>
          <w:p w14:paraId="385BD9FE">
            <w:pPr>
              <w:widowControl/>
              <w:jc w:val="center"/>
              <w:rPr>
                <w:rFonts w:ascii="Times New Roman" w:hAnsi="Times New Roman"/>
                <w:kern w:val="0"/>
                <w:szCs w:val="21"/>
              </w:rPr>
            </w:pPr>
            <w:r>
              <w:rPr>
                <w:rFonts w:ascii="Times New Roman" w:hAnsi="Times New Roman"/>
                <w:kern w:val="0"/>
                <w:szCs w:val="21"/>
              </w:rPr>
              <w:t>4</w:t>
            </w:r>
          </w:p>
        </w:tc>
        <w:tc>
          <w:tcPr>
            <w:tcW w:w="1134" w:type="dxa"/>
            <w:shd w:val="clear" w:color="auto" w:fill="auto"/>
            <w:vAlign w:val="center"/>
          </w:tcPr>
          <w:p w14:paraId="36C6AF27">
            <w:pPr>
              <w:widowControl/>
              <w:jc w:val="center"/>
              <w:rPr>
                <w:rFonts w:ascii="Times New Roman" w:hAnsi="Times New Roman"/>
                <w:kern w:val="0"/>
                <w:szCs w:val="21"/>
              </w:rPr>
            </w:pPr>
            <w:r>
              <w:rPr>
                <w:rFonts w:ascii="Times New Roman" w:hAnsi="Times New Roman"/>
                <w:kern w:val="0"/>
                <w:szCs w:val="21"/>
              </w:rPr>
              <w:t>硝酸盐</w:t>
            </w:r>
          </w:p>
        </w:tc>
        <w:tc>
          <w:tcPr>
            <w:tcW w:w="5670" w:type="dxa"/>
            <w:shd w:val="clear" w:color="auto" w:fill="auto"/>
            <w:vAlign w:val="center"/>
          </w:tcPr>
          <w:p w14:paraId="7F3A48C0">
            <w:pPr>
              <w:widowControl/>
              <w:jc w:val="center"/>
              <w:rPr>
                <w:rFonts w:ascii="Times New Roman" w:hAnsi="Times New Roman"/>
                <w:kern w:val="0"/>
                <w:szCs w:val="21"/>
              </w:rPr>
            </w:pPr>
            <w:r>
              <w:rPr>
                <w:rFonts w:ascii="Times New Roman" w:hAnsi="Times New Roman"/>
                <w:kern w:val="0"/>
                <w:szCs w:val="21"/>
              </w:rPr>
              <w:t>水质 硝酸盐氮的测定 紫外分光光度法（试行）HJ/T 346-2007</w:t>
            </w:r>
          </w:p>
        </w:tc>
        <w:tc>
          <w:tcPr>
            <w:tcW w:w="1428" w:type="dxa"/>
            <w:shd w:val="clear" w:color="auto" w:fill="auto"/>
            <w:vAlign w:val="center"/>
          </w:tcPr>
          <w:p w14:paraId="7A05E8EE">
            <w:pPr>
              <w:widowControl/>
              <w:jc w:val="center"/>
              <w:rPr>
                <w:rFonts w:ascii="Times New Roman" w:hAnsi="Times New Roman"/>
                <w:kern w:val="0"/>
                <w:szCs w:val="21"/>
              </w:rPr>
            </w:pPr>
            <w:r>
              <w:rPr>
                <w:rFonts w:ascii="Times New Roman" w:hAnsi="Times New Roman"/>
                <w:kern w:val="0"/>
                <w:szCs w:val="21"/>
              </w:rPr>
              <w:t>0.0</w:t>
            </w:r>
            <w:r>
              <w:rPr>
                <w:rFonts w:hint="eastAsia" w:ascii="Times New Roman" w:hAnsi="Times New Roman"/>
                <w:kern w:val="0"/>
                <w:szCs w:val="21"/>
              </w:rPr>
              <w:t>0</w:t>
            </w:r>
            <w:r>
              <w:rPr>
                <w:rFonts w:ascii="Times New Roman" w:hAnsi="Times New Roman"/>
                <w:kern w:val="0"/>
                <w:szCs w:val="21"/>
              </w:rPr>
              <w:t>8mg/L</w:t>
            </w:r>
          </w:p>
        </w:tc>
      </w:tr>
      <w:tr w14:paraId="2440E6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4" w:type="dxa"/>
            <w:shd w:val="clear" w:color="auto" w:fill="auto"/>
            <w:noWrap/>
            <w:vAlign w:val="center"/>
          </w:tcPr>
          <w:p w14:paraId="75C7CED9">
            <w:pPr>
              <w:widowControl/>
              <w:jc w:val="center"/>
              <w:rPr>
                <w:rFonts w:ascii="Times New Roman" w:hAnsi="Times New Roman"/>
                <w:kern w:val="0"/>
                <w:szCs w:val="21"/>
              </w:rPr>
            </w:pPr>
            <w:r>
              <w:rPr>
                <w:rFonts w:ascii="Times New Roman" w:hAnsi="Times New Roman"/>
                <w:kern w:val="0"/>
                <w:szCs w:val="21"/>
              </w:rPr>
              <w:t>5</w:t>
            </w:r>
          </w:p>
        </w:tc>
        <w:tc>
          <w:tcPr>
            <w:tcW w:w="1134" w:type="dxa"/>
            <w:shd w:val="clear" w:color="auto" w:fill="auto"/>
            <w:vAlign w:val="center"/>
          </w:tcPr>
          <w:p w14:paraId="0D5763A8">
            <w:pPr>
              <w:widowControl/>
              <w:jc w:val="center"/>
              <w:rPr>
                <w:rFonts w:ascii="Times New Roman" w:hAnsi="Times New Roman"/>
                <w:kern w:val="0"/>
                <w:szCs w:val="21"/>
              </w:rPr>
            </w:pPr>
            <w:r>
              <w:rPr>
                <w:rFonts w:ascii="Times New Roman" w:hAnsi="Times New Roman"/>
                <w:kern w:val="0"/>
                <w:szCs w:val="21"/>
              </w:rPr>
              <w:t>亚硝酸盐</w:t>
            </w:r>
          </w:p>
        </w:tc>
        <w:tc>
          <w:tcPr>
            <w:tcW w:w="5670" w:type="dxa"/>
            <w:shd w:val="clear" w:color="auto" w:fill="auto"/>
            <w:vAlign w:val="center"/>
          </w:tcPr>
          <w:p w14:paraId="6C96CB37">
            <w:pPr>
              <w:widowControl/>
              <w:jc w:val="center"/>
              <w:rPr>
                <w:rFonts w:ascii="Times New Roman" w:hAnsi="Times New Roman"/>
                <w:kern w:val="0"/>
                <w:szCs w:val="21"/>
              </w:rPr>
            </w:pPr>
            <w:r>
              <w:rPr>
                <w:rFonts w:ascii="Times New Roman" w:hAnsi="Times New Roman"/>
                <w:kern w:val="0"/>
                <w:szCs w:val="21"/>
              </w:rPr>
              <w:t>水质 亚硝酸盐氮的测定 分光光度法 GB 7493-1987</w:t>
            </w:r>
          </w:p>
        </w:tc>
        <w:tc>
          <w:tcPr>
            <w:tcW w:w="1428" w:type="dxa"/>
            <w:shd w:val="clear" w:color="auto" w:fill="auto"/>
            <w:vAlign w:val="center"/>
          </w:tcPr>
          <w:p w14:paraId="6FFEFD1B">
            <w:pPr>
              <w:widowControl/>
              <w:jc w:val="center"/>
              <w:rPr>
                <w:rFonts w:ascii="Times New Roman" w:hAnsi="Times New Roman"/>
                <w:kern w:val="0"/>
                <w:szCs w:val="21"/>
              </w:rPr>
            </w:pPr>
            <w:r>
              <w:rPr>
                <w:rFonts w:ascii="Times New Roman" w:hAnsi="Times New Roman"/>
                <w:kern w:val="0"/>
                <w:szCs w:val="21"/>
              </w:rPr>
              <w:t>0.003mg/L</w:t>
            </w:r>
          </w:p>
        </w:tc>
      </w:tr>
      <w:tr w14:paraId="63366E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4" w:type="dxa"/>
            <w:shd w:val="clear" w:color="auto" w:fill="auto"/>
            <w:noWrap/>
            <w:vAlign w:val="center"/>
          </w:tcPr>
          <w:p w14:paraId="68C55FB3">
            <w:pPr>
              <w:widowControl/>
              <w:jc w:val="center"/>
              <w:rPr>
                <w:rFonts w:ascii="Times New Roman" w:hAnsi="Times New Roman"/>
                <w:kern w:val="0"/>
                <w:szCs w:val="21"/>
              </w:rPr>
            </w:pPr>
            <w:r>
              <w:rPr>
                <w:rFonts w:ascii="Times New Roman" w:hAnsi="Times New Roman"/>
                <w:kern w:val="0"/>
                <w:szCs w:val="21"/>
              </w:rPr>
              <w:t>6</w:t>
            </w:r>
          </w:p>
        </w:tc>
        <w:tc>
          <w:tcPr>
            <w:tcW w:w="1134" w:type="dxa"/>
            <w:shd w:val="clear" w:color="auto" w:fill="auto"/>
            <w:vAlign w:val="center"/>
          </w:tcPr>
          <w:p w14:paraId="76F548F7">
            <w:pPr>
              <w:widowControl/>
              <w:jc w:val="center"/>
              <w:rPr>
                <w:rFonts w:ascii="Times New Roman" w:hAnsi="Times New Roman"/>
                <w:kern w:val="0"/>
                <w:szCs w:val="21"/>
              </w:rPr>
            </w:pPr>
            <w:r>
              <w:rPr>
                <w:rFonts w:ascii="Times New Roman" w:hAnsi="Times New Roman"/>
                <w:kern w:val="0"/>
                <w:szCs w:val="21"/>
              </w:rPr>
              <w:t>氨氮</w:t>
            </w:r>
          </w:p>
        </w:tc>
        <w:tc>
          <w:tcPr>
            <w:tcW w:w="5670" w:type="dxa"/>
            <w:shd w:val="clear" w:color="auto" w:fill="auto"/>
            <w:vAlign w:val="center"/>
          </w:tcPr>
          <w:p w14:paraId="3AFD1DFF">
            <w:pPr>
              <w:widowControl/>
              <w:jc w:val="center"/>
              <w:rPr>
                <w:rFonts w:ascii="Times New Roman" w:hAnsi="Times New Roman"/>
                <w:kern w:val="0"/>
                <w:szCs w:val="21"/>
              </w:rPr>
            </w:pPr>
            <w:r>
              <w:rPr>
                <w:rFonts w:ascii="Times New Roman" w:hAnsi="Times New Roman"/>
                <w:kern w:val="0"/>
                <w:szCs w:val="21"/>
              </w:rPr>
              <w:t>水质 氨氮的测定 纳氏试剂分光光度法 HJ 535-2009</w:t>
            </w:r>
          </w:p>
        </w:tc>
        <w:tc>
          <w:tcPr>
            <w:tcW w:w="1428" w:type="dxa"/>
            <w:shd w:val="clear" w:color="auto" w:fill="auto"/>
            <w:vAlign w:val="center"/>
          </w:tcPr>
          <w:p w14:paraId="1B7499A1">
            <w:pPr>
              <w:widowControl/>
              <w:jc w:val="center"/>
              <w:rPr>
                <w:rFonts w:ascii="Times New Roman" w:hAnsi="Times New Roman"/>
                <w:kern w:val="0"/>
                <w:szCs w:val="21"/>
              </w:rPr>
            </w:pPr>
            <w:r>
              <w:rPr>
                <w:rFonts w:ascii="Times New Roman" w:hAnsi="Times New Roman"/>
                <w:kern w:val="0"/>
                <w:szCs w:val="21"/>
              </w:rPr>
              <w:t>0.025mg/L</w:t>
            </w:r>
          </w:p>
        </w:tc>
      </w:tr>
      <w:tr w14:paraId="0174A5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4" w:type="dxa"/>
            <w:shd w:val="clear" w:color="auto" w:fill="auto"/>
            <w:noWrap/>
            <w:vAlign w:val="center"/>
          </w:tcPr>
          <w:p w14:paraId="3A42F372">
            <w:pPr>
              <w:widowControl/>
              <w:jc w:val="center"/>
              <w:rPr>
                <w:rFonts w:ascii="Times New Roman" w:hAnsi="Times New Roman"/>
                <w:kern w:val="0"/>
                <w:szCs w:val="21"/>
              </w:rPr>
            </w:pPr>
            <w:r>
              <w:rPr>
                <w:rFonts w:ascii="Times New Roman" w:hAnsi="Times New Roman"/>
                <w:kern w:val="0"/>
                <w:szCs w:val="21"/>
              </w:rPr>
              <w:t>7</w:t>
            </w:r>
          </w:p>
        </w:tc>
        <w:tc>
          <w:tcPr>
            <w:tcW w:w="1134" w:type="dxa"/>
            <w:shd w:val="clear" w:color="auto" w:fill="auto"/>
            <w:vAlign w:val="center"/>
          </w:tcPr>
          <w:p w14:paraId="35822B64">
            <w:pPr>
              <w:widowControl/>
              <w:jc w:val="center"/>
              <w:rPr>
                <w:rFonts w:ascii="Times New Roman" w:hAnsi="Times New Roman"/>
                <w:kern w:val="0"/>
                <w:szCs w:val="21"/>
              </w:rPr>
            </w:pPr>
            <w:r>
              <w:rPr>
                <w:rFonts w:ascii="Times New Roman" w:hAnsi="Times New Roman"/>
                <w:kern w:val="0"/>
                <w:szCs w:val="21"/>
              </w:rPr>
              <w:t>砷</w:t>
            </w:r>
          </w:p>
        </w:tc>
        <w:tc>
          <w:tcPr>
            <w:tcW w:w="5670" w:type="dxa"/>
            <w:vMerge w:val="restart"/>
            <w:shd w:val="clear" w:color="auto" w:fill="auto"/>
            <w:vAlign w:val="center"/>
          </w:tcPr>
          <w:p w14:paraId="5DC76009">
            <w:pPr>
              <w:widowControl/>
              <w:jc w:val="center"/>
              <w:rPr>
                <w:rFonts w:ascii="Times New Roman" w:hAnsi="Times New Roman"/>
                <w:kern w:val="0"/>
                <w:szCs w:val="21"/>
              </w:rPr>
            </w:pPr>
            <w:r>
              <w:rPr>
                <w:rFonts w:ascii="Times New Roman" w:hAnsi="Times New Roman"/>
                <w:kern w:val="0"/>
                <w:szCs w:val="21"/>
              </w:rPr>
              <w:t>水质 汞、砷、硒、铋和锑的测定 原子荧光法 HJ 694-2014</w:t>
            </w:r>
          </w:p>
        </w:tc>
        <w:tc>
          <w:tcPr>
            <w:tcW w:w="1428" w:type="dxa"/>
            <w:shd w:val="clear" w:color="auto" w:fill="auto"/>
            <w:vAlign w:val="center"/>
          </w:tcPr>
          <w:p w14:paraId="44BC28C3">
            <w:pPr>
              <w:widowControl/>
              <w:jc w:val="center"/>
              <w:rPr>
                <w:rFonts w:ascii="Times New Roman" w:hAnsi="Times New Roman"/>
                <w:kern w:val="0"/>
                <w:szCs w:val="21"/>
              </w:rPr>
            </w:pPr>
            <w:r>
              <w:rPr>
                <w:rFonts w:ascii="Times New Roman" w:hAnsi="Times New Roman"/>
                <w:kern w:val="0"/>
                <w:szCs w:val="21"/>
              </w:rPr>
              <w:t>0.0003mg/L</w:t>
            </w:r>
          </w:p>
        </w:tc>
      </w:tr>
      <w:tr w14:paraId="2652AF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4" w:type="dxa"/>
            <w:shd w:val="clear" w:color="auto" w:fill="auto"/>
            <w:noWrap/>
            <w:vAlign w:val="center"/>
          </w:tcPr>
          <w:p w14:paraId="72FCC442">
            <w:pPr>
              <w:widowControl/>
              <w:jc w:val="center"/>
              <w:rPr>
                <w:rFonts w:ascii="Times New Roman" w:hAnsi="Times New Roman"/>
                <w:kern w:val="0"/>
                <w:szCs w:val="21"/>
              </w:rPr>
            </w:pPr>
            <w:r>
              <w:rPr>
                <w:rFonts w:ascii="Times New Roman" w:hAnsi="Times New Roman"/>
                <w:kern w:val="0"/>
                <w:szCs w:val="21"/>
              </w:rPr>
              <w:t>8</w:t>
            </w:r>
          </w:p>
        </w:tc>
        <w:tc>
          <w:tcPr>
            <w:tcW w:w="1134" w:type="dxa"/>
            <w:shd w:val="clear" w:color="auto" w:fill="auto"/>
            <w:vAlign w:val="center"/>
          </w:tcPr>
          <w:p w14:paraId="660205BF">
            <w:pPr>
              <w:widowControl/>
              <w:jc w:val="center"/>
              <w:rPr>
                <w:rFonts w:ascii="Times New Roman" w:hAnsi="Times New Roman"/>
                <w:kern w:val="0"/>
                <w:szCs w:val="21"/>
              </w:rPr>
            </w:pPr>
            <w:r>
              <w:rPr>
                <w:rFonts w:ascii="Times New Roman" w:hAnsi="Times New Roman"/>
                <w:kern w:val="0"/>
                <w:szCs w:val="21"/>
              </w:rPr>
              <w:t>汞</w:t>
            </w:r>
          </w:p>
        </w:tc>
        <w:tc>
          <w:tcPr>
            <w:tcW w:w="5670" w:type="dxa"/>
            <w:vMerge w:val="continue"/>
            <w:vAlign w:val="center"/>
          </w:tcPr>
          <w:p w14:paraId="76A359CF">
            <w:pPr>
              <w:widowControl/>
              <w:jc w:val="left"/>
              <w:rPr>
                <w:rFonts w:ascii="Times New Roman" w:hAnsi="Times New Roman"/>
                <w:kern w:val="0"/>
                <w:szCs w:val="21"/>
              </w:rPr>
            </w:pPr>
          </w:p>
        </w:tc>
        <w:tc>
          <w:tcPr>
            <w:tcW w:w="1428" w:type="dxa"/>
            <w:shd w:val="clear" w:color="auto" w:fill="auto"/>
            <w:vAlign w:val="center"/>
          </w:tcPr>
          <w:p w14:paraId="73B949D7">
            <w:pPr>
              <w:widowControl/>
              <w:jc w:val="center"/>
              <w:rPr>
                <w:rFonts w:ascii="Times New Roman" w:hAnsi="Times New Roman"/>
                <w:kern w:val="0"/>
                <w:szCs w:val="21"/>
              </w:rPr>
            </w:pPr>
            <w:r>
              <w:rPr>
                <w:rFonts w:ascii="Times New Roman" w:hAnsi="Times New Roman"/>
                <w:kern w:val="0"/>
                <w:szCs w:val="21"/>
              </w:rPr>
              <w:t>0.00004mg/L</w:t>
            </w:r>
          </w:p>
        </w:tc>
      </w:tr>
      <w:tr w14:paraId="746707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4" w:type="dxa"/>
            <w:shd w:val="clear" w:color="auto" w:fill="auto"/>
            <w:noWrap/>
            <w:vAlign w:val="center"/>
          </w:tcPr>
          <w:p w14:paraId="4D2FE8B9">
            <w:pPr>
              <w:widowControl/>
              <w:jc w:val="center"/>
              <w:rPr>
                <w:rFonts w:ascii="Times New Roman" w:hAnsi="Times New Roman"/>
                <w:kern w:val="0"/>
                <w:szCs w:val="21"/>
              </w:rPr>
            </w:pPr>
            <w:r>
              <w:rPr>
                <w:rFonts w:ascii="Times New Roman" w:hAnsi="Times New Roman"/>
                <w:kern w:val="0"/>
                <w:szCs w:val="21"/>
              </w:rPr>
              <w:t>9</w:t>
            </w:r>
          </w:p>
        </w:tc>
        <w:tc>
          <w:tcPr>
            <w:tcW w:w="1134" w:type="dxa"/>
            <w:shd w:val="clear" w:color="auto" w:fill="auto"/>
            <w:vAlign w:val="center"/>
          </w:tcPr>
          <w:p w14:paraId="41FFEE74">
            <w:pPr>
              <w:widowControl/>
              <w:jc w:val="center"/>
              <w:rPr>
                <w:rFonts w:ascii="Times New Roman" w:hAnsi="Times New Roman"/>
                <w:kern w:val="0"/>
                <w:szCs w:val="21"/>
              </w:rPr>
            </w:pPr>
            <w:r>
              <w:rPr>
                <w:rFonts w:ascii="Times New Roman" w:hAnsi="Times New Roman"/>
                <w:kern w:val="0"/>
                <w:szCs w:val="21"/>
              </w:rPr>
              <w:t>铅</w:t>
            </w:r>
          </w:p>
        </w:tc>
        <w:tc>
          <w:tcPr>
            <w:tcW w:w="5670" w:type="dxa"/>
            <w:shd w:val="clear" w:color="auto" w:fill="auto"/>
            <w:vAlign w:val="center"/>
          </w:tcPr>
          <w:p w14:paraId="126BAB8A">
            <w:pPr>
              <w:widowControl/>
              <w:jc w:val="center"/>
              <w:rPr>
                <w:rFonts w:ascii="Times New Roman" w:hAnsi="Times New Roman"/>
                <w:kern w:val="0"/>
                <w:szCs w:val="21"/>
              </w:rPr>
            </w:pPr>
            <w:r>
              <w:rPr>
                <w:rFonts w:ascii="Times New Roman" w:hAnsi="Times New Roman"/>
                <w:kern w:val="0"/>
                <w:szCs w:val="21"/>
              </w:rPr>
              <w:t>生活饮用水标准检验方法第6部分：金属和类金属指标（14.1无火焰原子吸收分光光度法）GB/T 5750.6-2023</w:t>
            </w:r>
          </w:p>
        </w:tc>
        <w:tc>
          <w:tcPr>
            <w:tcW w:w="1428" w:type="dxa"/>
            <w:shd w:val="clear" w:color="auto" w:fill="auto"/>
            <w:vAlign w:val="center"/>
          </w:tcPr>
          <w:p w14:paraId="47A086FA">
            <w:pPr>
              <w:widowControl/>
              <w:jc w:val="center"/>
              <w:rPr>
                <w:rFonts w:ascii="Times New Roman" w:hAnsi="Times New Roman"/>
                <w:kern w:val="0"/>
                <w:szCs w:val="21"/>
              </w:rPr>
            </w:pPr>
            <w:r>
              <w:rPr>
                <w:rFonts w:ascii="Times New Roman" w:hAnsi="Times New Roman"/>
                <w:kern w:val="0"/>
                <w:szCs w:val="21"/>
              </w:rPr>
              <w:t>0.0025mg/L</w:t>
            </w:r>
          </w:p>
        </w:tc>
      </w:tr>
      <w:tr w14:paraId="1886C5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4" w:type="dxa"/>
            <w:shd w:val="clear" w:color="auto" w:fill="auto"/>
            <w:noWrap/>
            <w:vAlign w:val="center"/>
          </w:tcPr>
          <w:p w14:paraId="2F91DC11">
            <w:pPr>
              <w:widowControl/>
              <w:jc w:val="center"/>
              <w:rPr>
                <w:rFonts w:ascii="Times New Roman" w:hAnsi="Times New Roman"/>
                <w:kern w:val="0"/>
                <w:szCs w:val="21"/>
              </w:rPr>
            </w:pPr>
            <w:r>
              <w:rPr>
                <w:rFonts w:ascii="Times New Roman" w:hAnsi="Times New Roman"/>
                <w:kern w:val="0"/>
                <w:szCs w:val="21"/>
              </w:rPr>
              <w:t>10</w:t>
            </w:r>
          </w:p>
        </w:tc>
        <w:tc>
          <w:tcPr>
            <w:tcW w:w="1134" w:type="dxa"/>
            <w:shd w:val="clear" w:color="auto" w:fill="auto"/>
            <w:vAlign w:val="center"/>
          </w:tcPr>
          <w:p w14:paraId="09B44009">
            <w:pPr>
              <w:widowControl/>
              <w:jc w:val="center"/>
              <w:rPr>
                <w:rFonts w:ascii="Times New Roman" w:hAnsi="Times New Roman"/>
                <w:kern w:val="0"/>
                <w:szCs w:val="21"/>
              </w:rPr>
            </w:pPr>
            <w:r>
              <w:rPr>
                <w:rFonts w:ascii="Times New Roman" w:hAnsi="Times New Roman"/>
                <w:kern w:val="0"/>
                <w:szCs w:val="21"/>
              </w:rPr>
              <w:t>镉</w:t>
            </w:r>
          </w:p>
        </w:tc>
        <w:tc>
          <w:tcPr>
            <w:tcW w:w="5670" w:type="dxa"/>
            <w:shd w:val="clear" w:color="auto" w:fill="auto"/>
            <w:vAlign w:val="center"/>
          </w:tcPr>
          <w:p w14:paraId="63095429">
            <w:pPr>
              <w:widowControl/>
              <w:jc w:val="center"/>
              <w:rPr>
                <w:rFonts w:ascii="Times New Roman" w:hAnsi="Times New Roman"/>
                <w:kern w:val="0"/>
                <w:szCs w:val="21"/>
              </w:rPr>
            </w:pPr>
            <w:r>
              <w:rPr>
                <w:rFonts w:ascii="Times New Roman" w:hAnsi="Times New Roman"/>
                <w:kern w:val="0"/>
                <w:szCs w:val="21"/>
              </w:rPr>
              <w:t>铜、铅、镉 石墨炉原子吸收分光光度法《水和废水监测分析方法》（第四版）国家环境保护总局 （2002年）</w:t>
            </w:r>
          </w:p>
        </w:tc>
        <w:tc>
          <w:tcPr>
            <w:tcW w:w="1428" w:type="dxa"/>
            <w:shd w:val="clear" w:color="auto" w:fill="auto"/>
            <w:vAlign w:val="center"/>
          </w:tcPr>
          <w:p w14:paraId="77EEA041">
            <w:pPr>
              <w:widowControl/>
              <w:jc w:val="center"/>
              <w:rPr>
                <w:rFonts w:ascii="Times New Roman" w:hAnsi="Times New Roman"/>
                <w:kern w:val="0"/>
                <w:szCs w:val="21"/>
              </w:rPr>
            </w:pPr>
            <w:r>
              <w:rPr>
                <w:rFonts w:ascii="Times New Roman" w:hAnsi="Times New Roman"/>
                <w:kern w:val="0"/>
                <w:szCs w:val="21"/>
              </w:rPr>
              <w:t>0.0001mg/L</w:t>
            </w:r>
          </w:p>
        </w:tc>
      </w:tr>
      <w:tr w14:paraId="55F249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4" w:type="dxa"/>
            <w:shd w:val="clear" w:color="auto" w:fill="auto"/>
            <w:noWrap/>
            <w:vAlign w:val="center"/>
          </w:tcPr>
          <w:p w14:paraId="0540F769">
            <w:pPr>
              <w:widowControl/>
              <w:jc w:val="center"/>
              <w:rPr>
                <w:rFonts w:ascii="Times New Roman" w:hAnsi="Times New Roman"/>
                <w:kern w:val="0"/>
                <w:szCs w:val="21"/>
              </w:rPr>
            </w:pPr>
            <w:r>
              <w:rPr>
                <w:rFonts w:ascii="Times New Roman" w:hAnsi="Times New Roman"/>
                <w:kern w:val="0"/>
                <w:szCs w:val="21"/>
              </w:rPr>
              <w:t>11</w:t>
            </w:r>
          </w:p>
        </w:tc>
        <w:tc>
          <w:tcPr>
            <w:tcW w:w="1134" w:type="dxa"/>
            <w:shd w:val="clear" w:color="auto" w:fill="auto"/>
            <w:vAlign w:val="center"/>
          </w:tcPr>
          <w:p w14:paraId="2860192A">
            <w:pPr>
              <w:widowControl/>
              <w:jc w:val="center"/>
              <w:rPr>
                <w:rFonts w:ascii="Times New Roman" w:hAnsi="Times New Roman"/>
                <w:kern w:val="0"/>
                <w:szCs w:val="21"/>
              </w:rPr>
            </w:pPr>
            <w:r>
              <w:rPr>
                <w:rFonts w:ascii="Times New Roman" w:hAnsi="Times New Roman"/>
                <w:kern w:val="0"/>
                <w:szCs w:val="21"/>
              </w:rPr>
              <w:t>锌</w:t>
            </w:r>
          </w:p>
        </w:tc>
        <w:tc>
          <w:tcPr>
            <w:tcW w:w="5670" w:type="dxa"/>
            <w:vMerge w:val="restart"/>
            <w:shd w:val="clear" w:color="auto" w:fill="auto"/>
            <w:vAlign w:val="center"/>
          </w:tcPr>
          <w:p w14:paraId="09B22592">
            <w:pPr>
              <w:widowControl/>
              <w:jc w:val="center"/>
              <w:rPr>
                <w:rFonts w:ascii="Times New Roman" w:hAnsi="Times New Roman"/>
                <w:kern w:val="0"/>
                <w:szCs w:val="21"/>
              </w:rPr>
            </w:pPr>
            <w:r>
              <w:rPr>
                <w:rFonts w:ascii="Times New Roman" w:hAnsi="Times New Roman"/>
                <w:kern w:val="0"/>
                <w:szCs w:val="21"/>
              </w:rPr>
              <w:t>生活饮用水标准检验方法第6部分：金属和类金属指标（4.4电感耦合等离子体发射光谱法）GB/T 5750.6-2023</w:t>
            </w:r>
          </w:p>
        </w:tc>
        <w:tc>
          <w:tcPr>
            <w:tcW w:w="1428" w:type="dxa"/>
            <w:shd w:val="clear" w:color="auto" w:fill="auto"/>
            <w:vAlign w:val="center"/>
          </w:tcPr>
          <w:p w14:paraId="12580631">
            <w:pPr>
              <w:widowControl/>
              <w:jc w:val="center"/>
              <w:rPr>
                <w:rFonts w:ascii="Times New Roman" w:hAnsi="Times New Roman"/>
                <w:kern w:val="0"/>
                <w:szCs w:val="21"/>
              </w:rPr>
            </w:pPr>
            <w:r>
              <w:rPr>
                <w:rFonts w:ascii="Times New Roman" w:hAnsi="Times New Roman"/>
                <w:kern w:val="0"/>
                <w:szCs w:val="21"/>
              </w:rPr>
              <w:t>0.001mg/L</w:t>
            </w:r>
          </w:p>
        </w:tc>
      </w:tr>
      <w:tr w14:paraId="5C3593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4" w:type="dxa"/>
            <w:shd w:val="clear" w:color="auto" w:fill="auto"/>
            <w:noWrap/>
            <w:vAlign w:val="center"/>
          </w:tcPr>
          <w:p w14:paraId="4AF90E88">
            <w:pPr>
              <w:widowControl/>
              <w:jc w:val="center"/>
              <w:rPr>
                <w:rFonts w:ascii="Times New Roman" w:hAnsi="Times New Roman"/>
                <w:kern w:val="0"/>
                <w:szCs w:val="21"/>
              </w:rPr>
            </w:pPr>
            <w:r>
              <w:rPr>
                <w:rFonts w:ascii="Times New Roman" w:hAnsi="Times New Roman"/>
                <w:kern w:val="0"/>
                <w:szCs w:val="21"/>
              </w:rPr>
              <w:t>12</w:t>
            </w:r>
          </w:p>
        </w:tc>
        <w:tc>
          <w:tcPr>
            <w:tcW w:w="1134" w:type="dxa"/>
            <w:shd w:val="clear" w:color="auto" w:fill="auto"/>
            <w:vAlign w:val="center"/>
          </w:tcPr>
          <w:p w14:paraId="4FAF4901">
            <w:pPr>
              <w:widowControl/>
              <w:jc w:val="center"/>
              <w:rPr>
                <w:rFonts w:ascii="Times New Roman" w:hAnsi="Times New Roman"/>
                <w:kern w:val="0"/>
                <w:szCs w:val="21"/>
              </w:rPr>
            </w:pPr>
            <w:r>
              <w:rPr>
                <w:rFonts w:ascii="Times New Roman" w:hAnsi="Times New Roman"/>
                <w:kern w:val="0"/>
                <w:szCs w:val="21"/>
              </w:rPr>
              <w:t>铜</w:t>
            </w:r>
          </w:p>
        </w:tc>
        <w:tc>
          <w:tcPr>
            <w:tcW w:w="5670" w:type="dxa"/>
            <w:vMerge w:val="continue"/>
            <w:vAlign w:val="center"/>
          </w:tcPr>
          <w:p w14:paraId="12907DCA">
            <w:pPr>
              <w:widowControl/>
              <w:jc w:val="left"/>
              <w:rPr>
                <w:rFonts w:ascii="Times New Roman" w:hAnsi="Times New Roman"/>
                <w:kern w:val="0"/>
                <w:szCs w:val="21"/>
              </w:rPr>
            </w:pPr>
          </w:p>
        </w:tc>
        <w:tc>
          <w:tcPr>
            <w:tcW w:w="1428" w:type="dxa"/>
            <w:shd w:val="clear" w:color="auto" w:fill="auto"/>
            <w:vAlign w:val="center"/>
          </w:tcPr>
          <w:p w14:paraId="4C365A5E">
            <w:pPr>
              <w:widowControl/>
              <w:jc w:val="center"/>
              <w:rPr>
                <w:rFonts w:ascii="Times New Roman" w:hAnsi="Times New Roman"/>
                <w:kern w:val="0"/>
                <w:szCs w:val="21"/>
              </w:rPr>
            </w:pPr>
            <w:r>
              <w:rPr>
                <w:rFonts w:ascii="Times New Roman" w:hAnsi="Times New Roman"/>
                <w:kern w:val="0"/>
                <w:szCs w:val="21"/>
              </w:rPr>
              <w:t>0.009mg/L</w:t>
            </w:r>
          </w:p>
        </w:tc>
      </w:tr>
      <w:tr w14:paraId="28C2D5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4" w:type="dxa"/>
            <w:shd w:val="clear" w:color="auto" w:fill="auto"/>
            <w:noWrap/>
            <w:vAlign w:val="center"/>
          </w:tcPr>
          <w:p w14:paraId="0E69718C">
            <w:pPr>
              <w:widowControl/>
              <w:jc w:val="center"/>
              <w:rPr>
                <w:rFonts w:ascii="Times New Roman" w:hAnsi="Times New Roman"/>
                <w:kern w:val="0"/>
                <w:szCs w:val="21"/>
              </w:rPr>
            </w:pPr>
            <w:r>
              <w:rPr>
                <w:rFonts w:ascii="Times New Roman" w:hAnsi="Times New Roman"/>
                <w:kern w:val="0"/>
                <w:szCs w:val="21"/>
              </w:rPr>
              <w:t>13</w:t>
            </w:r>
          </w:p>
        </w:tc>
        <w:tc>
          <w:tcPr>
            <w:tcW w:w="1134" w:type="dxa"/>
            <w:shd w:val="clear" w:color="auto" w:fill="auto"/>
            <w:vAlign w:val="center"/>
          </w:tcPr>
          <w:p w14:paraId="7E35B09E">
            <w:pPr>
              <w:widowControl/>
              <w:jc w:val="center"/>
              <w:rPr>
                <w:rFonts w:ascii="Times New Roman" w:hAnsi="Times New Roman"/>
                <w:kern w:val="0"/>
                <w:szCs w:val="21"/>
              </w:rPr>
            </w:pPr>
            <w:r>
              <w:rPr>
                <w:rFonts w:ascii="Times New Roman" w:hAnsi="Times New Roman"/>
                <w:kern w:val="0"/>
                <w:szCs w:val="21"/>
              </w:rPr>
              <w:t>六价铬</w:t>
            </w:r>
          </w:p>
        </w:tc>
        <w:tc>
          <w:tcPr>
            <w:tcW w:w="5670" w:type="dxa"/>
            <w:shd w:val="clear" w:color="auto" w:fill="auto"/>
            <w:vAlign w:val="center"/>
          </w:tcPr>
          <w:p w14:paraId="6CC59668">
            <w:pPr>
              <w:widowControl/>
              <w:jc w:val="center"/>
              <w:rPr>
                <w:rFonts w:ascii="Times New Roman" w:hAnsi="Times New Roman"/>
                <w:kern w:val="0"/>
                <w:szCs w:val="21"/>
              </w:rPr>
            </w:pPr>
            <w:r>
              <w:rPr>
                <w:rFonts w:ascii="Times New Roman" w:hAnsi="Times New Roman"/>
                <w:kern w:val="0"/>
                <w:szCs w:val="21"/>
              </w:rPr>
              <w:t>水质 六价铬的测定 二苯碳酰二肼分光光度法</w:t>
            </w:r>
          </w:p>
          <w:p w14:paraId="7327FB1B">
            <w:pPr>
              <w:widowControl/>
              <w:jc w:val="center"/>
              <w:rPr>
                <w:rFonts w:ascii="Times New Roman" w:hAnsi="Times New Roman"/>
                <w:kern w:val="0"/>
                <w:szCs w:val="21"/>
              </w:rPr>
            </w:pPr>
            <w:r>
              <w:rPr>
                <w:rFonts w:ascii="Times New Roman" w:hAnsi="Times New Roman"/>
                <w:kern w:val="0"/>
                <w:szCs w:val="21"/>
              </w:rPr>
              <w:t>GB 7467-1987</w:t>
            </w:r>
          </w:p>
        </w:tc>
        <w:tc>
          <w:tcPr>
            <w:tcW w:w="1428" w:type="dxa"/>
            <w:shd w:val="clear" w:color="auto" w:fill="auto"/>
            <w:vAlign w:val="center"/>
          </w:tcPr>
          <w:p w14:paraId="5FD9273A">
            <w:pPr>
              <w:widowControl/>
              <w:jc w:val="center"/>
              <w:rPr>
                <w:rFonts w:ascii="Times New Roman" w:hAnsi="Times New Roman"/>
                <w:kern w:val="0"/>
                <w:szCs w:val="21"/>
              </w:rPr>
            </w:pPr>
            <w:r>
              <w:rPr>
                <w:rFonts w:ascii="Times New Roman" w:hAnsi="Times New Roman"/>
                <w:kern w:val="0"/>
                <w:szCs w:val="21"/>
              </w:rPr>
              <w:t>0.004mg/L</w:t>
            </w:r>
          </w:p>
        </w:tc>
      </w:tr>
      <w:tr w14:paraId="4F625E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4" w:type="dxa"/>
            <w:shd w:val="clear" w:color="auto" w:fill="auto"/>
            <w:noWrap/>
            <w:vAlign w:val="center"/>
          </w:tcPr>
          <w:p w14:paraId="5597C5F7">
            <w:pPr>
              <w:widowControl/>
              <w:jc w:val="center"/>
              <w:rPr>
                <w:rFonts w:ascii="Times New Roman" w:hAnsi="Times New Roman"/>
                <w:kern w:val="0"/>
                <w:szCs w:val="21"/>
              </w:rPr>
            </w:pPr>
            <w:r>
              <w:rPr>
                <w:rFonts w:ascii="Times New Roman" w:hAnsi="Times New Roman"/>
                <w:kern w:val="0"/>
                <w:szCs w:val="21"/>
              </w:rPr>
              <w:t>14</w:t>
            </w:r>
          </w:p>
        </w:tc>
        <w:tc>
          <w:tcPr>
            <w:tcW w:w="1134" w:type="dxa"/>
            <w:shd w:val="clear" w:color="auto" w:fill="auto"/>
            <w:vAlign w:val="center"/>
          </w:tcPr>
          <w:p w14:paraId="3A926F05">
            <w:pPr>
              <w:widowControl/>
              <w:jc w:val="center"/>
              <w:rPr>
                <w:rFonts w:ascii="Times New Roman" w:hAnsi="Times New Roman"/>
                <w:kern w:val="0"/>
                <w:szCs w:val="21"/>
              </w:rPr>
            </w:pPr>
            <w:r>
              <w:rPr>
                <w:rFonts w:ascii="Times New Roman" w:hAnsi="Times New Roman"/>
                <w:kern w:val="0"/>
                <w:szCs w:val="21"/>
              </w:rPr>
              <w:t>铁</w:t>
            </w:r>
          </w:p>
        </w:tc>
        <w:tc>
          <w:tcPr>
            <w:tcW w:w="5670" w:type="dxa"/>
            <w:vMerge w:val="restart"/>
            <w:shd w:val="clear" w:color="auto" w:fill="auto"/>
            <w:vAlign w:val="center"/>
          </w:tcPr>
          <w:p w14:paraId="1EB9E7F0">
            <w:pPr>
              <w:widowControl/>
              <w:jc w:val="center"/>
              <w:rPr>
                <w:rFonts w:ascii="Times New Roman" w:hAnsi="Times New Roman"/>
                <w:kern w:val="0"/>
                <w:szCs w:val="21"/>
              </w:rPr>
            </w:pPr>
            <w:r>
              <w:rPr>
                <w:rFonts w:ascii="Times New Roman" w:hAnsi="Times New Roman"/>
                <w:kern w:val="0"/>
                <w:szCs w:val="21"/>
              </w:rPr>
              <w:t>水质 铁、锰的测定 火焰原子吸收分光光度法</w:t>
            </w:r>
          </w:p>
          <w:p w14:paraId="5D03A2D9">
            <w:pPr>
              <w:widowControl/>
              <w:jc w:val="center"/>
              <w:rPr>
                <w:rFonts w:ascii="Times New Roman" w:hAnsi="Times New Roman"/>
                <w:kern w:val="0"/>
                <w:szCs w:val="21"/>
              </w:rPr>
            </w:pPr>
            <w:r>
              <w:rPr>
                <w:rFonts w:ascii="Times New Roman" w:hAnsi="Times New Roman"/>
                <w:kern w:val="0"/>
                <w:szCs w:val="21"/>
              </w:rPr>
              <w:t>GB/T 11911-1989</w:t>
            </w:r>
          </w:p>
        </w:tc>
        <w:tc>
          <w:tcPr>
            <w:tcW w:w="1428" w:type="dxa"/>
            <w:shd w:val="clear" w:color="auto" w:fill="auto"/>
            <w:vAlign w:val="center"/>
          </w:tcPr>
          <w:p w14:paraId="6F8B55AA">
            <w:pPr>
              <w:widowControl/>
              <w:jc w:val="center"/>
              <w:rPr>
                <w:rFonts w:ascii="Times New Roman" w:hAnsi="Times New Roman"/>
                <w:kern w:val="0"/>
                <w:szCs w:val="21"/>
              </w:rPr>
            </w:pPr>
            <w:r>
              <w:rPr>
                <w:rFonts w:ascii="Times New Roman" w:hAnsi="Times New Roman"/>
                <w:kern w:val="0"/>
                <w:szCs w:val="21"/>
              </w:rPr>
              <w:t>0.03mg/L</w:t>
            </w:r>
          </w:p>
        </w:tc>
      </w:tr>
      <w:tr w14:paraId="46D2A4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4" w:type="dxa"/>
            <w:shd w:val="clear" w:color="auto" w:fill="auto"/>
            <w:noWrap/>
            <w:vAlign w:val="center"/>
          </w:tcPr>
          <w:p w14:paraId="0BC11BB0">
            <w:pPr>
              <w:widowControl/>
              <w:jc w:val="center"/>
              <w:rPr>
                <w:rFonts w:ascii="Times New Roman" w:hAnsi="Times New Roman"/>
                <w:kern w:val="0"/>
                <w:szCs w:val="21"/>
              </w:rPr>
            </w:pPr>
            <w:r>
              <w:rPr>
                <w:rFonts w:ascii="Times New Roman" w:hAnsi="Times New Roman"/>
                <w:kern w:val="0"/>
                <w:szCs w:val="21"/>
              </w:rPr>
              <w:t>15</w:t>
            </w:r>
          </w:p>
        </w:tc>
        <w:tc>
          <w:tcPr>
            <w:tcW w:w="1134" w:type="dxa"/>
            <w:shd w:val="clear" w:color="auto" w:fill="auto"/>
            <w:vAlign w:val="center"/>
          </w:tcPr>
          <w:p w14:paraId="0A4FD54E">
            <w:pPr>
              <w:widowControl/>
              <w:jc w:val="center"/>
              <w:rPr>
                <w:rFonts w:ascii="Times New Roman" w:hAnsi="Times New Roman"/>
                <w:kern w:val="0"/>
                <w:szCs w:val="21"/>
              </w:rPr>
            </w:pPr>
            <w:r>
              <w:rPr>
                <w:rFonts w:ascii="Times New Roman" w:hAnsi="Times New Roman"/>
                <w:kern w:val="0"/>
                <w:szCs w:val="21"/>
              </w:rPr>
              <w:t>锰</w:t>
            </w:r>
          </w:p>
        </w:tc>
        <w:tc>
          <w:tcPr>
            <w:tcW w:w="5670" w:type="dxa"/>
            <w:vMerge w:val="continue"/>
            <w:vAlign w:val="center"/>
          </w:tcPr>
          <w:p w14:paraId="33B6C4D0">
            <w:pPr>
              <w:widowControl/>
              <w:jc w:val="left"/>
              <w:rPr>
                <w:rFonts w:ascii="Times New Roman" w:hAnsi="Times New Roman"/>
                <w:kern w:val="0"/>
                <w:szCs w:val="21"/>
              </w:rPr>
            </w:pPr>
          </w:p>
        </w:tc>
        <w:tc>
          <w:tcPr>
            <w:tcW w:w="1428" w:type="dxa"/>
            <w:shd w:val="clear" w:color="auto" w:fill="auto"/>
            <w:vAlign w:val="center"/>
          </w:tcPr>
          <w:p w14:paraId="05A9313D">
            <w:pPr>
              <w:widowControl/>
              <w:jc w:val="center"/>
              <w:rPr>
                <w:rFonts w:ascii="Times New Roman" w:hAnsi="Times New Roman"/>
                <w:kern w:val="0"/>
                <w:szCs w:val="21"/>
              </w:rPr>
            </w:pPr>
            <w:r>
              <w:rPr>
                <w:rFonts w:ascii="Times New Roman" w:hAnsi="Times New Roman"/>
                <w:kern w:val="0"/>
                <w:szCs w:val="21"/>
              </w:rPr>
              <w:t>0.01mg/L</w:t>
            </w:r>
          </w:p>
        </w:tc>
      </w:tr>
      <w:tr w14:paraId="465C0B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4" w:type="dxa"/>
            <w:shd w:val="clear" w:color="auto" w:fill="auto"/>
            <w:noWrap/>
            <w:vAlign w:val="center"/>
          </w:tcPr>
          <w:p w14:paraId="19F193AA">
            <w:pPr>
              <w:widowControl/>
              <w:jc w:val="center"/>
              <w:rPr>
                <w:rFonts w:ascii="Times New Roman" w:hAnsi="Times New Roman"/>
                <w:kern w:val="0"/>
                <w:szCs w:val="21"/>
              </w:rPr>
            </w:pPr>
            <w:r>
              <w:rPr>
                <w:rFonts w:ascii="Times New Roman" w:hAnsi="Times New Roman"/>
                <w:kern w:val="0"/>
                <w:szCs w:val="21"/>
              </w:rPr>
              <w:t>16</w:t>
            </w:r>
          </w:p>
        </w:tc>
        <w:tc>
          <w:tcPr>
            <w:tcW w:w="1134" w:type="dxa"/>
            <w:shd w:val="clear" w:color="auto" w:fill="auto"/>
            <w:vAlign w:val="center"/>
          </w:tcPr>
          <w:p w14:paraId="63BAAC82">
            <w:pPr>
              <w:widowControl/>
              <w:jc w:val="center"/>
              <w:rPr>
                <w:rFonts w:ascii="Times New Roman" w:hAnsi="Times New Roman"/>
                <w:kern w:val="0"/>
                <w:szCs w:val="21"/>
              </w:rPr>
            </w:pPr>
            <w:r>
              <w:rPr>
                <w:rFonts w:ascii="Times New Roman" w:hAnsi="Times New Roman"/>
                <w:kern w:val="0"/>
                <w:szCs w:val="21"/>
              </w:rPr>
              <w:t>K</w:t>
            </w:r>
            <w:r>
              <w:rPr>
                <w:rFonts w:ascii="Times New Roman" w:hAnsi="Times New Roman"/>
                <w:kern w:val="0"/>
                <w:szCs w:val="21"/>
                <w:vertAlign w:val="superscript"/>
              </w:rPr>
              <w:t>+</w:t>
            </w:r>
          </w:p>
        </w:tc>
        <w:tc>
          <w:tcPr>
            <w:tcW w:w="5670" w:type="dxa"/>
            <w:vMerge w:val="restart"/>
            <w:shd w:val="clear" w:color="auto" w:fill="auto"/>
            <w:vAlign w:val="center"/>
          </w:tcPr>
          <w:p w14:paraId="0B78E992">
            <w:pPr>
              <w:widowControl/>
              <w:jc w:val="center"/>
              <w:rPr>
                <w:rFonts w:ascii="Times New Roman" w:hAnsi="Times New Roman"/>
                <w:kern w:val="0"/>
                <w:szCs w:val="21"/>
              </w:rPr>
            </w:pPr>
            <w:r>
              <w:rPr>
                <w:rFonts w:ascii="Times New Roman" w:hAnsi="Times New Roman"/>
                <w:kern w:val="0"/>
                <w:szCs w:val="21"/>
              </w:rPr>
              <w:t>水质 钾和钠的测定 火焰原子吸收分光光度法</w:t>
            </w:r>
          </w:p>
          <w:p w14:paraId="38A5408F">
            <w:pPr>
              <w:widowControl/>
              <w:jc w:val="center"/>
              <w:rPr>
                <w:rFonts w:ascii="Times New Roman" w:hAnsi="Times New Roman"/>
                <w:kern w:val="0"/>
                <w:szCs w:val="21"/>
              </w:rPr>
            </w:pPr>
            <w:r>
              <w:rPr>
                <w:rFonts w:ascii="Times New Roman" w:hAnsi="Times New Roman"/>
                <w:kern w:val="0"/>
                <w:szCs w:val="21"/>
              </w:rPr>
              <w:t>GB 11904-1989</w:t>
            </w:r>
          </w:p>
        </w:tc>
        <w:tc>
          <w:tcPr>
            <w:tcW w:w="1428" w:type="dxa"/>
            <w:shd w:val="clear" w:color="auto" w:fill="auto"/>
            <w:vAlign w:val="center"/>
          </w:tcPr>
          <w:p w14:paraId="36AA8278">
            <w:pPr>
              <w:widowControl/>
              <w:jc w:val="center"/>
              <w:rPr>
                <w:rFonts w:ascii="Times New Roman" w:hAnsi="Times New Roman"/>
                <w:kern w:val="0"/>
                <w:szCs w:val="21"/>
              </w:rPr>
            </w:pPr>
            <w:r>
              <w:rPr>
                <w:rFonts w:ascii="Times New Roman" w:hAnsi="Times New Roman"/>
                <w:kern w:val="0"/>
                <w:szCs w:val="21"/>
              </w:rPr>
              <w:t>0.05mg/L</w:t>
            </w:r>
          </w:p>
        </w:tc>
      </w:tr>
      <w:tr w14:paraId="71FF20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4" w:type="dxa"/>
            <w:shd w:val="clear" w:color="auto" w:fill="auto"/>
            <w:noWrap/>
            <w:vAlign w:val="center"/>
          </w:tcPr>
          <w:p w14:paraId="5427EE3D">
            <w:pPr>
              <w:widowControl/>
              <w:jc w:val="center"/>
              <w:rPr>
                <w:rFonts w:ascii="Times New Roman" w:hAnsi="Times New Roman"/>
                <w:kern w:val="0"/>
                <w:szCs w:val="21"/>
              </w:rPr>
            </w:pPr>
            <w:r>
              <w:rPr>
                <w:rFonts w:ascii="Times New Roman" w:hAnsi="Times New Roman"/>
                <w:kern w:val="0"/>
                <w:szCs w:val="21"/>
              </w:rPr>
              <w:t>17</w:t>
            </w:r>
          </w:p>
        </w:tc>
        <w:tc>
          <w:tcPr>
            <w:tcW w:w="1134" w:type="dxa"/>
            <w:shd w:val="clear" w:color="auto" w:fill="auto"/>
            <w:vAlign w:val="center"/>
          </w:tcPr>
          <w:p w14:paraId="1AEB7427">
            <w:pPr>
              <w:widowControl/>
              <w:jc w:val="center"/>
              <w:rPr>
                <w:rFonts w:ascii="Times New Roman" w:hAnsi="Times New Roman"/>
                <w:kern w:val="0"/>
                <w:szCs w:val="21"/>
              </w:rPr>
            </w:pPr>
            <w:r>
              <w:rPr>
                <w:rFonts w:ascii="Times New Roman" w:hAnsi="Times New Roman"/>
                <w:kern w:val="0"/>
                <w:szCs w:val="21"/>
              </w:rPr>
              <w:t>Na</w:t>
            </w:r>
            <w:r>
              <w:rPr>
                <w:rFonts w:ascii="Times New Roman" w:hAnsi="Times New Roman"/>
                <w:kern w:val="0"/>
                <w:szCs w:val="21"/>
                <w:vertAlign w:val="superscript"/>
              </w:rPr>
              <w:t>+</w:t>
            </w:r>
          </w:p>
        </w:tc>
        <w:tc>
          <w:tcPr>
            <w:tcW w:w="5670" w:type="dxa"/>
            <w:vMerge w:val="continue"/>
            <w:vAlign w:val="center"/>
          </w:tcPr>
          <w:p w14:paraId="55D3B56A">
            <w:pPr>
              <w:widowControl/>
              <w:jc w:val="left"/>
              <w:rPr>
                <w:rFonts w:ascii="Times New Roman" w:hAnsi="Times New Roman"/>
                <w:kern w:val="0"/>
                <w:szCs w:val="21"/>
              </w:rPr>
            </w:pPr>
          </w:p>
        </w:tc>
        <w:tc>
          <w:tcPr>
            <w:tcW w:w="1428" w:type="dxa"/>
            <w:shd w:val="clear" w:color="auto" w:fill="auto"/>
            <w:vAlign w:val="center"/>
          </w:tcPr>
          <w:p w14:paraId="35E374A8">
            <w:pPr>
              <w:widowControl/>
              <w:jc w:val="center"/>
              <w:rPr>
                <w:rFonts w:ascii="Times New Roman" w:hAnsi="Times New Roman"/>
                <w:kern w:val="0"/>
                <w:szCs w:val="21"/>
              </w:rPr>
            </w:pPr>
            <w:r>
              <w:rPr>
                <w:rFonts w:ascii="Times New Roman" w:hAnsi="Times New Roman"/>
                <w:kern w:val="0"/>
                <w:szCs w:val="21"/>
              </w:rPr>
              <w:t>0.01mg/L</w:t>
            </w:r>
          </w:p>
        </w:tc>
      </w:tr>
      <w:tr w14:paraId="0E04D4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4" w:type="dxa"/>
            <w:shd w:val="clear" w:color="auto" w:fill="auto"/>
            <w:noWrap/>
            <w:vAlign w:val="center"/>
          </w:tcPr>
          <w:p w14:paraId="637BB16F">
            <w:pPr>
              <w:widowControl/>
              <w:jc w:val="center"/>
              <w:rPr>
                <w:rFonts w:ascii="Times New Roman" w:hAnsi="Times New Roman"/>
                <w:kern w:val="0"/>
                <w:szCs w:val="21"/>
              </w:rPr>
            </w:pPr>
            <w:r>
              <w:rPr>
                <w:rFonts w:ascii="Times New Roman" w:hAnsi="Times New Roman"/>
                <w:kern w:val="0"/>
                <w:szCs w:val="21"/>
              </w:rPr>
              <w:t>18</w:t>
            </w:r>
          </w:p>
        </w:tc>
        <w:tc>
          <w:tcPr>
            <w:tcW w:w="1134" w:type="dxa"/>
            <w:shd w:val="clear" w:color="auto" w:fill="auto"/>
            <w:vAlign w:val="center"/>
          </w:tcPr>
          <w:p w14:paraId="1B52DEE5">
            <w:pPr>
              <w:widowControl/>
              <w:jc w:val="center"/>
              <w:rPr>
                <w:rFonts w:ascii="Times New Roman" w:hAnsi="Times New Roman"/>
                <w:kern w:val="0"/>
                <w:szCs w:val="21"/>
              </w:rPr>
            </w:pPr>
            <w:r>
              <w:rPr>
                <w:rFonts w:ascii="Times New Roman" w:hAnsi="Times New Roman"/>
                <w:kern w:val="0"/>
                <w:szCs w:val="21"/>
              </w:rPr>
              <w:t>Ca</w:t>
            </w:r>
            <w:r>
              <w:rPr>
                <w:rFonts w:ascii="Times New Roman" w:hAnsi="Times New Roman"/>
                <w:kern w:val="0"/>
                <w:szCs w:val="21"/>
                <w:vertAlign w:val="superscript"/>
              </w:rPr>
              <w:t>2+</w:t>
            </w:r>
          </w:p>
        </w:tc>
        <w:tc>
          <w:tcPr>
            <w:tcW w:w="5670" w:type="dxa"/>
            <w:vMerge w:val="restart"/>
            <w:shd w:val="clear" w:color="auto" w:fill="auto"/>
            <w:vAlign w:val="center"/>
          </w:tcPr>
          <w:p w14:paraId="553DBC6D">
            <w:pPr>
              <w:widowControl/>
              <w:jc w:val="center"/>
              <w:rPr>
                <w:rFonts w:ascii="Times New Roman" w:hAnsi="Times New Roman"/>
                <w:kern w:val="0"/>
                <w:szCs w:val="21"/>
              </w:rPr>
            </w:pPr>
            <w:r>
              <w:rPr>
                <w:rFonts w:ascii="Times New Roman" w:hAnsi="Times New Roman"/>
                <w:kern w:val="0"/>
                <w:szCs w:val="21"/>
              </w:rPr>
              <w:t>水质 钙和镁的测定 原子吸收分光光度法 GB 11905-1989</w:t>
            </w:r>
          </w:p>
        </w:tc>
        <w:tc>
          <w:tcPr>
            <w:tcW w:w="1428" w:type="dxa"/>
            <w:shd w:val="clear" w:color="auto" w:fill="auto"/>
            <w:vAlign w:val="center"/>
          </w:tcPr>
          <w:p w14:paraId="3C727525">
            <w:pPr>
              <w:widowControl/>
              <w:jc w:val="center"/>
              <w:rPr>
                <w:rFonts w:ascii="Times New Roman" w:hAnsi="Times New Roman"/>
                <w:kern w:val="0"/>
                <w:szCs w:val="21"/>
              </w:rPr>
            </w:pPr>
            <w:r>
              <w:rPr>
                <w:rFonts w:ascii="Times New Roman" w:hAnsi="Times New Roman"/>
                <w:kern w:val="0"/>
                <w:szCs w:val="21"/>
              </w:rPr>
              <w:t>0.02mg/L</w:t>
            </w:r>
          </w:p>
        </w:tc>
      </w:tr>
      <w:tr w14:paraId="15AD09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4" w:type="dxa"/>
            <w:shd w:val="clear" w:color="auto" w:fill="auto"/>
            <w:noWrap/>
            <w:vAlign w:val="center"/>
          </w:tcPr>
          <w:p w14:paraId="6A4E68FE">
            <w:pPr>
              <w:widowControl/>
              <w:jc w:val="center"/>
              <w:rPr>
                <w:rFonts w:ascii="Times New Roman" w:hAnsi="Times New Roman"/>
                <w:kern w:val="0"/>
                <w:szCs w:val="21"/>
              </w:rPr>
            </w:pPr>
            <w:r>
              <w:rPr>
                <w:rFonts w:ascii="Times New Roman" w:hAnsi="Times New Roman"/>
                <w:kern w:val="0"/>
                <w:szCs w:val="21"/>
              </w:rPr>
              <w:t>19</w:t>
            </w:r>
          </w:p>
        </w:tc>
        <w:tc>
          <w:tcPr>
            <w:tcW w:w="1134" w:type="dxa"/>
            <w:shd w:val="clear" w:color="auto" w:fill="auto"/>
            <w:vAlign w:val="center"/>
          </w:tcPr>
          <w:p w14:paraId="5D1ED3C1">
            <w:pPr>
              <w:widowControl/>
              <w:jc w:val="center"/>
              <w:rPr>
                <w:rFonts w:ascii="Times New Roman" w:hAnsi="Times New Roman"/>
                <w:kern w:val="0"/>
                <w:szCs w:val="21"/>
              </w:rPr>
            </w:pPr>
            <w:r>
              <w:rPr>
                <w:rFonts w:ascii="Times New Roman" w:hAnsi="Times New Roman"/>
                <w:kern w:val="0"/>
                <w:szCs w:val="21"/>
              </w:rPr>
              <w:t>Mg</w:t>
            </w:r>
            <w:r>
              <w:rPr>
                <w:rFonts w:ascii="Times New Roman" w:hAnsi="Times New Roman"/>
                <w:kern w:val="0"/>
                <w:szCs w:val="21"/>
                <w:vertAlign w:val="superscript"/>
              </w:rPr>
              <w:t>2+</w:t>
            </w:r>
          </w:p>
        </w:tc>
        <w:tc>
          <w:tcPr>
            <w:tcW w:w="5670" w:type="dxa"/>
            <w:vMerge w:val="continue"/>
            <w:vAlign w:val="center"/>
          </w:tcPr>
          <w:p w14:paraId="02AE7A25">
            <w:pPr>
              <w:widowControl/>
              <w:jc w:val="left"/>
              <w:rPr>
                <w:rFonts w:ascii="Times New Roman" w:hAnsi="Times New Roman"/>
                <w:kern w:val="0"/>
                <w:szCs w:val="21"/>
              </w:rPr>
            </w:pPr>
          </w:p>
        </w:tc>
        <w:tc>
          <w:tcPr>
            <w:tcW w:w="1428" w:type="dxa"/>
            <w:shd w:val="clear" w:color="auto" w:fill="auto"/>
            <w:vAlign w:val="center"/>
          </w:tcPr>
          <w:p w14:paraId="7A90878C">
            <w:pPr>
              <w:widowControl/>
              <w:jc w:val="center"/>
              <w:rPr>
                <w:rFonts w:ascii="Times New Roman" w:hAnsi="Times New Roman"/>
                <w:kern w:val="0"/>
                <w:szCs w:val="21"/>
              </w:rPr>
            </w:pPr>
            <w:r>
              <w:rPr>
                <w:rFonts w:ascii="Times New Roman" w:hAnsi="Times New Roman"/>
                <w:kern w:val="0"/>
                <w:szCs w:val="21"/>
              </w:rPr>
              <w:t>0.002mg/L</w:t>
            </w:r>
          </w:p>
        </w:tc>
      </w:tr>
      <w:tr w14:paraId="018792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4" w:type="dxa"/>
            <w:shd w:val="clear" w:color="auto" w:fill="auto"/>
            <w:noWrap/>
            <w:vAlign w:val="center"/>
          </w:tcPr>
          <w:p w14:paraId="2A47370F">
            <w:pPr>
              <w:widowControl/>
              <w:jc w:val="center"/>
              <w:rPr>
                <w:rFonts w:ascii="Times New Roman" w:hAnsi="Times New Roman"/>
                <w:kern w:val="0"/>
                <w:szCs w:val="21"/>
              </w:rPr>
            </w:pPr>
            <w:r>
              <w:rPr>
                <w:rFonts w:ascii="Times New Roman" w:hAnsi="Times New Roman"/>
                <w:kern w:val="0"/>
                <w:szCs w:val="21"/>
              </w:rPr>
              <w:t>20</w:t>
            </w:r>
          </w:p>
        </w:tc>
        <w:tc>
          <w:tcPr>
            <w:tcW w:w="1134" w:type="dxa"/>
            <w:shd w:val="clear" w:color="auto" w:fill="auto"/>
            <w:vAlign w:val="center"/>
          </w:tcPr>
          <w:p w14:paraId="0917F725">
            <w:pPr>
              <w:widowControl/>
              <w:jc w:val="center"/>
              <w:rPr>
                <w:rFonts w:ascii="Times New Roman" w:hAnsi="Times New Roman"/>
                <w:kern w:val="0"/>
                <w:szCs w:val="21"/>
              </w:rPr>
            </w:pPr>
            <w:r>
              <w:rPr>
                <w:rFonts w:ascii="Times New Roman" w:hAnsi="Times New Roman"/>
                <w:kern w:val="0"/>
                <w:szCs w:val="21"/>
              </w:rPr>
              <w:t>CO</w:t>
            </w:r>
            <w:r>
              <w:rPr>
                <w:rFonts w:ascii="Times New Roman" w:hAnsi="Times New Roman"/>
                <w:kern w:val="0"/>
                <w:szCs w:val="21"/>
                <w:vertAlign w:val="subscript"/>
              </w:rPr>
              <w:t>3</w:t>
            </w:r>
            <w:r>
              <w:rPr>
                <w:rFonts w:ascii="Times New Roman" w:hAnsi="Times New Roman"/>
                <w:kern w:val="0"/>
                <w:szCs w:val="21"/>
                <w:vertAlign w:val="superscript"/>
              </w:rPr>
              <w:t>2-</w:t>
            </w:r>
          </w:p>
        </w:tc>
        <w:tc>
          <w:tcPr>
            <w:tcW w:w="5670" w:type="dxa"/>
            <w:vMerge w:val="restart"/>
            <w:shd w:val="clear" w:color="auto" w:fill="auto"/>
            <w:vAlign w:val="center"/>
          </w:tcPr>
          <w:p w14:paraId="7770FEDC">
            <w:pPr>
              <w:widowControl/>
              <w:jc w:val="center"/>
              <w:rPr>
                <w:rFonts w:ascii="Times New Roman" w:hAnsi="Times New Roman"/>
                <w:kern w:val="0"/>
                <w:szCs w:val="21"/>
              </w:rPr>
            </w:pPr>
            <w:r>
              <w:rPr>
                <w:rFonts w:ascii="Times New Roman" w:hAnsi="Times New Roman"/>
                <w:kern w:val="0"/>
                <w:szCs w:val="21"/>
              </w:rPr>
              <w:t>碱度 酸碱指示剂滴定法《水和废水监测分析方法》（第四版）国家环境保护总局（2002 年）</w:t>
            </w:r>
          </w:p>
        </w:tc>
        <w:tc>
          <w:tcPr>
            <w:tcW w:w="1428" w:type="dxa"/>
            <w:shd w:val="clear" w:color="auto" w:fill="auto"/>
            <w:vAlign w:val="center"/>
          </w:tcPr>
          <w:p w14:paraId="44EE3582">
            <w:pPr>
              <w:widowControl/>
              <w:jc w:val="center"/>
              <w:rPr>
                <w:rFonts w:ascii="Times New Roman" w:hAnsi="Times New Roman"/>
                <w:kern w:val="0"/>
                <w:szCs w:val="21"/>
              </w:rPr>
            </w:pPr>
            <w:r>
              <w:rPr>
                <w:rFonts w:ascii="Times New Roman" w:hAnsi="Times New Roman"/>
                <w:kern w:val="0"/>
                <w:szCs w:val="21"/>
              </w:rPr>
              <w:t>/</w:t>
            </w:r>
          </w:p>
        </w:tc>
      </w:tr>
      <w:tr w14:paraId="5DF410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4" w:type="dxa"/>
            <w:shd w:val="clear" w:color="auto" w:fill="auto"/>
            <w:noWrap/>
            <w:vAlign w:val="center"/>
          </w:tcPr>
          <w:p w14:paraId="48FF6293">
            <w:pPr>
              <w:widowControl/>
              <w:jc w:val="center"/>
              <w:rPr>
                <w:rFonts w:ascii="Times New Roman" w:hAnsi="Times New Roman"/>
                <w:kern w:val="0"/>
                <w:szCs w:val="21"/>
              </w:rPr>
            </w:pPr>
            <w:r>
              <w:rPr>
                <w:rFonts w:ascii="Times New Roman" w:hAnsi="Times New Roman"/>
                <w:kern w:val="0"/>
                <w:szCs w:val="21"/>
              </w:rPr>
              <w:t>21</w:t>
            </w:r>
          </w:p>
        </w:tc>
        <w:tc>
          <w:tcPr>
            <w:tcW w:w="1134" w:type="dxa"/>
            <w:shd w:val="clear" w:color="auto" w:fill="auto"/>
            <w:vAlign w:val="center"/>
          </w:tcPr>
          <w:p w14:paraId="08756AE9">
            <w:pPr>
              <w:widowControl/>
              <w:jc w:val="center"/>
              <w:rPr>
                <w:rFonts w:ascii="Times New Roman" w:hAnsi="Times New Roman"/>
                <w:kern w:val="0"/>
                <w:szCs w:val="21"/>
              </w:rPr>
            </w:pPr>
            <w:r>
              <w:rPr>
                <w:rFonts w:ascii="Times New Roman" w:hAnsi="Times New Roman"/>
                <w:kern w:val="0"/>
                <w:szCs w:val="21"/>
              </w:rPr>
              <w:t>HCO</w:t>
            </w:r>
            <w:r>
              <w:rPr>
                <w:rFonts w:ascii="Times New Roman" w:hAnsi="Times New Roman"/>
                <w:kern w:val="0"/>
                <w:szCs w:val="21"/>
                <w:vertAlign w:val="subscript"/>
              </w:rPr>
              <w:t>3</w:t>
            </w:r>
            <w:r>
              <w:rPr>
                <w:rFonts w:ascii="Times New Roman" w:hAnsi="Times New Roman"/>
                <w:kern w:val="0"/>
                <w:szCs w:val="21"/>
                <w:vertAlign w:val="superscript"/>
              </w:rPr>
              <w:t>-</w:t>
            </w:r>
          </w:p>
        </w:tc>
        <w:tc>
          <w:tcPr>
            <w:tcW w:w="5670" w:type="dxa"/>
            <w:vMerge w:val="continue"/>
            <w:vAlign w:val="center"/>
          </w:tcPr>
          <w:p w14:paraId="1B9332DB">
            <w:pPr>
              <w:widowControl/>
              <w:jc w:val="left"/>
              <w:rPr>
                <w:rFonts w:ascii="Times New Roman" w:hAnsi="Times New Roman"/>
                <w:kern w:val="0"/>
                <w:szCs w:val="21"/>
              </w:rPr>
            </w:pPr>
          </w:p>
        </w:tc>
        <w:tc>
          <w:tcPr>
            <w:tcW w:w="1428" w:type="dxa"/>
            <w:shd w:val="clear" w:color="auto" w:fill="auto"/>
            <w:vAlign w:val="center"/>
          </w:tcPr>
          <w:p w14:paraId="7912B699">
            <w:pPr>
              <w:widowControl/>
              <w:jc w:val="center"/>
              <w:rPr>
                <w:rFonts w:ascii="Times New Roman" w:hAnsi="Times New Roman"/>
                <w:kern w:val="0"/>
                <w:szCs w:val="21"/>
              </w:rPr>
            </w:pPr>
            <w:r>
              <w:rPr>
                <w:rFonts w:ascii="Times New Roman" w:hAnsi="Times New Roman"/>
                <w:kern w:val="0"/>
                <w:szCs w:val="21"/>
              </w:rPr>
              <w:t>/</w:t>
            </w:r>
          </w:p>
        </w:tc>
      </w:tr>
      <w:tr w14:paraId="3AE7EA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4" w:type="dxa"/>
            <w:shd w:val="clear" w:color="auto" w:fill="auto"/>
            <w:noWrap/>
            <w:vAlign w:val="center"/>
          </w:tcPr>
          <w:p w14:paraId="773866F8">
            <w:pPr>
              <w:widowControl/>
              <w:jc w:val="center"/>
              <w:rPr>
                <w:rFonts w:ascii="Times New Roman" w:hAnsi="Times New Roman"/>
                <w:kern w:val="0"/>
                <w:szCs w:val="21"/>
              </w:rPr>
            </w:pPr>
            <w:r>
              <w:rPr>
                <w:rFonts w:ascii="Times New Roman" w:hAnsi="Times New Roman"/>
                <w:kern w:val="0"/>
                <w:szCs w:val="21"/>
              </w:rPr>
              <w:t>22</w:t>
            </w:r>
          </w:p>
        </w:tc>
        <w:tc>
          <w:tcPr>
            <w:tcW w:w="1134" w:type="dxa"/>
            <w:shd w:val="clear" w:color="auto" w:fill="auto"/>
            <w:vAlign w:val="center"/>
          </w:tcPr>
          <w:p w14:paraId="49D33320">
            <w:pPr>
              <w:widowControl/>
              <w:jc w:val="center"/>
              <w:rPr>
                <w:rFonts w:ascii="Times New Roman" w:hAnsi="Times New Roman"/>
                <w:kern w:val="0"/>
                <w:szCs w:val="21"/>
              </w:rPr>
            </w:pPr>
            <w:r>
              <w:rPr>
                <w:rFonts w:ascii="Times New Roman" w:hAnsi="Times New Roman"/>
                <w:kern w:val="0"/>
                <w:szCs w:val="21"/>
              </w:rPr>
              <w:t>Cl-</w:t>
            </w:r>
          </w:p>
        </w:tc>
        <w:tc>
          <w:tcPr>
            <w:tcW w:w="5670" w:type="dxa"/>
            <w:shd w:val="clear" w:color="auto" w:fill="auto"/>
            <w:vAlign w:val="center"/>
          </w:tcPr>
          <w:p w14:paraId="465D365B">
            <w:pPr>
              <w:widowControl/>
              <w:jc w:val="center"/>
              <w:rPr>
                <w:rFonts w:ascii="Times New Roman" w:hAnsi="Times New Roman"/>
                <w:kern w:val="0"/>
                <w:szCs w:val="21"/>
              </w:rPr>
            </w:pPr>
            <w:r>
              <w:rPr>
                <w:rFonts w:ascii="Times New Roman" w:hAnsi="Times New Roman"/>
                <w:kern w:val="0"/>
                <w:szCs w:val="21"/>
              </w:rPr>
              <w:t>水质 氯化物的测定 硝酸银滴定法  GB 11896-1989</w:t>
            </w:r>
          </w:p>
        </w:tc>
        <w:tc>
          <w:tcPr>
            <w:tcW w:w="1428" w:type="dxa"/>
            <w:shd w:val="clear" w:color="auto" w:fill="auto"/>
            <w:vAlign w:val="center"/>
          </w:tcPr>
          <w:p w14:paraId="00FB11D6">
            <w:pPr>
              <w:widowControl/>
              <w:jc w:val="center"/>
              <w:rPr>
                <w:rFonts w:ascii="Times New Roman" w:hAnsi="Times New Roman"/>
                <w:kern w:val="0"/>
                <w:szCs w:val="21"/>
              </w:rPr>
            </w:pPr>
            <w:r>
              <w:rPr>
                <w:rFonts w:ascii="Times New Roman" w:hAnsi="Times New Roman"/>
                <w:kern w:val="0"/>
                <w:szCs w:val="21"/>
              </w:rPr>
              <w:t>10mg/L</w:t>
            </w:r>
          </w:p>
        </w:tc>
      </w:tr>
      <w:tr w14:paraId="1ED4C1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4" w:type="dxa"/>
            <w:shd w:val="clear" w:color="auto" w:fill="auto"/>
            <w:noWrap/>
            <w:vAlign w:val="center"/>
          </w:tcPr>
          <w:p w14:paraId="6E2A6CB0">
            <w:pPr>
              <w:widowControl/>
              <w:jc w:val="center"/>
              <w:rPr>
                <w:rFonts w:ascii="Times New Roman" w:hAnsi="Times New Roman"/>
                <w:kern w:val="0"/>
                <w:szCs w:val="21"/>
              </w:rPr>
            </w:pPr>
            <w:r>
              <w:rPr>
                <w:rFonts w:ascii="Times New Roman" w:hAnsi="Times New Roman"/>
                <w:kern w:val="0"/>
                <w:szCs w:val="21"/>
              </w:rPr>
              <w:t>23</w:t>
            </w:r>
          </w:p>
        </w:tc>
        <w:tc>
          <w:tcPr>
            <w:tcW w:w="1134" w:type="dxa"/>
            <w:shd w:val="clear" w:color="auto" w:fill="auto"/>
            <w:vAlign w:val="center"/>
          </w:tcPr>
          <w:p w14:paraId="6C989505">
            <w:pPr>
              <w:widowControl/>
              <w:jc w:val="center"/>
              <w:rPr>
                <w:rFonts w:ascii="Times New Roman" w:hAnsi="Times New Roman"/>
                <w:kern w:val="0"/>
                <w:szCs w:val="21"/>
              </w:rPr>
            </w:pPr>
            <w:r>
              <w:rPr>
                <w:rFonts w:ascii="Times New Roman" w:hAnsi="Times New Roman"/>
                <w:kern w:val="0"/>
                <w:szCs w:val="21"/>
              </w:rPr>
              <w:t>SO</w:t>
            </w:r>
            <w:r>
              <w:rPr>
                <w:rFonts w:ascii="Times New Roman" w:hAnsi="Times New Roman"/>
                <w:kern w:val="0"/>
                <w:szCs w:val="21"/>
                <w:vertAlign w:val="subscript"/>
              </w:rPr>
              <w:t>4</w:t>
            </w:r>
            <w:r>
              <w:rPr>
                <w:rFonts w:ascii="Times New Roman" w:hAnsi="Times New Roman"/>
                <w:kern w:val="0"/>
                <w:szCs w:val="21"/>
                <w:vertAlign w:val="superscript"/>
              </w:rPr>
              <w:t>2-</w:t>
            </w:r>
          </w:p>
        </w:tc>
        <w:tc>
          <w:tcPr>
            <w:tcW w:w="5670" w:type="dxa"/>
            <w:shd w:val="clear" w:color="auto" w:fill="auto"/>
            <w:vAlign w:val="center"/>
          </w:tcPr>
          <w:p w14:paraId="3499CF09">
            <w:pPr>
              <w:widowControl/>
              <w:jc w:val="center"/>
              <w:rPr>
                <w:rFonts w:ascii="Times New Roman" w:hAnsi="Times New Roman"/>
                <w:kern w:val="0"/>
                <w:szCs w:val="21"/>
              </w:rPr>
            </w:pPr>
            <w:r>
              <w:rPr>
                <w:rFonts w:ascii="Times New Roman" w:hAnsi="Times New Roman"/>
                <w:kern w:val="0"/>
                <w:szCs w:val="21"/>
              </w:rPr>
              <w:t>水质 硫酸盐的测定 铬酸钡分光光度法（试行）</w:t>
            </w:r>
          </w:p>
          <w:p w14:paraId="0BA86D9B">
            <w:pPr>
              <w:widowControl/>
              <w:jc w:val="center"/>
              <w:rPr>
                <w:rFonts w:ascii="Times New Roman" w:hAnsi="Times New Roman"/>
                <w:kern w:val="0"/>
                <w:szCs w:val="21"/>
              </w:rPr>
            </w:pPr>
            <w:r>
              <w:rPr>
                <w:rFonts w:ascii="Times New Roman" w:hAnsi="Times New Roman"/>
                <w:kern w:val="0"/>
                <w:szCs w:val="21"/>
              </w:rPr>
              <w:t>HJ/T 342-2007</w:t>
            </w:r>
          </w:p>
        </w:tc>
        <w:tc>
          <w:tcPr>
            <w:tcW w:w="1428" w:type="dxa"/>
            <w:shd w:val="clear" w:color="auto" w:fill="auto"/>
            <w:vAlign w:val="center"/>
          </w:tcPr>
          <w:p w14:paraId="578184E9">
            <w:pPr>
              <w:widowControl/>
              <w:jc w:val="center"/>
              <w:rPr>
                <w:rFonts w:ascii="Times New Roman" w:hAnsi="Times New Roman"/>
                <w:kern w:val="0"/>
                <w:szCs w:val="21"/>
              </w:rPr>
            </w:pPr>
            <w:r>
              <w:rPr>
                <w:rFonts w:ascii="Times New Roman" w:hAnsi="Times New Roman"/>
                <w:kern w:val="0"/>
                <w:szCs w:val="21"/>
              </w:rPr>
              <w:t>8mg/L</w:t>
            </w:r>
          </w:p>
        </w:tc>
      </w:tr>
    </w:tbl>
    <w:p w14:paraId="63206E6C">
      <w:pPr>
        <w:widowControl/>
        <w:spacing w:line="360" w:lineRule="auto"/>
        <w:ind w:firstLine="472" w:firstLineChars="225"/>
      </w:pPr>
    </w:p>
    <w:p w14:paraId="6E391074">
      <w:pPr>
        <w:pStyle w:val="6"/>
        <w:numPr>
          <w:ilvl w:val="2"/>
          <w:numId w:val="3"/>
        </w:numPr>
      </w:pPr>
      <w:r>
        <w:t>评价标准</w:t>
      </w:r>
    </w:p>
    <w:p w14:paraId="1E392F93">
      <w:pPr>
        <w:widowControl/>
        <w:spacing w:line="360" w:lineRule="auto"/>
        <w:ind w:firstLine="531" w:firstLineChars="225"/>
        <w:rPr>
          <w:rFonts w:ascii="Times New Roman" w:hAnsi="Times New Roman"/>
          <w:spacing w:val="-2"/>
          <w:kern w:val="0"/>
          <w:sz w:val="24"/>
          <w:szCs w:val="20"/>
        </w:rPr>
      </w:pPr>
      <w:r>
        <w:rPr>
          <w:rFonts w:ascii="Times New Roman" w:hAnsi="Times New Roman"/>
          <w:spacing w:val="-2"/>
          <w:kern w:val="0"/>
          <w:sz w:val="24"/>
          <w:szCs w:val="24"/>
        </w:rPr>
        <w:t>地下水执行《地下水质量标准》（GB/T14848-2017）Ⅲ类标准。</w:t>
      </w:r>
    </w:p>
    <w:p w14:paraId="12E2D094">
      <w:pPr>
        <w:pStyle w:val="6"/>
        <w:numPr>
          <w:ilvl w:val="2"/>
          <w:numId w:val="3"/>
        </w:numPr>
      </w:pPr>
      <w:r>
        <w:t>评价方法</w:t>
      </w:r>
    </w:p>
    <w:p w14:paraId="22687DC2">
      <w:pPr>
        <w:spacing w:line="360" w:lineRule="auto"/>
        <w:ind w:firstLine="480"/>
        <w:rPr>
          <w:rFonts w:ascii="Times New Roman" w:hAnsi="Times New Roman"/>
          <w:sz w:val="24"/>
          <w:szCs w:val="24"/>
        </w:rPr>
      </w:pPr>
      <w:r>
        <w:rPr>
          <w:rFonts w:ascii="Times New Roman" w:hAnsi="Times New Roman"/>
          <w:sz w:val="24"/>
          <w:szCs w:val="24"/>
        </w:rPr>
        <w:t>评价方法：采用《环境影响评价技术导则地下水环境》（HJ610-2016）推荐的标准指数法进行评价。公式为：</w:t>
      </w:r>
    </w:p>
    <w:p w14:paraId="1DAD339A">
      <w:pPr>
        <w:spacing w:line="360" w:lineRule="auto"/>
        <w:ind w:firstLine="1200" w:firstLineChars="500"/>
        <w:jc w:val="center"/>
        <w:rPr>
          <w:rFonts w:ascii="Times New Roman" w:hAnsi="Times New Roman"/>
          <w:sz w:val="24"/>
          <w:szCs w:val="24"/>
        </w:rPr>
      </w:pPr>
      <w:r>
        <w:rPr>
          <w:rFonts w:ascii="Times New Roman" w:hAnsi="Times New Roman"/>
          <w:sz w:val="24"/>
          <w:szCs w:val="24"/>
        </w:rPr>
        <w:t>Pi=Ci./Csi</w:t>
      </w:r>
    </w:p>
    <w:p w14:paraId="18A1504C">
      <w:pPr>
        <w:overflowPunct w:val="0"/>
        <w:autoSpaceDN w:val="0"/>
        <w:spacing w:line="360" w:lineRule="auto"/>
        <w:ind w:firstLine="480"/>
        <w:rPr>
          <w:rFonts w:ascii="Times New Roman" w:hAnsi="Times New Roman"/>
          <w:sz w:val="24"/>
          <w:szCs w:val="24"/>
        </w:rPr>
      </w:pPr>
      <w:r>
        <w:rPr>
          <w:rFonts w:ascii="Times New Roman" w:hAnsi="Times New Roman"/>
          <w:sz w:val="24"/>
          <w:szCs w:val="24"/>
        </w:rPr>
        <w:t>式中：</w:t>
      </w:r>
      <w:r>
        <w:rPr>
          <w:rFonts w:ascii="Times New Roman" w:hAnsi="Times New Roman"/>
          <w:i/>
          <w:sz w:val="24"/>
          <w:szCs w:val="24"/>
        </w:rPr>
        <w:t>P</w:t>
      </w:r>
      <w:r>
        <w:rPr>
          <w:rFonts w:ascii="Times New Roman" w:hAnsi="Times New Roman"/>
          <w:i/>
          <w:sz w:val="24"/>
          <w:szCs w:val="24"/>
          <w:vertAlign w:val="subscript"/>
        </w:rPr>
        <w:t>i</w:t>
      </w:r>
      <w:r>
        <w:rPr>
          <w:rFonts w:ascii="Times New Roman" w:hAnsi="Times New Roman"/>
          <w:sz w:val="24"/>
          <w:szCs w:val="24"/>
        </w:rPr>
        <w:t>——第</w:t>
      </w:r>
      <w:r>
        <w:rPr>
          <w:rFonts w:ascii="Times New Roman" w:hAnsi="Times New Roman"/>
          <w:i/>
          <w:sz w:val="24"/>
          <w:szCs w:val="24"/>
        </w:rPr>
        <w:t>i</w:t>
      </w:r>
      <w:r>
        <w:rPr>
          <w:rFonts w:ascii="Times New Roman" w:hAnsi="Times New Roman"/>
          <w:sz w:val="24"/>
          <w:szCs w:val="24"/>
        </w:rPr>
        <w:t>个水质因子的标准指数。标准指数大于1说明水质已超标；</w:t>
      </w:r>
    </w:p>
    <w:p w14:paraId="7F9233AB">
      <w:pPr>
        <w:overflowPunct w:val="0"/>
        <w:autoSpaceDN w:val="0"/>
        <w:spacing w:line="360" w:lineRule="auto"/>
        <w:ind w:firstLine="1200" w:firstLineChars="500"/>
        <w:rPr>
          <w:rFonts w:ascii="Times New Roman" w:hAnsi="Times New Roman"/>
          <w:sz w:val="24"/>
          <w:szCs w:val="24"/>
        </w:rPr>
      </w:pPr>
      <w:r>
        <w:rPr>
          <w:rFonts w:ascii="Times New Roman" w:hAnsi="Times New Roman"/>
          <w:i/>
          <w:sz w:val="24"/>
          <w:szCs w:val="24"/>
        </w:rPr>
        <w:t>C</w:t>
      </w:r>
      <w:r>
        <w:rPr>
          <w:rFonts w:ascii="Times New Roman" w:hAnsi="Times New Roman"/>
          <w:i/>
          <w:sz w:val="24"/>
          <w:szCs w:val="24"/>
          <w:vertAlign w:val="subscript"/>
        </w:rPr>
        <w:t>i.</w:t>
      </w:r>
      <w:r>
        <w:rPr>
          <w:rFonts w:ascii="Times New Roman" w:hAnsi="Times New Roman"/>
          <w:sz w:val="24"/>
          <w:szCs w:val="24"/>
        </w:rPr>
        <w:t>——第</w:t>
      </w:r>
      <w:r>
        <w:rPr>
          <w:rFonts w:ascii="Times New Roman" w:hAnsi="Times New Roman"/>
          <w:i/>
          <w:sz w:val="24"/>
          <w:szCs w:val="24"/>
        </w:rPr>
        <w:t>i</w:t>
      </w:r>
      <w:r>
        <w:rPr>
          <w:rFonts w:ascii="Times New Roman" w:hAnsi="Times New Roman"/>
          <w:sz w:val="24"/>
          <w:szCs w:val="24"/>
        </w:rPr>
        <w:t>个水质因子的监测浓度值，mg/L；</w:t>
      </w:r>
    </w:p>
    <w:p w14:paraId="26D532F0">
      <w:pPr>
        <w:overflowPunct w:val="0"/>
        <w:autoSpaceDN w:val="0"/>
        <w:spacing w:line="360" w:lineRule="auto"/>
        <w:ind w:firstLine="1200" w:firstLineChars="500"/>
        <w:rPr>
          <w:rFonts w:ascii="Times New Roman" w:hAnsi="Times New Roman"/>
          <w:sz w:val="24"/>
          <w:szCs w:val="24"/>
        </w:rPr>
      </w:pPr>
      <w:r>
        <w:rPr>
          <w:rFonts w:ascii="Times New Roman" w:hAnsi="Times New Roman"/>
          <w:i/>
          <w:sz w:val="24"/>
          <w:szCs w:val="24"/>
        </w:rPr>
        <w:t>C</w:t>
      </w:r>
      <w:r>
        <w:rPr>
          <w:rFonts w:ascii="Times New Roman" w:hAnsi="Times New Roman"/>
          <w:i/>
          <w:sz w:val="24"/>
          <w:szCs w:val="24"/>
          <w:vertAlign w:val="subscript"/>
        </w:rPr>
        <w:t>si</w:t>
      </w:r>
      <w:r>
        <w:rPr>
          <w:rFonts w:ascii="Times New Roman" w:hAnsi="Times New Roman"/>
          <w:sz w:val="24"/>
          <w:szCs w:val="24"/>
        </w:rPr>
        <w:t>——第</w:t>
      </w:r>
      <w:r>
        <w:rPr>
          <w:rFonts w:ascii="Times New Roman" w:hAnsi="Times New Roman"/>
          <w:i/>
          <w:sz w:val="24"/>
          <w:szCs w:val="24"/>
        </w:rPr>
        <w:t>i</w:t>
      </w:r>
      <w:r>
        <w:rPr>
          <w:rFonts w:ascii="Times New Roman" w:hAnsi="Times New Roman"/>
          <w:sz w:val="24"/>
          <w:szCs w:val="24"/>
        </w:rPr>
        <w:t>个水质因子的标准浓度值，mg/L。</w:t>
      </w:r>
    </w:p>
    <w:p w14:paraId="5C0FF8ED">
      <w:pPr>
        <w:overflowPunct w:val="0"/>
        <w:autoSpaceDN w:val="0"/>
        <w:adjustRightInd w:val="0"/>
        <w:snapToGrid w:val="0"/>
        <w:spacing w:line="360" w:lineRule="auto"/>
        <w:ind w:firstLine="480"/>
        <w:rPr>
          <w:rFonts w:ascii="Times New Roman" w:hAnsi="Times New Roman"/>
          <w:sz w:val="24"/>
          <w:szCs w:val="24"/>
        </w:rPr>
      </w:pPr>
      <w:r>
        <w:rPr>
          <w:rFonts w:ascii="Times New Roman" w:hAnsi="Times New Roman"/>
          <w:sz w:val="24"/>
          <w:szCs w:val="24"/>
        </w:rPr>
        <w:t>pH值的水质指数为：</w:t>
      </w:r>
    </w:p>
    <w:p w14:paraId="6BCD90D5">
      <w:pPr>
        <w:overflowPunct w:val="0"/>
        <w:autoSpaceDN w:val="0"/>
        <w:spacing w:line="360" w:lineRule="auto"/>
        <w:jc w:val="center"/>
        <w:rPr>
          <w:rFonts w:ascii="Times New Roman" w:hAnsi="Times New Roman"/>
          <w:sz w:val="24"/>
          <w:szCs w:val="24"/>
        </w:rPr>
      </w:pPr>
      <w:r>
        <w:rPr>
          <w:rFonts w:ascii="Times New Roman" w:hAnsi="Times New Roman"/>
          <w:b/>
          <w:position w:val="-30"/>
          <w:sz w:val="24"/>
          <w:szCs w:val="24"/>
        </w:rPr>
        <w:drawing>
          <wp:inline distT="0" distB="0" distL="0" distR="0">
            <wp:extent cx="1252855" cy="465455"/>
            <wp:effectExtent l="0" t="0" r="0" b="6350"/>
            <wp:docPr id="205898367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983673" name="图片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252855" cy="465455"/>
                    </a:xfrm>
                    <a:prstGeom prst="rect">
                      <a:avLst/>
                    </a:prstGeom>
                    <a:noFill/>
                    <a:ln>
                      <a:noFill/>
                    </a:ln>
                  </pic:spPr>
                </pic:pic>
              </a:graphicData>
            </a:graphic>
          </wp:inline>
        </w:drawing>
      </w:r>
      <w:r>
        <w:rPr>
          <w:rFonts w:ascii="Times New Roman" w:hAnsi="Times New Roman"/>
          <w:sz w:val="24"/>
          <w:szCs w:val="24"/>
        </w:rPr>
        <w:t xml:space="preserve">    pH</w:t>
      </w:r>
      <w:r>
        <w:rPr>
          <w:rFonts w:ascii="Times New Roman" w:hAnsi="Times New Roman"/>
          <w:sz w:val="24"/>
          <w:szCs w:val="24"/>
          <w:vertAlign w:val="subscript"/>
        </w:rPr>
        <w:t>j</w:t>
      </w:r>
      <w:r>
        <w:rPr>
          <w:rFonts w:ascii="Times New Roman" w:hAnsi="Times New Roman"/>
          <w:sz w:val="24"/>
          <w:szCs w:val="24"/>
        </w:rPr>
        <w:t>≤7.0</w:t>
      </w:r>
    </w:p>
    <w:p w14:paraId="483A3B6E">
      <w:pPr>
        <w:overflowPunct w:val="0"/>
        <w:autoSpaceDN w:val="0"/>
        <w:spacing w:line="360" w:lineRule="auto"/>
        <w:jc w:val="center"/>
        <w:rPr>
          <w:rFonts w:ascii="Times New Roman" w:hAnsi="Times New Roman"/>
          <w:sz w:val="24"/>
          <w:szCs w:val="24"/>
        </w:rPr>
      </w:pPr>
      <w:r>
        <w:rPr>
          <w:rFonts w:ascii="Times New Roman" w:hAnsi="Times New Roman"/>
          <w:position w:val="-30"/>
          <w:sz w:val="24"/>
          <w:szCs w:val="24"/>
        </w:rPr>
        <w:drawing>
          <wp:inline distT="0" distB="0" distL="0" distR="0">
            <wp:extent cx="1261745" cy="465455"/>
            <wp:effectExtent l="0" t="0" r="0" b="6350"/>
            <wp:docPr id="10427992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79929" name="图片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261745" cy="465455"/>
                    </a:xfrm>
                    <a:prstGeom prst="rect">
                      <a:avLst/>
                    </a:prstGeom>
                    <a:noFill/>
                    <a:ln>
                      <a:noFill/>
                    </a:ln>
                  </pic:spPr>
                </pic:pic>
              </a:graphicData>
            </a:graphic>
          </wp:inline>
        </w:drawing>
      </w:r>
      <w:r>
        <w:rPr>
          <w:rFonts w:ascii="Times New Roman" w:hAnsi="Times New Roman"/>
          <w:sz w:val="24"/>
          <w:szCs w:val="24"/>
        </w:rPr>
        <w:t xml:space="preserve">    pH</w:t>
      </w:r>
      <w:r>
        <w:rPr>
          <w:rFonts w:ascii="Times New Roman" w:hAnsi="Times New Roman"/>
          <w:sz w:val="24"/>
          <w:szCs w:val="24"/>
          <w:vertAlign w:val="subscript"/>
        </w:rPr>
        <w:t>j</w:t>
      </w:r>
      <w:r>
        <w:rPr>
          <w:rFonts w:ascii="Times New Roman" w:hAnsi="Times New Roman"/>
          <w:sz w:val="24"/>
          <w:szCs w:val="24"/>
        </w:rPr>
        <w:t>＞7.0</w:t>
      </w:r>
    </w:p>
    <w:p w14:paraId="7D06D522">
      <w:pPr>
        <w:overflowPunct w:val="0"/>
        <w:autoSpaceDN w:val="0"/>
        <w:spacing w:line="360" w:lineRule="auto"/>
        <w:ind w:firstLine="480"/>
        <w:rPr>
          <w:rFonts w:ascii="Times New Roman" w:hAnsi="Times New Roman"/>
          <w:sz w:val="24"/>
          <w:szCs w:val="24"/>
        </w:rPr>
      </w:pPr>
      <w:r>
        <w:rPr>
          <w:rFonts w:ascii="Times New Roman" w:hAnsi="Times New Roman"/>
          <w:sz w:val="24"/>
          <w:szCs w:val="24"/>
        </w:rPr>
        <w:t>式中：</w:t>
      </w:r>
      <w:r>
        <w:rPr>
          <w:rFonts w:ascii="Times New Roman" w:hAnsi="Times New Roman"/>
          <w:i/>
          <w:sz w:val="24"/>
          <w:szCs w:val="24"/>
        </w:rPr>
        <w:t>P</w:t>
      </w:r>
      <w:r>
        <w:rPr>
          <w:rFonts w:ascii="Times New Roman" w:hAnsi="Times New Roman"/>
          <w:i/>
          <w:sz w:val="24"/>
          <w:szCs w:val="24"/>
          <w:vertAlign w:val="subscript"/>
        </w:rPr>
        <w:t>pH</w:t>
      </w:r>
      <w:r>
        <w:rPr>
          <w:rFonts w:ascii="Times New Roman" w:hAnsi="Times New Roman"/>
          <w:sz w:val="24"/>
          <w:szCs w:val="24"/>
        </w:rPr>
        <w:t>——pH的标准指数，无量纲；</w:t>
      </w:r>
    </w:p>
    <w:p w14:paraId="0A2B61F4">
      <w:pPr>
        <w:overflowPunct w:val="0"/>
        <w:autoSpaceDN w:val="0"/>
        <w:spacing w:line="360" w:lineRule="auto"/>
        <w:ind w:firstLine="1200" w:firstLineChars="500"/>
        <w:rPr>
          <w:rFonts w:ascii="Times New Roman" w:hAnsi="Times New Roman"/>
          <w:sz w:val="24"/>
          <w:szCs w:val="24"/>
        </w:rPr>
      </w:pPr>
      <w:r>
        <w:rPr>
          <w:rFonts w:ascii="Times New Roman" w:hAnsi="Times New Roman"/>
          <w:i/>
          <w:sz w:val="24"/>
          <w:szCs w:val="24"/>
        </w:rPr>
        <w:t>pH</w:t>
      </w:r>
      <w:r>
        <w:rPr>
          <w:rFonts w:ascii="Times New Roman" w:hAnsi="Times New Roman"/>
          <w:i/>
          <w:sz w:val="24"/>
          <w:szCs w:val="24"/>
          <w:vertAlign w:val="subscript"/>
        </w:rPr>
        <w:t>j</w:t>
      </w:r>
      <w:r>
        <w:rPr>
          <w:rFonts w:ascii="Times New Roman" w:hAnsi="Times New Roman"/>
          <w:sz w:val="24"/>
          <w:szCs w:val="24"/>
        </w:rPr>
        <w:t>——pH值监测值；</w:t>
      </w:r>
    </w:p>
    <w:p w14:paraId="3D5996FF">
      <w:pPr>
        <w:overflowPunct w:val="0"/>
        <w:autoSpaceDN w:val="0"/>
        <w:spacing w:line="360" w:lineRule="auto"/>
        <w:ind w:firstLine="1200" w:firstLineChars="500"/>
        <w:rPr>
          <w:rFonts w:ascii="Times New Roman" w:hAnsi="Times New Roman"/>
          <w:sz w:val="24"/>
          <w:szCs w:val="24"/>
        </w:rPr>
      </w:pPr>
      <w:r>
        <w:rPr>
          <w:rFonts w:ascii="Times New Roman" w:hAnsi="Times New Roman"/>
          <w:i/>
          <w:sz w:val="24"/>
          <w:szCs w:val="24"/>
        </w:rPr>
        <w:t>pH</w:t>
      </w:r>
      <w:r>
        <w:rPr>
          <w:rFonts w:ascii="Times New Roman" w:hAnsi="Times New Roman"/>
          <w:i/>
          <w:sz w:val="24"/>
          <w:szCs w:val="24"/>
          <w:vertAlign w:val="subscript"/>
        </w:rPr>
        <w:t>su</w:t>
      </w:r>
      <w:r>
        <w:rPr>
          <w:rFonts w:ascii="Times New Roman" w:hAnsi="Times New Roman"/>
          <w:sz w:val="24"/>
          <w:szCs w:val="24"/>
        </w:rPr>
        <w:t>——标准中的pH值上限值；</w:t>
      </w:r>
    </w:p>
    <w:p w14:paraId="310287CF">
      <w:pPr>
        <w:overflowPunct w:val="0"/>
        <w:autoSpaceDN w:val="0"/>
        <w:spacing w:line="360" w:lineRule="auto"/>
        <w:ind w:firstLine="1200" w:firstLineChars="500"/>
        <w:rPr>
          <w:rFonts w:ascii="Times New Roman" w:hAnsi="Times New Roman"/>
          <w:spacing w:val="-2"/>
          <w:kern w:val="0"/>
          <w:sz w:val="24"/>
          <w:szCs w:val="24"/>
        </w:rPr>
      </w:pPr>
      <w:r>
        <w:rPr>
          <w:rFonts w:ascii="Times New Roman" w:hAnsi="Times New Roman"/>
          <w:i/>
          <w:sz w:val="24"/>
          <w:szCs w:val="24"/>
        </w:rPr>
        <w:t>pH</w:t>
      </w:r>
      <w:r>
        <w:rPr>
          <w:rFonts w:ascii="Times New Roman" w:hAnsi="Times New Roman"/>
          <w:i/>
          <w:sz w:val="24"/>
          <w:szCs w:val="24"/>
          <w:vertAlign w:val="subscript"/>
        </w:rPr>
        <w:t>sd</w:t>
      </w:r>
      <w:r>
        <w:rPr>
          <w:rFonts w:ascii="Times New Roman" w:hAnsi="Times New Roman"/>
          <w:sz w:val="24"/>
          <w:szCs w:val="24"/>
        </w:rPr>
        <w:t>——标准中的pH值下限值。</w:t>
      </w:r>
    </w:p>
    <w:p w14:paraId="4920DB80">
      <w:pPr>
        <w:pStyle w:val="6"/>
        <w:numPr>
          <w:ilvl w:val="2"/>
          <w:numId w:val="3"/>
        </w:numPr>
      </w:pPr>
      <w:r>
        <w:t>监测与评价结果</w:t>
      </w:r>
    </w:p>
    <w:p w14:paraId="0C91AC66">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地下水水质现状监测统计结果见表3.</w:t>
      </w:r>
      <w:r>
        <w:rPr>
          <w:rFonts w:hint="eastAsia" w:ascii="Times New Roman" w:hAnsi="Times New Roman"/>
          <w:spacing w:val="-2"/>
          <w:kern w:val="0"/>
          <w:sz w:val="24"/>
          <w:szCs w:val="24"/>
        </w:rPr>
        <w:t>5</w:t>
      </w:r>
      <w:r>
        <w:rPr>
          <w:rFonts w:ascii="Times New Roman" w:hAnsi="Times New Roman"/>
          <w:spacing w:val="-2"/>
          <w:kern w:val="0"/>
          <w:sz w:val="24"/>
          <w:szCs w:val="24"/>
        </w:rPr>
        <w:t>-3～4。</w:t>
      </w:r>
    </w:p>
    <w:p w14:paraId="4B8F71F0">
      <w:pPr>
        <w:pStyle w:val="8"/>
        <w:numPr>
          <w:ilvl w:val="4"/>
          <w:numId w:val="3"/>
        </w:numPr>
        <w:rPr>
          <w:sz w:val="24"/>
          <w:szCs w:val="24"/>
        </w:rPr>
      </w:pPr>
      <w:r>
        <w:rPr>
          <w:sz w:val="24"/>
          <w:szCs w:val="24"/>
        </w:rPr>
        <w:t>地下水八大离子监测结果表</w:t>
      </w:r>
    </w:p>
    <w:tbl>
      <w:tblPr>
        <w:tblStyle w:val="88"/>
        <w:tblW w:w="904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33"/>
        <w:gridCol w:w="1900"/>
        <w:gridCol w:w="1266"/>
        <w:gridCol w:w="1613"/>
        <w:gridCol w:w="1613"/>
        <w:gridCol w:w="1615"/>
      </w:tblGrid>
      <w:tr w14:paraId="7FCA01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33" w:type="dxa"/>
            <w:shd w:val="clear" w:color="auto" w:fill="auto"/>
            <w:noWrap/>
            <w:vAlign w:val="center"/>
          </w:tcPr>
          <w:p w14:paraId="5912D675">
            <w:pPr>
              <w:widowControl/>
              <w:jc w:val="center"/>
              <w:rPr>
                <w:rFonts w:ascii="Times New Roman" w:hAnsi="Times New Roman"/>
                <w:b/>
                <w:bCs/>
                <w:kern w:val="0"/>
                <w:szCs w:val="21"/>
              </w:rPr>
            </w:pPr>
            <w:r>
              <w:rPr>
                <w:rFonts w:ascii="Times New Roman" w:hAnsi="Times New Roman"/>
                <w:b/>
                <w:bCs/>
                <w:kern w:val="0"/>
                <w:szCs w:val="21"/>
              </w:rPr>
              <w:t>序号</w:t>
            </w:r>
          </w:p>
        </w:tc>
        <w:tc>
          <w:tcPr>
            <w:tcW w:w="1900" w:type="dxa"/>
            <w:shd w:val="clear" w:color="auto" w:fill="auto"/>
            <w:noWrap/>
            <w:vAlign w:val="center"/>
          </w:tcPr>
          <w:p w14:paraId="42BA3147">
            <w:pPr>
              <w:widowControl/>
              <w:jc w:val="center"/>
              <w:rPr>
                <w:rFonts w:ascii="Times New Roman" w:hAnsi="Times New Roman"/>
                <w:b/>
                <w:bCs/>
                <w:kern w:val="0"/>
                <w:szCs w:val="21"/>
              </w:rPr>
            </w:pPr>
            <w:r>
              <w:rPr>
                <w:rFonts w:ascii="Times New Roman" w:hAnsi="Times New Roman"/>
                <w:b/>
                <w:bCs/>
                <w:kern w:val="0"/>
                <w:szCs w:val="21"/>
              </w:rPr>
              <w:t>监测项目</w:t>
            </w:r>
          </w:p>
        </w:tc>
        <w:tc>
          <w:tcPr>
            <w:tcW w:w="1266" w:type="dxa"/>
            <w:shd w:val="clear" w:color="auto" w:fill="auto"/>
            <w:noWrap/>
            <w:vAlign w:val="center"/>
          </w:tcPr>
          <w:p w14:paraId="7C014469">
            <w:pPr>
              <w:widowControl/>
              <w:jc w:val="center"/>
              <w:rPr>
                <w:rFonts w:ascii="Times New Roman" w:hAnsi="Times New Roman"/>
                <w:b/>
                <w:bCs/>
                <w:kern w:val="0"/>
                <w:szCs w:val="21"/>
              </w:rPr>
            </w:pPr>
            <w:r>
              <w:rPr>
                <w:rFonts w:ascii="Times New Roman" w:hAnsi="Times New Roman"/>
                <w:b/>
                <w:bCs/>
                <w:kern w:val="0"/>
                <w:szCs w:val="21"/>
              </w:rPr>
              <w:t>单位</w:t>
            </w:r>
          </w:p>
        </w:tc>
        <w:tc>
          <w:tcPr>
            <w:tcW w:w="1613" w:type="dxa"/>
            <w:shd w:val="clear" w:color="auto" w:fill="auto"/>
            <w:noWrap/>
            <w:vAlign w:val="center"/>
          </w:tcPr>
          <w:p w14:paraId="57AA6542">
            <w:pPr>
              <w:widowControl/>
              <w:jc w:val="center"/>
              <w:rPr>
                <w:rFonts w:ascii="Times New Roman" w:hAnsi="Times New Roman"/>
                <w:b/>
                <w:bCs/>
                <w:kern w:val="0"/>
                <w:szCs w:val="21"/>
              </w:rPr>
            </w:pPr>
            <w:r>
              <w:rPr>
                <w:rFonts w:ascii="Times New Roman" w:hAnsi="Times New Roman"/>
                <w:b/>
                <w:bCs/>
                <w:kern w:val="0"/>
                <w:szCs w:val="21"/>
              </w:rPr>
              <w:t>1#监测点</w:t>
            </w:r>
          </w:p>
        </w:tc>
        <w:tc>
          <w:tcPr>
            <w:tcW w:w="1613" w:type="dxa"/>
            <w:shd w:val="clear" w:color="auto" w:fill="auto"/>
            <w:noWrap/>
            <w:vAlign w:val="center"/>
          </w:tcPr>
          <w:p w14:paraId="3EFB6B38">
            <w:pPr>
              <w:widowControl/>
              <w:jc w:val="center"/>
              <w:rPr>
                <w:rFonts w:ascii="Times New Roman" w:hAnsi="Times New Roman"/>
                <w:b/>
                <w:bCs/>
                <w:kern w:val="0"/>
                <w:szCs w:val="21"/>
              </w:rPr>
            </w:pPr>
            <w:r>
              <w:rPr>
                <w:rFonts w:ascii="Times New Roman" w:hAnsi="Times New Roman"/>
                <w:b/>
                <w:bCs/>
                <w:kern w:val="0"/>
                <w:szCs w:val="21"/>
              </w:rPr>
              <w:t>2#监测点</w:t>
            </w:r>
          </w:p>
        </w:tc>
        <w:tc>
          <w:tcPr>
            <w:tcW w:w="1615" w:type="dxa"/>
            <w:shd w:val="clear" w:color="auto" w:fill="auto"/>
            <w:noWrap/>
            <w:vAlign w:val="center"/>
          </w:tcPr>
          <w:p w14:paraId="4E4D1FCE">
            <w:pPr>
              <w:widowControl/>
              <w:jc w:val="center"/>
              <w:rPr>
                <w:rFonts w:ascii="Times New Roman" w:hAnsi="Times New Roman"/>
                <w:b/>
                <w:bCs/>
                <w:kern w:val="0"/>
                <w:szCs w:val="21"/>
              </w:rPr>
            </w:pPr>
            <w:r>
              <w:rPr>
                <w:rFonts w:ascii="Times New Roman" w:hAnsi="Times New Roman"/>
                <w:b/>
                <w:bCs/>
                <w:kern w:val="0"/>
                <w:szCs w:val="21"/>
              </w:rPr>
              <w:t>3#监测点</w:t>
            </w:r>
          </w:p>
        </w:tc>
      </w:tr>
      <w:tr w14:paraId="683431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33" w:type="dxa"/>
            <w:shd w:val="clear" w:color="auto" w:fill="auto"/>
            <w:noWrap/>
            <w:vAlign w:val="center"/>
          </w:tcPr>
          <w:p w14:paraId="039DA3F4">
            <w:pPr>
              <w:widowControl/>
              <w:jc w:val="center"/>
              <w:rPr>
                <w:rFonts w:ascii="Times New Roman" w:hAnsi="Times New Roman"/>
                <w:kern w:val="0"/>
                <w:szCs w:val="21"/>
              </w:rPr>
            </w:pPr>
            <w:r>
              <w:rPr>
                <w:rFonts w:ascii="Times New Roman" w:hAnsi="Times New Roman"/>
                <w:kern w:val="0"/>
                <w:szCs w:val="21"/>
              </w:rPr>
              <w:t>1</w:t>
            </w:r>
          </w:p>
        </w:tc>
        <w:tc>
          <w:tcPr>
            <w:tcW w:w="1900" w:type="dxa"/>
            <w:shd w:val="clear" w:color="auto" w:fill="auto"/>
            <w:noWrap/>
            <w:vAlign w:val="center"/>
          </w:tcPr>
          <w:p w14:paraId="51A77C9D">
            <w:pPr>
              <w:widowControl/>
              <w:jc w:val="center"/>
              <w:rPr>
                <w:rFonts w:ascii="Times New Roman" w:hAnsi="Times New Roman"/>
                <w:kern w:val="0"/>
                <w:szCs w:val="21"/>
              </w:rPr>
            </w:pPr>
            <w:r>
              <w:rPr>
                <w:rFonts w:ascii="Times New Roman" w:hAnsi="Times New Roman"/>
                <w:kern w:val="0"/>
                <w:szCs w:val="21"/>
              </w:rPr>
              <w:t>K</w:t>
            </w:r>
            <w:r>
              <w:rPr>
                <w:rFonts w:ascii="Times New Roman" w:hAnsi="Times New Roman"/>
                <w:kern w:val="0"/>
                <w:szCs w:val="21"/>
                <w:vertAlign w:val="superscript"/>
              </w:rPr>
              <w:t>+</w:t>
            </w:r>
          </w:p>
        </w:tc>
        <w:tc>
          <w:tcPr>
            <w:tcW w:w="1266" w:type="dxa"/>
            <w:shd w:val="clear" w:color="auto" w:fill="auto"/>
            <w:noWrap/>
            <w:vAlign w:val="center"/>
          </w:tcPr>
          <w:p w14:paraId="21647CFC">
            <w:pPr>
              <w:widowControl/>
              <w:jc w:val="center"/>
              <w:rPr>
                <w:rFonts w:ascii="Times New Roman" w:hAnsi="Times New Roman"/>
                <w:kern w:val="0"/>
                <w:szCs w:val="21"/>
              </w:rPr>
            </w:pPr>
            <w:r>
              <w:rPr>
                <w:rFonts w:ascii="Times New Roman" w:hAnsi="Times New Roman"/>
                <w:kern w:val="0"/>
                <w:szCs w:val="21"/>
              </w:rPr>
              <w:t>mg/L</w:t>
            </w:r>
          </w:p>
        </w:tc>
        <w:tc>
          <w:tcPr>
            <w:tcW w:w="1613" w:type="dxa"/>
            <w:shd w:val="clear" w:color="auto" w:fill="auto"/>
            <w:noWrap/>
            <w:vAlign w:val="center"/>
          </w:tcPr>
          <w:p w14:paraId="271BA33E">
            <w:pPr>
              <w:widowControl/>
              <w:jc w:val="center"/>
              <w:rPr>
                <w:rFonts w:ascii="Times New Roman" w:hAnsi="Times New Roman"/>
                <w:kern w:val="0"/>
                <w:szCs w:val="21"/>
              </w:rPr>
            </w:pPr>
          </w:p>
        </w:tc>
        <w:tc>
          <w:tcPr>
            <w:tcW w:w="1613" w:type="dxa"/>
            <w:shd w:val="clear" w:color="auto" w:fill="auto"/>
            <w:noWrap/>
            <w:vAlign w:val="center"/>
          </w:tcPr>
          <w:p w14:paraId="6A52573D">
            <w:pPr>
              <w:widowControl/>
              <w:jc w:val="center"/>
              <w:rPr>
                <w:rFonts w:ascii="Times New Roman" w:hAnsi="Times New Roman"/>
                <w:kern w:val="0"/>
                <w:szCs w:val="21"/>
              </w:rPr>
            </w:pPr>
          </w:p>
        </w:tc>
        <w:tc>
          <w:tcPr>
            <w:tcW w:w="1615" w:type="dxa"/>
            <w:shd w:val="clear" w:color="auto" w:fill="auto"/>
            <w:noWrap/>
            <w:vAlign w:val="center"/>
          </w:tcPr>
          <w:p w14:paraId="73E9B791">
            <w:pPr>
              <w:widowControl/>
              <w:jc w:val="center"/>
              <w:rPr>
                <w:rFonts w:ascii="Times New Roman" w:hAnsi="Times New Roman"/>
                <w:kern w:val="0"/>
                <w:szCs w:val="21"/>
              </w:rPr>
            </w:pPr>
          </w:p>
        </w:tc>
      </w:tr>
      <w:tr w14:paraId="6B900B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33" w:type="dxa"/>
            <w:shd w:val="clear" w:color="auto" w:fill="auto"/>
            <w:noWrap/>
            <w:vAlign w:val="center"/>
          </w:tcPr>
          <w:p w14:paraId="356B716A">
            <w:pPr>
              <w:widowControl/>
              <w:jc w:val="center"/>
              <w:rPr>
                <w:rFonts w:ascii="Times New Roman" w:hAnsi="Times New Roman"/>
                <w:kern w:val="0"/>
                <w:szCs w:val="21"/>
              </w:rPr>
            </w:pPr>
            <w:r>
              <w:rPr>
                <w:rFonts w:ascii="Times New Roman" w:hAnsi="Times New Roman"/>
                <w:kern w:val="0"/>
                <w:szCs w:val="21"/>
              </w:rPr>
              <w:t>2</w:t>
            </w:r>
          </w:p>
        </w:tc>
        <w:tc>
          <w:tcPr>
            <w:tcW w:w="1900" w:type="dxa"/>
            <w:shd w:val="clear" w:color="auto" w:fill="auto"/>
            <w:noWrap/>
            <w:vAlign w:val="center"/>
          </w:tcPr>
          <w:p w14:paraId="75EACB11">
            <w:pPr>
              <w:widowControl/>
              <w:jc w:val="center"/>
              <w:rPr>
                <w:rFonts w:ascii="Times New Roman" w:hAnsi="Times New Roman"/>
                <w:kern w:val="0"/>
                <w:szCs w:val="21"/>
              </w:rPr>
            </w:pPr>
            <w:r>
              <w:rPr>
                <w:rFonts w:ascii="Times New Roman" w:hAnsi="Times New Roman"/>
                <w:kern w:val="0"/>
                <w:szCs w:val="21"/>
              </w:rPr>
              <w:t>Na</w:t>
            </w:r>
            <w:r>
              <w:rPr>
                <w:rFonts w:ascii="Times New Roman" w:hAnsi="Times New Roman"/>
                <w:kern w:val="0"/>
                <w:szCs w:val="21"/>
                <w:vertAlign w:val="superscript"/>
              </w:rPr>
              <w:t>+</w:t>
            </w:r>
          </w:p>
        </w:tc>
        <w:tc>
          <w:tcPr>
            <w:tcW w:w="1266" w:type="dxa"/>
            <w:shd w:val="clear" w:color="auto" w:fill="auto"/>
            <w:noWrap/>
            <w:vAlign w:val="center"/>
          </w:tcPr>
          <w:p w14:paraId="4B7D4A07">
            <w:pPr>
              <w:widowControl/>
              <w:jc w:val="center"/>
              <w:rPr>
                <w:rFonts w:ascii="Times New Roman" w:hAnsi="Times New Roman"/>
                <w:kern w:val="0"/>
                <w:szCs w:val="21"/>
              </w:rPr>
            </w:pPr>
            <w:r>
              <w:rPr>
                <w:rFonts w:ascii="Times New Roman" w:hAnsi="Times New Roman"/>
                <w:kern w:val="0"/>
                <w:szCs w:val="21"/>
              </w:rPr>
              <w:t>mg/L</w:t>
            </w:r>
          </w:p>
        </w:tc>
        <w:tc>
          <w:tcPr>
            <w:tcW w:w="1613" w:type="dxa"/>
            <w:shd w:val="clear" w:color="auto" w:fill="auto"/>
            <w:noWrap/>
            <w:vAlign w:val="center"/>
          </w:tcPr>
          <w:p w14:paraId="208DDC51">
            <w:pPr>
              <w:widowControl/>
              <w:jc w:val="center"/>
              <w:rPr>
                <w:rFonts w:ascii="Times New Roman" w:hAnsi="Times New Roman"/>
                <w:kern w:val="0"/>
                <w:szCs w:val="21"/>
              </w:rPr>
            </w:pPr>
          </w:p>
        </w:tc>
        <w:tc>
          <w:tcPr>
            <w:tcW w:w="1613" w:type="dxa"/>
            <w:shd w:val="clear" w:color="auto" w:fill="auto"/>
            <w:noWrap/>
            <w:vAlign w:val="center"/>
          </w:tcPr>
          <w:p w14:paraId="7D49C6DF">
            <w:pPr>
              <w:widowControl/>
              <w:jc w:val="center"/>
              <w:rPr>
                <w:rFonts w:ascii="Times New Roman" w:hAnsi="Times New Roman"/>
                <w:kern w:val="0"/>
                <w:szCs w:val="21"/>
              </w:rPr>
            </w:pPr>
          </w:p>
        </w:tc>
        <w:tc>
          <w:tcPr>
            <w:tcW w:w="1615" w:type="dxa"/>
            <w:shd w:val="clear" w:color="auto" w:fill="auto"/>
            <w:noWrap/>
            <w:vAlign w:val="center"/>
          </w:tcPr>
          <w:p w14:paraId="125F42BD">
            <w:pPr>
              <w:widowControl/>
              <w:jc w:val="center"/>
              <w:rPr>
                <w:rFonts w:ascii="Times New Roman" w:hAnsi="Times New Roman"/>
                <w:kern w:val="0"/>
                <w:szCs w:val="21"/>
              </w:rPr>
            </w:pPr>
          </w:p>
        </w:tc>
      </w:tr>
      <w:tr w14:paraId="6B662F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33" w:type="dxa"/>
            <w:shd w:val="clear" w:color="auto" w:fill="auto"/>
            <w:noWrap/>
            <w:vAlign w:val="center"/>
          </w:tcPr>
          <w:p w14:paraId="1016FCBB">
            <w:pPr>
              <w:widowControl/>
              <w:jc w:val="center"/>
              <w:rPr>
                <w:rFonts w:ascii="Times New Roman" w:hAnsi="Times New Roman"/>
                <w:kern w:val="0"/>
                <w:szCs w:val="21"/>
              </w:rPr>
            </w:pPr>
            <w:r>
              <w:rPr>
                <w:rFonts w:ascii="Times New Roman" w:hAnsi="Times New Roman"/>
                <w:kern w:val="0"/>
                <w:szCs w:val="21"/>
              </w:rPr>
              <w:t>3</w:t>
            </w:r>
          </w:p>
        </w:tc>
        <w:tc>
          <w:tcPr>
            <w:tcW w:w="1900" w:type="dxa"/>
            <w:shd w:val="clear" w:color="auto" w:fill="auto"/>
            <w:noWrap/>
            <w:vAlign w:val="center"/>
          </w:tcPr>
          <w:p w14:paraId="5CEA5EE2">
            <w:pPr>
              <w:widowControl/>
              <w:jc w:val="center"/>
              <w:rPr>
                <w:rFonts w:ascii="Times New Roman" w:hAnsi="Times New Roman"/>
                <w:kern w:val="0"/>
                <w:szCs w:val="21"/>
              </w:rPr>
            </w:pPr>
            <w:r>
              <w:rPr>
                <w:rFonts w:ascii="Times New Roman" w:hAnsi="Times New Roman"/>
                <w:kern w:val="0"/>
                <w:szCs w:val="21"/>
              </w:rPr>
              <w:t>Ca</w:t>
            </w:r>
            <w:r>
              <w:rPr>
                <w:rFonts w:ascii="Times New Roman" w:hAnsi="Times New Roman"/>
                <w:kern w:val="0"/>
                <w:szCs w:val="21"/>
                <w:vertAlign w:val="superscript"/>
              </w:rPr>
              <w:t>2+</w:t>
            </w:r>
          </w:p>
        </w:tc>
        <w:tc>
          <w:tcPr>
            <w:tcW w:w="1266" w:type="dxa"/>
            <w:shd w:val="clear" w:color="auto" w:fill="auto"/>
            <w:noWrap/>
            <w:vAlign w:val="center"/>
          </w:tcPr>
          <w:p w14:paraId="2646F2D9">
            <w:pPr>
              <w:widowControl/>
              <w:jc w:val="center"/>
              <w:rPr>
                <w:rFonts w:ascii="Times New Roman" w:hAnsi="Times New Roman"/>
                <w:kern w:val="0"/>
                <w:szCs w:val="21"/>
              </w:rPr>
            </w:pPr>
            <w:r>
              <w:rPr>
                <w:rFonts w:ascii="Times New Roman" w:hAnsi="Times New Roman"/>
                <w:kern w:val="0"/>
                <w:szCs w:val="21"/>
              </w:rPr>
              <w:t>mg/L</w:t>
            </w:r>
          </w:p>
        </w:tc>
        <w:tc>
          <w:tcPr>
            <w:tcW w:w="1613" w:type="dxa"/>
            <w:shd w:val="clear" w:color="auto" w:fill="auto"/>
            <w:noWrap/>
            <w:vAlign w:val="center"/>
          </w:tcPr>
          <w:p w14:paraId="0ADF3425">
            <w:pPr>
              <w:widowControl/>
              <w:jc w:val="center"/>
              <w:rPr>
                <w:rFonts w:ascii="Times New Roman" w:hAnsi="Times New Roman"/>
                <w:kern w:val="0"/>
                <w:szCs w:val="21"/>
              </w:rPr>
            </w:pPr>
          </w:p>
        </w:tc>
        <w:tc>
          <w:tcPr>
            <w:tcW w:w="1613" w:type="dxa"/>
            <w:shd w:val="clear" w:color="auto" w:fill="auto"/>
            <w:noWrap/>
            <w:vAlign w:val="center"/>
          </w:tcPr>
          <w:p w14:paraId="2FE02398">
            <w:pPr>
              <w:widowControl/>
              <w:jc w:val="center"/>
              <w:rPr>
                <w:rFonts w:ascii="Times New Roman" w:hAnsi="Times New Roman"/>
                <w:kern w:val="0"/>
                <w:szCs w:val="21"/>
              </w:rPr>
            </w:pPr>
          </w:p>
        </w:tc>
        <w:tc>
          <w:tcPr>
            <w:tcW w:w="1615" w:type="dxa"/>
            <w:shd w:val="clear" w:color="auto" w:fill="auto"/>
            <w:noWrap/>
            <w:vAlign w:val="center"/>
          </w:tcPr>
          <w:p w14:paraId="44C241E1">
            <w:pPr>
              <w:widowControl/>
              <w:jc w:val="center"/>
              <w:rPr>
                <w:rFonts w:ascii="Times New Roman" w:hAnsi="Times New Roman"/>
                <w:kern w:val="0"/>
                <w:szCs w:val="21"/>
              </w:rPr>
            </w:pPr>
          </w:p>
        </w:tc>
      </w:tr>
      <w:tr w14:paraId="31C45C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33" w:type="dxa"/>
            <w:shd w:val="clear" w:color="auto" w:fill="auto"/>
            <w:noWrap/>
            <w:vAlign w:val="center"/>
          </w:tcPr>
          <w:p w14:paraId="4A355404">
            <w:pPr>
              <w:widowControl/>
              <w:jc w:val="center"/>
              <w:rPr>
                <w:rFonts w:ascii="Times New Roman" w:hAnsi="Times New Roman"/>
                <w:kern w:val="0"/>
                <w:szCs w:val="21"/>
              </w:rPr>
            </w:pPr>
            <w:r>
              <w:rPr>
                <w:rFonts w:ascii="Times New Roman" w:hAnsi="Times New Roman"/>
                <w:kern w:val="0"/>
                <w:szCs w:val="21"/>
              </w:rPr>
              <w:t>4</w:t>
            </w:r>
          </w:p>
        </w:tc>
        <w:tc>
          <w:tcPr>
            <w:tcW w:w="1900" w:type="dxa"/>
            <w:shd w:val="clear" w:color="auto" w:fill="auto"/>
            <w:noWrap/>
            <w:vAlign w:val="center"/>
          </w:tcPr>
          <w:p w14:paraId="7AE4EFF2">
            <w:pPr>
              <w:widowControl/>
              <w:jc w:val="center"/>
              <w:rPr>
                <w:rFonts w:ascii="Times New Roman" w:hAnsi="Times New Roman"/>
                <w:kern w:val="0"/>
                <w:szCs w:val="21"/>
              </w:rPr>
            </w:pPr>
            <w:r>
              <w:rPr>
                <w:rFonts w:ascii="Times New Roman" w:hAnsi="Times New Roman"/>
                <w:kern w:val="0"/>
                <w:szCs w:val="21"/>
              </w:rPr>
              <w:t>Mg</w:t>
            </w:r>
            <w:r>
              <w:rPr>
                <w:rFonts w:ascii="Times New Roman" w:hAnsi="Times New Roman"/>
                <w:kern w:val="0"/>
                <w:szCs w:val="21"/>
                <w:vertAlign w:val="superscript"/>
              </w:rPr>
              <w:t>2+</w:t>
            </w:r>
          </w:p>
        </w:tc>
        <w:tc>
          <w:tcPr>
            <w:tcW w:w="1266" w:type="dxa"/>
            <w:shd w:val="clear" w:color="auto" w:fill="auto"/>
            <w:noWrap/>
            <w:vAlign w:val="center"/>
          </w:tcPr>
          <w:p w14:paraId="3BD61698">
            <w:pPr>
              <w:widowControl/>
              <w:jc w:val="center"/>
              <w:rPr>
                <w:rFonts w:ascii="Times New Roman" w:hAnsi="Times New Roman"/>
                <w:kern w:val="0"/>
                <w:szCs w:val="21"/>
              </w:rPr>
            </w:pPr>
            <w:r>
              <w:rPr>
                <w:rFonts w:ascii="Times New Roman" w:hAnsi="Times New Roman"/>
                <w:kern w:val="0"/>
                <w:szCs w:val="21"/>
              </w:rPr>
              <w:t>mg/L</w:t>
            </w:r>
          </w:p>
        </w:tc>
        <w:tc>
          <w:tcPr>
            <w:tcW w:w="1613" w:type="dxa"/>
            <w:shd w:val="clear" w:color="auto" w:fill="auto"/>
            <w:noWrap/>
            <w:vAlign w:val="center"/>
          </w:tcPr>
          <w:p w14:paraId="1F2D8C7A">
            <w:pPr>
              <w:widowControl/>
              <w:jc w:val="center"/>
              <w:rPr>
                <w:rFonts w:ascii="Times New Roman" w:hAnsi="Times New Roman"/>
                <w:kern w:val="0"/>
                <w:szCs w:val="21"/>
              </w:rPr>
            </w:pPr>
          </w:p>
        </w:tc>
        <w:tc>
          <w:tcPr>
            <w:tcW w:w="1613" w:type="dxa"/>
            <w:shd w:val="clear" w:color="auto" w:fill="auto"/>
            <w:noWrap/>
            <w:vAlign w:val="center"/>
          </w:tcPr>
          <w:p w14:paraId="3172F432">
            <w:pPr>
              <w:widowControl/>
              <w:jc w:val="center"/>
              <w:rPr>
                <w:rFonts w:ascii="Times New Roman" w:hAnsi="Times New Roman"/>
                <w:kern w:val="0"/>
                <w:szCs w:val="21"/>
              </w:rPr>
            </w:pPr>
          </w:p>
        </w:tc>
        <w:tc>
          <w:tcPr>
            <w:tcW w:w="1615" w:type="dxa"/>
            <w:shd w:val="clear" w:color="auto" w:fill="auto"/>
            <w:noWrap/>
            <w:vAlign w:val="center"/>
          </w:tcPr>
          <w:p w14:paraId="220EEDC5">
            <w:pPr>
              <w:widowControl/>
              <w:jc w:val="center"/>
              <w:rPr>
                <w:rFonts w:ascii="Times New Roman" w:hAnsi="Times New Roman"/>
                <w:kern w:val="0"/>
                <w:szCs w:val="21"/>
              </w:rPr>
            </w:pPr>
          </w:p>
        </w:tc>
      </w:tr>
      <w:tr w14:paraId="247E8B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33" w:type="dxa"/>
            <w:shd w:val="clear" w:color="auto" w:fill="auto"/>
            <w:noWrap/>
            <w:vAlign w:val="center"/>
          </w:tcPr>
          <w:p w14:paraId="55218F6F">
            <w:pPr>
              <w:widowControl/>
              <w:jc w:val="center"/>
              <w:rPr>
                <w:rFonts w:ascii="Times New Roman" w:hAnsi="Times New Roman"/>
                <w:kern w:val="0"/>
                <w:szCs w:val="21"/>
              </w:rPr>
            </w:pPr>
            <w:r>
              <w:rPr>
                <w:rFonts w:ascii="Times New Roman" w:hAnsi="Times New Roman"/>
                <w:kern w:val="0"/>
                <w:szCs w:val="21"/>
              </w:rPr>
              <w:t>5</w:t>
            </w:r>
          </w:p>
        </w:tc>
        <w:tc>
          <w:tcPr>
            <w:tcW w:w="1900" w:type="dxa"/>
            <w:shd w:val="clear" w:color="auto" w:fill="auto"/>
            <w:noWrap/>
            <w:vAlign w:val="center"/>
          </w:tcPr>
          <w:p w14:paraId="03886919">
            <w:pPr>
              <w:widowControl/>
              <w:jc w:val="center"/>
              <w:rPr>
                <w:rFonts w:ascii="Times New Roman" w:hAnsi="Times New Roman"/>
                <w:kern w:val="0"/>
                <w:szCs w:val="21"/>
              </w:rPr>
            </w:pPr>
            <w:r>
              <w:rPr>
                <w:rFonts w:ascii="Times New Roman" w:hAnsi="Times New Roman"/>
                <w:kern w:val="0"/>
                <w:szCs w:val="21"/>
              </w:rPr>
              <w:t>CO</w:t>
            </w:r>
            <w:r>
              <w:rPr>
                <w:rFonts w:ascii="Times New Roman" w:hAnsi="Times New Roman"/>
                <w:kern w:val="0"/>
                <w:szCs w:val="21"/>
                <w:vertAlign w:val="subscript"/>
              </w:rPr>
              <w:t>3</w:t>
            </w:r>
            <w:r>
              <w:rPr>
                <w:rFonts w:ascii="Times New Roman" w:hAnsi="Times New Roman"/>
                <w:kern w:val="0"/>
                <w:szCs w:val="21"/>
                <w:vertAlign w:val="superscript"/>
              </w:rPr>
              <w:t>2-</w:t>
            </w:r>
          </w:p>
        </w:tc>
        <w:tc>
          <w:tcPr>
            <w:tcW w:w="1266" w:type="dxa"/>
            <w:shd w:val="clear" w:color="auto" w:fill="auto"/>
            <w:noWrap/>
            <w:vAlign w:val="center"/>
          </w:tcPr>
          <w:p w14:paraId="23349A68">
            <w:pPr>
              <w:widowControl/>
              <w:jc w:val="center"/>
              <w:rPr>
                <w:rFonts w:ascii="Times New Roman" w:hAnsi="Times New Roman"/>
                <w:kern w:val="0"/>
                <w:szCs w:val="21"/>
              </w:rPr>
            </w:pPr>
            <w:r>
              <w:rPr>
                <w:rFonts w:ascii="Times New Roman" w:hAnsi="Times New Roman"/>
                <w:kern w:val="0"/>
                <w:szCs w:val="21"/>
              </w:rPr>
              <w:t>mg/L</w:t>
            </w:r>
          </w:p>
        </w:tc>
        <w:tc>
          <w:tcPr>
            <w:tcW w:w="1613" w:type="dxa"/>
            <w:shd w:val="clear" w:color="auto" w:fill="auto"/>
            <w:noWrap/>
            <w:vAlign w:val="center"/>
          </w:tcPr>
          <w:p w14:paraId="341455B5">
            <w:pPr>
              <w:widowControl/>
              <w:jc w:val="center"/>
              <w:rPr>
                <w:rFonts w:ascii="Times New Roman" w:hAnsi="Times New Roman"/>
                <w:kern w:val="0"/>
                <w:szCs w:val="21"/>
              </w:rPr>
            </w:pPr>
          </w:p>
        </w:tc>
        <w:tc>
          <w:tcPr>
            <w:tcW w:w="1613" w:type="dxa"/>
            <w:shd w:val="clear" w:color="auto" w:fill="auto"/>
            <w:noWrap/>
            <w:vAlign w:val="center"/>
          </w:tcPr>
          <w:p w14:paraId="0B28D700">
            <w:pPr>
              <w:widowControl/>
              <w:jc w:val="center"/>
              <w:rPr>
                <w:rFonts w:ascii="Times New Roman" w:hAnsi="Times New Roman"/>
                <w:kern w:val="0"/>
                <w:szCs w:val="21"/>
              </w:rPr>
            </w:pPr>
          </w:p>
        </w:tc>
        <w:tc>
          <w:tcPr>
            <w:tcW w:w="1615" w:type="dxa"/>
            <w:shd w:val="clear" w:color="auto" w:fill="auto"/>
            <w:noWrap/>
            <w:vAlign w:val="center"/>
          </w:tcPr>
          <w:p w14:paraId="38CCD119">
            <w:pPr>
              <w:widowControl/>
              <w:jc w:val="center"/>
              <w:rPr>
                <w:rFonts w:ascii="Times New Roman" w:hAnsi="Times New Roman"/>
                <w:kern w:val="0"/>
                <w:szCs w:val="21"/>
              </w:rPr>
            </w:pPr>
          </w:p>
        </w:tc>
      </w:tr>
      <w:tr w14:paraId="582CFA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33" w:type="dxa"/>
            <w:shd w:val="clear" w:color="auto" w:fill="auto"/>
            <w:noWrap/>
            <w:vAlign w:val="center"/>
          </w:tcPr>
          <w:p w14:paraId="25B936D7">
            <w:pPr>
              <w:widowControl/>
              <w:jc w:val="center"/>
              <w:rPr>
                <w:rFonts w:ascii="Times New Roman" w:hAnsi="Times New Roman"/>
                <w:kern w:val="0"/>
                <w:szCs w:val="21"/>
              </w:rPr>
            </w:pPr>
            <w:r>
              <w:rPr>
                <w:rFonts w:ascii="Times New Roman" w:hAnsi="Times New Roman"/>
                <w:kern w:val="0"/>
                <w:szCs w:val="21"/>
              </w:rPr>
              <w:t>6</w:t>
            </w:r>
          </w:p>
        </w:tc>
        <w:tc>
          <w:tcPr>
            <w:tcW w:w="1900" w:type="dxa"/>
            <w:shd w:val="clear" w:color="auto" w:fill="auto"/>
            <w:noWrap/>
            <w:vAlign w:val="center"/>
          </w:tcPr>
          <w:p w14:paraId="4D798B14">
            <w:pPr>
              <w:widowControl/>
              <w:jc w:val="center"/>
              <w:rPr>
                <w:rFonts w:ascii="Times New Roman" w:hAnsi="Times New Roman"/>
                <w:kern w:val="0"/>
                <w:szCs w:val="21"/>
              </w:rPr>
            </w:pPr>
            <w:r>
              <w:rPr>
                <w:rFonts w:ascii="Times New Roman" w:hAnsi="Times New Roman"/>
                <w:kern w:val="0"/>
                <w:szCs w:val="21"/>
              </w:rPr>
              <w:t>HCO</w:t>
            </w:r>
            <w:r>
              <w:rPr>
                <w:rFonts w:ascii="Times New Roman" w:hAnsi="Times New Roman"/>
                <w:kern w:val="0"/>
                <w:szCs w:val="21"/>
                <w:vertAlign w:val="subscript"/>
              </w:rPr>
              <w:t>3</w:t>
            </w:r>
            <w:r>
              <w:rPr>
                <w:rFonts w:ascii="Times New Roman" w:hAnsi="Times New Roman"/>
                <w:kern w:val="0"/>
                <w:szCs w:val="21"/>
                <w:vertAlign w:val="superscript"/>
              </w:rPr>
              <w:t>-</w:t>
            </w:r>
          </w:p>
        </w:tc>
        <w:tc>
          <w:tcPr>
            <w:tcW w:w="1266" w:type="dxa"/>
            <w:shd w:val="clear" w:color="auto" w:fill="auto"/>
            <w:noWrap/>
            <w:vAlign w:val="center"/>
          </w:tcPr>
          <w:p w14:paraId="4AD96837">
            <w:pPr>
              <w:widowControl/>
              <w:jc w:val="center"/>
              <w:rPr>
                <w:rFonts w:ascii="Times New Roman" w:hAnsi="Times New Roman"/>
                <w:kern w:val="0"/>
                <w:szCs w:val="21"/>
              </w:rPr>
            </w:pPr>
            <w:r>
              <w:rPr>
                <w:rFonts w:ascii="Times New Roman" w:hAnsi="Times New Roman"/>
                <w:kern w:val="0"/>
                <w:szCs w:val="21"/>
              </w:rPr>
              <w:t>mg/L</w:t>
            </w:r>
          </w:p>
        </w:tc>
        <w:tc>
          <w:tcPr>
            <w:tcW w:w="1613" w:type="dxa"/>
            <w:shd w:val="clear" w:color="auto" w:fill="auto"/>
            <w:noWrap/>
            <w:vAlign w:val="center"/>
          </w:tcPr>
          <w:p w14:paraId="117FD9AE">
            <w:pPr>
              <w:widowControl/>
              <w:jc w:val="center"/>
              <w:rPr>
                <w:rFonts w:ascii="Times New Roman" w:hAnsi="Times New Roman"/>
                <w:kern w:val="0"/>
                <w:szCs w:val="21"/>
              </w:rPr>
            </w:pPr>
          </w:p>
        </w:tc>
        <w:tc>
          <w:tcPr>
            <w:tcW w:w="1613" w:type="dxa"/>
            <w:shd w:val="clear" w:color="auto" w:fill="auto"/>
            <w:noWrap/>
            <w:vAlign w:val="center"/>
          </w:tcPr>
          <w:p w14:paraId="70CE9790">
            <w:pPr>
              <w:widowControl/>
              <w:jc w:val="center"/>
              <w:rPr>
                <w:rFonts w:ascii="Times New Roman" w:hAnsi="Times New Roman"/>
                <w:kern w:val="0"/>
                <w:szCs w:val="21"/>
              </w:rPr>
            </w:pPr>
          </w:p>
        </w:tc>
        <w:tc>
          <w:tcPr>
            <w:tcW w:w="1615" w:type="dxa"/>
            <w:shd w:val="clear" w:color="auto" w:fill="auto"/>
            <w:noWrap/>
            <w:vAlign w:val="center"/>
          </w:tcPr>
          <w:p w14:paraId="409967B9">
            <w:pPr>
              <w:widowControl/>
              <w:jc w:val="center"/>
              <w:rPr>
                <w:rFonts w:ascii="Times New Roman" w:hAnsi="Times New Roman"/>
                <w:kern w:val="0"/>
                <w:szCs w:val="21"/>
              </w:rPr>
            </w:pPr>
          </w:p>
        </w:tc>
      </w:tr>
      <w:tr w14:paraId="191E02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33" w:type="dxa"/>
            <w:shd w:val="clear" w:color="auto" w:fill="auto"/>
            <w:noWrap/>
            <w:vAlign w:val="center"/>
          </w:tcPr>
          <w:p w14:paraId="50856AC1">
            <w:pPr>
              <w:widowControl/>
              <w:jc w:val="center"/>
              <w:rPr>
                <w:rFonts w:ascii="Times New Roman" w:hAnsi="Times New Roman"/>
                <w:kern w:val="0"/>
                <w:szCs w:val="21"/>
              </w:rPr>
            </w:pPr>
            <w:r>
              <w:rPr>
                <w:rFonts w:ascii="Times New Roman" w:hAnsi="Times New Roman"/>
                <w:kern w:val="0"/>
                <w:szCs w:val="21"/>
              </w:rPr>
              <w:t>7</w:t>
            </w:r>
          </w:p>
        </w:tc>
        <w:tc>
          <w:tcPr>
            <w:tcW w:w="1900" w:type="dxa"/>
            <w:shd w:val="clear" w:color="auto" w:fill="auto"/>
            <w:noWrap/>
            <w:vAlign w:val="center"/>
          </w:tcPr>
          <w:p w14:paraId="295D5DFC">
            <w:pPr>
              <w:widowControl/>
              <w:jc w:val="center"/>
              <w:rPr>
                <w:rFonts w:ascii="Times New Roman" w:hAnsi="Times New Roman"/>
                <w:kern w:val="0"/>
                <w:szCs w:val="21"/>
              </w:rPr>
            </w:pPr>
            <w:r>
              <w:rPr>
                <w:rFonts w:ascii="Times New Roman" w:hAnsi="Times New Roman"/>
                <w:kern w:val="0"/>
                <w:szCs w:val="21"/>
              </w:rPr>
              <w:t>Cl</w:t>
            </w:r>
            <w:r>
              <w:rPr>
                <w:rFonts w:ascii="Times New Roman" w:hAnsi="Times New Roman"/>
                <w:kern w:val="0"/>
                <w:szCs w:val="21"/>
                <w:vertAlign w:val="superscript"/>
              </w:rPr>
              <w:t>-</w:t>
            </w:r>
          </w:p>
        </w:tc>
        <w:tc>
          <w:tcPr>
            <w:tcW w:w="1266" w:type="dxa"/>
            <w:shd w:val="clear" w:color="auto" w:fill="auto"/>
            <w:noWrap/>
            <w:vAlign w:val="center"/>
          </w:tcPr>
          <w:p w14:paraId="7DEB474A">
            <w:pPr>
              <w:widowControl/>
              <w:jc w:val="center"/>
              <w:rPr>
                <w:rFonts w:ascii="Times New Roman" w:hAnsi="Times New Roman"/>
                <w:kern w:val="0"/>
                <w:szCs w:val="21"/>
              </w:rPr>
            </w:pPr>
            <w:r>
              <w:rPr>
                <w:rFonts w:ascii="Times New Roman" w:hAnsi="Times New Roman"/>
                <w:kern w:val="0"/>
                <w:szCs w:val="21"/>
              </w:rPr>
              <w:t>mg/L</w:t>
            </w:r>
          </w:p>
        </w:tc>
        <w:tc>
          <w:tcPr>
            <w:tcW w:w="1613" w:type="dxa"/>
            <w:shd w:val="clear" w:color="auto" w:fill="auto"/>
            <w:noWrap/>
            <w:vAlign w:val="center"/>
          </w:tcPr>
          <w:p w14:paraId="461ACB4F">
            <w:pPr>
              <w:widowControl/>
              <w:jc w:val="center"/>
              <w:rPr>
                <w:rFonts w:ascii="Times New Roman" w:hAnsi="Times New Roman"/>
                <w:kern w:val="0"/>
                <w:szCs w:val="21"/>
              </w:rPr>
            </w:pPr>
          </w:p>
        </w:tc>
        <w:tc>
          <w:tcPr>
            <w:tcW w:w="1613" w:type="dxa"/>
            <w:shd w:val="clear" w:color="auto" w:fill="auto"/>
            <w:noWrap/>
            <w:vAlign w:val="center"/>
          </w:tcPr>
          <w:p w14:paraId="0CF65F0F">
            <w:pPr>
              <w:widowControl/>
              <w:jc w:val="center"/>
              <w:rPr>
                <w:rFonts w:ascii="Times New Roman" w:hAnsi="Times New Roman"/>
                <w:kern w:val="0"/>
                <w:szCs w:val="21"/>
              </w:rPr>
            </w:pPr>
          </w:p>
        </w:tc>
        <w:tc>
          <w:tcPr>
            <w:tcW w:w="1615" w:type="dxa"/>
            <w:shd w:val="clear" w:color="auto" w:fill="auto"/>
            <w:noWrap/>
            <w:vAlign w:val="center"/>
          </w:tcPr>
          <w:p w14:paraId="62A96F41">
            <w:pPr>
              <w:widowControl/>
              <w:jc w:val="center"/>
              <w:rPr>
                <w:rFonts w:ascii="Times New Roman" w:hAnsi="Times New Roman"/>
                <w:kern w:val="0"/>
                <w:szCs w:val="21"/>
              </w:rPr>
            </w:pPr>
          </w:p>
        </w:tc>
      </w:tr>
      <w:tr w14:paraId="1E7D6C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33" w:type="dxa"/>
            <w:shd w:val="clear" w:color="auto" w:fill="auto"/>
            <w:noWrap/>
            <w:vAlign w:val="center"/>
          </w:tcPr>
          <w:p w14:paraId="2F4A4CB0">
            <w:pPr>
              <w:widowControl/>
              <w:jc w:val="center"/>
              <w:rPr>
                <w:rFonts w:ascii="Times New Roman" w:hAnsi="Times New Roman"/>
                <w:kern w:val="0"/>
                <w:szCs w:val="21"/>
              </w:rPr>
            </w:pPr>
            <w:r>
              <w:rPr>
                <w:rFonts w:ascii="Times New Roman" w:hAnsi="Times New Roman"/>
                <w:kern w:val="0"/>
                <w:szCs w:val="21"/>
              </w:rPr>
              <w:t>8</w:t>
            </w:r>
          </w:p>
        </w:tc>
        <w:tc>
          <w:tcPr>
            <w:tcW w:w="1900" w:type="dxa"/>
            <w:shd w:val="clear" w:color="auto" w:fill="auto"/>
            <w:noWrap/>
            <w:vAlign w:val="center"/>
          </w:tcPr>
          <w:p w14:paraId="506CCF2F">
            <w:pPr>
              <w:widowControl/>
              <w:jc w:val="center"/>
              <w:rPr>
                <w:rFonts w:ascii="Times New Roman" w:hAnsi="Times New Roman"/>
                <w:kern w:val="0"/>
                <w:szCs w:val="21"/>
              </w:rPr>
            </w:pPr>
            <w:r>
              <w:rPr>
                <w:rFonts w:ascii="Times New Roman" w:hAnsi="Times New Roman"/>
                <w:kern w:val="0"/>
                <w:szCs w:val="21"/>
              </w:rPr>
              <w:t>SO</w:t>
            </w:r>
            <w:r>
              <w:rPr>
                <w:rFonts w:ascii="Times New Roman" w:hAnsi="Times New Roman"/>
                <w:kern w:val="0"/>
                <w:szCs w:val="21"/>
                <w:vertAlign w:val="subscript"/>
              </w:rPr>
              <w:t>4</w:t>
            </w:r>
            <w:r>
              <w:rPr>
                <w:rFonts w:ascii="Times New Roman" w:hAnsi="Times New Roman"/>
                <w:kern w:val="0"/>
                <w:szCs w:val="21"/>
                <w:vertAlign w:val="superscript"/>
              </w:rPr>
              <w:t>2-</w:t>
            </w:r>
          </w:p>
        </w:tc>
        <w:tc>
          <w:tcPr>
            <w:tcW w:w="1266" w:type="dxa"/>
            <w:shd w:val="clear" w:color="auto" w:fill="auto"/>
            <w:noWrap/>
            <w:vAlign w:val="center"/>
          </w:tcPr>
          <w:p w14:paraId="79551058">
            <w:pPr>
              <w:widowControl/>
              <w:jc w:val="center"/>
              <w:rPr>
                <w:rFonts w:ascii="Times New Roman" w:hAnsi="Times New Roman"/>
                <w:kern w:val="0"/>
                <w:szCs w:val="21"/>
              </w:rPr>
            </w:pPr>
            <w:r>
              <w:rPr>
                <w:rFonts w:ascii="Times New Roman" w:hAnsi="Times New Roman"/>
                <w:kern w:val="0"/>
                <w:szCs w:val="21"/>
              </w:rPr>
              <w:t>mg/L</w:t>
            </w:r>
          </w:p>
        </w:tc>
        <w:tc>
          <w:tcPr>
            <w:tcW w:w="1613" w:type="dxa"/>
            <w:shd w:val="clear" w:color="auto" w:fill="auto"/>
            <w:noWrap/>
            <w:vAlign w:val="center"/>
          </w:tcPr>
          <w:p w14:paraId="4F60EABE">
            <w:pPr>
              <w:widowControl/>
              <w:jc w:val="center"/>
              <w:rPr>
                <w:rFonts w:ascii="Times New Roman" w:hAnsi="Times New Roman"/>
                <w:kern w:val="0"/>
                <w:szCs w:val="21"/>
              </w:rPr>
            </w:pPr>
          </w:p>
        </w:tc>
        <w:tc>
          <w:tcPr>
            <w:tcW w:w="1613" w:type="dxa"/>
            <w:shd w:val="clear" w:color="auto" w:fill="auto"/>
            <w:noWrap/>
            <w:vAlign w:val="center"/>
          </w:tcPr>
          <w:p w14:paraId="541A4EB8">
            <w:pPr>
              <w:widowControl/>
              <w:jc w:val="center"/>
              <w:rPr>
                <w:rFonts w:ascii="Times New Roman" w:hAnsi="Times New Roman"/>
                <w:kern w:val="0"/>
                <w:szCs w:val="21"/>
              </w:rPr>
            </w:pPr>
          </w:p>
        </w:tc>
        <w:tc>
          <w:tcPr>
            <w:tcW w:w="1615" w:type="dxa"/>
            <w:shd w:val="clear" w:color="auto" w:fill="auto"/>
            <w:noWrap/>
            <w:vAlign w:val="center"/>
          </w:tcPr>
          <w:p w14:paraId="104ABE91">
            <w:pPr>
              <w:widowControl/>
              <w:jc w:val="center"/>
              <w:rPr>
                <w:rFonts w:ascii="Times New Roman" w:hAnsi="Times New Roman"/>
                <w:kern w:val="0"/>
                <w:szCs w:val="21"/>
              </w:rPr>
            </w:pPr>
          </w:p>
        </w:tc>
      </w:tr>
    </w:tbl>
    <w:p w14:paraId="4CB2DB4A">
      <w:pPr>
        <w:widowControl/>
        <w:spacing w:line="360" w:lineRule="auto"/>
        <w:ind w:firstLine="531" w:firstLineChars="225"/>
        <w:rPr>
          <w:rFonts w:ascii="Times New Roman" w:hAnsi="Times New Roman"/>
          <w:spacing w:val="-2"/>
          <w:kern w:val="0"/>
          <w:sz w:val="24"/>
          <w:szCs w:val="24"/>
        </w:rPr>
      </w:pPr>
    </w:p>
    <w:p w14:paraId="049385DF">
      <w:pPr>
        <w:widowControl/>
        <w:spacing w:line="360" w:lineRule="auto"/>
        <w:ind w:firstLine="531" w:firstLineChars="225"/>
        <w:rPr>
          <w:rFonts w:ascii="Times New Roman" w:hAnsi="Times New Roman"/>
          <w:spacing w:val="-2"/>
          <w:kern w:val="0"/>
          <w:sz w:val="24"/>
          <w:szCs w:val="24"/>
        </w:rPr>
        <w:sectPr>
          <w:pgSz w:w="11906" w:h="16838"/>
          <w:pgMar w:top="1418" w:right="1418" w:bottom="1418" w:left="1418" w:header="851" w:footer="992" w:gutter="0"/>
          <w:cols w:space="720" w:num="1"/>
          <w:docGrid w:type="lines" w:linePitch="312" w:charSpace="0"/>
        </w:sectPr>
      </w:pPr>
    </w:p>
    <w:p w14:paraId="2A836347">
      <w:pPr>
        <w:pStyle w:val="8"/>
        <w:numPr>
          <w:ilvl w:val="4"/>
          <w:numId w:val="3"/>
        </w:numPr>
        <w:rPr>
          <w:sz w:val="24"/>
          <w:szCs w:val="24"/>
        </w:rPr>
      </w:pPr>
      <w:r>
        <w:rPr>
          <w:sz w:val="24"/>
          <w:szCs w:val="24"/>
        </w:rPr>
        <w:t>地下水环境现状监测结果表</w:t>
      </w:r>
    </w:p>
    <w:tbl>
      <w:tblPr>
        <w:tblStyle w:val="88"/>
        <w:tblW w:w="14077"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62"/>
        <w:gridCol w:w="1691"/>
        <w:gridCol w:w="851"/>
        <w:gridCol w:w="1134"/>
        <w:gridCol w:w="1134"/>
        <w:gridCol w:w="1134"/>
        <w:gridCol w:w="1134"/>
        <w:gridCol w:w="1417"/>
        <w:gridCol w:w="851"/>
        <w:gridCol w:w="850"/>
        <w:gridCol w:w="851"/>
        <w:gridCol w:w="1569"/>
        <w:gridCol w:w="899"/>
      </w:tblGrid>
      <w:tr w14:paraId="148C9B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62" w:type="dxa"/>
            <w:shd w:val="clear" w:color="auto" w:fill="auto"/>
            <w:noWrap/>
            <w:vAlign w:val="center"/>
          </w:tcPr>
          <w:p w14:paraId="0D84552A">
            <w:pPr>
              <w:widowControl/>
              <w:jc w:val="center"/>
              <w:rPr>
                <w:rFonts w:ascii="Times New Roman" w:hAnsi="Times New Roman"/>
                <w:b/>
                <w:bCs/>
                <w:kern w:val="0"/>
                <w:szCs w:val="21"/>
              </w:rPr>
            </w:pPr>
            <w:r>
              <w:rPr>
                <w:rFonts w:ascii="Times New Roman" w:hAnsi="Times New Roman"/>
                <w:b/>
                <w:bCs/>
                <w:kern w:val="0"/>
                <w:szCs w:val="21"/>
              </w:rPr>
              <w:t>序号</w:t>
            </w:r>
          </w:p>
        </w:tc>
        <w:tc>
          <w:tcPr>
            <w:tcW w:w="1691" w:type="dxa"/>
            <w:shd w:val="clear" w:color="auto" w:fill="auto"/>
            <w:noWrap/>
            <w:vAlign w:val="center"/>
          </w:tcPr>
          <w:p w14:paraId="28C3F2D8">
            <w:pPr>
              <w:widowControl/>
              <w:jc w:val="center"/>
              <w:rPr>
                <w:rFonts w:ascii="Times New Roman" w:hAnsi="Times New Roman"/>
                <w:b/>
                <w:bCs/>
                <w:kern w:val="0"/>
                <w:szCs w:val="21"/>
              </w:rPr>
            </w:pPr>
            <w:r>
              <w:rPr>
                <w:rFonts w:ascii="Times New Roman" w:hAnsi="Times New Roman"/>
                <w:b/>
                <w:bCs/>
                <w:kern w:val="0"/>
                <w:szCs w:val="21"/>
              </w:rPr>
              <w:t>监测项目</w:t>
            </w:r>
          </w:p>
        </w:tc>
        <w:tc>
          <w:tcPr>
            <w:tcW w:w="851" w:type="dxa"/>
            <w:shd w:val="clear" w:color="auto" w:fill="auto"/>
            <w:noWrap/>
            <w:vAlign w:val="center"/>
          </w:tcPr>
          <w:p w14:paraId="0047FFFF">
            <w:pPr>
              <w:widowControl/>
              <w:jc w:val="center"/>
              <w:rPr>
                <w:rFonts w:ascii="Times New Roman" w:hAnsi="Times New Roman"/>
                <w:b/>
                <w:bCs/>
                <w:kern w:val="0"/>
                <w:szCs w:val="21"/>
              </w:rPr>
            </w:pPr>
            <w:r>
              <w:rPr>
                <w:rFonts w:ascii="Times New Roman" w:hAnsi="Times New Roman"/>
                <w:b/>
                <w:bCs/>
                <w:kern w:val="0"/>
                <w:szCs w:val="21"/>
              </w:rPr>
              <w:t>单位</w:t>
            </w:r>
          </w:p>
        </w:tc>
        <w:tc>
          <w:tcPr>
            <w:tcW w:w="1134" w:type="dxa"/>
            <w:shd w:val="clear" w:color="auto" w:fill="auto"/>
            <w:noWrap/>
            <w:vAlign w:val="center"/>
          </w:tcPr>
          <w:p w14:paraId="65347D9A">
            <w:pPr>
              <w:widowControl/>
              <w:jc w:val="center"/>
              <w:rPr>
                <w:rFonts w:ascii="Times New Roman" w:hAnsi="Times New Roman"/>
                <w:b/>
                <w:bCs/>
                <w:kern w:val="0"/>
                <w:szCs w:val="21"/>
              </w:rPr>
            </w:pPr>
            <w:r>
              <w:rPr>
                <w:rFonts w:ascii="Times New Roman" w:hAnsi="Times New Roman"/>
                <w:b/>
                <w:bCs/>
                <w:kern w:val="0"/>
                <w:szCs w:val="21"/>
              </w:rPr>
              <w:t>1#监测点</w:t>
            </w:r>
          </w:p>
        </w:tc>
        <w:tc>
          <w:tcPr>
            <w:tcW w:w="1134" w:type="dxa"/>
            <w:shd w:val="clear" w:color="auto" w:fill="auto"/>
            <w:noWrap/>
            <w:vAlign w:val="center"/>
          </w:tcPr>
          <w:p w14:paraId="29C35DFB">
            <w:pPr>
              <w:widowControl/>
              <w:jc w:val="center"/>
              <w:rPr>
                <w:rFonts w:ascii="Times New Roman" w:hAnsi="Times New Roman"/>
                <w:b/>
                <w:bCs/>
                <w:kern w:val="0"/>
                <w:szCs w:val="21"/>
              </w:rPr>
            </w:pPr>
            <w:r>
              <w:rPr>
                <w:rFonts w:ascii="Times New Roman" w:hAnsi="Times New Roman"/>
                <w:b/>
                <w:bCs/>
                <w:kern w:val="0"/>
                <w:szCs w:val="21"/>
              </w:rPr>
              <w:t>2#监测点</w:t>
            </w:r>
          </w:p>
        </w:tc>
        <w:tc>
          <w:tcPr>
            <w:tcW w:w="1134" w:type="dxa"/>
            <w:shd w:val="clear" w:color="auto" w:fill="auto"/>
            <w:noWrap/>
            <w:vAlign w:val="center"/>
          </w:tcPr>
          <w:p w14:paraId="46F930AA">
            <w:pPr>
              <w:widowControl/>
              <w:jc w:val="center"/>
              <w:rPr>
                <w:rFonts w:ascii="Times New Roman" w:hAnsi="Times New Roman"/>
                <w:b/>
                <w:bCs/>
                <w:kern w:val="0"/>
                <w:szCs w:val="21"/>
              </w:rPr>
            </w:pPr>
            <w:r>
              <w:rPr>
                <w:rFonts w:ascii="Times New Roman" w:hAnsi="Times New Roman"/>
                <w:b/>
                <w:bCs/>
                <w:kern w:val="0"/>
                <w:szCs w:val="21"/>
              </w:rPr>
              <w:t>3#监测点</w:t>
            </w:r>
          </w:p>
        </w:tc>
        <w:tc>
          <w:tcPr>
            <w:tcW w:w="1134" w:type="dxa"/>
            <w:shd w:val="clear" w:color="auto" w:fill="auto"/>
            <w:noWrap/>
            <w:vAlign w:val="center"/>
          </w:tcPr>
          <w:p w14:paraId="60CCB25D">
            <w:pPr>
              <w:widowControl/>
              <w:jc w:val="center"/>
              <w:rPr>
                <w:rFonts w:ascii="Times New Roman" w:hAnsi="Times New Roman"/>
                <w:b/>
                <w:bCs/>
                <w:kern w:val="0"/>
                <w:szCs w:val="21"/>
              </w:rPr>
            </w:pPr>
            <w:r>
              <w:rPr>
                <w:rFonts w:ascii="Times New Roman" w:hAnsi="Times New Roman"/>
                <w:b/>
                <w:bCs/>
                <w:kern w:val="0"/>
                <w:szCs w:val="21"/>
              </w:rPr>
              <w:t>评价</w:t>
            </w:r>
          </w:p>
          <w:p w14:paraId="27E37400">
            <w:pPr>
              <w:widowControl/>
              <w:jc w:val="center"/>
              <w:rPr>
                <w:rFonts w:ascii="Times New Roman" w:hAnsi="Times New Roman"/>
                <w:b/>
                <w:bCs/>
                <w:kern w:val="0"/>
                <w:szCs w:val="21"/>
              </w:rPr>
            </w:pPr>
            <w:r>
              <w:rPr>
                <w:rFonts w:ascii="Times New Roman" w:hAnsi="Times New Roman"/>
                <w:b/>
                <w:bCs/>
                <w:kern w:val="0"/>
                <w:szCs w:val="21"/>
              </w:rPr>
              <w:t>标准</w:t>
            </w:r>
          </w:p>
        </w:tc>
        <w:tc>
          <w:tcPr>
            <w:tcW w:w="1417" w:type="dxa"/>
            <w:shd w:val="clear" w:color="auto" w:fill="auto"/>
            <w:noWrap/>
            <w:vAlign w:val="center"/>
          </w:tcPr>
          <w:p w14:paraId="5BE5F226">
            <w:pPr>
              <w:widowControl/>
              <w:jc w:val="center"/>
              <w:rPr>
                <w:rFonts w:ascii="Times New Roman" w:hAnsi="Times New Roman"/>
                <w:b/>
                <w:bCs/>
                <w:kern w:val="0"/>
                <w:szCs w:val="21"/>
              </w:rPr>
            </w:pPr>
            <w:r>
              <w:rPr>
                <w:rFonts w:ascii="Times New Roman" w:hAnsi="Times New Roman"/>
                <w:b/>
                <w:bCs/>
                <w:kern w:val="0"/>
                <w:szCs w:val="21"/>
              </w:rPr>
              <w:t>水质指标</w:t>
            </w:r>
          </w:p>
        </w:tc>
        <w:tc>
          <w:tcPr>
            <w:tcW w:w="851" w:type="dxa"/>
            <w:shd w:val="clear" w:color="auto" w:fill="auto"/>
            <w:noWrap/>
            <w:vAlign w:val="center"/>
          </w:tcPr>
          <w:p w14:paraId="1F8786F4">
            <w:pPr>
              <w:widowControl/>
              <w:jc w:val="center"/>
              <w:rPr>
                <w:rFonts w:ascii="Times New Roman" w:hAnsi="Times New Roman"/>
                <w:b/>
                <w:bCs/>
                <w:kern w:val="0"/>
                <w:szCs w:val="21"/>
              </w:rPr>
            </w:pPr>
            <w:r>
              <w:rPr>
                <w:rFonts w:ascii="Times New Roman" w:hAnsi="Times New Roman"/>
                <w:b/>
                <w:bCs/>
                <w:kern w:val="0"/>
                <w:szCs w:val="21"/>
              </w:rPr>
              <w:t>达标</w:t>
            </w:r>
          </w:p>
          <w:p w14:paraId="2D510EBE">
            <w:pPr>
              <w:widowControl/>
              <w:jc w:val="center"/>
              <w:rPr>
                <w:rFonts w:ascii="Times New Roman" w:hAnsi="Times New Roman"/>
                <w:b/>
                <w:bCs/>
                <w:kern w:val="0"/>
                <w:szCs w:val="21"/>
              </w:rPr>
            </w:pPr>
            <w:r>
              <w:rPr>
                <w:rFonts w:ascii="Times New Roman" w:hAnsi="Times New Roman"/>
                <w:b/>
                <w:bCs/>
                <w:kern w:val="0"/>
                <w:szCs w:val="21"/>
              </w:rPr>
              <w:t>判断</w:t>
            </w:r>
          </w:p>
        </w:tc>
        <w:tc>
          <w:tcPr>
            <w:tcW w:w="850" w:type="dxa"/>
            <w:shd w:val="clear" w:color="auto" w:fill="auto"/>
            <w:noWrap/>
            <w:vAlign w:val="center"/>
          </w:tcPr>
          <w:p w14:paraId="19AF492C">
            <w:pPr>
              <w:widowControl/>
              <w:jc w:val="center"/>
              <w:rPr>
                <w:rFonts w:ascii="Times New Roman" w:hAnsi="Times New Roman"/>
                <w:b/>
                <w:bCs/>
                <w:kern w:val="0"/>
                <w:szCs w:val="21"/>
              </w:rPr>
            </w:pPr>
            <w:r>
              <w:rPr>
                <w:rFonts w:ascii="Times New Roman" w:hAnsi="Times New Roman"/>
                <w:b/>
                <w:bCs/>
                <w:kern w:val="0"/>
                <w:szCs w:val="21"/>
              </w:rPr>
              <w:t>达标率</w:t>
            </w:r>
          </w:p>
        </w:tc>
        <w:tc>
          <w:tcPr>
            <w:tcW w:w="851" w:type="dxa"/>
            <w:shd w:val="clear" w:color="auto" w:fill="auto"/>
            <w:noWrap/>
            <w:vAlign w:val="center"/>
          </w:tcPr>
          <w:p w14:paraId="7496CEA9">
            <w:pPr>
              <w:widowControl/>
              <w:jc w:val="center"/>
              <w:rPr>
                <w:rFonts w:ascii="Times New Roman" w:hAnsi="Times New Roman"/>
                <w:b/>
                <w:bCs/>
                <w:kern w:val="0"/>
                <w:szCs w:val="21"/>
              </w:rPr>
            </w:pPr>
            <w:r>
              <w:rPr>
                <w:rFonts w:ascii="Times New Roman" w:hAnsi="Times New Roman"/>
                <w:b/>
                <w:bCs/>
                <w:kern w:val="0"/>
                <w:szCs w:val="21"/>
              </w:rPr>
              <w:t>最大超标倍数</w:t>
            </w:r>
          </w:p>
        </w:tc>
        <w:tc>
          <w:tcPr>
            <w:tcW w:w="1569" w:type="dxa"/>
            <w:shd w:val="clear" w:color="auto" w:fill="auto"/>
            <w:noWrap/>
            <w:vAlign w:val="center"/>
          </w:tcPr>
          <w:p w14:paraId="588313A4">
            <w:pPr>
              <w:widowControl/>
              <w:jc w:val="center"/>
              <w:rPr>
                <w:rFonts w:ascii="Times New Roman" w:hAnsi="Times New Roman"/>
                <w:b/>
                <w:bCs/>
                <w:kern w:val="0"/>
                <w:szCs w:val="21"/>
              </w:rPr>
            </w:pPr>
            <w:r>
              <w:rPr>
                <w:rFonts w:ascii="Times New Roman" w:hAnsi="Times New Roman"/>
                <w:b/>
                <w:bCs/>
                <w:kern w:val="0"/>
                <w:szCs w:val="21"/>
              </w:rPr>
              <w:t>浓度范围</w:t>
            </w:r>
          </w:p>
        </w:tc>
        <w:tc>
          <w:tcPr>
            <w:tcW w:w="899" w:type="dxa"/>
            <w:shd w:val="clear" w:color="auto" w:fill="auto"/>
            <w:noWrap/>
            <w:vAlign w:val="center"/>
          </w:tcPr>
          <w:p w14:paraId="37956A4C">
            <w:pPr>
              <w:widowControl/>
              <w:jc w:val="center"/>
              <w:rPr>
                <w:rFonts w:ascii="Times New Roman" w:hAnsi="Times New Roman"/>
                <w:b/>
                <w:bCs/>
                <w:kern w:val="0"/>
                <w:szCs w:val="21"/>
              </w:rPr>
            </w:pPr>
            <w:r>
              <w:rPr>
                <w:rFonts w:ascii="Times New Roman" w:hAnsi="Times New Roman"/>
                <w:b/>
                <w:bCs/>
                <w:kern w:val="0"/>
                <w:szCs w:val="21"/>
              </w:rPr>
              <w:t>浓度</w:t>
            </w:r>
          </w:p>
          <w:p w14:paraId="7A1BB8C7">
            <w:pPr>
              <w:widowControl/>
              <w:jc w:val="center"/>
              <w:rPr>
                <w:rFonts w:ascii="Times New Roman" w:hAnsi="Times New Roman"/>
                <w:b/>
                <w:bCs/>
                <w:kern w:val="0"/>
                <w:szCs w:val="21"/>
              </w:rPr>
            </w:pPr>
            <w:r>
              <w:rPr>
                <w:rFonts w:ascii="Times New Roman" w:hAnsi="Times New Roman"/>
                <w:b/>
                <w:bCs/>
                <w:kern w:val="0"/>
                <w:szCs w:val="21"/>
              </w:rPr>
              <w:t>平均值</w:t>
            </w:r>
          </w:p>
        </w:tc>
      </w:tr>
      <w:tr w14:paraId="3E98EA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62" w:type="dxa"/>
            <w:shd w:val="clear" w:color="auto" w:fill="auto"/>
            <w:noWrap/>
            <w:vAlign w:val="center"/>
          </w:tcPr>
          <w:p w14:paraId="7147F4F8">
            <w:pPr>
              <w:widowControl/>
              <w:jc w:val="center"/>
              <w:rPr>
                <w:rFonts w:ascii="Times New Roman" w:hAnsi="Times New Roman"/>
                <w:kern w:val="0"/>
                <w:szCs w:val="21"/>
              </w:rPr>
            </w:pPr>
            <w:r>
              <w:rPr>
                <w:rFonts w:ascii="Times New Roman" w:hAnsi="Times New Roman"/>
                <w:kern w:val="0"/>
                <w:szCs w:val="21"/>
              </w:rPr>
              <w:t>1</w:t>
            </w:r>
          </w:p>
        </w:tc>
        <w:tc>
          <w:tcPr>
            <w:tcW w:w="1691" w:type="dxa"/>
            <w:shd w:val="clear" w:color="auto" w:fill="auto"/>
            <w:noWrap/>
            <w:vAlign w:val="center"/>
          </w:tcPr>
          <w:p w14:paraId="708DCEAB">
            <w:pPr>
              <w:widowControl/>
              <w:jc w:val="center"/>
              <w:rPr>
                <w:rFonts w:ascii="Times New Roman" w:hAnsi="Times New Roman"/>
                <w:kern w:val="0"/>
                <w:szCs w:val="21"/>
              </w:rPr>
            </w:pPr>
            <w:r>
              <w:rPr>
                <w:rFonts w:ascii="Times New Roman" w:hAnsi="Times New Roman"/>
                <w:kern w:val="0"/>
                <w:szCs w:val="21"/>
              </w:rPr>
              <w:t>pH值</w:t>
            </w:r>
          </w:p>
        </w:tc>
        <w:tc>
          <w:tcPr>
            <w:tcW w:w="851" w:type="dxa"/>
            <w:shd w:val="clear" w:color="auto" w:fill="auto"/>
            <w:noWrap/>
            <w:vAlign w:val="center"/>
          </w:tcPr>
          <w:p w14:paraId="0B3E6AA3">
            <w:pPr>
              <w:widowControl/>
              <w:jc w:val="center"/>
              <w:rPr>
                <w:rFonts w:ascii="Times New Roman" w:hAnsi="Times New Roman"/>
                <w:kern w:val="0"/>
                <w:szCs w:val="21"/>
              </w:rPr>
            </w:pPr>
            <w:r>
              <w:rPr>
                <w:rFonts w:ascii="Times New Roman" w:hAnsi="Times New Roman"/>
                <w:kern w:val="0"/>
                <w:szCs w:val="21"/>
              </w:rPr>
              <w:t>无量纲</w:t>
            </w:r>
          </w:p>
        </w:tc>
        <w:tc>
          <w:tcPr>
            <w:tcW w:w="1134" w:type="dxa"/>
            <w:shd w:val="clear" w:color="auto" w:fill="auto"/>
            <w:noWrap/>
            <w:vAlign w:val="center"/>
          </w:tcPr>
          <w:p w14:paraId="748DB412">
            <w:pPr>
              <w:widowControl/>
              <w:jc w:val="center"/>
              <w:rPr>
                <w:rFonts w:ascii="Times New Roman" w:hAnsi="Times New Roman"/>
                <w:kern w:val="0"/>
                <w:szCs w:val="21"/>
              </w:rPr>
            </w:pPr>
          </w:p>
        </w:tc>
        <w:tc>
          <w:tcPr>
            <w:tcW w:w="1134" w:type="dxa"/>
            <w:shd w:val="clear" w:color="auto" w:fill="auto"/>
            <w:noWrap/>
            <w:vAlign w:val="center"/>
          </w:tcPr>
          <w:p w14:paraId="7B4213F7">
            <w:pPr>
              <w:widowControl/>
              <w:jc w:val="center"/>
              <w:rPr>
                <w:rFonts w:ascii="Times New Roman" w:hAnsi="Times New Roman"/>
                <w:kern w:val="0"/>
                <w:szCs w:val="21"/>
              </w:rPr>
            </w:pPr>
          </w:p>
        </w:tc>
        <w:tc>
          <w:tcPr>
            <w:tcW w:w="1134" w:type="dxa"/>
            <w:shd w:val="clear" w:color="auto" w:fill="auto"/>
            <w:noWrap/>
            <w:vAlign w:val="center"/>
          </w:tcPr>
          <w:p w14:paraId="3104EDA2">
            <w:pPr>
              <w:widowControl/>
              <w:jc w:val="center"/>
              <w:rPr>
                <w:rFonts w:ascii="Times New Roman" w:hAnsi="Times New Roman"/>
                <w:kern w:val="0"/>
                <w:szCs w:val="21"/>
              </w:rPr>
            </w:pPr>
          </w:p>
        </w:tc>
        <w:tc>
          <w:tcPr>
            <w:tcW w:w="1134" w:type="dxa"/>
            <w:shd w:val="clear" w:color="auto" w:fill="auto"/>
            <w:noWrap/>
            <w:vAlign w:val="center"/>
          </w:tcPr>
          <w:p w14:paraId="251D1FEB">
            <w:pPr>
              <w:widowControl/>
              <w:jc w:val="center"/>
              <w:rPr>
                <w:rFonts w:ascii="Times New Roman" w:hAnsi="Times New Roman"/>
                <w:kern w:val="0"/>
                <w:szCs w:val="21"/>
              </w:rPr>
            </w:pPr>
            <w:r>
              <w:rPr>
                <w:rFonts w:ascii="Times New Roman" w:hAnsi="Times New Roman"/>
                <w:kern w:val="0"/>
                <w:szCs w:val="21"/>
              </w:rPr>
              <w:t>6.5~8.5</w:t>
            </w:r>
          </w:p>
        </w:tc>
        <w:tc>
          <w:tcPr>
            <w:tcW w:w="1417" w:type="dxa"/>
            <w:shd w:val="clear" w:color="auto" w:fill="auto"/>
            <w:noWrap/>
            <w:vAlign w:val="center"/>
          </w:tcPr>
          <w:p w14:paraId="695E3975">
            <w:pPr>
              <w:widowControl/>
              <w:jc w:val="center"/>
              <w:rPr>
                <w:rFonts w:ascii="Times New Roman" w:hAnsi="Times New Roman"/>
                <w:kern w:val="0"/>
                <w:szCs w:val="21"/>
              </w:rPr>
            </w:pPr>
          </w:p>
        </w:tc>
        <w:tc>
          <w:tcPr>
            <w:tcW w:w="851" w:type="dxa"/>
            <w:shd w:val="clear" w:color="auto" w:fill="auto"/>
            <w:noWrap/>
            <w:vAlign w:val="center"/>
          </w:tcPr>
          <w:p w14:paraId="5ECF3B75">
            <w:pPr>
              <w:widowControl/>
              <w:jc w:val="center"/>
              <w:rPr>
                <w:rFonts w:ascii="Times New Roman" w:hAnsi="Times New Roman"/>
                <w:kern w:val="0"/>
                <w:szCs w:val="21"/>
              </w:rPr>
            </w:pPr>
            <w:r>
              <w:rPr>
                <w:rFonts w:ascii="Times New Roman" w:hAnsi="Times New Roman"/>
                <w:kern w:val="0"/>
                <w:szCs w:val="21"/>
              </w:rPr>
              <w:t>达标</w:t>
            </w:r>
          </w:p>
        </w:tc>
        <w:tc>
          <w:tcPr>
            <w:tcW w:w="850" w:type="dxa"/>
            <w:shd w:val="clear" w:color="auto" w:fill="auto"/>
            <w:noWrap/>
            <w:vAlign w:val="center"/>
          </w:tcPr>
          <w:p w14:paraId="4F28DE4E">
            <w:pPr>
              <w:widowControl/>
              <w:jc w:val="center"/>
              <w:rPr>
                <w:rFonts w:ascii="Times New Roman" w:hAnsi="Times New Roman"/>
                <w:kern w:val="0"/>
                <w:szCs w:val="21"/>
              </w:rPr>
            </w:pPr>
            <w:r>
              <w:rPr>
                <w:rFonts w:ascii="Times New Roman" w:hAnsi="Times New Roman"/>
                <w:kern w:val="0"/>
                <w:szCs w:val="21"/>
              </w:rPr>
              <w:t>100%</w:t>
            </w:r>
          </w:p>
        </w:tc>
        <w:tc>
          <w:tcPr>
            <w:tcW w:w="851" w:type="dxa"/>
            <w:shd w:val="clear" w:color="auto" w:fill="auto"/>
            <w:noWrap/>
            <w:vAlign w:val="center"/>
          </w:tcPr>
          <w:p w14:paraId="6DE53844">
            <w:pPr>
              <w:widowControl/>
              <w:jc w:val="center"/>
              <w:rPr>
                <w:rFonts w:ascii="Times New Roman" w:hAnsi="Times New Roman"/>
                <w:kern w:val="0"/>
                <w:szCs w:val="21"/>
              </w:rPr>
            </w:pPr>
          </w:p>
        </w:tc>
        <w:tc>
          <w:tcPr>
            <w:tcW w:w="1569" w:type="dxa"/>
            <w:shd w:val="clear" w:color="auto" w:fill="auto"/>
            <w:noWrap/>
            <w:vAlign w:val="center"/>
          </w:tcPr>
          <w:p w14:paraId="0DAC720E">
            <w:pPr>
              <w:widowControl/>
              <w:jc w:val="center"/>
              <w:rPr>
                <w:rFonts w:ascii="Times New Roman" w:hAnsi="Times New Roman"/>
                <w:kern w:val="0"/>
                <w:szCs w:val="21"/>
              </w:rPr>
            </w:pPr>
          </w:p>
        </w:tc>
        <w:tc>
          <w:tcPr>
            <w:tcW w:w="899" w:type="dxa"/>
            <w:shd w:val="clear" w:color="auto" w:fill="auto"/>
            <w:noWrap/>
            <w:vAlign w:val="center"/>
          </w:tcPr>
          <w:p w14:paraId="2BA0458D">
            <w:pPr>
              <w:widowControl/>
              <w:jc w:val="center"/>
              <w:rPr>
                <w:rFonts w:ascii="Times New Roman" w:hAnsi="Times New Roman"/>
                <w:kern w:val="0"/>
                <w:szCs w:val="21"/>
              </w:rPr>
            </w:pPr>
          </w:p>
        </w:tc>
      </w:tr>
      <w:tr w14:paraId="73D8AC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62" w:type="dxa"/>
            <w:shd w:val="clear" w:color="auto" w:fill="auto"/>
            <w:noWrap/>
            <w:vAlign w:val="center"/>
          </w:tcPr>
          <w:p w14:paraId="0B5A6E13">
            <w:pPr>
              <w:widowControl/>
              <w:jc w:val="center"/>
              <w:rPr>
                <w:rFonts w:ascii="Times New Roman" w:hAnsi="Times New Roman"/>
                <w:kern w:val="0"/>
                <w:szCs w:val="21"/>
              </w:rPr>
            </w:pPr>
            <w:r>
              <w:rPr>
                <w:rFonts w:ascii="Times New Roman" w:hAnsi="Times New Roman"/>
                <w:kern w:val="0"/>
                <w:szCs w:val="21"/>
              </w:rPr>
              <w:t>2</w:t>
            </w:r>
          </w:p>
        </w:tc>
        <w:tc>
          <w:tcPr>
            <w:tcW w:w="1691" w:type="dxa"/>
            <w:shd w:val="clear" w:color="auto" w:fill="auto"/>
            <w:noWrap/>
            <w:vAlign w:val="center"/>
          </w:tcPr>
          <w:p w14:paraId="273D74F8">
            <w:pPr>
              <w:widowControl/>
              <w:jc w:val="center"/>
              <w:rPr>
                <w:rFonts w:ascii="Times New Roman" w:hAnsi="Times New Roman"/>
                <w:kern w:val="0"/>
                <w:szCs w:val="21"/>
              </w:rPr>
            </w:pPr>
            <w:r>
              <w:rPr>
                <w:rFonts w:ascii="Times New Roman" w:hAnsi="Times New Roman"/>
                <w:kern w:val="0"/>
                <w:szCs w:val="21"/>
              </w:rPr>
              <w:t>总硬度</w:t>
            </w:r>
          </w:p>
        </w:tc>
        <w:tc>
          <w:tcPr>
            <w:tcW w:w="851" w:type="dxa"/>
            <w:shd w:val="clear" w:color="auto" w:fill="auto"/>
            <w:noWrap/>
            <w:vAlign w:val="center"/>
          </w:tcPr>
          <w:p w14:paraId="7BBD0C0E">
            <w:pPr>
              <w:widowControl/>
              <w:jc w:val="center"/>
              <w:rPr>
                <w:rFonts w:ascii="Times New Roman" w:hAnsi="Times New Roman"/>
                <w:kern w:val="0"/>
                <w:szCs w:val="21"/>
              </w:rPr>
            </w:pPr>
            <w:r>
              <w:rPr>
                <w:rFonts w:ascii="Times New Roman" w:hAnsi="Times New Roman"/>
                <w:kern w:val="0"/>
                <w:szCs w:val="21"/>
              </w:rPr>
              <w:t>mg/L</w:t>
            </w:r>
          </w:p>
        </w:tc>
        <w:tc>
          <w:tcPr>
            <w:tcW w:w="1134" w:type="dxa"/>
            <w:shd w:val="clear" w:color="auto" w:fill="auto"/>
            <w:noWrap/>
            <w:vAlign w:val="center"/>
          </w:tcPr>
          <w:p w14:paraId="1E847D9C">
            <w:pPr>
              <w:widowControl/>
              <w:jc w:val="center"/>
              <w:rPr>
                <w:rFonts w:ascii="Times New Roman" w:hAnsi="Times New Roman"/>
                <w:kern w:val="0"/>
                <w:szCs w:val="21"/>
              </w:rPr>
            </w:pPr>
          </w:p>
        </w:tc>
        <w:tc>
          <w:tcPr>
            <w:tcW w:w="1134" w:type="dxa"/>
            <w:shd w:val="clear" w:color="auto" w:fill="auto"/>
            <w:noWrap/>
            <w:vAlign w:val="center"/>
          </w:tcPr>
          <w:p w14:paraId="5BD37B59">
            <w:pPr>
              <w:widowControl/>
              <w:jc w:val="center"/>
              <w:rPr>
                <w:rFonts w:ascii="Times New Roman" w:hAnsi="Times New Roman"/>
                <w:kern w:val="0"/>
                <w:szCs w:val="21"/>
              </w:rPr>
            </w:pPr>
          </w:p>
        </w:tc>
        <w:tc>
          <w:tcPr>
            <w:tcW w:w="1134" w:type="dxa"/>
            <w:shd w:val="clear" w:color="auto" w:fill="auto"/>
            <w:noWrap/>
            <w:vAlign w:val="center"/>
          </w:tcPr>
          <w:p w14:paraId="5B2FEF94">
            <w:pPr>
              <w:widowControl/>
              <w:jc w:val="center"/>
              <w:rPr>
                <w:rFonts w:ascii="Times New Roman" w:hAnsi="Times New Roman"/>
                <w:kern w:val="0"/>
                <w:szCs w:val="21"/>
              </w:rPr>
            </w:pPr>
          </w:p>
        </w:tc>
        <w:tc>
          <w:tcPr>
            <w:tcW w:w="1134" w:type="dxa"/>
            <w:shd w:val="clear" w:color="auto" w:fill="auto"/>
            <w:noWrap/>
            <w:vAlign w:val="center"/>
          </w:tcPr>
          <w:p w14:paraId="5906F055">
            <w:pPr>
              <w:widowControl/>
              <w:jc w:val="center"/>
              <w:rPr>
                <w:rFonts w:ascii="Times New Roman" w:hAnsi="Times New Roman"/>
                <w:kern w:val="0"/>
                <w:szCs w:val="21"/>
              </w:rPr>
            </w:pPr>
            <w:r>
              <w:rPr>
                <w:rFonts w:ascii="Times New Roman" w:hAnsi="Times New Roman"/>
                <w:kern w:val="0"/>
                <w:szCs w:val="21"/>
              </w:rPr>
              <w:t>450</w:t>
            </w:r>
          </w:p>
        </w:tc>
        <w:tc>
          <w:tcPr>
            <w:tcW w:w="1417" w:type="dxa"/>
            <w:shd w:val="clear" w:color="auto" w:fill="auto"/>
            <w:noWrap/>
            <w:vAlign w:val="center"/>
          </w:tcPr>
          <w:p w14:paraId="7A3ED879">
            <w:pPr>
              <w:widowControl/>
              <w:jc w:val="center"/>
              <w:rPr>
                <w:rFonts w:ascii="Times New Roman" w:hAnsi="Times New Roman"/>
                <w:kern w:val="0"/>
                <w:szCs w:val="21"/>
              </w:rPr>
            </w:pPr>
          </w:p>
        </w:tc>
        <w:tc>
          <w:tcPr>
            <w:tcW w:w="851" w:type="dxa"/>
            <w:shd w:val="clear" w:color="auto" w:fill="auto"/>
            <w:noWrap/>
            <w:vAlign w:val="center"/>
          </w:tcPr>
          <w:p w14:paraId="580393DD">
            <w:pPr>
              <w:widowControl/>
              <w:jc w:val="center"/>
              <w:rPr>
                <w:rFonts w:ascii="Times New Roman" w:hAnsi="Times New Roman"/>
                <w:kern w:val="0"/>
                <w:szCs w:val="21"/>
              </w:rPr>
            </w:pPr>
            <w:r>
              <w:rPr>
                <w:rFonts w:ascii="Times New Roman" w:hAnsi="Times New Roman"/>
                <w:kern w:val="0"/>
                <w:szCs w:val="21"/>
              </w:rPr>
              <w:t>达标</w:t>
            </w:r>
          </w:p>
        </w:tc>
        <w:tc>
          <w:tcPr>
            <w:tcW w:w="850" w:type="dxa"/>
            <w:shd w:val="clear" w:color="auto" w:fill="auto"/>
            <w:noWrap/>
            <w:vAlign w:val="center"/>
          </w:tcPr>
          <w:p w14:paraId="1C4C7382">
            <w:pPr>
              <w:widowControl/>
              <w:jc w:val="center"/>
              <w:rPr>
                <w:rFonts w:ascii="Times New Roman" w:hAnsi="Times New Roman"/>
                <w:kern w:val="0"/>
                <w:szCs w:val="21"/>
              </w:rPr>
            </w:pPr>
            <w:r>
              <w:rPr>
                <w:rFonts w:ascii="Times New Roman" w:hAnsi="Times New Roman"/>
                <w:kern w:val="0"/>
                <w:szCs w:val="21"/>
              </w:rPr>
              <w:t>100%</w:t>
            </w:r>
          </w:p>
        </w:tc>
        <w:tc>
          <w:tcPr>
            <w:tcW w:w="851" w:type="dxa"/>
            <w:shd w:val="clear" w:color="auto" w:fill="auto"/>
            <w:noWrap/>
            <w:vAlign w:val="center"/>
          </w:tcPr>
          <w:p w14:paraId="3BF7FD1F">
            <w:pPr>
              <w:widowControl/>
              <w:jc w:val="center"/>
              <w:rPr>
                <w:rFonts w:ascii="Times New Roman" w:hAnsi="Times New Roman"/>
                <w:kern w:val="0"/>
                <w:szCs w:val="21"/>
              </w:rPr>
            </w:pPr>
          </w:p>
        </w:tc>
        <w:tc>
          <w:tcPr>
            <w:tcW w:w="1569" w:type="dxa"/>
            <w:shd w:val="clear" w:color="auto" w:fill="auto"/>
            <w:noWrap/>
            <w:vAlign w:val="center"/>
          </w:tcPr>
          <w:p w14:paraId="33B65F43">
            <w:pPr>
              <w:widowControl/>
              <w:jc w:val="center"/>
              <w:rPr>
                <w:rFonts w:ascii="Times New Roman" w:hAnsi="Times New Roman"/>
                <w:kern w:val="0"/>
                <w:szCs w:val="21"/>
              </w:rPr>
            </w:pPr>
          </w:p>
        </w:tc>
        <w:tc>
          <w:tcPr>
            <w:tcW w:w="899" w:type="dxa"/>
            <w:shd w:val="clear" w:color="auto" w:fill="auto"/>
            <w:noWrap/>
            <w:vAlign w:val="center"/>
          </w:tcPr>
          <w:p w14:paraId="76714E60">
            <w:pPr>
              <w:widowControl/>
              <w:jc w:val="center"/>
              <w:rPr>
                <w:rFonts w:ascii="Times New Roman" w:hAnsi="Times New Roman"/>
                <w:kern w:val="0"/>
                <w:szCs w:val="21"/>
              </w:rPr>
            </w:pPr>
          </w:p>
        </w:tc>
      </w:tr>
      <w:tr w14:paraId="26CABB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62" w:type="dxa"/>
            <w:shd w:val="clear" w:color="auto" w:fill="auto"/>
            <w:noWrap/>
            <w:vAlign w:val="center"/>
          </w:tcPr>
          <w:p w14:paraId="5A529C41">
            <w:pPr>
              <w:widowControl/>
              <w:jc w:val="center"/>
              <w:rPr>
                <w:rFonts w:ascii="Times New Roman" w:hAnsi="Times New Roman"/>
                <w:kern w:val="0"/>
                <w:szCs w:val="21"/>
              </w:rPr>
            </w:pPr>
            <w:r>
              <w:rPr>
                <w:rFonts w:ascii="Times New Roman" w:hAnsi="Times New Roman"/>
                <w:kern w:val="0"/>
                <w:szCs w:val="21"/>
              </w:rPr>
              <w:t>3</w:t>
            </w:r>
          </w:p>
        </w:tc>
        <w:tc>
          <w:tcPr>
            <w:tcW w:w="1691" w:type="dxa"/>
            <w:shd w:val="clear" w:color="auto" w:fill="auto"/>
            <w:noWrap/>
            <w:vAlign w:val="center"/>
          </w:tcPr>
          <w:p w14:paraId="2E415C54">
            <w:pPr>
              <w:widowControl/>
              <w:jc w:val="center"/>
              <w:rPr>
                <w:rFonts w:ascii="Times New Roman" w:hAnsi="Times New Roman"/>
                <w:kern w:val="0"/>
                <w:szCs w:val="21"/>
              </w:rPr>
            </w:pPr>
            <w:r>
              <w:rPr>
                <w:rFonts w:ascii="Times New Roman" w:hAnsi="Times New Roman"/>
                <w:kern w:val="0"/>
                <w:szCs w:val="21"/>
              </w:rPr>
              <w:t>高锰酸盐指数</w:t>
            </w:r>
          </w:p>
        </w:tc>
        <w:tc>
          <w:tcPr>
            <w:tcW w:w="851" w:type="dxa"/>
            <w:shd w:val="clear" w:color="auto" w:fill="auto"/>
            <w:noWrap/>
            <w:vAlign w:val="center"/>
          </w:tcPr>
          <w:p w14:paraId="1C7FDFE1">
            <w:pPr>
              <w:widowControl/>
              <w:jc w:val="center"/>
              <w:rPr>
                <w:rFonts w:ascii="Times New Roman" w:hAnsi="Times New Roman"/>
                <w:kern w:val="0"/>
                <w:szCs w:val="21"/>
              </w:rPr>
            </w:pPr>
            <w:r>
              <w:rPr>
                <w:rFonts w:ascii="Times New Roman" w:hAnsi="Times New Roman"/>
                <w:kern w:val="0"/>
                <w:szCs w:val="21"/>
              </w:rPr>
              <w:t>mg/L</w:t>
            </w:r>
          </w:p>
        </w:tc>
        <w:tc>
          <w:tcPr>
            <w:tcW w:w="1134" w:type="dxa"/>
            <w:shd w:val="clear" w:color="auto" w:fill="auto"/>
            <w:noWrap/>
            <w:vAlign w:val="center"/>
          </w:tcPr>
          <w:p w14:paraId="70BC7AA6">
            <w:pPr>
              <w:widowControl/>
              <w:jc w:val="center"/>
              <w:rPr>
                <w:rFonts w:ascii="Times New Roman" w:hAnsi="Times New Roman"/>
                <w:kern w:val="0"/>
                <w:szCs w:val="21"/>
              </w:rPr>
            </w:pPr>
          </w:p>
        </w:tc>
        <w:tc>
          <w:tcPr>
            <w:tcW w:w="1134" w:type="dxa"/>
            <w:shd w:val="clear" w:color="auto" w:fill="auto"/>
            <w:noWrap/>
            <w:vAlign w:val="center"/>
          </w:tcPr>
          <w:p w14:paraId="09BA3030">
            <w:pPr>
              <w:widowControl/>
              <w:jc w:val="center"/>
              <w:rPr>
                <w:rFonts w:ascii="Times New Roman" w:hAnsi="Times New Roman"/>
                <w:kern w:val="0"/>
                <w:szCs w:val="21"/>
              </w:rPr>
            </w:pPr>
          </w:p>
        </w:tc>
        <w:tc>
          <w:tcPr>
            <w:tcW w:w="1134" w:type="dxa"/>
            <w:shd w:val="clear" w:color="auto" w:fill="auto"/>
            <w:noWrap/>
            <w:vAlign w:val="center"/>
          </w:tcPr>
          <w:p w14:paraId="46D75AE8">
            <w:pPr>
              <w:widowControl/>
              <w:jc w:val="center"/>
              <w:rPr>
                <w:rFonts w:ascii="Times New Roman" w:hAnsi="Times New Roman"/>
                <w:kern w:val="0"/>
                <w:szCs w:val="21"/>
              </w:rPr>
            </w:pPr>
          </w:p>
        </w:tc>
        <w:tc>
          <w:tcPr>
            <w:tcW w:w="1134" w:type="dxa"/>
            <w:shd w:val="clear" w:color="auto" w:fill="auto"/>
            <w:noWrap/>
            <w:vAlign w:val="center"/>
          </w:tcPr>
          <w:p w14:paraId="4EC75C55">
            <w:pPr>
              <w:widowControl/>
              <w:jc w:val="center"/>
              <w:rPr>
                <w:rFonts w:ascii="Times New Roman" w:hAnsi="Times New Roman"/>
                <w:kern w:val="0"/>
                <w:szCs w:val="21"/>
              </w:rPr>
            </w:pPr>
            <w:r>
              <w:rPr>
                <w:rFonts w:ascii="Times New Roman" w:hAnsi="Times New Roman"/>
                <w:kern w:val="0"/>
                <w:szCs w:val="21"/>
              </w:rPr>
              <w:t>3</w:t>
            </w:r>
          </w:p>
        </w:tc>
        <w:tc>
          <w:tcPr>
            <w:tcW w:w="1417" w:type="dxa"/>
            <w:shd w:val="clear" w:color="auto" w:fill="auto"/>
            <w:noWrap/>
            <w:vAlign w:val="center"/>
          </w:tcPr>
          <w:p w14:paraId="512E11DA">
            <w:pPr>
              <w:widowControl/>
              <w:jc w:val="center"/>
              <w:rPr>
                <w:rFonts w:ascii="Times New Roman" w:hAnsi="Times New Roman"/>
                <w:kern w:val="0"/>
                <w:szCs w:val="21"/>
              </w:rPr>
            </w:pPr>
          </w:p>
        </w:tc>
        <w:tc>
          <w:tcPr>
            <w:tcW w:w="851" w:type="dxa"/>
            <w:shd w:val="clear" w:color="auto" w:fill="auto"/>
            <w:noWrap/>
          </w:tcPr>
          <w:p w14:paraId="6F6FC464">
            <w:pPr>
              <w:widowControl/>
              <w:jc w:val="center"/>
              <w:rPr>
                <w:rFonts w:ascii="Times New Roman" w:hAnsi="Times New Roman"/>
                <w:kern w:val="0"/>
                <w:szCs w:val="21"/>
              </w:rPr>
            </w:pPr>
            <w:r>
              <w:rPr>
                <w:rFonts w:ascii="Times New Roman" w:hAnsi="Times New Roman"/>
                <w:kern w:val="0"/>
                <w:szCs w:val="21"/>
              </w:rPr>
              <w:t>达标</w:t>
            </w:r>
          </w:p>
        </w:tc>
        <w:tc>
          <w:tcPr>
            <w:tcW w:w="850" w:type="dxa"/>
            <w:shd w:val="clear" w:color="auto" w:fill="auto"/>
            <w:noWrap/>
            <w:vAlign w:val="center"/>
          </w:tcPr>
          <w:p w14:paraId="2DCE1542">
            <w:pPr>
              <w:widowControl/>
              <w:jc w:val="center"/>
              <w:rPr>
                <w:rFonts w:ascii="Times New Roman" w:hAnsi="Times New Roman"/>
                <w:kern w:val="0"/>
                <w:szCs w:val="21"/>
              </w:rPr>
            </w:pPr>
            <w:r>
              <w:rPr>
                <w:rFonts w:ascii="Times New Roman" w:hAnsi="Times New Roman"/>
                <w:kern w:val="0"/>
                <w:szCs w:val="21"/>
              </w:rPr>
              <w:t>100%</w:t>
            </w:r>
          </w:p>
        </w:tc>
        <w:tc>
          <w:tcPr>
            <w:tcW w:w="851" w:type="dxa"/>
            <w:shd w:val="clear" w:color="auto" w:fill="auto"/>
            <w:noWrap/>
            <w:vAlign w:val="center"/>
          </w:tcPr>
          <w:p w14:paraId="5612523A">
            <w:pPr>
              <w:widowControl/>
              <w:jc w:val="center"/>
              <w:rPr>
                <w:rFonts w:ascii="Times New Roman" w:hAnsi="Times New Roman"/>
                <w:kern w:val="0"/>
                <w:szCs w:val="21"/>
              </w:rPr>
            </w:pPr>
          </w:p>
        </w:tc>
        <w:tc>
          <w:tcPr>
            <w:tcW w:w="1569" w:type="dxa"/>
            <w:shd w:val="clear" w:color="auto" w:fill="auto"/>
            <w:noWrap/>
            <w:vAlign w:val="center"/>
          </w:tcPr>
          <w:p w14:paraId="17E95F54">
            <w:pPr>
              <w:widowControl/>
              <w:jc w:val="center"/>
              <w:rPr>
                <w:rFonts w:ascii="Times New Roman" w:hAnsi="Times New Roman"/>
                <w:kern w:val="0"/>
                <w:szCs w:val="21"/>
              </w:rPr>
            </w:pPr>
          </w:p>
        </w:tc>
        <w:tc>
          <w:tcPr>
            <w:tcW w:w="899" w:type="dxa"/>
            <w:shd w:val="clear" w:color="auto" w:fill="auto"/>
            <w:noWrap/>
            <w:vAlign w:val="center"/>
          </w:tcPr>
          <w:p w14:paraId="6EFACE56">
            <w:pPr>
              <w:widowControl/>
              <w:jc w:val="center"/>
              <w:rPr>
                <w:rFonts w:ascii="Times New Roman" w:hAnsi="Times New Roman"/>
                <w:kern w:val="0"/>
                <w:szCs w:val="21"/>
              </w:rPr>
            </w:pPr>
          </w:p>
        </w:tc>
      </w:tr>
      <w:tr w14:paraId="47C55B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62" w:type="dxa"/>
            <w:shd w:val="clear" w:color="auto" w:fill="auto"/>
            <w:noWrap/>
            <w:vAlign w:val="center"/>
          </w:tcPr>
          <w:p w14:paraId="4A8C7856">
            <w:pPr>
              <w:widowControl/>
              <w:jc w:val="center"/>
              <w:rPr>
                <w:rFonts w:ascii="Times New Roman" w:hAnsi="Times New Roman"/>
                <w:kern w:val="0"/>
                <w:szCs w:val="21"/>
              </w:rPr>
            </w:pPr>
            <w:r>
              <w:rPr>
                <w:rFonts w:ascii="Times New Roman" w:hAnsi="Times New Roman"/>
                <w:kern w:val="0"/>
                <w:szCs w:val="21"/>
              </w:rPr>
              <w:t>4</w:t>
            </w:r>
          </w:p>
        </w:tc>
        <w:tc>
          <w:tcPr>
            <w:tcW w:w="1691" w:type="dxa"/>
            <w:shd w:val="clear" w:color="auto" w:fill="auto"/>
            <w:noWrap/>
            <w:vAlign w:val="center"/>
          </w:tcPr>
          <w:p w14:paraId="09F15037">
            <w:pPr>
              <w:widowControl/>
              <w:jc w:val="center"/>
              <w:rPr>
                <w:rFonts w:ascii="Times New Roman" w:hAnsi="Times New Roman"/>
                <w:kern w:val="0"/>
                <w:szCs w:val="21"/>
              </w:rPr>
            </w:pPr>
            <w:r>
              <w:rPr>
                <w:rFonts w:ascii="Times New Roman" w:hAnsi="Times New Roman"/>
                <w:kern w:val="0"/>
                <w:szCs w:val="21"/>
              </w:rPr>
              <w:t>硝酸盐</w:t>
            </w:r>
          </w:p>
        </w:tc>
        <w:tc>
          <w:tcPr>
            <w:tcW w:w="851" w:type="dxa"/>
            <w:shd w:val="clear" w:color="auto" w:fill="auto"/>
            <w:noWrap/>
            <w:vAlign w:val="center"/>
          </w:tcPr>
          <w:p w14:paraId="099F00B6">
            <w:pPr>
              <w:widowControl/>
              <w:jc w:val="center"/>
              <w:rPr>
                <w:rFonts w:ascii="Times New Roman" w:hAnsi="Times New Roman"/>
                <w:kern w:val="0"/>
                <w:szCs w:val="21"/>
              </w:rPr>
            </w:pPr>
            <w:r>
              <w:rPr>
                <w:rFonts w:ascii="Times New Roman" w:hAnsi="Times New Roman"/>
                <w:kern w:val="0"/>
                <w:szCs w:val="21"/>
              </w:rPr>
              <w:t>mg/L</w:t>
            </w:r>
          </w:p>
        </w:tc>
        <w:tc>
          <w:tcPr>
            <w:tcW w:w="1134" w:type="dxa"/>
            <w:shd w:val="clear" w:color="auto" w:fill="auto"/>
            <w:noWrap/>
            <w:vAlign w:val="center"/>
          </w:tcPr>
          <w:p w14:paraId="33EAF878">
            <w:pPr>
              <w:widowControl/>
              <w:jc w:val="center"/>
              <w:rPr>
                <w:rFonts w:ascii="Times New Roman" w:hAnsi="Times New Roman"/>
                <w:kern w:val="0"/>
                <w:szCs w:val="21"/>
              </w:rPr>
            </w:pPr>
          </w:p>
        </w:tc>
        <w:tc>
          <w:tcPr>
            <w:tcW w:w="1134" w:type="dxa"/>
            <w:shd w:val="clear" w:color="auto" w:fill="auto"/>
            <w:noWrap/>
            <w:vAlign w:val="center"/>
          </w:tcPr>
          <w:p w14:paraId="584AEFD4">
            <w:pPr>
              <w:widowControl/>
              <w:jc w:val="center"/>
              <w:rPr>
                <w:rFonts w:ascii="Times New Roman" w:hAnsi="Times New Roman"/>
                <w:kern w:val="0"/>
                <w:szCs w:val="21"/>
              </w:rPr>
            </w:pPr>
          </w:p>
        </w:tc>
        <w:tc>
          <w:tcPr>
            <w:tcW w:w="1134" w:type="dxa"/>
            <w:shd w:val="clear" w:color="auto" w:fill="auto"/>
            <w:noWrap/>
            <w:vAlign w:val="center"/>
          </w:tcPr>
          <w:p w14:paraId="4DDF88DB">
            <w:pPr>
              <w:widowControl/>
              <w:jc w:val="center"/>
              <w:rPr>
                <w:rFonts w:ascii="Times New Roman" w:hAnsi="Times New Roman"/>
                <w:kern w:val="0"/>
                <w:szCs w:val="21"/>
              </w:rPr>
            </w:pPr>
          </w:p>
        </w:tc>
        <w:tc>
          <w:tcPr>
            <w:tcW w:w="1134" w:type="dxa"/>
            <w:shd w:val="clear" w:color="auto" w:fill="auto"/>
            <w:noWrap/>
            <w:vAlign w:val="center"/>
          </w:tcPr>
          <w:p w14:paraId="13922888">
            <w:pPr>
              <w:widowControl/>
              <w:jc w:val="center"/>
              <w:rPr>
                <w:rFonts w:ascii="Times New Roman" w:hAnsi="Times New Roman"/>
                <w:kern w:val="0"/>
                <w:szCs w:val="21"/>
              </w:rPr>
            </w:pPr>
            <w:r>
              <w:rPr>
                <w:rFonts w:ascii="Times New Roman" w:hAnsi="Times New Roman"/>
                <w:kern w:val="0"/>
                <w:szCs w:val="21"/>
              </w:rPr>
              <w:t>20</w:t>
            </w:r>
          </w:p>
        </w:tc>
        <w:tc>
          <w:tcPr>
            <w:tcW w:w="1417" w:type="dxa"/>
            <w:shd w:val="clear" w:color="auto" w:fill="auto"/>
            <w:noWrap/>
            <w:vAlign w:val="center"/>
          </w:tcPr>
          <w:p w14:paraId="69299D41">
            <w:pPr>
              <w:widowControl/>
              <w:jc w:val="center"/>
              <w:rPr>
                <w:rFonts w:ascii="Times New Roman" w:hAnsi="Times New Roman"/>
                <w:kern w:val="0"/>
                <w:szCs w:val="21"/>
              </w:rPr>
            </w:pPr>
          </w:p>
        </w:tc>
        <w:tc>
          <w:tcPr>
            <w:tcW w:w="851" w:type="dxa"/>
            <w:shd w:val="clear" w:color="auto" w:fill="auto"/>
            <w:noWrap/>
          </w:tcPr>
          <w:p w14:paraId="7C82BB20">
            <w:pPr>
              <w:widowControl/>
              <w:jc w:val="center"/>
              <w:rPr>
                <w:rFonts w:ascii="Times New Roman" w:hAnsi="Times New Roman"/>
                <w:kern w:val="0"/>
                <w:szCs w:val="21"/>
              </w:rPr>
            </w:pPr>
            <w:r>
              <w:rPr>
                <w:rFonts w:ascii="Times New Roman" w:hAnsi="Times New Roman"/>
                <w:kern w:val="0"/>
                <w:szCs w:val="21"/>
              </w:rPr>
              <w:t>达标</w:t>
            </w:r>
          </w:p>
        </w:tc>
        <w:tc>
          <w:tcPr>
            <w:tcW w:w="850" w:type="dxa"/>
            <w:shd w:val="clear" w:color="auto" w:fill="auto"/>
            <w:noWrap/>
            <w:vAlign w:val="center"/>
          </w:tcPr>
          <w:p w14:paraId="3E51A5C6">
            <w:pPr>
              <w:widowControl/>
              <w:jc w:val="center"/>
              <w:rPr>
                <w:rFonts w:ascii="Times New Roman" w:hAnsi="Times New Roman"/>
                <w:kern w:val="0"/>
                <w:szCs w:val="21"/>
              </w:rPr>
            </w:pPr>
            <w:r>
              <w:rPr>
                <w:rFonts w:ascii="Times New Roman" w:hAnsi="Times New Roman"/>
                <w:kern w:val="0"/>
                <w:szCs w:val="21"/>
              </w:rPr>
              <w:t>100%</w:t>
            </w:r>
          </w:p>
        </w:tc>
        <w:tc>
          <w:tcPr>
            <w:tcW w:w="851" w:type="dxa"/>
            <w:shd w:val="clear" w:color="auto" w:fill="auto"/>
            <w:noWrap/>
            <w:vAlign w:val="center"/>
          </w:tcPr>
          <w:p w14:paraId="5D516D2D">
            <w:pPr>
              <w:widowControl/>
              <w:jc w:val="center"/>
              <w:rPr>
                <w:rFonts w:ascii="Times New Roman" w:hAnsi="Times New Roman"/>
                <w:kern w:val="0"/>
                <w:szCs w:val="21"/>
              </w:rPr>
            </w:pPr>
          </w:p>
        </w:tc>
        <w:tc>
          <w:tcPr>
            <w:tcW w:w="1569" w:type="dxa"/>
            <w:shd w:val="clear" w:color="auto" w:fill="auto"/>
            <w:noWrap/>
            <w:vAlign w:val="center"/>
          </w:tcPr>
          <w:p w14:paraId="17D645CB">
            <w:pPr>
              <w:widowControl/>
              <w:jc w:val="center"/>
              <w:rPr>
                <w:rFonts w:ascii="Times New Roman" w:hAnsi="Times New Roman"/>
                <w:kern w:val="0"/>
                <w:szCs w:val="21"/>
              </w:rPr>
            </w:pPr>
          </w:p>
        </w:tc>
        <w:tc>
          <w:tcPr>
            <w:tcW w:w="899" w:type="dxa"/>
            <w:shd w:val="clear" w:color="auto" w:fill="auto"/>
            <w:noWrap/>
            <w:vAlign w:val="center"/>
          </w:tcPr>
          <w:p w14:paraId="12404C8C">
            <w:pPr>
              <w:widowControl/>
              <w:jc w:val="center"/>
              <w:rPr>
                <w:rFonts w:ascii="Times New Roman" w:hAnsi="Times New Roman"/>
                <w:kern w:val="0"/>
                <w:szCs w:val="21"/>
              </w:rPr>
            </w:pPr>
          </w:p>
        </w:tc>
      </w:tr>
      <w:tr w14:paraId="4A969B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62" w:type="dxa"/>
            <w:shd w:val="clear" w:color="auto" w:fill="auto"/>
            <w:noWrap/>
            <w:vAlign w:val="center"/>
          </w:tcPr>
          <w:p w14:paraId="7953D94C">
            <w:pPr>
              <w:widowControl/>
              <w:jc w:val="center"/>
              <w:rPr>
                <w:rFonts w:ascii="Times New Roman" w:hAnsi="Times New Roman"/>
                <w:kern w:val="0"/>
                <w:szCs w:val="21"/>
              </w:rPr>
            </w:pPr>
            <w:r>
              <w:rPr>
                <w:rFonts w:ascii="Times New Roman" w:hAnsi="Times New Roman"/>
                <w:kern w:val="0"/>
                <w:szCs w:val="21"/>
              </w:rPr>
              <w:t>5</w:t>
            </w:r>
          </w:p>
        </w:tc>
        <w:tc>
          <w:tcPr>
            <w:tcW w:w="1691" w:type="dxa"/>
            <w:shd w:val="clear" w:color="auto" w:fill="auto"/>
            <w:noWrap/>
            <w:vAlign w:val="center"/>
          </w:tcPr>
          <w:p w14:paraId="20C4215D">
            <w:pPr>
              <w:widowControl/>
              <w:jc w:val="center"/>
              <w:rPr>
                <w:rFonts w:ascii="Times New Roman" w:hAnsi="Times New Roman"/>
                <w:kern w:val="0"/>
                <w:szCs w:val="21"/>
              </w:rPr>
            </w:pPr>
            <w:r>
              <w:rPr>
                <w:rFonts w:ascii="Times New Roman" w:hAnsi="Times New Roman"/>
                <w:kern w:val="0"/>
                <w:szCs w:val="21"/>
              </w:rPr>
              <w:t>亚硝酸盐</w:t>
            </w:r>
          </w:p>
        </w:tc>
        <w:tc>
          <w:tcPr>
            <w:tcW w:w="851" w:type="dxa"/>
            <w:shd w:val="clear" w:color="auto" w:fill="auto"/>
            <w:noWrap/>
            <w:vAlign w:val="center"/>
          </w:tcPr>
          <w:p w14:paraId="1F409DDE">
            <w:pPr>
              <w:widowControl/>
              <w:jc w:val="center"/>
              <w:rPr>
                <w:rFonts w:ascii="Times New Roman" w:hAnsi="Times New Roman"/>
                <w:kern w:val="0"/>
                <w:szCs w:val="21"/>
              </w:rPr>
            </w:pPr>
            <w:r>
              <w:rPr>
                <w:rFonts w:ascii="Times New Roman" w:hAnsi="Times New Roman"/>
                <w:kern w:val="0"/>
                <w:szCs w:val="21"/>
              </w:rPr>
              <w:t>mg/L</w:t>
            </w:r>
          </w:p>
        </w:tc>
        <w:tc>
          <w:tcPr>
            <w:tcW w:w="1134" w:type="dxa"/>
            <w:shd w:val="clear" w:color="auto" w:fill="auto"/>
            <w:noWrap/>
            <w:vAlign w:val="center"/>
          </w:tcPr>
          <w:p w14:paraId="0CF50027">
            <w:pPr>
              <w:widowControl/>
              <w:jc w:val="center"/>
              <w:rPr>
                <w:rFonts w:ascii="Times New Roman" w:hAnsi="Times New Roman"/>
                <w:kern w:val="0"/>
                <w:szCs w:val="21"/>
              </w:rPr>
            </w:pPr>
          </w:p>
        </w:tc>
        <w:tc>
          <w:tcPr>
            <w:tcW w:w="1134" w:type="dxa"/>
            <w:shd w:val="clear" w:color="auto" w:fill="auto"/>
            <w:noWrap/>
            <w:vAlign w:val="center"/>
          </w:tcPr>
          <w:p w14:paraId="2E139BFB">
            <w:pPr>
              <w:widowControl/>
              <w:jc w:val="center"/>
              <w:rPr>
                <w:rFonts w:ascii="Times New Roman" w:hAnsi="Times New Roman"/>
                <w:kern w:val="0"/>
                <w:szCs w:val="21"/>
              </w:rPr>
            </w:pPr>
          </w:p>
        </w:tc>
        <w:tc>
          <w:tcPr>
            <w:tcW w:w="1134" w:type="dxa"/>
            <w:shd w:val="clear" w:color="auto" w:fill="auto"/>
            <w:noWrap/>
            <w:vAlign w:val="center"/>
          </w:tcPr>
          <w:p w14:paraId="4153AE6C">
            <w:pPr>
              <w:widowControl/>
              <w:jc w:val="center"/>
              <w:rPr>
                <w:rFonts w:ascii="Times New Roman" w:hAnsi="Times New Roman"/>
                <w:kern w:val="0"/>
                <w:szCs w:val="21"/>
              </w:rPr>
            </w:pPr>
          </w:p>
        </w:tc>
        <w:tc>
          <w:tcPr>
            <w:tcW w:w="1134" w:type="dxa"/>
            <w:shd w:val="clear" w:color="auto" w:fill="auto"/>
            <w:noWrap/>
            <w:vAlign w:val="center"/>
          </w:tcPr>
          <w:p w14:paraId="42572E97">
            <w:pPr>
              <w:widowControl/>
              <w:jc w:val="center"/>
              <w:rPr>
                <w:rFonts w:ascii="Times New Roman" w:hAnsi="Times New Roman"/>
                <w:kern w:val="0"/>
                <w:szCs w:val="21"/>
              </w:rPr>
            </w:pPr>
            <w:r>
              <w:rPr>
                <w:rFonts w:ascii="Times New Roman" w:hAnsi="Times New Roman"/>
                <w:kern w:val="0"/>
                <w:szCs w:val="21"/>
              </w:rPr>
              <w:t>1</w:t>
            </w:r>
          </w:p>
        </w:tc>
        <w:tc>
          <w:tcPr>
            <w:tcW w:w="1417" w:type="dxa"/>
            <w:shd w:val="clear" w:color="auto" w:fill="auto"/>
            <w:noWrap/>
            <w:vAlign w:val="center"/>
          </w:tcPr>
          <w:p w14:paraId="25A32A07">
            <w:pPr>
              <w:widowControl/>
              <w:jc w:val="center"/>
              <w:rPr>
                <w:rFonts w:ascii="Times New Roman" w:hAnsi="Times New Roman"/>
                <w:kern w:val="0"/>
                <w:szCs w:val="21"/>
              </w:rPr>
            </w:pPr>
          </w:p>
        </w:tc>
        <w:tc>
          <w:tcPr>
            <w:tcW w:w="851" w:type="dxa"/>
            <w:shd w:val="clear" w:color="auto" w:fill="auto"/>
            <w:noWrap/>
          </w:tcPr>
          <w:p w14:paraId="7F9019D8">
            <w:pPr>
              <w:widowControl/>
              <w:jc w:val="center"/>
              <w:rPr>
                <w:rFonts w:ascii="Times New Roman" w:hAnsi="Times New Roman"/>
                <w:kern w:val="0"/>
                <w:szCs w:val="21"/>
              </w:rPr>
            </w:pPr>
            <w:r>
              <w:rPr>
                <w:rFonts w:ascii="Times New Roman" w:hAnsi="Times New Roman"/>
                <w:kern w:val="0"/>
                <w:szCs w:val="21"/>
              </w:rPr>
              <w:t>达标</w:t>
            </w:r>
          </w:p>
        </w:tc>
        <w:tc>
          <w:tcPr>
            <w:tcW w:w="850" w:type="dxa"/>
            <w:shd w:val="clear" w:color="auto" w:fill="auto"/>
            <w:noWrap/>
            <w:vAlign w:val="center"/>
          </w:tcPr>
          <w:p w14:paraId="563C625D">
            <w:pPr>
              <w:widowControl/>
              <w:jc w:val="center"/>
              <w:rPr>
                <w:rFonts w:ascii="Times New Roman" w:hAnsi="Times New Roman"/>
                <w:kern w:val="0"/>
                <w:szCs w:val="21"/>
              </w:rPr>
            </w:pPr>
            <w:r>
              <w:rPr>
                <w:rFonts w:ascii="Times New Roman" w:hAnsi="Times New Roman"/>
                <w:kern w:val="0"/>
                <w:szCs w:val="21"/>
              </w:rPr>
              <w:t>100%</w:t>
            </w:r>
          </w:p>
        </w:tc>
        <w:tc>
          <w:tcPr>
            <w:tcW w:w="851" w:type="dxa"/>
            <w:shd w:val="clear" w:color="auto" w:fill="auto"/>
            <w:noWrap/>
            <w:vAlign w:val="center"/>
          </w:tcPr>
          <w:p w14:paraId="65965D07">
            <w:pPr>
              <w:widowControl/>
              <w:jc w:val="center"/>
              <w:rPr>
                <w:rFonts w:ascii="Times New Roman" w:hAnsi="Times New Roman"/>
                <w:kern w:val="0"/>
                <w:szCs w:val="21"/>
              </w:rPr>
            </w:pPr>
          </w:p>
        </w:tc>
        <w:tc>
          <w:tcPr>
            <w:tcW w:w="1569" w:type="dxa"/>
            <w:shd w:val="clear" w:color="auto" w:fill="auto"/>
            <w:noWrap/>
            <w:vAlign w:val="center"/>
          </w:tcPr>
          <w:p w14:paraId="547BCE2D">
            <w:pPr>
              <w:widowControl/>
              <w:jc w:val="center"/>
              <w:rPr>
                <w:rFonts w:ascii="Times New Roman" w:hAnsi="Times New Roman"/>
                <w:kern w:val="0"/>
                <w:szCs w:val="21"/>
              </w:rPr>
            </w:pPr>
          </w:p>
        </w:tc>
        <w:tc>
          <w:tcPr>
            <w:tcW w:w="899" w:type="dxa"/>
            <w:shd w:val="clear" w:color="auto" w:fill="auto"/>
            <w:noWrap/>
            <w:vAlign w:val="center"/>
          </w:tcPr>
          <w:p w14:paraId="2CA17F1F">
            <w:pPr>
              <w:widowControl/>
              <w:jc w:val="center"/>
              <w:rPr>
                <w:rFonts w:ascii="Times New Roman" w:hAnsi="Times New Roman"/>
                <w:kern w:val="0"/>
                <w:szCs w:val="21"/>
              </w:rPr>
            </w:pPr>
          </w:p>
        </w:tc>
      </w:tr>
      <w:tr w14:paraId="3649A6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62" w:type="dxa"/>
            <w:shd w:val="clear" w:color="auto" w:fill="auto"/>
            <w:noWrap/>
            <w:vAlign w:val="center"/>
          </w:tcPr>
          <w:p w14:paraId="0EE6FBDB">
            <w:pPr>
              <w:widowControl/>
              <w:jc w:val="center"/>
              <w:rPr>
                <w:rFonts w:ascii="Times New Roman" w:hAnsi="Times New Roman"/>
                <w:kern w:val="0"/>
                <w:szCs w:val="21"/>
              </w:rPr>
            </w:pPr>
            <w:r>
              <w:rPr>
                <w:rFonts w:ascii="Times New Roman" w:hAnsi="Times New Roman"/>
                <w:kern w:val="0"/>
                <w:szCs w:val="21"/>
              </w:rPr>
              <w:t>6</w:t>
            </w:r>
          </w:p>
        </w:tc>
        <w:tc>
          <w:tcPr>
            <w:tcW w:w="1691" w:type="dxa"/>
            <w:shd w:val="clear" w:color="auto" w:fill="auto"/>
            <w:noWrap/>
            <w:vAlign w:val="center"/>
          </w:tcPr>
          <w:p w14:paraId="4E58B05D">
            <w:pPr>
              <w:widowControl/>
              <w:jc w:val="center"/>
              <w:rPr>
                <w:rFonts w:ascii="Times New Roman" w:hAnsi="Times New Roman"/>
                <w:kern w:val="0"/>
                <w:szCs w:val="21"/>
              </w:rPr>
            </w:pPr>
            <w:r>
              <w:rPr>
                <w:rFonts w:ascii="Times New Roman" w:hAnsi="Times New Roman"/>
                <w:kern w:val="0"/>
                <w:szCs w:val="21"/>
              </w:rPr>
              <w:t>氨氮</w:t>
            </w:r>
          </w:p>
        </w:tc>
        <w:tc>
          <w:tcPr>
            <w:tcW w:w="851" w:type="dxa"/>
            <w:shd w:val="clear" w:color="auto" w:fill="auto"/>
            <w:noWrap/>
            <w:vAlign w:val="center"/>
          </w:tcPr>
          <w:p w14:paraId="3B72B547">
            <w:pPr>
              <w:widowControl/>
              <w:jc w:val="center"/>
              <w:rPr>
                <w:rFonts w:ascii="Times New Roman" w:hAnsi="Times New Roman"/>
                <w:kern w:val="0"/>
                <w:szCs w:val="21"/>
              </w:rPr>
            </w:pPr>
            <w:r>
              <w:rPr>
                <w:rFonts w:ascii="Times New Roman" w:hAnsi="Times New Roman"/>
                <w:kern w:val="0"/>
                <w:szCs w:val="21"/>
              </w:rPr>
              <w:t>mg/L</w:t>
            </w:r>
          </w:p>
        </w:tc>
        <w:tc>
          <w:tcPr>
            <w:tcW w:w="1134" w:type="dxa"/>
            <w:shd w:val="clear" w:color="auto" w:fill="auto"/>
            <w:noWrap/>
            <w:vAlign w:val="center"/>
          </w:tcPr>
          <w:p w14:paraId="3AA1484C">
            <w:pPr>
              <w:widowControl/>
              <w:jc w:val="center"/>
              <w:rPr>
                <w:rFonts w:ascii="Times New Roman" w:hAnsi="Times New Roman"/>
                <w:kern w:val="0"/>
                <w:szCs w:val="21"/>
              </w:rPr>
            </w:pPr>
          </w:p>
        </w:tc>
        <w:tc>
          <w:tcPr>
            <w:tcW w:w="1134" w:type="dxa"/>
            <w:shd w:val="clear" w:color="auto" w:fill="auto"/>
            <w:noWrap/>
            <w:vAlign w:val="center"/>
          </w:tcPr>
          <w:p w14:paraId="585F6DD7">
            <w:pPr>
              <w:widowControl/>
              <w:jc w:val="center"/>
              <w:rPr>
                <w:rFonts w:ascii="Times New Roman" w:hAnsi="Times New Roman"/>
                <w:kern w:val="0"/>
                <w:szCs w:val="21"/>
              </w:rPr>
            </w:pPr>
          </w:p>
        </w:tc>
        <w:tc>
          <w:tcPr>
            <w:tcW w:w="1134" w:type="dxa"/>
            <w:shd w:val="clear" w:color="auto" w:fill="auto"/>
            <w:noWrap/>
            <w:vAlign w:val="center"/>
          </w:tcPr>
          <w:p w14:paraId="6005AFF7">
            <w:pPr>
              <w:widowControl/>
              <w:jc w:val="center"/>
              <w:rPr>
                <w:rFonts w:ascii="Times New Roman" w:hAnsi="Times New Roman"/>
                <w:kern w:val="0"/>
                <w:szCs w:val="21"/>
              </w:rPr>
            </w:pPr>
          </w:p>
        </w:tc>
        <w:tc>
          <w:tcPr>
            <w:tcW w:w="1134" w:type="dxa"/>
            <w:shd w:val="clear" w:color="auto" w:fill="auto"/>
            <w:noWrap/>
            <w:vAlign w:val="center"/>
          </w:tcPr>
          <w:p w14:paraId="553C6EEC">
            <w:pPr>
              <w:widowControl/>
              <w:jc w:val="center"/>
              <w:rPr>
                <w:rFonts w:ascii="Times New Roman" w:hAnsi="Times New Roman"/>
                <w:kern w:val="0"/>
                <w:szCs w:val="21"/>
              </w:rPr>
            </w:pPr>
            <w:r>
              <w:rPr>
                <w:rFonts w:ascii="Times New Roman" w:hAnsi="Times New Roman"/>
                <w:kern w:val="0"/>
                <w:szCs w:val="21"/>
              </w:rPr>
              <w:t>0.5</w:t>
            </w:r>
          </w:p>
        </w:tc>
        <w:tc>
          <w:tcPr>
            <w:tcW w:w="1417" w:type="dxa"/>
            <w:shd w:val="clear" w:color="auto" w:fill="auto"/>
            <w:noWrap/>
            <w:vAlign w:val="center"/>
          </w:tcPr>
          <w:p w14:paraId="0A78258F">
            <w:pPr>
              <w:widowControl/>
              <w:jc w:val="center"/>
              <w:rPr>
                <w:rFonts w:ascii="Times New Roman" w:hAnsi="Times New Roman"/>
                <w:kern w:val="0"/>
                <w:szCs w:val="21"/>
              </w:rPr>
            </w:pPr>
          </w:p>
        </w:tc>
        <w:tc>
          <w:tcPr>
            <w:tcW w:w="851" w:type="dxa"/>
            <w:shd w:val="clear" w:color="auto" w:fill="auto"/>
            <w:noWrap/>
          </w:tcPr>
          <w:p w14:paraId="3E459FEA">
            <w:pPr>
              <w:widowControl/>
              <w:jc w:val="center"/>
              <w:rPr>
                <w:rFonts w:ascii="Times New Roman" w:hAnsi="Times New Roman"/>
                <w:kern w:val="0"/>
                <w:szCs w:val="21"/>
              </w:rPr>
            </w:pPr>
            <w:r>
              <w:rPr>
                <w:rFonts w:ascii="Times New Roman" w:hAnsi="Times New Roman"/>
                <w:kern w:val="0"/>
                <w:szCs w:val="21"/>
              </w:rPr>
              <w:t>达标</w:t>
            </w:r>
          </w:p>
        </w:tc>
        <w:tc>
          <w:tcPr>
            <w:tcW w:w="850" w:type="dxa"/>
            <w:shd w:val="clear" w:color="auto" w:fill="auto"/>
            <w:noWrap/>
            <w:vAlign w:val="center"/>
          </w:tcPr>
          <w:p w14:paraId="101499FE">
            <w:pPr>
              <w:widowControl/>
              <w:jc w:val="center"/>
              <w:rPr>
                <w:rFonts w:ascii="Times New Roman" w:hAnsi="Times New Roman"/>
                <w:kern w:val="0"/>
                <w:szCs w:val="21"/>
              </w:rPr>
            </w:pPr>
            <w:r>
              <w:rPr>
                <w:rFonts w:ascii="Times New Roman" w:hAnsi="Times New Roman"/>
                <w:kern w:val="0"/>
                <w:szCs w:val="21"/>
              </w:rPr>
              <w:t>100%</w:t>
            </w:r>
          </w:p>
        </w:tc>
        <w:tc>
          <w:tcPr>
            <w:tcW w:w="851" w:type="dxa"/>
            <w:shd w:val="clear" w:color="auto" w:fill="auto"/>
            <w:noWrap/>
            <w:vAlign w:val="center"/>
          </w:tcPr>
          <w:p w14:paraId="016471C8">
            <w:pPr>
              <w:widowControl/>
              <w:jc w:val="center"/>
              <w:rPr>
                <w:rFonts w:ascii="Times New Roman" w:hAnsi="Times New Roman"/>
                <w:kern w:val="0"/>
                <w:szCs w:val="21"/>
              </w:rPr>
            </w:pPr>
          </w:p>
        </w:tc>
        <w:tc>
          <w:tcPr>
            <w:tcW w:w="1569" w:type="dxa"/>
            <w:shd w:val="clear" w:color="auto" w:fill="auto"/>
            <w:noWrap/>
            <w:vAlign w:val="center"/>
          </w:tcPr>
          <w:p w14:paraId="056DA43B">
            <w:pPr>
              <w:widowControl/>
              <w:jc w:val="center"/>
              <w:rPr>
                <w:rFonts w:ascii="Times New Roman" w:hAnsi="Times New Roman"/>
                <w:kern w:val="0"/>
                <w:szCs w:val="21"/>
              </w:rPr>
            </w:pPr>
          </w:p>
        </w:tc>
        <w:tc>
          <w:tcPr>
            <w:tcW w:w="899" w:type="dxa"/>
            <w:shd w:val="clear" w:color="auto" w:fill="auto"/>
            <w:noWrap/>
            <w:vAlign w:val="center"/>
          </w:tcPr>
          <w:p w14:paraId="5A42231B">
            <w:pPr>
              <w:widowControl/>
              <w:jc w:val="center"/>
              <w:rPr>
                <w:rFonts w:ascii="Times New Roman" w:hAnsi="Times New Roman"/>
                <w:kern w:val="0"/>
                <w:szCs w:val="21"/>
              </w:rPr>
            </w:pPr>
          </w:p>
        </w:tc>
      </w:tr>
      <w:tr w14:paraId="59EF68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62" w:type="dxa"/>
            <w:shd w:val="clear" w:color="auto" w:fill="auto"/>
            <w:noWrap/>
            <w:vAlign w:val="center"/>
          </w:tcPr>
          <w:p w14:paraId="42880EDF">
            <w:pPr>
              <w:widowControl/>
              <w:jc w:val="center"/>
              <w:rPr>
                <w:rFonts w:ascii="Times New Roman" w:hAnsi="Times New Roman"/>
                <w:kern w:val="0"/>
                <w:szCs w:val="21"/>
              </w:rPr>
            </w:pPr>
            <w:r>
              <w:rPr>
                <w:rFonts w:ascii="Times New Roman" w:hAnsi="Times New Roman"/>
                <w:kern w:val="0"/>
                <w:szCs w:val="21"/>
              </w:rPr>
              <w:t>7</w:t>
            </w:r>
          </w:p>
        </w:tc>
        <w:tc>
          <w:tcPr>
            <w:tcW w:w="1691" w:type="dxa"/>
            <w:shd w:val="clear" w:color="auto" w:fill="auto"/>
            <w:noWrap/>
            <w:vAlign w:val="center"/>
          </w:tcPr>
          <w:p w14:paraId="78AF6710">
            <w:pPr>
              <w:widowControl/>
              <w:jc w:val="center"/>
              <w:rPr>
                <w:rFonts w:ascii="Times New Roman" w:hAnsi="Times New Roman"/>
                <w:kern w:val="0"/>
                <w:szCs w:val="21"/>
              </w:rPr>
            </w:pPr>
            <w:r>
              <w:rPr>
                <w:rFonts w:ascii="Times New Roman" w:hAnsi="Times New Roman"/>
                <w:kern w:val="0"/>
                <w:szCs w:val="21"/>
              </w:rPr>
              <w:t>砷</w:t>
            </w:r>
          </w:p>
        </w:tc>
        <w:tc>
          <w:tcPr>
            <w:tcW w:w="851" w:type="dxa"/>
            <w:shd w:val="clear" w:color="auto" w:fill="auto"/>
            <w:noWrap/>
            <w:vAlign w:val="center"/>
          </w:tcPr>
          <w:p w14:paraId="7C11B9C9">
            <w:pPr>
              <w:widowControl/>
              <w:jc w:val="center"/>
              <w:rPr>
                <w:rFonts w:ascii="Times New Roman" w:hAnsi="Times New Roman"/>
                <w:kern w:val="0"/>
                <w:szCs w:val="21"/>
              </w:rPr>
            </w:pPr>
            <w:r>
              <w:rPr>
                <w:rFonts w:ascii="Times New Roman" w:hAnsi="Times New Roman"/>
                <w:kern w:val="0"/>
                <w:szCs w:val="21"/>
              </w:rPr>
              <w:t>mg/L</w:t>
            </w:r>
          </w:p>
        </w:tc>
        <w:tc>
          <w:tcPr>
            <w:tcW w:w="1134" w:type="dxa"/>
            <w:shd w:val="clear" w:color="auto" w:fill="auto"/>
            <w:noWrap/>
            <w:vAlign w:val="center"/>
          </w:tcPr>
          <w:p w14:paraId="4F11404A">
            <w:pPr>
              <w:widowControl/>
              <w:jc w:val="center"/>
              <w:rPr>
                <w:rFonts w:ascii="Times New Roman" w:hAnsi="Times New Roman"/>
                <w:kern w:val="0"/>
                <w:szCs w:val="21"/>
              </w:rPr>
            </w:pPr>
          </w:p>
        </w:tc>
        <w:tc>
          <w:tcPr>
            <w:tcW w:w="1134" w:type="dxa"/>
            <w:shd w:val="clear" w:color="auto" w:fill="auto"/>
            <w:noWrap/>
            <w:vAlign w:val="center"/>
          </w:tcPr>
          <w:p w14:paraId="63DC42DA">
            <w:pPr>
              <w:widowControl/>
              <w:jc w:val="center"/>
              <w:rPr>
                <w:rFonts w:ascii="Times New Roman" w:hAnsi="Times New Roman"/>
                <w:kern w:val="0"/>
                <w:szCs w:val="21"/>
              </w:rPr>
            </w:pPr>
          </w:p>
        </w:tc>
        <w:tc>
          <w:tcPr>
            <w:tcW w:w="1134" w:type="dxa"/>
            <w:shd w:val="clear" w:color="auto" w:fill="auto"/>
            <w:noWrap/>
            <w:vAlign w:val="center"/>
          </w:tcPr>
          <w:p w14:paraId="13FD9B96">
            <w:pPr>
              <w:widowControl/>
              <w:jc w:val="center"/>
              <w:rPr>
                <w:rFonts w:ascii="Times New Roman" w:hAnsi="Times New Roman"/>
                <w:kern w:val="0"/>
                <w:szCs w:val="21"/>
              </w:rPr>
            </w:pPr>
          </w:p>
        </w:tc>
        <w:tc>
          <w:tcPr>
            <w:tcW w:w="1134" w:type="dxa"/>
            <w:shd w:val="clear" w:color="auto" w:fill="auto"/>
            <w:noWrap/>
            <w:vAlign w:val="center"/>
          </w:tcPr>
          <w:p w14:paraId="03467CAC">
            <w:pPr>
              <w:widowControl/>
              <w:jc w:val="center"/>
              <w:rPr>
                <w:rFonts w:ascii="Times New Roman" w:hAnsi="Times New Roman"/>
                <w:kern w:val="0"/>
                <w:szCs w:val="21"/>
              </w:rPr>
            </w:pPr>
            <w:r>
              <w:rPr>
                <w:rFonts w:ascii="Times New Roman" w:hAnsi="Times New Roman"/>
                <w:kern w:val="0"/>
                <w:szCs w:val="21"/>
              </w:rPr>
              <w:t>0.01</w:t>
            </w:r>
          </w:p>
        </w:tc>
        <w:tc>
          <w:tcPr>
            <w:tcW w:w="1417" w:type="dxa"/>
            <w:shd w:val="clear" w:color="auto" w:fill="auto"/>
            <w:noWrap/>
            <w:vAlign w:val="center"/>
          </w:tcPr>
          <w:p w14:paraId="42298848">
            <w:pPr>
              <w:widowControl/>
              <w:jc w:val="center"/>
              <w:rPr>
                <w:rFonts w:ascii="Times New Roman" w:hAnsi="Times New Roman"/>
                <w:kern w:val="0"/>
                <w:szCs w:val="21"/>
              </w:rPr>
            </w:pPr>
          </w:p>
        </w:tc>
        <w:tc>
          <w:tcPr>
            <w:tcW w:w="851" w:type="dxa"/>
            <w:shd w:val="clear" w:color="auto" w:fill="auto"/>
            <w:noWrap/>
          </w:tcPr>
          <w:p w14:paraId="4E5E1C08">
            <w:pPr>
              <w:widowControl/>
              <w:jc w:val="center"/>
              <w:rPr>
                <w:rFonts w:ascii="Times New Roman" w:hAnsi="Times New Roman"/>
                <w:kern w:val="0"/>
                <w:szCs w:val="21"/>
              </w:rPr>
            </w:pPr>
            <w:r>
              <w:rPr>
                <w:rFonts w:ascii="Times New Roman" w:hAnsi="Times New Roman"/>
                <w:kern w:val="0"/>
                <w:szCs w:val="21"/>
              </w:rPr>
              <w:t>达标</w:t>
            </w:r>
          </w:p>
        </w:tc>
        <w:tc>
          <w:tcPr>
            <w:tcW w:w="850" w:type="dxa"/>
            <w:shd w:val="clear" w:color="auto" w:fill="auto"/>
            <w:noWrap/>
            <w:vAlign w:val="center"/>
          </w:tcPr>
          <w:p w14:paraId="0B6642A4">
            <w:pPr>
              <w:widowControl/>
              <w:jc w:val="center"/>
              <w:rPr>
                <w:rFonts w:ascii="Times New Roman" w:hAnsi="Times New Roman"/>
                <w:kern w:val="0"/>
                <w:szCs w:val="21"/>
              </w:rPr>
            </w:pPr>
            <w:r>
              <w:rPr>
                <w:rFonts w:ascii="Times New Roman" w:hAnsi="Times New Roman"/>
                <w:kern w:val="0"/>
                <w:szCs w:val="21"/>
              </w:rPr>
              <w:t>100%</w:t>
            </w:r>
          </w:p>
        </w:tc>
        <w:tc>
          <w:tcPr>
            <w:tcW w:w="851" w:type="dxa"/>
            <w:shd w:val="clear" w:color="auto" w:fill="auto"/>
            <w:noWrap/>
            <w:vAlign w:val="center"/>
          </w:tcPr>
          <w:p w14:paraId="6D1737FC">
            <w:pPr>
              <w:widowControl/>
              <w:jc w:val="center"/>
              <w:rPr>
                <w:rFonts w:ascii="Times New Roman" w:hAnsi="Times New Roman"/>
                <w:kern w:val="0"/>
                <w:szCs w:val="21"/>
              </w:rPr>
            </w:pPr>
          </w:p>
        </w:tc>
        <w:tc>
          <w:tcPr>
            <w:tcW w:w="1569" w:type="dxa"/>
            <w:shd w:val="clear" w:color="auto" w:fill="auto"/>
            <w:noWrap/>
            <w:vAlign w:val="center"/>
          </w:tcPr>
          <w:p w14:paraId="2ECBB768">
            <w:pPr>
              <w:widowControl/>
              <w:jc w:val="center"/>
              <w:rPr>
                <w:rFonts w:ascii="Times New Roman" w:hAnsi="Times New Roman"/>
                <w:kern w:val="0"/>
                <w:szCs w:val="21"/>
              </w:rPr>
            </w:pPr>
          </w:p>
        </w:tc>
        <w:tc>
          <w:tcPr>
            <w:tcW w:w="899" w:type="dxa"/>
            <w:shd w:val="clear" w:color="auto" w:fill="auto"/>
            <w:noWrap/>
            <w:vAlign w:val="center"/>
          </w:tcPr>
          <w:p w14:paraId="5847EA2B">
            <w:pPr>
              <w:widowControl/>
              <w:jc w:val="center"/>
              <w:rPr>
                <w:rFonts w:ascii="Times New Roman" w:hAnsi="Times New Roman"/>
                <w:kern w:val="0"/>
                <w:szCs w:val="21"/>
              </w:rPr>
            </w:pPr>
          </w:p>
        </w:tc>
      </w:tr>
      <w:tr w14:paraId="139C49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62" w:type="dxa"/>
            <w:shd w:val="clear" w:color="auto" w:fill="auto"/>
            <w:noWrap/>
            <w:vAlign w:val="center"/>
          </w:tcPr>
          <w:p w14:paraId="507DAB5E">
            <w:pPr>
              <w:widowControl/>
              <w:jc w:val="center"/>
              <w:rPr>
                <w:rFonts w:ascii="Times New Roman" w:hAnsi="Times New Roman"/>
                <w:kern w:val="0"/>
                <w:szCs w:val="21"/>
              </w:rPr>
            </w:pPr>
            <w:r>
              <w:rPr>
                <w:rFonts w:ascii="Times New Roman" w:hAnsi="Times New Roman"/>
                <w:kern w:val="0"/>
                <w:szCs w:val="21"/>
              </w:rPr>
              <w:t>8</w:t>
            </w:r>
          </w:p>
        </w:tc>
        <w:tc>
          <w:tcPr>
            <w:tcW w:w="1691" w:type="dxa"/>
            <w:shd w:val="clear" w:color="auto" w:fill="auto"/>
            <w:noWrap/>
            <w:vAlign w:val="center"/>
          </w:tcPr>
          <w:p w14:paraId="0024277E">
            <w:pPr>
              <w:widowControl/>
              <w:jc w:val="center"/>
              <w:rPr>
                <w:rFonts w:ascii="Times New Roman" w:hAnsi="Times New Roman"/>
                <w:kern w:val="0"/>
                <w:szCs w:val="21"/>
              </w:rPr>
            </w:pPr>
            <w:r>
              <w:rPr>
                <w:rFonts w:ascii="Times New Roman" w:hAnsi="Times New Roman"/>
                <w:kern w:val="0"/>
                <w:szCs w:val="21"/>
              </w:rPr>
              <w:t>汞</w:t>
            </w:r>
          </w:p>
        </w:tc>
        <w:tc>
          <w:tcPr>
            <w:tcW w:w="851" w:type="dxa"/>
            <w:shd w:val="clear" w:color="auto" w:fill="auto"/>
            <w:noWrap/>
            <w:vAlign w:val="center"/>
          </w:tcPr>
          <w:p w14:paraId="060BC74C">
            <w:pPr>
              <w:widowControl/>
              <w:jc w:val="center"/>
              <w:rPr>
                <w:rFonts w:ascii="Times New Roman" w:hAnsi="Times New Roman"/>
                <w:kern w:val="0"/>
                <w:szCs w:val="21"/>
              </w:rPr>
            </w:pPr>
            <w:r>
              <w:rPr>
                <w:rFonts w:ascii="Times New Roman" w:hAnsi="Times New Roman"/>
                <w:kern w:val="0"/>
                <w:szCs w:val="21"/>
              </w:rPr>
              <w:t>mg/L</w:t>
            </w:r>
          </w:p>
        </w:tc>
        <w:tc>
          <w:tcPr>
            <w:tcW w:w="1134" w:type="dxa"/>
            <w:shd w:val="clear" w:color="auto" w:fill="auto"/>
            <w:noWrap/>
            <w:vAlign w:val="center"/>
          </w:tcPr>
          <w:p w14:paraId="0CE95CC5">
            <w:pPr>
              <w:widowControl/>
              <w:jc w:val="center"/>
              <w:rPr>
                <w:rFonts w:ascii="Times New Roman" w:hAnsi="Times New Roman"/>
                <w:kern w:val="0"/>
                <w:szCs w:val="21"/>
              </w:rPr>
            </w:pPr>
          </w:p>
        </w:tc>
        <w:tc>
          <w:tcPr>
            <w:tcW w:w="1134" w:type="dxa"/>
            <w:shd w:val="clear" w:color="auto" w:fill="auto"/>
            <w:noWrap/>
            <w:vAlign w:val="center"/>
          </w:tcPr>
          <w:p w14:paraId="6F98AF37">
            <w:pPr>
              <w:widowControl/>
              <w:jc w:val="center"/>
              <w:rPr>
                <w:rFonts w:ascii="Times New Roman" w:hAnsi="Times New Roman"/>
                <w:kern w:val="0"/>
                <w:szCs w:val="21"/>
              </w:rPr>
            </w:pPr>
          </w:p>
        </w:tc>
        <w:tc>
          <w:tcPr>
            <w:tcW w:w="1134" w:type="dxa"/>
            <w:shd w:val="clear" w:color="auto" w:fill="auto"/>
            <w:noWrap/>
            <w:vAlign w:val="center"/>
          </w:tcPr>
          <w:p w14:paraId="4F86CD19">
            <w:pPr>
              <w:widowControl/>
              <w:jc w:val="center"/>
              <w:rPr>
                <w:rFonts w:ascii="Times New Roman" w:hAnsi="Times New Roman"/>
                <w:kern w:val="0"/>
                <w:szCs w:val="21"/>
              </w:rPr>
            </w:pPr>
          </w:p>
        </w:tc>
        <w:tc>
          <w:tcPr>
            <w:tcW w:w="1134" w:type="dxa"/>
            <w:shd w:val="clear" w:color="auto" w:fill="auto"/>
            <w:noWrap/>
            <w:vAlign w:val="center"/>
          </w:tcPr>
          <w:p w14:paraId="017720E9">
            <w:pPr>
              <w:widowControl/>
              <w:jc w:val="center"/>
              <w:rPr>
                <w:rFonts w:ascii="Times New Roman" w:hAnsi="Times New Roman"/>
                <w:kern w:val="0"/>
                <w:szCs w:val="21"/>
              </w:rPr>
            </w:pPr>
            <w:r>
              <w:rPr>
                <w:rFonts w:ascii="Times New Roman" w:hAnsi="Times New Roman"/>
                <w:kern w:val="0"/>
                <w:szCs w:val="21"/>
              </w:rPr>
              <w:t>0.001</w:t>
            </w:r>
          </w:p>
        </w:tc>
        <w:tc>
          <w:tcPr>
            <w:tcW w:w="1417" w:type="dxa"/>
            <w:shd w:val="clear" w:color="auto" w:fill="auto"/>
            <w:noWrap/>
            <w:vAlign w:val="center"/>
          </w:tcPr>
          <w:p w14:paraId="5236428A">
            <w:pPr>
              <w:widowControl/>
              <w:jc w:val="center"/>
              <w:rPr>
                <w:rFonts w:ascii="Times New Roman" w:hAnsi="Times New Roman"/>
                <w:kern w:val="0"/>
                <w:szCs w:val="21"/>
              </w:rPr>
            </w:pPr>
          </w:p>
        </w:tc>
        <w:tc>
          <w:tcPr>
            <w:tcW w:w="851" w:type="dxa"/>
            <w:shd w:val="clear" w:color="auto" w:fill="auto"/>
            <w:noWrap/>
          </w:tcPr>
          <w:p w14:paraId="06A3954F">
            <w:pPr>
              <w:widowControl/>
              <w:jc w:val="center"/>
              <w:rPr>
                <w:rFonts w:ascii="Times New Roman" w:hAnsi="Times New Roman"/>
                <w:kern w:val="0"/>
                <w:szCs w:val="21"/>
              </w:rPr>
            </w:pPr>
            <w:r>
              <w:rPr>
                <w:rFonts w:ascii="Times New Roman" w:hAnsi="Times New Roman"/>
                <w:kern w:val="0"/>
                <w:szCs w:val="21"/>
              </w:rPr>
              <w:t>达标</w:t>
            </w:r>
          </w:p>
        </w:tc>
        <w:tc>
          <w:tcPr>
            <w:tcW w:w="850" w:type="dxa"/>
            <w:shd w:val="clear" w:color="auto" w:fill="auto"/>
            <w:noWrap/>
            <w:vAlign w:val="center"/>
          </w:tcPr>
          <w:p w14:paraId="4CA3A93A">
            <w:pPr>
              <w:widowControl/>
              <w:jc w:val="center"/>
              <w:rPr>
                <w:rFonts w:ascii="Times New Roman" w:hAnsi="Times New Roman"/>
                <w:kern w:val="0"/>
                <w:szCs w:val="21"/>
              </w:rPr>
            </w:pPr>
            <w:r>
              <w:rPr>
                <w:rFonts w:ascii="Times New Roman" w:hAnsi="Times New Roman"/>
                <w:kern w:val="0"/>
                <w:szCs w:val="21"/>
              </w:rPr>
              <w:t>100%</w:t>
            </w:r>
          </w:p>
        </w:tc>
        <w:tc>
          <w:tcPr>
            <w:tcW w:w="851" w:type="dxa"/>
            <w:shd w:val="clear" w:color="auto" w:fill="auto"/>
            <w:noWrap/>
            <w:vAlign w:val="center"/>
          </w:tcPr>
          <w:p w14:paraId="3D9FF262">
            <w:pPr>
              <w:widowControl/>
              <w:jc w:val="center"/>
              <w:rPr>
                <w:rFonts w:ascii="Times New Roman" w:hAnsi="Times New Roman"/>
                <w:kern w:val="0"/>
                <w:szCs w:val="21"/>
              </w:rPr>
            </w:pPr>
          </w:p>
        </w:tc>
        <w:tc>
          <w:tcPr>
            <w:tcW w:w="1569" w:type="dxa"/>
            <w:shd w:val="clear" w:color="auto" w:fill="auto"/>
            <w:noWrap/>
            <w:vAlign w:val="center"/>
          </w:tcPr>
          <w:p w14:paraId="3C226B0D">
            <w:pPr>
              <w:widowControl/>
              <w:jc w:val="center"/>
              <w:rPr>
                <w:rFonts w:ascii="Times New Roman" w:hAnsi="Times New Roman"/>
                <w:kern w:val="0"/>
                <w:szCs w:val="21"/>
              </w:rPr>
            </w:pPr>
          </w:p>
        </w:tc>
        <w:tc>
          <w:tcPr>
            <w:tcW w:w="899" w:type="dxa"/>
            <w:shd w:val="clear" w:color="auto" w:fill="auto"/>
            <w:noWrap/>
            <w:vAlign w:val="center"/>
          </w:tcPr>
          <w:p w14:paraId="0F719636">
            <w:pPr>
              <w:widowControl/>
              <w:jc w:val="center"/>
              <w:rPr>
                <w:rFonts w:ascii="Times New Roman" w:hAnsi="Times New Roman"/>
                <w:kern w:val="0"/>
                <w:szCs w:val="21"/>
              </w:rPr>
            </w:pPr>
          </w:p>
        </w:tc>
      </w:tr>
      <w:tr w14:paraId="08AF46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62" w:type="dxa"/>
            <w:shd w:val="clear" w:color="auto" w:fill="auto"/>
            <w:noWrap/>
            <w:vAlign w:val="center"/>
          </w:tcPr>
          <w:p w14:paraId="6DC9AE18">
            <w:pPr>
              <w:widowControl/>
              <w:jc w:val="center"/>
              <w:rPr>
                <w:rFonts w:ascii="Times New Roman" w:hAnsi="Times New Roman"/>
                <w:kern w:val="0"/>
                <w:szCs w:val="21"/>
              </w:rPr>
            </w:pPr>
            <w:r>
              <w:rPr>
                <w:rFonts w:ascii="Times New Roman" w:hAnsi="Times New Roman"/>
                <w:kern w:val="0"/>
                <w:szCs w:val="21"/>
              </w:rPr>
              <w:t>9</w:t>
            </w:r>
          </w:p>
        </w:tc>
        <w:tc>
          <w:tcPr>
            <w:tcW w:w="1691" w:type="dxa"/>
            <w:shd w:val="clear" w:color="auto" w:fill="auto"/>
            <w:noWrap/>
            <w:vAlign w:val="center"/>
          </w:tcPr>
          <w:p w14:paraId="6D28CB9F">
            <w:pPr>
              <w:widowControl/>
              <w:jc w:val="center"/>
              <w:rPr>
                <w:rFonts w:ascii="Times New Roman" w:hAnsi="Times New Roman"/>
                <w:kern w:val="0"/>
                <w:szCs w:val="21"/>
              </w:rPr>
            </w:pPr>
            <w:r>
              <w:rPr>
                <w:rFonts w:ascii="Times New Roman" w:hAnsi="Times New Roman"/>
                <w:kern w:val="0"/>
                <w:szCs w:val="21"/>
              </w:rPr>
              <w:t>铅</w:t>
            </w:r>
          </w:p>
        </w:tc>
        <w:tc>
          <w:tcPr>
            <w:tcW w:w="851" w:type="dxa"/>
            <w:shd w:val="clear" w:color="auto" w:fill="auto"/>
            <w:noWrap/>
            <w:vAlign w:val="center"/>
          </w:tcPr>
          <w:p w14:paraId="51188B2C">
            <w:pPr>
              <w:widowControl/>
              <w:jc w:val="center"/>
              <w:rPr>
                <w:rFonts w:ascii="Times New Roman" w:hAnsi="Times New Roman"/>
                <w:kern w:val="0"/>
                <w:szCs w:val="21"/>
              </w:rPr>
            </w:pPr>
            <w:r>
              <w:rPr>
                <w:rFonts w:ascii="Times New Roman" w:hAnsi="Times New Roman"/>
                <w:kern w:val="0"/>
                <w:szCs w:val="21"/>
              </w:rPr>
              <w:t>mg/L</w:t>
            </w:r>
          </w:p>
        </w:tc>
        <w:tc>
          <w:tcPr>
            <w:tcW w:w="1134" w:type="dxa"/>
            <w:shd w:val="clear" w:color="auto" w:fill="auto"/>
            <w:noWrap/>
            <w:vAlign w:val="center"/>
          </w:tcPr>
          <w:p w14:paraId="359FECEE">
            <w:pPr>
              <w:widowControl/>
              <w:jc w:val="center"/>
              <w:rPr>
                <w:rFonts w:ascii="Times New Roman" w:hAnsi="Times New Roman"/>
                <w:kern w:val="0"/>
                <w:szCs w:val="21"/>
              </w:rPr>
            </w:pPr>
          </w:p>
        </w:tc>
        <w:tc>
          <w:tcPr>
            <w:tcW w:w="1134" w:type="dxa"/>
            <w:shd w:val="clear" w:color="auto" w:fill="auto"/>
            <w:noWrap/>
            <w:vAlign w:val="center"/>
          </w:tcPr>
          <w:p w14:paraId="5351270C">
            <w:pPr>
              <w:widowControl/>
              <w:jc w:val="center"/>
              <w:rPr>
                <w:rFonts w:ascii="Times New Roman" w:hAnsi="Times New Roman"/>
                <w:kern w:val="0"/>
                <w:szCs w:val="21"/>
              </w:rPr>
            </w:pPr>
          </w:p>
        </w:tc>
        <w:tc>
          <w:tcPr>
            <w:tcW w:w="1134" w:type="dxa"/>
            <w:shd w:val="clear" w:color="auto" w:fill="auto"/>
            <w:noWrap/>
            <w:vAlign w:val="center"/>
          </w:tcPr>
          <w:p w14:paraId="6B53E73A">
            <w:pPr>
              <w:widowControl/>
              <w:jc w:val="center"/>
              <w:rPr>
                <w:rFonts w:ascii="Times New Roman" w:hAnsi="Times New Roman"/>
                <w:kern w:val="0"/>
                <w:szCs w:val="21"/>
              </w:rPr>
            </w:pPr>
          </w:p>
        </w:tc>
        <w:tc>
          <w:tcPr>
            <w:tcW w:w="1134" w:type="dxa"/>
            <w:shd w:val="clear" w:color="auto" w:fill="auto"/>
            <w:noWrap/>
            <w:vAlign w:val="center"/>
          </w:tcPr>
          <w:p w14:paraId="0CDA7D2E">
            <w:pPr>
              <w:widowControl/>
              <w:jc w:val="center"/>
              <w:rPr>
                <w:rFonts w:ascii="Times New Roman" w:hAnsi="Times New Roman"/>
                <w:kern w:val="0"/>
                <w:szCs w:val="21"/>
              </w:rPr>
            </w:pPr>
            <w:r>
              <w:rPr>
                <w:rFonts w:ascii="Times New Roman" w:hAnsi="Times New Roman"/>
                <w:kern w:val="0"/>
                <w:szCs w:val="21"/>
              </w:rPr>
              <w:t>0.01</w:t>
            </w:r>
          </w:p>
        </w:tc>
        <w:tc>
          <w:tcPr>
            <w:tcW w:w="1417" w:type="dxa"/>
            <w:shd w:val="clear" w:color="auto" w:fill="auto"/>
            <w:noWrap/>
            <w:vAlign w:val="center"/>
          </w:tcPr>
          <w:p w14:paraId="350110C6">
            <w:pPr>
              <w:widowControl/>
              <w:jc w:val="center"/>
              <w:rPr>
                <w:rFonts w:ascii="Times New Roman" w:hAnsi="Times New Roman"/>
                <w:kern w:val="0"/>
                <w:szCs w:val="21"/>
              </w:rPr>
            </w:pPr>
          </w:p>
        </w:tc>
        <w:tc>
          <w:tcPr>
            <w:tcW w:w="851" w:type="dxa"/>
            <w:shd w:val="clear" w:color="auto" w:fill="auto"/>
            <w:noWrap/>
          </w:tcPr>
          <w:p w14:paraId="04ED4537">
            <w:pPr>
              <w:widowControl/>
              <w:jc w:val="center"/>
              <w:rPr>
                <w:rFonts w:ascii="Times New Roman" w:hAnsi="Times New Roman"/>
                <w:kern w:val="0"/>
                <w:szCs w:val="21"/>
              </w:rPr>
            </w:pPr>
            <w:r>
              <w:rPr>
                <w:rFonts w:ascii="Times New Roman" w:hAnsi="Times New Roman"/>
                <w:kern w:val="0"/>
                <w:szCs w:val="21"/>
              </w:rPr>
              <w:t>达标</w:t>
            </w:r>
          </w:p>
        </w:tc>
        <w:tc>
          <w:tcPr>
            <w:tcW w:w="850" w:type="dxa"/>
            <w:shd w:val="clear" w:color="auto" w:fill="auto"/>
            <w:noWrap/>
            <w:vAlign w:val="center"/>
          </w:tcPr>
          <w:p w14:paraId="1D84F4D2">
            <w:pPr>
              <w:widowControl/>
              <w:jc w:val="center"/>
              <w:rPr>
                <w:rFonts w:ascii="Times New Roman" w:hAnsi="Times New Roman"/>
                <w:kern w:val="0"/>
                <w:szCs w:val="21"/>
              </w:rPr>
            </w:pPr>
            <w:r>
              <w:rPr>
                <w:rFonts w:ascii="Times New Roman" w:hAnsi="Times New Roman"/>
                <w:kern w:val="0"/>
                <w:szCs w:val="21"/>
              </w:rPr>
              <w:t>100%</w:t>
            </w:r>
          </w:p>
        </w:tc>
        <w:tc>
          <w:tcPr>
            <w:tcW w:w="851" w:type="dxa"/>
            <w:shd w:val="clear" w:color="auto" w:fill="auto"/>
            <w:noWrap/>
            <w:vAlign w:val="center"/>
          </w:tcPr>
          <w:p w14:paraId="10B0EBB7">
            <w:pPr>
              <w:widowControl/>
              <w:jc w:val="center"/>
              <w:rPr>
                <w:rFonts w:ascii="Times New Roman" w:hAnsi="Times New Roman"/>
                <w:kern w:val="0"/>
                <w:szCs w:val="21"/>
              </w:rPr>
            </w:pPr>
          </w:p>
        </w:tc>
        <w:tc>
          <w:tcPr>
            <w:tcW w:w="1569" w:type="dxa"/>
            <w:shd w:val="clear" w:color="auto" w:fill="auto"/>
            <w:noWrap/>
            <w:vAlign w:val="center"/>
          </w:tcPr>
          <w:p w14:paraId="6E4F93A2">
            <w:pPr>
              <w:widowControl/>
              <w:jc w:val="center"/>
              <w:rPr>
                <w:rFonts w:ascii="Times New Roman" w:hAnsi="Times New Roman"/>
                <w:kern w:val="0"/>
                <w:szCs w:val="21"/>
              </w:rPr>
            </w:pPr>
          </w:p>
        </w:tc>
        <w:tc>
          <w:tcPr>
            <w:tcW w:w="899" w:type="dxa"/>
            <w:shd w:val="clear" w:color="auto" w:fill="auto"/>
            <w:noWrap/>
            <w:vAlign w:val="center"/>
          </w:tcPr>
          <w:p w14:paraId="7DDFAAFA">
            <w:pPr>
              <w:widowControl/>
              <w:jc w:val="center"/>
              <w:rPr>
                <w:rFonts w:ascii="Times New Roman" w:hAnsi="Times New Roman"/>
                <w:kern w:val="0"/>
                <w:szCs w:val="21"/>
              </w:rPr>
            </w:pPr>
          </w:p>
        </w:tc>
      </w:tr>
      <w:tr w14:paraId="36D112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62" w:type="dxa"/>
            <w:shd w:val="clear" w:color="auto" w:fill="auto"/>
            <w:noWrap/>
            <w:vAlign w:val="center"/>
          </w:tcPr>
          <w:p w14:paraId="4725562A">
            <w:pPr>
              <w:widowControl/>
              <w:jc w:val="center"/>
              <w:rPr>
                <w:rFonts w:ascii="Times New Roman" w:hAnsi="Times New Roman"/>
                <w:kern w:val="0"/>
                <w:szCs w:val="21"/>
              </w:rPr>
            </w:pPr>
            <w:r>
              <w:rPr>
                <w:rFonts w:ascii="Times New Roman" w:hAnsi="Times New Roman"/>
                <w:kern w:val="0"/>
                <w:szCs w:val="21"/>
              </w:rPr>
              <w:t>10</w:t>
            </w:r>
          </w:p>
        </w:tc>
        <w:tc>
          <w:tcPr>
            <w:tcW w:w="1691" w:type="dxa"/>
            <w:shd w:val="clear" w:color="auto" w:fill="auto"/>
            <w:noWrap/>
            <w:vAlign w:val="center"/>
          </w:tcPr>
          <w:p w14:paraId="7E676D35">
            <w:pPr>
              <w:widowControl/>
              <w:jc w:val="center"/>
              <w:rPr>
                <w:rFonts w:ascii="Times New Roman" w:hAnsi="Times New Roman"/>
                <w:kern w:val="0"/>
                <w:szCs w:val="21"/>
              </w:rPr>
            </w:pPr>
            <w:r>
              <w:rPr>
                <w:rFonts w:ascii="Times New Roman" w:hAnsi="Times New Roman"/>
                <w:kern w:val="0"/>
                <w:szCs w:val="21"/>
              </w:rPr>
              <w:t>镉</w:t>
            </w:r>
          </w:p>
        </w:tc>
        <w:tc>
          <w:tcPr>
            <w:tcW w:w="851" w:type="dxa"/>
            <w:shd w:val="clear" w:color="auto" w:fill="auto"/>
            <w:noWrap/>
            <w:vAlign w:val="center"/>
          </w:tcPr>
          <w:p w14:paraId="60D5964B">
            <w:pPr>
              <w:widowControl/>
              <w:jc w:val="center"/>
              <w:rPr>
                <w:rFonts w:ascii="Times New Roman" w:hAnsi="Times New Roman"/>
                <w:kern w:val="0"/>
                <w:szCs w:val="21"/>
              </w:rPr>
            </w:pPr>
            <w:r>
              <w:rPr>
                <w:rFonts w:ascii="Times New Roman" w:hAnsi="Times New Roman"/>
                <w:kern w:val="0"/>
                <w:szCs w:val="21"/>
              </w:rPr>
              <w:t>mg/L</w:t>
            </w:r>
          </w:p>
        </w:tc>
        <w:tc>
          <w:tcPr>
            <w:tcW w:w="1134" w:type="dxa"/>
            <w:shd w:val="clear" w:color="auto" w:fill="auto"/>
            <w:noWrap/>
            <w:vAlign w:val="center"/>
          </w:tcPr>
          <w:p w14:paraId="7CF3A7D0">
            <w:pPr>
              <w:widowControl/>
              <w:jc w:val="center"/>
              <w:rPr>
                <w:rFonts w:ascii="Times New Roman" w:hAnsi="Times New Roman"/>
                <w:kern w:val="0"/>
                <w:szCs w:val="21"/>
              </w:rPr>
            </w:pPr>
          </w:p>
        </w:tc>
        <w:tc>
          <w:tcPr>
            <w:tcW w:w="1134" w:type="dxa"/>
            <w:shd w:val="clear" w:color="auto" w:fill="auto"/>
            <w:noWrap/>
            <w:vAlign w:val="center"/>
          </w:tcPr>
          <w:p w14:paraId="2A79DE56">
            <w:pPr>
              <w:widowControl/>
              <w:jc w:val="center"/>
              <w:rPr>
                <w:rFonts w:ascii="Times New Roman" w:hAnsi="Times New Roman"/>
                <w:kern w:val="0"/>
                <w:szCs w:val="21"/>
              </w:rPr>
            </w:pPr>
          </w:p>
        </w:tc>
        <w:tc>
          <w:tcPr>
            <w:tcW w:w="1134" w:type="dxa"/>
            <w:shd w:val="clear" w:color="auto" w:fill="auto"/>
            <w:noWrap/>
            <w:vAlign w:val="center"/>
          </w:tcPr>
          <w:p w14:paraId="205341D1">
            <w:pPr>
              <w:widowControl/>
              <w:jc w:val="center"/>
              <w:rPr>
                <w:rFonts w:ascii="Times New Roman" w:hAnsi="Times New Roman"/>
                <w:kern w:val="0"/>
                <w:szCs w:val="21"/>
              </w:rPr>
            </w:pPr>
          </w:p>
        </w:tc>
        <w:tc>
          <w:tcPr>
            <w:tcW w:w="1134" w:type="dxa"/>
            <w:shd w:val="clear" w:color="auto" w:fill="auto"/>
            <w:noWrap/>
            <w:vAlign w:val="center"/>
          </w:tcPr>
          <w:p w14:paraId="3510A7B9">
            <w:pPr>
              <w:widowControl/>
              <w:jc w:val="center"/>
              <w:rPr>
                <w:rFonts w:ascii="Times New Roman" w:hAnsi="Times New Roman"/>
                <w:kern w:val="0"/>
                <w:szCs w:val="21"/>
              </w:rPr>
            </w:pPr>
            <w:r>
              <w:rPr>
                <w:rFonts w:ascii="Times New Roman" w:hAnsi="Times New Roman"/>
                <w:kern w:val="0"/>
                <w:szCs w:val="21"/>
              </w:rPr>
              <w:t>0.005</w:t>
            </w:r>
          </w:p>
        </w:tc>
        <w:tc>
          <w:tcPr>
            <w:tcW w:w="1417" w:type="dxa"/>
            <w:shd w:val="clear" w:color="auto" w:fill="auto"/>
            <w:noWrap/>
            <w:vAlign w:val="center"/>
          </w:tcPr>
          <w:p w14:paraId="5AFF31E8">
            <w:pPr>
              <w:widowControl/>
              <w:jc w:val="center"/>
              <w:rPr>
                <w:rFonts w:ascii="Times New Roman" w:hAnsi="Times New Roman"/>
                <w:kern w:val="0"/>
                <w:szCs w:val="21"/>
              </w:rPr>
            </w:pPr>
          </w:p>
        </w:tc>
        <w:tc>
          <w:tcPr>
            <w:tcW w:w="851" w:type="dxa"/>
            <w:shd w:val="clear" w:color="auto" w:fill="auto"/>
            <w:noWrap/>
          </w:tcPr>
          <w:p w14:paraId="0B2A78FC">
            <w:pPr>
              <w:widowControl/>
              <w:jc w:val="center"/>
              <w:rPr>
                <w:rFonts w:ascii="Times New Roman" w:hAnsi="Times New Roman"/>
                <w:kern w:val="0"/>
                <w:szCs w:val="21"/>
              </w:rPr>
            </w:pPr>
            <w:r>
              <w:rPr>
                <w:rFonts w:ascii="Times New Roman" w:hAnsi="Times New Roman"/>
                <w:kern w:val="0"/>
                <w:szCs w:val="21"/>
              </w:rPr>
              <w:t>达标</w:t>
            </w:r>
          </w:p>
        </w:tc>
        <w:tc>
          <w:tcPr>
            <w:tcW w:w="850" w:type="dxa"/>
            <w:shd w:val="clear" w:color="auto" w:fill="auto"/>
            <w:noWrap/>
            <w:vAlign w:val="center"/>
          </w:tcPr>
          <w:p w14:paraId="77701E01">
            <w:pPr>
              <w:widowControl/>
              <w:jc w:val="center"/>
              <w:rPr>
                <w:rFonts w:ascii="Times New Roman" w:hAnsi="Times New Roman"/>
                <w:kern w:val="0"/>
                <w:szCs w:val="21"/>
              </w:rPr>
            </w:pPr>
            <w:r>
              <w:rPr>
                <w:rFonts w:ascii="Times New Roman" w:hAnsi="Times New Roman"/>
                <w:kern w:val="0"/>
                <w:szCs w:val="21"/>
              </w:rPr>
              <w:t>100%</w:t>
            </w:r>
          </w:p>
        </w:tc>
        <w:tc>
          <w:tcPr>
            <w:tcW w:w="851" w:type="dxa"/>
            <w:shd w:val="clear" w:color="auto" w:fill="auto"/>
            <w:noWrap/>
            <w:vAlign w:val="center"/>
          </w:tcPr>
          <w:p w14:paraId="233C10FD">
            <w:pPr>
              <w:widowControl/>
              <w:jc w:val="center"/>
              <w:rPr>
                <w:rFonts w:ascii="Times New Roman" w:hAnsi="Times New Roman"/>
                <w:kern w:val="0"/>
                <w:szCs w:val="21"/>
              </w:rPr>
            </w:pPr>
          </w:p>
        </w:tc>
        <w:tc>
          <w:tcPr>
            <w:tcW w:w="1569" w:type="dxa"/>
            <w:shd w:val="clear" w:color="auto" w:fill="auto"/>
            <w:noWrap/>
            <w:vAlign w:val="center"/>
          </w:tcPr>
          <w:p w14:paraId="526480DE">
            <w:pPr>
              <w:widowControl/>
              <w:jc w:val="center"/>
              <w:rPr>
                <w:rFonts w:ascii="Times New Roman" w:hAnsi="Times New Roman"/>
                <w:kern w:val="0"/>
                <w:szCs w:val="21"/>
              </w:rPr>
            </w:pPr>
          </w:p>
        </w:tc>
        <w:tc>
          <w:tcPr>
            <w:tcW w:w="899" w:type="dxa"/>
            <w:shd w:val="clear" w:color="auto" w:fill="auto"/>
            <w:noWrap/>
            <w:vAlign w:val="center"/>
          </w:tcPr>
          <w:p w14:paraId="74B09F02">
            <w:pPr>
              <w:widowControl/>
              <w:jc w:val="center"/>
              <w:rPr>
                <w:rFonts w:ascii="Times New Roman" w:hAnsi="Times New Roman"/>
                <w:kern w:val="0"/>
                <w:szCs w:val="21"/>
              </w:rPr>
            </w:pPr>
          </w:p>
        </w:tc>
      </w:tr>
      <w:tr w14:paraId="52A571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62" w:type="dxa"/>
            <w:shd w:val="clear" w:color="auto" w:fill="auto"/>
            <w:noWrap/>
            <w:vAlign w:val="center"/>
          </w:tcPr>
          <w:p w14:paraId="0DB32B55">
            <w:pPr>
              <w:widowControl/>
              <w:jc w:val="center"/>
              <w:rPr>
                <w:rFonts w:ascii="Times New Roman" w:hAnsi="Times New Roman"/>
                <w:kern w:val="0"/>
                <w:szCs w:val="21"/>
              </w:rPr>
            </w:pPr>
            <w:r>
              <w:rPr>
                <w:rFonts w:ascii="Times New Roman" w:hAnsi="Times New Roman"/>
                <w:kern w:val="0"/>
                <w:szCs w:val="21"/>
              </w:rPr>
              <w:t>11</w:t>
            </w:r>
          </w:p>
        </w:tc>
        <w:tc>
          <w:tcPr>
            <w:tcW w:w="1691" w:type="dxa"/>
            <w:shd w:val="clear" w:color="auto" w:fill="auto"/>
            <w:noWrap/>
            <w:vAlign w:val="center"/>
          </w:tcPr>
          <w:p w14:paraId="2D920D55">
            <w:pPr>
              <w:widowControl/>
              <w:jc w:val="center"/>
              <w:rPr>
                <w:rFonts w:ascii="Times New Roman" w:hAnsi="Times New Roman"/>
                <w:kern w:val="0"/>
                <w:szCs w:val="21"/>
              </w:rPr>
            </w:pPr>
            <w:r>
              <w:rPr>
                <w:rFonts w:ascii="Times New Roman" w:hAnsi="Times New Roman"/>
                <w:kern w:val="0"/>
                <w:szCs w:val="21"/>
              </w:rPr>
              <w:t>锌</w:t>
            </w:r>
          </w:p>
        </w:tc>
        <w:tc>
          <w:tcPr>
            <w:tcW w:w="851" w:type="dxa"/>
            <w:shd w:val="clear" w:color="auto" w:fill="auto"/>
            <w:noWrap/>
            <w:vAlign w:val="center"/>
          </w:tcPr>
          <w:p w14:paraId="57164B39">
            <w:pPr>
              <w:widowControl/>
              <w:jc w:val="center"/>
              <w:rPr>
                <w:rFonts w:ascii="Times New Roman" w:hAnsi="Times New Roman"/>
                <w:kern w:val="0"/>
                <w:szCs w:val="21"/>
              </w:rPr>
            </w:pPr>
            <w:r>
              <w:rPr>
                <w:rFonts w:ascii="Times New Roman" w:hAnsi="Times New Roman"/>
                <w:kern w:val="0"/>
                <w:szCs w:val="21"/>
              </w:rPr>
              <w:t>mg/L</w:t>
            </w:r>
          </w:p>
        </w:tc>
        <w:tc>
          <w:tcPr>
            <w:tcW w:w="1134" w:type="dxa"/>
            <w:shd w:val="clear" w:color="auto" w:fill="auto"/>
            <w:noWrap/>
            <w:vAlign w:val="center"/>
          </w:tcPr>
          <w:p w14:paraId="0D509F47">
            <w:pPr>
              <w:widowControl/>
              <w:jc w:val="center"/>
              <w:rPr>
                <w:rFonts w:ascii="Times New Roman" w:hAnsi="Times New Roman"/>
                <w:kern w:val="0"/>
                <w:szCs w:val="21"/>
              </w:rPr>
            </w:pPr>
          </w:p>
        </w:tc>
        <w:tc>
          <w:tcPr>
            <w:tcW w:w="1134" w:type="dxa"/>
            <w:shd w:val="clear" w:color="auto" w:fill="auto"/>
            <w:noWrap/>
            <w:vAlign w:val="center"/>
          </w:tcPr>
          <w:p w14:paraId="68FB2AE7">
            <w:pPr>
              <w:widowControl/>
              <w:jc w:val="center"/>
              <w:rPr>
                <w:rFonts w:ascii="Times New Roman" w:hAnsi="Times New Roman"/>
                <w:kern w:val="0"/>
                <w:szCs w:val="21"/>
              </w:rPr>
            </w:pPr>
          </w:p>
        </w:tc>
        <w:tc>
          <w:tcPr>
            <w:tcW w:w="1134" w:type="dxa"/>
            <w:shd w:val="clear" w:color="auto" w:fill="auto"/>
            <w:noWrap/>
            <w:vAlign w:val="center"/>
          </w:tcPr>
          <w:p w14:paraId="06A9BE08">
            <w:pPr>
              <w:widowControl/>
              <w:jc w:val="center"/>
              <w:rPr>
                <w:rFonts w:ascii="Times New Roman" w:hAnsi="Times New Roman"/>
                <w:kern w:val="0"/>
                <w:szCs w:val="21"/>
              </w:rPr>
            </w:pPr>
          </w:p>
        </w:tc>
        <w:tc>
          <w:tcPr>
            <w:tcW w:w="1134" w:type="dxa"/>
            <w:shd w:val="clear" w:color="auto" w:fill="auto"/>
            <w:noWrap/>
            <w:vAlign w:val="center"/>
          </w:tcPr>
          <w:p w14:paraId="38EBF1C7">
            <w:pPr>
              <w:widowControl/>
              <w:jc w:val="center"/>
              <w:rPr>
                <w:rFonts w:ascii="Times New Roman" w:hAnsi="Times New Roman"/>
                <w:kern w:val="0"/>
                <w:szCs w:val="21"/>
              </w:rPr>
            </w:pPr>
            <w:r>
              <w:rPr>
                <w:rFonts w:ascii="Times New Roman" w:hAnsi="Times New Roman"/>
                <w:kern w:val="0"/>
                <w:szCs w:val="21"/>
              </w:rPr>
              <w:t>1</w:t>
            </w:r>
          </w:p>
        </w:tc>
        <w:tc>
          <w:tcPr>
            <w:tcW w:w="1417" w:type="dxa"/>
            <w:shd w:val="clear" w:color="auto" w:fill="auto"/>
            <w:noWrap/>
            <w:vAlign w:val="center"/>
          </w:tcPr>
          <w:p w14:paraId="4EA733F6">
            <w:pPr>
              <w:widowControl/>
              <w:jc w:val="center"/>
              <w:rPr>
                <w:rFonts w:ascii="Times New Roman" w:hAnsi="Times New Roman"/>
                <w:kern w:val="0"/>
                <w:szCs w:val="21"/>
              </w:rPr>
            </w:pPr>
          </w:p>
        </w:tc>
        <w:tc>
          <w:tcPr>
            <w:tcW w:w="851" w:type="dxa"/>
            <w:shd w:val="clear" w:color="auto" w:fill="auto"/>
            <w:noWrap/>
          </w:tcPr>
          <w:p w14:paraId="7F8147F1">
            <w:pPr>
              <w:widowControl/>
              <w:jc w:val="center"/>
              <w:rPr>
                <w:rFonts w:ascii="Times New Roman" w:hAnsi="Times New Roman"/>
                <w:kern w:val="0"/>
                <w:szCs w:val="21"/>
              </w:rPr>
            </w:pPr>
            <w:r>
              <w:rPr>
                <w:rFonts w:ascii="Times New Roman" w:hAnsi="Times New Roman"/>
                <w:kern w:val="0"/>
                <w:szCs w:val="21"/>
              </w:rPr>
              <w:t>达标</w:t>
            </w:r>
          </w:p>
        </w:tc>
        <w:tc>
          <w:tcPr>
            <w:tcW w:w="850" w:type="dxa"/>
            <w:shd w:val="clear" w:color="auto" w:fill="auto"/>
            <w:noWrap/>
            <w:vAlign w:val="center"/>
          </w:tcPr>
          <w:p w14:paraId="1DB1F81E">
            <w:pPr>
              <w:widowControl/>
              <w:jc w:val="center"/>
              <w:rPr>
                <w:rFonts w:ascii="Times New Roman" w:hAnsi="Times New Roman"/>
                <w:kern w:val="0"/>
                <w:szCs w:val="21"/>
              </w:rPr>
            </w:pPr>
            <w:r>
              <w:rPr>
                <w:rFonts w:ascii="Times New Roman" w:hAnsi="Times New Roman"/>
                <w:kern w:val="0"/>
                <w:szCs w:val="21"/>
              </w:rPr>
              <w:t>100%</w:t>
            </w:r>
          </w:p>
        </w:tc>
        <w:tc>
          <w:tcPr>
            <w:tcW w:w="851" w:type="dxa"/>
            <w:shd w:val="clear" w:color="auto" w:fill="auto"/>
            <w:noWrap/>
            <w:vAlign w:val="center"/>
          </w:tcPr>
          <w:p w14:paraId="4F884B46">
            <w:pPr>
              <w:widowControl/>
              <w:jc w:val="center"/>
              <w:rPr>
                <w:rFonts w:ascii="Times New Roman" w:hAnsi="Times New Roman"/>
                <w:kern w:val="0"/>
                <w:szCs w:val="21"/>
              </w:rPr>
            </w:pPr>
          </w:p>
        </w:tc>
        <w:tc>
          <w:tcPr>
            <w:tcW w:w="1569" w:type="dxa"/>
            <w:shd w:val="clear" w:color="auto" w:fill="auto"/>
            <w:noWrap/>
            <w:vAlign w:val="center"/>
          </w:tcPr>
          <w:p w14:paraId="3ABC94FF">
            <w:pPr>
              <w:widowControl/>
              <w:jc w:val="center"/>
              <w:rPr>
                <w:rFonts w:ascii="Times New Roman" w:hAnsi="Times New Roman"/>
                <w:kern w:val="0"/>
                <w:szCs w:val="21"/>
              </w:rPr>
            </w:pPr>
          </w:p>
        </w:tc>
        <w:tc>
          <w:tcPr>
            <w:tcW w:w="899" w:type="dxa"/>
            <w:shd w:val="clear" w:color="auto" w:fill="auto"/>
            <w:noWrap/>
            <w:vAlign w:val="center"/>
          </w:tcPr>
          <w:p w14:paraId="6FACC8EF">
            <w:pPr>
              <w:widowControl/>
              <w:jc w:val="center"/>
              <w:rPr>
                <w:rFonts w:ascii="Times New Roman" w:hAnsi="Times New Roman"/>
                <w:kern w:val="0"/>
                <w:szCs w:val="21"/>
              </w:rPr>
            </w:pPr>
          </w:p>
        </w:tc>
      </w:tr>
      <w:tr w14:paraId="51D444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62" w:type="dxa"/>
            <w:shd w:val="clear" w:color="auto" w:fill="auto"/>
            <w:noWrap/>
            <w:vAlign w:val="center"/>
          </w:tcPr>
          <w:p w14:paraId="300FBF81">
            <w:pPr>
              <w:widowControl/>
              <w:jc w:val="center"/>
              <w:rPr>
                <w:rFonts w:ascii="Times New Roman" w:hAnsi="Times New Roman"/>
                <w:kern w:val="0"/>
                <w:szCs w:val="21"/>
              </w:rPr>
            </w:pPr>
            <w:r>
              <w:rPr>
                <w:rFonts w:ascii="Times New Roman" w:hAnsi="Times New Roman"/>
                <w:kern w:val="0"/>
                <w:szCs w:val="21"/>
              </w:rPr>
              <w:t>12</w:t>
            </w:r>
          </w:p>
        </w:tc>
        <w:tc>
          <w:tcPr>
            <w:tcW w:w="1691" w:type="dxa"/>
            <w:shd w:val="clear" w:color="auto" w:fill="auto"/>
            <w:noWrap/>
            <w:vAlign w:val="center"/>
          </w:tcPr>
          <w:p w14:paraId="673272C1">
            <w:pPr>
              <w:widowControl/>
              <w:jc w:val="center"/>
              <w:rPr>
                <w:rFonts w:ascii="Times New Roman" w:hAnsi="Times New Roman"/>
                <w:kern w:val="0"/>
                <w:szCs w:val="21"/>
              </w:rPr>
            </w:pPr>
            <w:r>
              <w:rPr>
                <w:rFonts w:ascii="Times New Roman" w:hAnsi="Times New Roman"/>
                <w:kern w:val="0"/>
                <w:szCs w:val="21"/>
              </w:rPr>
              <w:t>铜</w:t>
            </w:r>
          </w:p>
        </w:tc>
        <w:tc>
          <w:tcPr>
            <w:tcW w:w="851" w:type="dxa"/>
            <w:shd w:val="clear" w:color="auto" w:fill="auto"/>
            <w:noWrap/>
            <w:vAlign w:val="center"/>
          </w:tcPr>
          <w:p w14:paraId="15694D7A">
            <w:pPr>
              <w:widowControl/>
              <w:jc w:val="center"/>
              <w:rPr>
                <w:rFonts w:ascii="Times New Roman" w:hAnsi="Times New Roman"/>
                <w:kern w:val="0"/>
                <w:szCs w:val="21"/>
              </w:rPr>
            </w:pPr>
            <w:r>
              <w:rPr>
                <w:rFonts w:ascii="Times New Roman" w:hAnsi="Times New Roman"/>
                <w:kern w:val="0"/>
                <w:szCs w:val="21"/>
              </w:rPr>
              <w:t>mg/L</w:t>
            </w:r>
          </w:p>
        </w:tc>
        <w:tc>
          <w:tcPr>
            <w:tcW w:w="1134" w:type="dxa"/>
            <w:shd w:val="clear" w:color="auto" w:fill="auto"/>
            <w:noWrap/>
            <w:vAlign w:val="center"/>
          </w:tcPr>
          <w:p w14:paraId="03CE025D">
            <w:pPr>
              <w:widowControl/>
              <w:jc w:val="center"/>
              <w:rPr>
                <w:rFonts w:ascii="Times New Roman" w:hAnsi="Times New Roman"/>
                <w:kern w:val="0"/>
                <w:szCs w:val="21"/>
              </w:rPr>
            </w:pPr>
          </w:p>
        </w:tc>
        <w:tc>
          <w:tcPr>
            <w:tcW w:w="1134" w:type="dxa"/>
            <w:shd w:val="clear" w:color="auto" w:fill="auto"/>
            <w:noWrap/>
            <w:vAlign w:val="center"/>
          </w:tcPr>
          <w:p w14:paraId="113D5060">
            <w:pPr>
              <w:widowControl/>
              <w:jc w:val="center"/>
              <w:rPr>
                <w:rFonts w:ascii="Times New Roman" w:hAnsi="Times New Roman"/>
                <w:kern w:val="0"/>
                <w:szCs w:val="21"/>
              </w:rPr>
            </w:pPr>
          </w:p>
        </w:tc>
        <w:tc>
          <w:tcPr>
            <w:tcW w:w="1134" w:type="dxa"/>
            <w:shd w:val="clear" w:color="auto" w:fill="auto"/>
            <w:noWrap/>
            <w:vAlign w:val="center"/>
          </w:tcPr>
          <w:p w14:paraId="78413B41">
            <w:pPr>
              <w:widowControl/>
              <w:jc w:val="center"/>
              <w:rPr>
                <w:rFonts w:ascii="Times New Roman" w:hAnsi="Times New Roman"/>
                <w:kern w:val="0"/>
                <w:szCs w:val="21"/>
              </w:rPr>
            </w:pPr>
          </w:p>
        </w:tc>
        <w:tc>
          <w:tcPr>
            <w:tcW w:w="1134" w:type="dxa"/>
            <w:shd w:val="clear" w:color="auto" w:fill="auto"/>
            <w:noWrap/>
            <w:vAlign w:val="center"/>
          </w:tcPr>
          <w:p w14:paraId="798B1848">
            <w:pPr>
              <w:widowControl/>
              <w:jc w:val="center"/>
              <w:rPr>
                <w:rFonts w:ascii="Times New Roman" w:hAnsi="Times New Roman"/>
                <w:kern w:val="0"/>
                <w:szCs w:val="21"/>
              </w:rPr>
            </w:pPr>
            <w:r>
              <w:rPr>
                <w:rFonts w:ascii="Times New Roman" w:hAnsi="Times New Roman"/>
                <w:kern w:val="0"/>
                <w:szCs w:val="21"/>
              </w:rPr>
              <w:t>1</w:t>
            </w:r>
          </w:p>
        </w:tc>
        <w:tc>
          <w:tcPr>
            <w:tcW w:w="1417" w:type="dxa"/>
            <w:shd w:val="clear" w:color="auto" w:fill="auto"/>
            <w:noWrap/>
            <w:vAlign w:val="center"/>
          </w:tcPr>
          <w:p w14:paraId="682F831B">
            <w:pPr>
              <w:widowControl/>
              <w:jc w:val="center"/>
              <w:rPr>
                <w:rFonts w:ascii="Times New Roman" w:hAnsi="Times New Roman"/>
                <w:kern w:val="0"/>
                <w:szCs w:val="21"/>
              </w:rPr>
            </w:pPr>
          </w:p>
        </w:tc>
        <w:tc>
          <w:tcPr>
            <w:tcW w:w="851" w:type="dxa"/>
            <w:shd w:val="clear" w:color="auto" w:fill="auto"/>
            <w:noWrap/>
          </w:tcPr>
          <w:p w14:paraId="01C593E1">
            <w:pPr>
              <w:widowControl/>
              <w:jc w:val="center"/>
              <w:rPr>
                <w:rFonts w:ascii="Times New Roman" w:hAnsi="Times New Roman"/>
                <w:kern w:val="0"/>
                <w:szCs w:val="21"/>
              </w:rPr>
            </w:pPr>
            <w:r>
              <w:rPr>
                <w:rFonts w:ascii="Times New Roman" w:hAnsi="Times New Roman"/>
                <w:kern w:val="0"/>
                <w:szCs w:val="21"/>
              </w:rPr>
              <w:t>达标</w:t>
            </w:r>
          </w:p>
        </w:tc>
        <w:tc>
          <w:tcPr>
            <w:tcW w:w="850" w:type="dxa"/>
            <w:shd w:val="clear" w:color="auto" w:fill="auto"/>
            <w:noWrap/>
            <w:vAlign w:val="center"/>
          </w:tcPr>
          <w:p w14:paraId="13C6D5E3">
            <w:pPr>
              <w:widowControl/>
              <w:jc w:val="center"/>
              <w:rPr>
                <w:rFonts w:ascii="Times New Roman" w:hAnsi="Times New Roman"/>
                <w:kern w:val="0"/>
                <w:szCs w:val="21"/>
              </w:rPr>
            </w:pPr>
            <w:r>
              <w:rPr>
                <w:rFonts w:ascii="Times New Roman" w:hAnsi="Times New Roman"/>
                <w:kern w:val="0"/>
                <w:szCs w:val="21"/>
              </w:rPr>
              <w:t>100%</w:t>
            </w:r>
          </w:p>
        </w:tc>
        <w:tc>
          <w:tcPr>
            <w:tcW w:w="851" w:type="dxa"/>
            <w:shd w:val="clear" w:color="auto" w:fill="auto"/>
            <w:noWrap/>
            <w:vAlign w:val="center"/>
          </w:tcPr>
          <w:p w14:paraId="4E083351">
            <w:pPr>
              <w:widowControl/>
              <w:jc w:val="center"/>
              <w:rPr>
                <w:rFonts w:ascii="Times New Roman" w:hAnsi="Times New Roman"/>
                <w:kern w:val="0"/>
                <w:szCs w:val="21"/>
              </w:rPr>
            </w:pPr>
          </w:p>
        </w:tc>
        <w:tc>
          <w:tcPr>
            <w:tcW w:w="1569" w:type="dxa"/>
            <w:shd w:val="clear" w:color="auto" w:fill="auto"/>
            <w:noWrap/>
            <w:vAlign w:val="center"/>
          </w:tcPr>
          <w:p w14:paraId="2BA590B4">
            <w:pPr>
              <w:widowControl/>
              <w:jc w:val="center"/>
              <w:rPr>
                <w:rFonts w:ascii="Times New Roman" w:hAnsi="Times New Roman"/>
                <w:kern w:val="0"/>
                <w:szCs w:val="21"/>
              </w:rPr>
            </w:pPr>
          </w:p>
        </w:tc>
        <w:tc>
          <w:tcPr>
            <w:tcW w:w="899" w:type="dxa"/>
            <w:shd w:val="clear" w:color="auto" w:fill="auto"/>
            <w:noWrap/>
            <w:vAlign w:val="center"/>
          </w:tcPr>
          <w:p w14:paraId="09AD20E9">
            <w:pPr>
              <w:widowControl/>
              <w:jc w:val="center"/>
              <w:rPr>
                <w:rFonts w:ascii="Times New Roman" w:hAnsi="Times New Roman"/>
                <w:kern w:val="0"/>
                <w:szCs w:val="21"/>
              </w:rPr>
            </w:pPr>
          </w:p>
        </w:tc>
      </w:tr>
      <w:tr w14:paraId="4564DE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62" w:type="dxa"/>
            <w:shd w:val="clear" w:color="auto" w:fill="auto"/>
            <w:noWrap/>
            <w:vAlign w:val="center"/>
          </w:tcPr>
          <w:p w14:paraId="5745F296">
            <w:pPr>
              <w:widowControl/>
              <w:jc w:val="center"/>
              <w:rPr>
                <w:rFonts w:ascii="Times New Roman" w:hAnsi="Times New Roman"/>
                <w:kern w:val="0"/>
                <w:szCs w:val="21"/>
              </w:rPr>
            </w:pPr>
            <w:r>
              <w:rPr>
                <w:rFonts w:ascii="Times New Roman" w:hAnsi="Times New Roman"/>
                <w:kern w:val="0"/>
                <w:szCs w:val="21"/>
              </w:rPr>
              <w:t>13</w:t>
            </w:r>
          </w:p>
        </w:tc>
        <w:tc>
          <w:tcPr>
            <w:tcW w:w="1691" w:type="dxa"/>
            <w:shd w:val="clear" w:color="auto" w:fill="auto"/>
            <w:noWrap/>
            <w:vAlign w:val="center"/>
          </w:tcPr>
          <w:p w14:paraId="31784D78">
            <w:pPr>
              <w:widowControl/>
              <w:jc w:val="center"/>
              <w:rPr>
                <w:rFonts w:ascii="Times New Roman" w:hAnsi="Times New Roman"/>
                <w:kern w:val="0"/>
                <w:szCs w:val="21"/>
              </w:rPr>
            </w:pPr>
            <w:r>
              <w:rPr>
                <w:rFonts w:ascii="Times New Roman" w:hAnsi="Times New Roman"/>
                <w:kern w:val="0"/>
                <w:szCs w:val="21"/>
              </w:rPr>
              <w:t>铬（六价）</w:t>
            </w:r>
          </w:p>
        </w:tc>
        <w:tc>
          <w:tcPr>
            <w:tcW w:w="851" w:type="dxa"/>
            <w:shd w:val="clear" w:color="auto" w:fill="auto"/>
            <w:noWrap/>
            <w:vAlign w:val="center"/>
          </w:tcPr>
          <w:p w14:paraId="6F40BA6D">
            <w:pPr>
              <w:widowControl/>
              <w:jc w:val="center"/>
              <w:rPr>
                <w:rFonts w:ascii="Times New Roman" w:hAnsi="Times New Roman"/>
                <w:kern w:val="0"/>
                <w:szCs w:val="21"/>
              </w:rPr>
            </w:pPr>
            <w:r>
              <w:rPr>
                <w:rFonts w:ascii="Times New Roman" w:hAnsi="Times New Roman"/>
                <w:kern w:val="0"/>
                <w:szCs w:val="21"/>
              </w:rPr>
              <w:t>mg/L</w:t>
            </w:r>
          </w:p>
        </w:tc>
        <w:tc>
          <w:tcPr>
            <w:tcW w:w="1134" w:type="dxa"/>
            <w:shd w:val="clear" w:color="auto" w:fill="auto"/>
            <w:noWrap/>
            <w:vAlign w:val="center"/>
          </w:tcPr>
          <w:p w14:paraId="213CCC87">
            <w:pPr>
              <w:widowControl/>
              <w:jc w:val="center"/>
              <w:rPr>
                <w:rFonts w:ascii="Times New Roman" w:hAnsi="Times New Roman"/>
                <w:kern w:val="0"/>
                <w:szCs w:val="21"/>
              </w:rPr>
            </w:pPr>
          </w:p>
        </w:tc>
        <w:tc>
          <w:tcPr>
            <w:tcW w:w="1134" w:type="dxa"/>
            <w:shd w:val="clear" w:color="auto" w:fill="auto"/>
            <w:noWrap/>
            <w:vAlign w:val="center"/>
          </w:tcPr>
          <w:p w14:paraId="347F244C">
            <w:pPr>
              <w:widowControl/>
              <w:jc w:val="center"/>
              <w:rPr>
                <w:rFonts w:ascii="Times New Roman" w:hAnsi="Times New Roman"/>
                <w:kern w:val="0"/>
                <w:szCs w:val="21"/>
              </w:rPr>
            </w:pPr>
          </w:p>
        </w:tc>
        <w:tc>
          <w:tcPr>
            <w:tcW w:w="1134" w:type="dxa"/>
            <w:shd w:val="clear" w:color="auto" w:fill="auto"/>
            <w:noWrap/>
            <w:vAlign w:val="center"/>
          </w:tcPr>
          <w:p w14:paraId="0CA03581">
            <w:pPr>
              <w:widowControl/>
              <w:jc w:val="center"/>
              <w:rPr>
                <w:rFonts w:ascii="Times New Roman" w:hAnsi="Times New Roman"/>
                <w:kern w:val="0"/>
                <w:szCs w:val="21"/>
              </w:rPr>
            </w:pPr>
          </w:p>
        </w:tc>
        <w:tc>
          <w:tcPr>
            <w:tcW w:w="1134" w:type="dxa"/>
            <w:shd w:val="clear" w:color="auto" w:fill="auto"/>
            <w:noWrap/>
            <w:vAlign w:val="center"/>
          </w:tcPr>
          <w:p w14:paraId="79314AAF">
            <w:pPr>
              <w:widowControl/>
              <w:jc w:val="center"/>
              <w:rPr>
                <w:rFonts w:ascii="Times New Roman" w:hAnsi="Times New Roman"/>
                <w:kern w:val="0"/>
                <w:szCs w:val="21"/>
              </w:rPr>
            </w:pPr>
            <w:r>
              <w:rPr>
                <w:rFonts w:ascii="Times New Roman" w:hAnsi="Times New Roman"/>
                <w:kern w:val="0"/>
                <w:szCs w:val="21"/>
              </w:rPr>
              <w:t>0.05</w:t>
            </w:r>
          </w:p>
        </w:tc>
        <w:tc>
          <w:tcPr>
            <w:tcW w:w="1417" w:type="dxa"/>
            <w:shd w:val="clear" w:color="auto" w:fill="auto"/>
            <w:noWrap/>
            <w:vAlign w:val="center"/>
          </w:tcPr>
          <w:p w14:paraId="730B1DF2">
            <w:pPr>
              <w:widowControl/>
              <w:jc w:val="center"/>
              <w:rPr>
                <w:rFonts w:ascii="Times New Roman" w:hAnsi="Times New Roman"/>
                <w:kern w:val="0"/>
                <w:szCs w:val="21"/>
              </w:rPr>
            </w:pPr>
          </w:p>
        </w:tc>
        <w:tc>
          <w:tcPr>
            <w:tcW w:w="851" w:type="dxa"/>
            <w:shd w:val="clear" w:color="auto" w:fill="auto"/>
            <w:noWrap/>
          </w:tcPr>
          <w:p w14:paraId="0C88CF38">
            <w:pPr>
              <w:widowControl/>
              <w:jc w:val="center"/>
              <w:rPr>
                <w:rFonts w:ascii="Times New Roman" w:hAnsi="Times New Roman"/>
                <w:kern w:val="0"/>
                <w:szCs w:val="21"/>
              </w:rPr>
            </w:pPr>
            <w:r>
              <w:rPr>
                <w:rFonts w:ascii="Times New Roman" w:hAnsi="Times New Roman"/>
                <w:kern w:val="0"/>
                <w:szCs w:val="21"/>
              </w:rPr>
              <w:t>达标</w:t>
            </w:r>
          </w:p>
        </w:tc>
        <w:tc>
          <w:tcPr>
            <w:tcW w:w="850" w:type="dxa"/>
            <w:shd w:val="clear" w:color="auto" w:fill="auto"/>
            <w:noWrap/>
          </w:tcPr>
          <w:p w14:paraId="77824605">
            <w:pPr>
              <w:widowControl/>
              <w:jc w:val="center"/>
              <w:rPr>
                <w:rFonts w:ascii="Times New Roman" w:hAnsi="Times New Roman"/>
                <w:kern w:val="0"/>
                <w:szCs w:val="21"/>
              </w:rPr>
            </w:pPr>
            <w:r>
              <w:rPr>
                <w:rFonts w:ascii="Times New Roman" w:hAnsi="Times New Roman"/>
                <w:kern w:val="0"/>
                <w:szCs w:val="21"/>
              </w:rPr>
              <w:t>100%</w:t>
            </w:r>
          </w:p>
        </w:tc>
        <w:tc>
          <w:tcPr>
            <w:tcW w:w="851" w:type="dxa"/>
            <w:shd w:val="clear" w:color="auto" w:fill="auto"/>
            <w:noWrap/>
            <w:vAlign w:val="center"/>
          </w:tcPr>
          <w:p w14:paraId="5BC5343D">
            <w:pPr>
              <w:widowControl/>
              <w:jc w:val="center"/>
              <w:rPr>
                <w:rFonts w:ascii="Times New Roman" w:hAnsi="Times New Roman"/>
                <w:kern w:val="0"/>
                <w:szCs w:val="21"/>
              </w:rPr>
            </w:pPr>
          </w:p>
        </w:tc>
        <w:tc>
          <w:tcPr>
            <w:tcW w:w="1569" w:type="dxa"/>
            <w:shd w:val="clear" w:color="auto" w:fill="auto"/>
            <w:noWrap/>
            <w:vAlign w:val="center"/>
          </w:tcPr>
          <w:p w14:paraId="3771DCE8">
            <w:pPr>
              <w:widowControl/>
              <w:jc w:val="center"/>
              <w:rPr>
                <w:rFonts w:ascii="Times New Roman" w:hAnsi="Times New Roman"/>
                <w:kern w:val="0"/>
                <w:szCs w:val="21"/>
              </w:rPr>
            </w:pPr>
          </w:p>
        </w:tc>
        <w:tc>
          <w:tcPr>
            <w:tcW w:w="899" w:type="dxa"/>
            <w:shd w:val="clear" w:color="auto" w:fill="auto"/>
            <w:noWrap/>
            <w:vAlign w:val="center"/>
          </w:tcPr>
          <w:p w14:paraId="26347478">
            <w:pPr>
              <w:widowControl/>
              <w:jc w:val="center"/>
              <w:rPr>
                <w:rFonts w:ascii="Times New Roman" w:hAnsi="Times New Roman"/>
                <w:kern w:val="0"/>
                <w:szCs w:val="21"/>
              </w:rPr>
            </w:pPr>
          </w:p>
        </w:tc>
      </w:tr>
      <w:tr w14:paraId="1657E6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62" w:type="dxa"/>
            <w:shd w:val="clear" w:color="auto" w:fill="auto"/>
            <w:noWrap/>
            <w:vAlign w:val="center"/>
          </w:tcPr>
          <w:p w14:paraId="49B157D0">
            <w:pPr>
              <w:widowControl/>
              <w:jc w:val="center"/>
              <w:rPr>
                <w:rFonts w:ascii="Times New Roman" w:hAnsi="Times New Roman"/>
                <w:kern w:val="0"/>
                <w:szCs w:val="21"/>
              </w:rPr>
            </w:pPr>
            <w:r>
              <w:rPr>
                <w:rFonts w:ascii="Times New Roman" w:hAnsi="Times New Roman"/>
                <w:kern w:val="0"/>
                <w:szCs w:val="21"/>
              </w:rPr>
              <w:t>14</w:t>
            </w:r>
          </w:p>
        </w:tc>
        <w:tc>
          <w:tcPr>
            <w:tcW w:w="1691" w:type="dxa"/>
            <w:shd w:val="clear" w:color="auto" w:fill="auto"/>
            <w:noWrap/>
            <w:vAlign w:val="center"/>
          </w:tcPr>
          <w:p w14:paraId="33829B9B">
            <w:pPr>
              <w:widowControl/>
              <w:jc w:val="center"/>
              <w:rPr>
                <w:rFonts w:ascii="Times New Roman" w:hAnsi="Times New Roman"/>
                <w:kern w:val="0"/>
                <w:szCs w:val="21"/>
              </w:rPr>
            </w:pPr>
            <w:r>
              <w:rPr>
                <w:rFonts w:ascii="Times New Roman" w:hAnsi="Times New Roman"/>
                <w:kern w:val="0"/>
                <w:szCs w:val="21"/>
              </w:rPr>
              <w:t>铁</w:t>
            </w:r>
          </w:p>
        </w:tc>
        <w:tc>
          <w:tcPr>
            <w:tcW w:w="851" w:type="dxa"/>
            <w:shd w:val="clear" w:color="auto" w:fill="auto"/>
            <w:noWrap/>
            <w:vAlign w:val="center"/>
          </w:tcPr>
          <w:p w14:paraId="3498695E">
            <w:pPr>
              <w:widowControl/>
              <w:jc w:val="center"/>
              <w:rPr>
                <w:rFonts w:ascii="Times New Roman" w:hAnsi="Times New Roman"/>
                <w:kern w:val="0"/>
                <w:szCs w:val="21"/>
              </w:rPr>
            </w:pPr>
            <w:r>
              <w:rPr>
                <w:rFonts w:ascii="Times New Roman" w:hAnsi="Times New Roman"/>
                <w:kern w:val="0"/>
                <w:szCs w:val="21"/>
              </w:rPr>
              <w:t>mg/L</w:t>
            </w:r>
          </w:p>
        </w:tc>
        <w:tc>
          <w:tcPr>
            <w:tcW w:w="1134" w:type="dxa"/>
            <w:shd w:val="clear" w:color="auto" w:fill="auto"/>
            <w:noWrap/>
            <w:vAlign w:val="center"/>
          </w:tcPr>
          <w:p w14:paraId="560F0FBE">
            <w:pPr>
              <w:widowControl/>
              <w:jc w:val="center"/>
              <w:rPr>
                <w:rFonts w:ascii="Times New Roman" w:hAnsi="Times New Roman"/>
                <w:kern w:val="0"/>
                <w:szCs w:val="21"/>
              </w:rPr>
            </w:pPr>
          </w:p>
        </w:tc>
        <w:tc>
          <w:tcPr>
            <w:tcW w:w="1134" w:type="dxa"/>
            <w:shd w:val="clear" w:color="auto" w:fill="auto"/>
            <w:noWrap/>
            <w:vAlign w:val="center"/>
          </w:tcPr>
          <w:p w14:paraId="1ADBC8A3">
            <w:pPr>
              <w:widowControl/>
              <w:jc w:val="center"/>
              <w:rPr>
                <w:rFonts w:ascii="Times New Roman" w:hAnsi="Times New Roman"/>
                <w:kern w:val="0"/>
                <w:szCs w:val="21"/>
              </w:rPr>
            </w:pPr>
          </w:p>
        </w:tc>
        <w:tc>
          <w:tcPr>
            <w:tcW w:w="1134" w:type="dxa"/>
            <w:shd w:val="clear" w:color="auto" w:fill="auto"/>
            <w:noWrap/>
            <w:vAlign w:val="center"/>
          </w:tcPr>
          <w:p w14:paraId="7CACDC2B">
            <w:pPr>
              <w:widowControl/>
              <w:jc w:val="center"/>
              <w:rPr>
                <w:rFonts w:ascii="Times New Roman" w:hAnsi="Times New Roman"/>
                <w:kern w:val="0"/>
                <w:szCs w:val="21"/>
              </w:rPr>
            </w:pPr>
          </w:p>
        </w:tc>
        <w:tc>
          <w:tcPr>
            <w:tcW w:w="1134" w:type="dxa"/>
            <w:shd w:val="clear" w:color="auto" w:fill="auto"/>
            <w:noWrap/>
            <w:vAlign w:val="center"/>
          </w:tcPr>
          <w:p w14:paraId="0E875E5A">
            <w:pPr>
              <w:widowControl/>
              <w:jc w:val="center"/>
              <w:rPr>
                <w:rFonts w:ascii="Times New Roman" w:hAnsi="Times New Roman"/>
                <w:kern w:val="0"/>
                <w:szCs w:val="21"/>
              </w:rPr>
            </w:pPr>
            <w:r>
              <w:rPr>
                <w:rFonts w:ascii="Times New Roman" w:hAnsi="Times New Roman"/>
                <w:kern w:val="0"/>
                <w:szCs w:val="21"/>
              </w:rPr>
              <w:t>0.3</w:t>
            </w:r>
          </w:p>
        </w:tc>
        <w:tc>
          <w:tcPr>
            <w:tcW w:w="1417" w:type="dxa"/>
            <w:shd w:val="clear" w:color="auto" w:fill="auto"/>
            <w:noWrap/>
            <w:vAlign w:val="center"/>
          </w:tcPr>
          <w:p w14:paraId="7A3B5891">
            <w:pPr>
              <w:widowControl/>
              <w:jc w:val="center"/>
              <w:rPr>
                <w:rFonts w:ascii="Times New Roman" w:hAnsi="Times New Roman"/>
                <w:kern w:val="0"/>
                <w:szCs w:val="21"/>
              </w:rPr>
            </w:pPr>
          </w:p>
        </w:tc>
        <w:tc>
          <w:tcPr>
            <w:tcW w:w="851" w:type="dxa"/>
            <w:shd w:val="clear" w:color="auto" w:fill="auto"/>
            <w:noWrap/>
          </w:tcPr>
          <w:p w14:paraId="51C1A384">
            <w:pPr>
              <w:widowControl/>
              <w:jc w:val="center"/>
              <w:rPr>
                <w:rFonts w:ascii="Times New Roman" w:hAnsi="Times New Roman"/>
                <w:kern w:val="0"/>
                <w:szCs w:val="21"/>
              </w:rPr>
            </w:pPr>
            <w:r>
              <w:rPr>
                <w:rFonts w:ascii="Times New Roman" w:hAnsi="Times New Roman"/>
                <w:kern w:val="0"/>
                <w:szCs w:val="21"/>
              </w:rPr>
              <w:t>达标</w:t>
            </w:r>
          </w:p>
        </w:tc>
        <w:tc>
          <w:tcPr>
            <w:tcW w:w="850" w:type="dxa"/>
            <w:shd w:val="clear" w:color="auto" w:fill="auto"/>
            <w:noWrap/>
          </w:tcPr>
          <w:p w14:paraId="0CAAEE13">
            <w:pPr>
              <w:widowControl/>
              <w:jc w:val="center"/>
              <w:rPr>
                <w:rFonts w:ascii="Times New Roman" w:hAnsi="Times New Roman"/>
                <w:kern w:val="0"/>
                <w:szCs w:val="21"/>
              </w:rPr>
            </w:pPr>
            <w:r>
              <w:rPr>
                <w:rFonts w:ascii="Times New Roman" w:hAnsi="Times New Roman"/>
                <w:kern w:val="0"/>
                <w:szCs w:val="21"/>
              </w:rPr>
              <w:t>100%</w:t>
            </w:r>
          </w:p>
        </w:tc>
        <w:tc>
          <w:tcPr>
            <w:tcW w:w="851" w:type="dxa"/>
            <w:shd w:val="clear" w:color="auto" w:fill="auto"/>
            <w:noWrap/>
            <w:vAlign w:val="center"/>
          </w:tcPr>
          <w:p w14:paraId="147C10B1">
            <w:pPr>
              <w:widowControl/>
              <w:jc w:val="center"/>
              <w:rPr>
                <w:rFonts w:ascii="Times New Roman" w:hAnsi="Times New Roman"/>
                <w:kern w:val="0"/>
                <w:szCs w:val="21"/>
              </w:rPr>
            </w:pPr>
          </w:p>
        </w:tc>
        <w:tc>
          <w:tcPr>
            <w:tcW w:w="1569" w:type="dxa"/>
            <w:shd w:val="clear" w:color="auto" w:fill="auto"/>
            <w:noWrap/>
            <w:vAlign w:val="center"/>
          </w:tcPr>
          <w:p w14:paraId="76991C35">
            <w:pPr>
              <w:widowControl/>
              <w:jc w:val="center"/>
              <w:rPr>
                <w:rFonts w:ascii="Times New Roman" w:hAnsi="Times New Roman"/>
                <w:kern w:val="0"/>
                <w:szCs w:val="21"/>
              </w:rPr>
            </w:pPr>
          </w:p>
        </w:tc>
        <w:tc>
          <w:tcPr>
            <w:tcW w:w="899" w:type="dxa"/>
            <w:shd w:val="clear" w:color="auto" w:fill="auto"/>
            <w:noWrap/>
            <w:vAlign w:val="center"/>
          </w:tcPr>
          <w:p w14:paraId="6ADC0926">
            <w:pPr>
              <w:widowControl/>
              <w:jc w:val="center"/>
              <w:rPr>
                <w:rFonts w:ascii="Times New Roman" w:hAnsi="Times New Roman"/>
                <w:kern w:val="0"/>
                <w:szCs w:val="21"/>
              </w:rPr>
            </w:pPr>
          </w:p>
        </w:tc>
      </w:tr>
      <w:tr w14:paraId="006AA3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62" w:type="dxa"/>
            <w:shd w:val="clear" w:color="auto" w:fill="auto"/>
            <w:noWrap/>
            <w:vAlign w:val="center"/>
          </w:tcPr>
          <w:p w14:paraId="4527F671">
            <w:pPr>
              <w:widowControl/>
              <w:jc w:val="center"/>
              <w:rPr>
                <w:rFonts w:ascii="Times New Roman" w:hAnsi="Times New Roman"/>
                <w:kern w:val="0"/>
                <w:szCs w:val="21"/>
              </w:rPr>
            </w:pPr>
            <w:r>
              <w:rPr>
                <w:rFonts w:ascii="Times New Roman" w:hAnsi="Times New Roman"/>
                <w:kern w:val="0"/>
                <w:szCs w:val="21"/>
              </w:rPr>
              <w:t>15</w:t>
            </w:r>
          </w:p>
        </w:tc>
        <w:tc>
          <w:tcPr>
            <w:tcW w:w="1691" w:type="dxa"/>
            <w:shd w:val="clear" w:color="auto" w:fill="auto"/>
            <w:noWrap/>
            <w:vAlign w:val="center"/>
          </w:tcPr>
          <w:p w14:paraId="29262FCF">
            <w:pPr>
              <w:widowControl/>
              <w:jc w:val="center"/>
              <w:rPr>
                <w:rFonts w:ascii="Times New Roman" w:hAnsi="Times New Roman"/>
                <w:kern w:val="0"/>
                <w:szCs w:val="21"/>
              </w:rPr>
            </w:pPr>
            <w:r>
              <w:rPr>
                <w:rFonts w:ascii="Times New Roman" w:hAnsi="Times New Roman"/>
                <w:kern w:val="0"/>
                <w:szCs w:val="21"/>
              </w:rPr>
              <w:t>锰</w:t>
            </w:r>
          </w:p>
        </w:tc>
        <w:tc>
          <w:tcPr>
            <w:tcW w:w="851" w:type="dxa"/>
            <w:shd w:val="clear" w:color="auto" w:fill="auto"/>
            <w:noWrap/>
            <w:vAlign w:val="center"/>
          </w:tcPr>
          <w:p w14:paraId="3904DB1C">
            <w:pPr>
              <w:widowControl/>
              <w:jc w:val="center"/>
              <w:rPr>
                <w:rFonts w:ascii="Times New Roman" w:hAnsi="Times New Roman"/>
                <w:kern w:val="0"/>
                <w:szCs w:val="21"/>
              </w:rPr>
            </w:pPr>
            <w:r>
              <w:rPr>
                <w:rFonts w:ascii="Times New Roman" w:hAnsi="Times New Roman"/>
                <w:kern w:val="0"/>
                <w:szCs w:val="21"/>
              </w:rPr>
              <w:t>mg/L</w:t>
            </w:r>
          </w:p>
        </w:tc>
        <w:tc>
          <w:tcPr>
            <w:tcW w:w="1134" w:type="dxa"/>
            <w:shd w:val="clear" w:color="auto" w:fill="auto"/>
            <w:noWrap/>
            <w:vAlign w:val="center"/>
          </w:tcPr>
          <w:p w14:paraId="0A56A2E2">
            <w:pPr>
              <w:widowControl/>
              <w:jc w:val="center"/>
              <w:rPr>
                <w:rFonts w:ascii="Times New Roman" w:hAnsi="Times New Roman"/>
                <w:kern w:val="0"/>
                <w:szCs w:val="21"/>
              </w:rPr>
            </w:pPr>
          </w:p>
        </w:tc>
        <w:tc>
          <w:tcPr>
            <w:tcW w:w="1134" w:type="dxa"/>
            <w:shd w:val="clear" w:color="auto" w:fill="auto"/>
            <w:noWrap/>
            <w:vAlign w:val="center"/>
          </w:tcPr>
          <w:p w14:paraId="38B3662F">
            <w:pPr>
              <w:widowControl/>
              <w:jc w:val="center"/>
              <w:rPr>
                <w:rFonts w:ascii="Times New Roman" w:hAnsi="Times New Roman"/>
                <w:kern w:val="0"/>
                <w:szCs w:val="21"/>
              </w:rPr>
            </w:pPr>
          </w:p>
        </w:tc>
        <w:tc>
          <w:tcPr>
            <w:tcW w:w="1134" w:type="dxa"/>
            <w:shd w:val="clear" w:color="auto" w:fill="auto"/>
            <w:noWrap/>
            <w:vAlign w:val="center"/>
          </w:tcPr>
          <w:p w14:paraId="5563E7BF">
            <w:pPr>
              <w:widowControl/>
              <w:jc w:val="center"/>
              <w:rPr>
                <w:rFonts w:ascii="Times New Roman" w:hAnsi="Times New Roman"/>
                <w:kern w:val="0"/>
                <w:szCs w:val="21"/>
              </w:rPr>
            </w:pPr>
          </w:p>
        </w:tc>
        <w:tc>
          <w:tcPr>
            <w:tcW w:w="1134" w:type="dxa"/>
            <w:shd w:val="clear" w:color="auto" w:fill="auto"/>
            <w:noWrap/>
            <w:vAlign w:val="center"/>
          </w:tcPr>
          <w:p w14:paraId="74BE7FF2">
            <w:pPr>
              <w:widowControl/>
              <w:jc w:val="center"/>
              <w:rPr>
                <w:rFonts w:ascii="Times New Roman" w:hAnsi="Times New Roman"/>
                <w:kern w:val="0"/>
                <w:szCs w:val="21"/>
              </w:rPr>
            </w:pPr>
            <w:r>
              <w:rPr>
                <w:rFonts w:ascii="Times New Roman" w:hAnsi="Times New Roman"/>
                <w:kern w:val="0"/>
                <w:szCs w:val="21"/>
              </w:rPr>
              <w:t>0.1</w:t>
            </w:r>
          </w:p>
        </w:tc>
        <w:tc>
          <w:tcPr>
            <w:tcW w:w="1417" w:type="dxa"/>
            <w:shd w:val="clear" w:color="auto" w:fill="auto"/>
            <w:noWrap/>
            <w:vAlign w:val="center"/>
          </w:tcPr>
          <w:p w14:paraId="4B3F66E4">
            <w:pPr>
              <w:widowControl/>
              <w:jc w:val="center"/>
              <w:rPr>
                <w:rFonts w:ascii="Times New Roman" w:hAnsi="Times New Roman"/>
                <w:kern w:val="0"/>
                <w:szCs w:val="21"/>
              </w:rPr>
            </w:pPr>
          </w:p>
        </w:tc>
        <w:tc>
          <w:tcPr>
            <w:tcW w:w="851" w:type="dxa"/>
            <w:shd w:val="clear" w:color="auto" w:fill="auto"/>
            <w:noWrap/>
          </w:tcPr>
          <w:p w14:paraId="5A5B1BF5">
            <w:pPr>
              <w:widowControl/>
              <w:jc w:val="center"/>
              <w:rPr>
                <w:rFonts w:ascii="Times New Roman" w:hAnsi="Times New Roman"/>
                <w:kern w:val="0"/>
                <w:szCs w:val="21"/>
              </w:rPr>
            </w:pPr>
            <w:r>
              <w:rPr>
                <w:rFonts w:ascii="Times New Roman" w:hAnsi="Times New Roman"/>
                <w:kern w:val="0"/>
                <w:szCs w:val="21"/>
              </w:rPr>
              <w:t>达标</w:t>
            </w:r>
          </w:p>
        </w:tc>
        <w:tc>
          <w:tcPr>
            <w:tcW w:w="850" w:type="dxa"/>
            <w:shd w:val="clear" w:color="auto" w:fill="auto"/>
            <w:noWrap/>
            <w:vAlign w:val="center"/>
          </w:tcPr>
          <w:p w14:paraId="744C6BC1">
            <w:pPr>
              <w:widowControl/>
              <w:jc w:val="center"/>
              <w:rPr>
                <w:rFonts w:ascii="Times New Roman" w:hAnsi="Times New Roman"/>
                <w:kern w:val="0"/>
                <w:szCs w:val="21"/>
              </w:rPr>
            </w:pPr>
            <w:r>
              <w:rPr>
                <w:rFonts w:ascii="Times New Roman" w:hAnsi="Times New Roman"/>
                <w:kern w:val="0"/>
                <w:szCs w:val="21"/>
              </w:rPr>
              <w:t>100%</w:t>
            </w:r>
          </w:p>
        </w:tc>
        <w:tc>
          <w:tcPr>
            <w:tcW w:w="851" w:type="dxa"/>
            <w:shd w:val="clear" w:color="auto" w:fill="auto"/>
            <w:noWrap/>
            <w:vAlign w:val="center"/>
          </w:tcPr>
          <w:p w14:paraId="32CEBE94">
            <w:pPr>
              <w:widowControl/>
              <w:jc w:val="center"/>
              <w:rPr>
                <w:rFonts w:ascii="Times New Roman" w:hAnsi="Times New Roman"/>
                <w:kern w:val="0"/>
                <w:szCs w:val="21"/>
              </w:rPr>
            </w:pPr>
          </w:p>
        </w:tc>
        <w:tc>
          <w:tcPr>
            <w:tcW w:w="1569" w:type="dxa"/>
            <w:shd w:val="clear" w:color="auto" w:fill="auto"/>
            <w:noWrap/>
            <w:vAlign w:val="center"/>
          </w:tcPr>
          <w:p w14:paraId="40720A29">
            <w:pPr>
              <w:widowControl/>
              <w:jc w:val="center"/>
              <w:rPr>
                <w:rFonts w:ascii="Times New Roman" w:hAnsi="Times New Roman"/>
                <w:kern w:val="0"/>
                <w:szCs w:val="21"/>
              </w:rPr>
            </w:pPr>
          </w:p>
        </w:tc>
        <w:tc>
          <w:tcPr>
            <w:tcW w:w="899" w:type="dxa"/>
            <w:shd w:val="clear" w:color="auto" w:fill="auto"/>
            <w:noWrap/>
            <w:vAlign w:val="center"/>
          </w:tcPr>
          <w:p w14:paraId="71FC8AED">
            <w:pPr>
              <w:widowControl/>
              <w:jc w:val="center"/>
              <w:rPr>
                <w:rFonts w:ascii="Times New Roman" w:hAnsi="Times New Roman"/>
                <w:kern w:val="0"/>
                <w:szCs w:val="21"/>
              </w:rPr>
            </w:pPr>
          </w:p>
        </w:tc>
      </w:tr>
    </w:tbl>
    <w:p w14:paraId="16132E61">
      <w:pPr>
        <w:widowControl/>
        <w:spacing w:line="360" w:lineRule="auto"/>
        <w:ind w:firstLine="531" w:firstLineChars="225"/>
        <w:rPr>
          <w:rFonts w:ascii="Times New Roman" w:hAnsi="Times New Roman"/>
          <w:spacing w:val="-2"/>
          <w:kern w:val="0"/>
          <w:sz w:val="24"/>
          <w:szCs w:val="24"/>
        </w:rPr>
      </w:pPr>
    </w:p>
    <w:p w14:paraId="78E6F423">
      <w:pPr>
        <w:widowControl/>
        <w:spacing w:line="360" w:lineRule="auto"/>
        <w:ind w:firstLine="531" w:firstLineChars="225"/>
        <w:rPr>
          <w:rFonts w:ascii="Times New Roman" w:hAnsi="Times New Roman"/>
          <w:spacing w:val="-2"/>
          <w:kern w:val="0"/>
          <w:sz w:val="24"/>
          <w:szCs w:val="24"/>
        </w:rPr>
      </w:pPr>
    </w:p>
    <w:p w14:paraId="4F30D132">
      <w:pPr>
        <w:widowControl/>
        <w:spacing w:line="360" w:lineRule="auto"/>
        <w:ind w:firstLine="531" w:firstLineChars="225"/>
        <w:rPr>
          <w:rFonts w:ascii="Times New Roman" w:hAnsi="Times New Roman"/>
          <w:spacing w:val="-2"/>
          <w:kern w:val="0"/>
          <w:sz w:val="24"/>
          <w:szCs w:val="24"/>
        </w:rPr>
        <w:sectPr>
          <w:pgSz w:w="16838" w:h="11906" w:orient="landscape"/>
          <w:pgMar w:top="1418" w:right="1418" w:bottom="1418" w:left="1418" w:header="851" w:footer="992" w:gutter="0"/>
          <w:cols w:space="720" w:num="1"/>
          <w:docGrid w:type="lines" w:linePitch="312" w:charSpace="0"/>
        </w:sectPr>
      </w:pPr>
    </w:p>
    <w:p w14:paraId="1ED651BE">
      <w:pPr>
        <w:widowControl/>
        <w:spacing w:line="360" w:lineRule="auto"/>
        <w:ind w:firstLine="531" w:firstLineChars="225"/>
        <w:rPr>
          <w:rFonts w:ascii="Times New Roman" w:hAnsi="Times New Roman"/>
          <w:spacing w:val="-2"/>
          <w:kern w:val="0"/>
          <w:sz w:val="24"/>
          <w:szCs w:val="24"/>
        </w:rPr>
      </w:pPr>
      <w:r>
        <w:rPr>
          <w:rFonts w:ascii="Times New Roman" w:hAnsi="Times New Roman"/>
          <w:spacing w:val="-2"/>
          <w:kern w:val="0"/>
          <w:sz w:val="24"/>
          <w:szCs w:val="24"/>
        </w:rPr>
        <w:t>由表3.</w:t>
      </w:r>
      <w:r>
        <w:rPr>
          <w:rFonts w:hint="eastAsia" w:ascii="Times New Roman" w:hAnsi="Times New Roman"/>
          <w:spacing w:val="-2"/>
          <w:kern w:val="0"/>
          <w:sz w:val="24"/>
          <w:szCs w:val="24"/>
        </w:rPr>
        <w:t>5</w:t>
      </w:r>
      <w:r>
        <w:rPr>
          <w:rFonts w:ascii="Times New Roman" w:hAnsi="Times New Roman"/>
          <w:spacing w:val="-2"/>
          <w:kern w:val="0"/>
          <w:sz w:val="24"/>
          <w:szCs w:val="24"/>
        </w:rPr>
        <w:t>-4可知，地下水各监测点的</w:t>
      </w:r>
      <w:r>
        <w:rPr>
          <w:rFonts w:hint="eastAsia" w:ascii="Times New Roman" w:hAnsi="Times New Roman"/>
          <w:spacing w:val="-2"/>
          <w:kern w:val="0"/>
          <w:sz w:val="24"/>
          <w:szCs w:val="24"/>
        </w:rPr>
        <w:t>各项</w:t>
      </w:r>
      <w:r>
        <w:rPr>
          <w:rFonts w:ascii="Times New Roman" w:hAnsi="Times New Roman"/>
          <w:spacing w:val="-2"/>
          <w:kern w:val="0"/>
          <w:sz w:val="24"/>
          <w:szCs w:val="24"/>
        </w:rPr>
        <w:t>水质</w:t>
      </w:r>
      <w:r>
        <w:rPr>
          <w:rFonts w:hint="eastAsia" w:ascii="Times New Roman" w:hAnsi="Times New Roman"/>
          <w:spacing w:val="-2"/>
          <w:kern w:val="0"/>
          <w:sz w:val="24"/>
          <w:szCs w:val="24"/>
        </w:rPr>
        <w:t>指标</w:t>
      </w:r>
      <w:r>
        <w:rPr>
          <w:rFonts w:ascii="Times New Roman" w:hAnsi="Times New Roman"/>
          <w:spacing w:val="-2"/>
          <w:kern w:val="0"/>
          <w:sz w:val="24"/>
          <w:szCs w:val="24"/>
        </w:rPr>
        <w:t>单项标准指数均小于1，符合《地下水环境质量标准》（GB/T14848-2017）中的III类标准</w:t>
      </w:r>
      <w:r>
        <w:rPr>
          <w:rFonts w:hint="eastAsia" w:ascii="Times New Roman" w:hAnsi="Times New Roman"/>
          <w:spacing w:val="-2"/>
          <w:kern w:val="0"/>
          <w:sz w:val="24"/>
          <w:szCs w:val="24"/>
        </w:rPr>
        <w:t>，项目所在区域地下水环境质量较好。</w:t>
      </w:r>
    </w:p>
    <w:p w14:paraId="1F0AB30D">
      <w:pPr>
        <w:pStyle w:val="5"/>
        <w:numPr>
          <w:ilvl w:val="1"/>
          <w:numId w:val="3"/>
        </w:numPr>
      </w:pPr>
      <w:bookmarkStart w:id="169" w:name="_Toc347417834"/>
      <w:bookmarkStart w:id="170" w:name="_Toc275424740"/>
      <w:bookmarkStart w:id="171" w:name="_Toc434426553"/>
      <w:bookmarkStart w:id="172" w:name="_Toc281330280"/>
      <w:bookmarkStart w:id="173" w:name="_Toc313088758"/>
      <w:bookmarkStart w:id="174" w:name="_Toc252741844"/>
      <w:bookmarkStart w:id="175" w:name="_Toc269629935"/>
      <w:bookmarkStart w:id="176" w:name="_Toc296593029"/>
      <w:bookmarkStart w:id="177" w:name="_Toc28178"/>
      <w:r>
        <w:t>声环境质量现状及评价</w:t>
      </w:r>
      <w:bookmarkEnd w:id="169"/>
      <w:bookmarkEnd w:id="170"/>
      <w:bookmarkEnd w:id="171"/>
      <w:bookmarkEnd w:id="172"/>
      <w:bookmarkEnd w:id="173"/>
      <w:bookmarkEnd w:id="174"/>
      <w:bookmarkEnd w:id="175"/>
      <w:bookmarkEnd w:id="176"/>
      <w:bookmarkEnd w:id="177"/>
    </w:p>
    <w:p w14:paraId="7883C912">
      <w:pPr>
        <w:pStyle w:val="6"/>
        <w:numPr>
          <w:ilvl w:val="2"/>
          <w:numId w:val="3"/>
        </w:numPr>
      </w:pPr>
      <w:r>
        <w:t>监测布点及监测时间</w:t>
      </w:r>
    </w:p>
    <w:p w14:paraId="72C59F16">
      <w:pPr>
        <w:tabs>
          <w:tab w:val="center" w:pos="4693"/>
        </w:tabs>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声环境质量现状监测委托广西正信检测技术有限公司于2024年11月1日～2024年11月2日连续两天进行现场采样监测，昼间和夜间各采样一次。共设置4个噪声监测点，监测点点位详见表3.</w:t>
      </w:r>
      <w:r>
        <w:rPr>
          <w:rFonts w:hint="eastAsia" w:ascii="Times New Roman" w:hAnsi="Times New Roman"/>
          <w:sz w:val="24"/>
          <w:szCs w:val="24"/>
        </w:rPr>
        <w:t>6</w:t>
      </w:r>
      <w:r>
        <w:rPr>
          <w:rFonts w:ascii="Times New Roman" w:hAnsi="Times New Roman"/>
          <w:sz w:val="24"/>
          <w:szCs w:val="24"/>
        </w:rPr>
        <w:t>-1和附图</w:t>
      </w:r>
      <w:r>
        <w:rPr>
          <w:rFonts w:hint="eastAsia" w:ascii="Times New Roman" w:hAnsi="Times New Roman"/>
          <w:sz w:val="24"/>
          <w:szCs w:val="24"/>
        </w:rPr>
        <w:t>4</w:t>
      </w:r>
      <w:r>
        <w:rPr>
          <w:rFonts w:ascii="Times New Roman" w:hAnsi="Times New Roman"/>
          <w:sz w:val="24"/>
          <w:szCs w:val="24"/>
        </w:rPr>
        <w:t>。</w:t>
      </w:r>
    </w:p>
    <w:p w14:paraId="22751065">
      <w:pPr>
        <w:pStyle w:val="8"/>
        <w:numPr>
          <w:ilvl w:val="4"/>
          <w:numId w:val="3"/>
        </w:numPr>
        <w:rPr>
          <w:sz w:val="24"/>
          <w:szCs w:val="24"/>
        </w:rPr>
      </w:pPr>
      <w:r>
        <w:rPr>
          <w:sz w:val="24"/>
          <w:szCs w:val="24"/>
        </w:rPr>
        <w:t>声监测布点情况</w:t>
      </w:r>
    </w:p>
    <w:tbl>
      <w:tblPr>
        <w:tblStyle w:val="88"/>
        <w:tblW w:w="928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162"/>
        <w:gridCol w:w="2520"/>
        <w:gridCol w:w="2801"/>
        <w:gridCol w:w="1803"/>
      </w:tblGrid>
      <w:tr w14:paraId="4FF778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162" w:type="dxa"/>
            <w:vAlign w:val="center"/>
          </w:tcPr>
          <w:p w14:paraId="0002C0D9">
            <w:pPr>
              <w:jc w:val="center"/>
              <w:rPr>
                <w:rFonts w:ascii="Times New Roman" w:hAnsi="Times New Roman"/>
                <w:b/>
                <w:bCs/>
                <w:spacing w:val="-2"/>
                <w:kern w:val="0"/>
                <w:szCs w:val="21"/>
              </w:rPr>
            </w:pPr>
            <w:r>
              <w:rPr>
                <w:rFonts w:ascii="Times New Roman" w:hAnsi="Times New Roman"/>
                <w:b/>
                <w:bCs/>
                <w:spacing w:val="-2"/>
                <w:kern w:val="0"/>
                <w:szCs w:val="21"/>
              </w:rPr>
              <w:t>监测点编号</w:t>
            </w:r>
          </w:p>
        </w:tc>
        <w:tc>
          <w:tcPr>
            <w:tcW w:w="2520" w:type="dxa"/>
            <w:vAlign w:val="center"/>
          </w:tcPr>
          <w:p w14:paraId="04ACE342">
            <w:pPr>
              <w:jc w:val="center"/>
              <w:rPr>
                <w:rFonts w:ascii="Times New Roman" w:hAnsi="Times New Roman"/>
                <w:b/>
                <w:bCs/>
                <w:spacing w:val="-2"/>
                <w:kern w:val="0"/>
                <w:szCs w:val="21"/>
              </w:rPr>
            </w:pPr>
            <w:r>
              <w:rPr>
                <w:rFonts w:ascii="Times New Roman" w:hAnsi="Times New Roman"/>
                <w:b/>
                <w:bCs/>
                <w:spacing w:val="-2"/>
                <w:kern w:val="0"/>
                <w:szCs w:val="21"/>
              </w:rPr>
              <w:t>名称</w:t>
            </w:r>
          </w:p>
        </w:tc>
        <w:tc>
          <w:tcPr>
            <w:tcW w:w="2801" w:type="dxa"/>
            <w:vAlign w:val="center"/>
          </w:tcPr>
          <w:p w14:paraId="779704B6">
            <w:pPr>
              <w:jc w:val="center"/>
              <w:rPr>
                <w:rFonts w:ascii="Times New Roman" w:hAnsi="Times New Roman"/>
                <w:b/>
                <w:bCs/>
                <w:spacing w:val="-2"/>
                <w:kern w:val="0"/>
                <w:szCs w:val="21"/>
              </w:rPr>
            </w:pPr>
            <w:r>
              <w:rPr>
                <w:rFonts w:ascii="Times New Roman" w:hAnsi="Times New Roman"/>
                <w:b/>
                <w:bCs/>
                <w:spacing w:val="-2"/>
                <w:kern w:val="0"/>
                <w:szCs w:val="21"/>
              </w:rPr>
              <w:t>距离</w:t>
            </w:r>
          </w:p>
        </w:tc>
        <w:tc>
          <w:tcPr>
            <w:tcW w:w="1803" w:type="dxa"/>
            <w:vAlign w:val="center"/>
          </w:tcPr>
          <w:p w14:paraId="779CA875">
            <w:pPr>
              <w:jc w:val="center"/>
              <w:rPr>
                <w:rFonts w:ascii="Times New Roman" w:hAnsi="Times New Roman"/>
                <w:b/>
                <w:bCs/>
                <w:spacing w:val="-2"/>
                <w:kern w:val="0"/>
                <w:szCs w:val="21"/>
              </w:rPr>
            </w:pPr>
            <w:r>
              <w:rPr>
                <w:rFonts w:ascii="Times New Roman" w:hAnsi="Times New Roman"/>
                <w:b/>
                <w:bCs/>
                <w:spacing w:val="-2"/>
                <w:kern w:val="0"/>
                <w:szCs w:val="21"/>
              </w:rPr>
              <w:t>设置功能</w:t>
            </w:r>
          </w:p>
        </w:tc>
      </w:tr>
      <w:tr w14:paraId="690C02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162" w:type="dxa"/>
            <w:vAlign w:val="center"/>
          </w:tcPr>
          <w:p w14:paraId="63D3EB67">
            <w:pPr>
              <w:jc w:val="center"/>
              <w:rPr>
                <w:rFonts w:ascii="Times New Roman" w:hAnsi="Times New Roman"/>
              </w:rPr>
            </w:pPr>
            <w:r>
              <w:rPr>
                <w:rFonts w:ascii="Times New Roman" w:hAnsi="Times New Roman"/>
              </w:rPr>
              <w:t>N1</w:t>
            </w:r>
          </w:p>
        </w:tc>
        <w:tc>
          <w:tcPr>
            <w:tcW w:w="2520" w:type="dxa"/>
            <w:vAlign w:val="center"/>
          </w:tcPr>
          <w:p w14:paraId="53FAA748">
            <w:pPr>
              <w:jc w:val="center"/>
              <w:rPr>
                <w:rFonts w:ascii="Times New Roman" w:hAnsi="Times New Roman"/>
                <w:spacing w:val="-2"/>
                <w:kern w:val="0"/>
                <w:szCs w:val="21"/>
              </w:rPr>
            </w:pPr>
            <w:r>
              <w:rPr>
                <w:rFonts w:ascii="Times New Roman" w:hAnsi="Times New Roman"/>
                <w:spacing w:val="-2"/>
                <w:kern w:val="0"/>
                <w:szCs w:val="21"/>
              </w:rPr>
              <w:t>东面厂界</w:t>
            </w:r>
          </w:p>
        </w:tc>
        <w:tc>
          <w:tcPr>
            <w:tcW w:w="2801" w:type="dxa"/>
            <w:vAlign w:val="center"/>
          </w:tcPr>
          <w:p w14:paraId="51F05F54">
            <w:pPr>
              <w:jc w:val="center"/>
              <w:rPr>
                <w:rFonts w:ascii="Times New Roman" w:hAnsi="Times New Roman"/>
                <w:spacing w:val="-2"/>
                <w:kern w:val="0"/>
                <w:szCs w:val="21"/>
              </w:rPr>
            </w:pPr>
            <w:r>
              <w:rPr>
                <w:rFonts w:ascii="Times New Roman" w:hAnsi="Times New Roman"/>
                <w:spacing w:val="-2"/>
                <w:kern w:val="0"/>
                <w:szCs w:val="21"/>
              </w:rPr>
              <w:t>厂界东侧1m处</w:t>
            </w:r>
          </w:p>
        </w:tc>
        <w:tc>
          <w:tcPr>
            <w:tcW w:w="1803" w:type="dxa"/>
            <w:vMerge w:val="restart"/>
            <w:vAlign w:val="center"/>
          </w:tcPr>
          <w:p w14:paraId="0D86021E">
            <w:pPr>
              <w:jc w:val="center"/>
              <w:rPr>
                <w:rFonts w:ascii="Times New Roman" w:hAnsi="Times New Roman"/>
                <w:spacing w:val="-2"/>
                <w:kern w:val="0"/>
                <w:szCs w:val="21"/>
              </w:rPr>
            </w:pPr>
            <w:r>
              <w:rPr>
                <w:rFonts w:ascii="Times New Roman" w:hAnsi="Times New Roman"/>
                <w:spacing w:val="-2"/>
                <w:kern w:val="0"/>
                <w:szCs w:val="21"/>
              </w:rPr>
              <w:t>厂界</w:t>
            </w:r>
          </w:p>
        </w:tc>
      </w:tr>
      <w:tr w14:paraId="7CE09A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162" w:type="dxa"/>
            <w:vAlign w:val="center"/>
          </w:tcPr>
          <w:p w14:paraId="0CBF4ACA">
            <w:pPr>
              <w:jc w:val="center"/>
              <w:rPr>
                <w:rFonts w:ascii="Times New Roman" w:hAnsi="Times New Roman"/>
              </w:rPr>
            </w:pPr>
            <w:r>
              <w:rPr>
                <w:rFonts w:ascii="Times New Roman" w:hAnsi="Times New Roman"/>
              </w:rPr>
              <w:t>N2</w:t>
            </w:r>
          </w:p>
        </w:tc>
        <w:tc>
          <w:tcPr>
            <w:tcW w:w="2520" w:type="dxa"/>
            <w:vAlign w:val="center"/>
          </w:tcPr>
          <w:p w14:paraId="21A4CC53">
            <w:pPr>
              <w:jc w:val="center"/>
              <w:rPr>
                <w:rFonts w:ascii="Times New Roman" w:hAnsi="Times New Roman"/>
                <w:spacing w:val="-2"/>
                <w:kern w:val="0"/>
                <w:szCs w:val="21"/>
              </w:rPr>
            </w:pPr>
            <w:r>
              <w:rPr>
                <w:rFonts w:ascii="Times New Roman" w:hAnsi="Times New Roman"/>
                <w:spacing w:val="-2"/>
                <w:kern w:val="0"/>
                <w:szCs w:val="21"/>
              </w:rPr>
              <w:t>南面厂界</w:t>
            </w:r>
          </w:p>
        </w:tc>
        <w:tc>
          <w:tcPr>
            <w:tcW w:w="2801" w:type="dxa"/>
            <w:vAlign w:val="center"/>
          </w:tcPr>
          <w:p w14:paraId="4A3F54AF">
            <w:pPr>
              <w:jc w:val="center"/>
              <w:rPr>
                <w:rFonts w:ascii="Times New Roman" w:hAnsi="Times New Roman"/>
                <w:spacing w:val="-2"/>
                <w:kern w:val="0"/>
                <w:szCs w:val="21"/>
              </w:rPr>
            </w:pPr>
            <w:r>
              <w:rPr>
                <w:rFonts w:ascii="Times New Roman" w:hAnsi="Times New Roman"/>
                <w:spacing w:val="-2"/>
                <w:kern w:val="0"/>
                <w:szCs w:val="21"/>
              </w:rPr>
              <w:t>厂界南侧1m处</w:t>
            </w:r>
          </w:p>
        </w:tc>
        <w:tc>
          <w:tcPr>
            <w:tcW w:w="1803" w:type="dxa"/>
            <w:vMerge w:val="continue"/>
            <w:vAlign w:val="center"/>
          </w:tcPr>
          <w:p w14:paraId="7AA090D1">
            <w:pPr>
              <w:jc w:val="center"/>
              <w:rPr>
                <w:rFonts w:ascii="Times New Roman" w:hAnsi="Times New Roman"/>
                <w:spacing w:val="-2"/>
                <w:kern w:val="0"/>
                <w:szCs w:val="21"/>
              </w:rPr>
            </w:pPr>
          </w:p>
        </w:tc>
      </w:tr>
      <w:tr w14:paraId="0405E2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162" w:type="dxa"/>
            <w:vAlign w:val="center"/>
          </w:tcPr>
          <w:p w14:paraId="4F964ADF">
            <w:pPr>
              <w:jc w:val="center"/>
              <w:rPr>
                <w:rFonts w:ascii="Times New Roman" w:hAnsi="Times New Roman"/>
              </w:rPr>
            </w:pPr>
            <w:r>
              <w:rPr>
                <w:rFonts w:ascii="Times New Roman" w:hAnsi="Times New Roman"/>
              </w:rPr>
              <w:t>N3</w:t>
            </w:r>
          </w:p>
        </w:tc>
        <w:tc>
          <w:tcPr>
            <w:tcW w:w="2520" w:type="dxa"/>
            <w:vAlign w:val="center"/>
          </w:tcPr>
          <w:p w14:paraId="53C32EA4">
            <w:pPr>
              <w:jc w:val="center"/>
              <w:rPr>
                <w:rFonts w:ascii="Times New Roman" w:hAnsi="Times New Roman"/>
                <w:spacing w:val="-2"/>
                <w:kern w:val="0"/>
                <w:szCs w:val="21"/>
              </w:rPr>
            </w:pPr>
            <w:r>
              <w:rPr>
                <w:rFonts w:ascii="Times New Roman" w:hAnsi="Times New Roman"/>
                <w:spacing w:val="-2"/>
                <w:kern w:val="0"/>
                <w:szCs w:val="21"/>
              </w:rPr>
              <w:t>西面厂界</w:t>
            </w:r>
          </w:p>
        </w:tc>
        <w:tc>
          <w:tcPr>
            <w:tcW w:w="2801" w:type="dxa"/>
            <w:vAlign w:val="center"/>
          </w:tcPr>
          <w:p w14:paraId="01E13D6C">
            <w:pPr>
              <w:jc w:val="center"/>
              <w:rPr>
                <w:rFonts w:ascii="Times New Roman" w:hAnsi="Times New Roman"/>
                <w:spacing w:val="-2"/>
                <w:kern w:val="0"/>
                <w:szCs w:val="21"/>
              </w:rPr>
            </w:pPr>
            <w:r>
              <w:rPr>
                <w:rFonts w:ascii="Times New Roman" w:hAnsi="Times New Roman"/>
                <w:spacing w:val="-2"/>
                <w:kern w:val="0"/>
                <w:szCs w:val="21"/>
              </w:rPr>
              <w:t>厂界西侧1m处</w:t>
            </w:r>
          </w:p>
        </w:tc>
        <w:tc>
          <w:tcPr>
            <w:tcW w:w="1803" w:type="dxa"/>
            <w:vMerge w:val="continue"/>
            <w:vAlign w:val="center"/>
          </w:tcPr>
          <w:p w14:paraId="38FE04AB">
            <w:pPr>
              <w:jc w:val="center"/>
              <w:rPr>
                <w:rFonts w:ascii="Times New Roman" w:hAnsi="Times New Roman"/>
                <w:spacing w:val="-2"/>
                <w:kern w:val="0"/>
                <w:szCs w:val="21"/>
              </w:rPr>
            </w:pPr>
          </w:p>
        </w:tc>
      </w:tr>
      <w:tr w14:paraId="733E2E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162" w:type="dxa"/>
            <w:vAlign w:val="center"/>
          </w:tcPr>
          <w:p w14:paraId="70E0520D">
            <w:pPr>
              <w:jc w:val="center"/>
              <w:rPr>
                <w:rFonts w:ascii="Times New Roman" w:hAnsi="Times New Roman"/>
              </w:rPr>
            </w:pPr>
            <w:r>
              <w:rPr>
                <w:rFonts w:ascii="Times New Roman" w:hAnsi="Times New Roman"/>
              </w:rPr>
              <w:t>N4</w:t>
            </w:r>
          </w:p>
        </w:tc>
        <w:tc>
          <w:tcPr>
            <w:tcW w:w="2520" w:type="dxa"/>
            <w:vAlign w:val="center"/>
          </w:tcPr>
          <w:p w14:paraId="68B8AB64">
            <w:pPr>
              <w:jc w:val="center"/>
              <w:rPr>
                <w:rFonts w:ascii="Times New Roman" w:hAnsi="Times New Roman"/>
                <w:spacing w:val="-2"/>
                <w:kern w:val="0"/>
                <w:szCs w:val="21"/>
              </w:rPr>
            </w:pPr>
            <w:r>
              <w:rPr>
                <w:rFonts w:ascii="Times New Roman" w:hAnsi="Times New Roman"/>
                <w:spacing w:val="-2"/>
                <w:kern w:val="0"/>
                <w:szCs w:val="21"/>
              </w:rPr>
              <w:t>北面厂界</w:t>
            </w:r>
          </w:p>
        </w:tc>
        <w:tc>
          <w:tcPr>
            <w:tcW w:w="2801" w:type="dxa"/>
            <w:vAlign w:val="center"/>
          </w:tcPr>
          <w:p w14:paraId="0F94001C">
            <w:pPr>
              <w:jc w:val="center"/>
              <w:rPr>
                <w:rFonts w:ascii="Times New Roman" w:hAnsi="Times New Roman"/>
                <w:spacing w:val="-2"/>
                <w:kern w:val="0"/>
                <w:szCs w:val="21"/>
              </w:rPr>
            </w:pPr>
            <w:r>
              <w:rPr>
                <w:rFonts w:ascii="Times New Roman" w:hAnsi="Times New Roman"/>
                <w:spacing w:val="-2"/>
                <w:kern w:val="0"/>
                <w:szCs w:val="21"/>
              </w:rPr>
              <w:t>厂界北侧1m处</w:t>
            </w:r>
          </w:p>
        </w:tc>
        <w:tc>
          <w:tcPr>
            <w:tcW w:w="1803" w:type="dxa"/>
            <w:vMerge w:val="continue"/>
            <w:vAlign w:val="center"/>
          </w:tcPr>
          <w:p w14:paraId="3BD4F169">
            <w:pPr>
              <w:jc w:val="center"/>
              <w:rPr>
                <w:rFonts w:ascii="Times New Roman" w:hAnsi="Times New Roman"/>
                <w:spacing w:val="-2"/>
                <w:kern w:val="0"/>
                <w:szCs w:val="21"/>
              </w:rPr>
            </w:pPr>
          </w:p>
        </w:tc>
      </w:tr>
    </w:tbl>
    <w:p w14:paraId="33915B0C">
      <w:pPr>
        <w:tabs>
          <w:tab w:val="center" w:pos="4693"/>
        </w:tabs>
        <w:adjustRightInd w:val="0"/>
        <w:snapToGrid w:val="0"/>
        <w:spacing w:line="360" w:lineRule="auto"/>
        <w:ind w:firstLine="472" w:firstLineChars="200"/>
        <w:rPr>
          <w:rFonts w:ascii="Times New Roman" w:hAnsi="Times New Roman"/>
          <w:spacing w:val="-2"/>
          <w:kern w:val="0"/>
          <w:sz w:val="24"/>
          <w:szCs w:val="24"/>
        </w:rPr>
      </w:pPr>
    </w:p>
    <w:p w14:paraId="6A5E97D3">
      <w:pPr>
        <w:pStyle w:val="6"/>
        <w:numPr>
          <w:ilvl w:val="2"/>
          <w:numId w:val="3"/>
        </w:numPr>
      </w:pPr>
      <w:r>
        <w:t>监测方法</w:t>
      </w:r>
    </w:p>
    <w:p w14:paraId="49F369E5">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按《声环境质量标准》（GB3096-2008）中有关规定进行监测，原则上选无雨雪、无雷电天气，风速小于5m/s时进行监测。</w:t>
      </w:r>
    </w:p>
    <w:p w14:paraId="1A3253C8">
      <w:pPr>
        <w:pStyle w:val="6"/>
        <w:numPr>
          <w:ilvl w:val="2"/>
          <w:numId w:val="3"/>
        </w:numPr>
      </w:pPr>
      <w:r>
        <w:t>监测项目</w:t>
      </w:r>
    </w:p>
    <w:p w14:paraId="17C4CE1D">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按《环境影响评价技术导则（声环境）（HJ2.4-2009）》的要求，选取等效连续A声级作为监测项目。</w:t>
      </w:r>
    </w:p>
    <w:p w14:paraId="7423F9AF">
      <w:pPr>
        <w:pStyle w:val="6"/>
        <w:numPr>
          <w:ilvl w:val="2"/>
          <w:numId w:val="3"/>
        </w:numPr>
      </w:pPr>
      <w:r>
        <w:t>评价量</w:t>
      </w:r>
    </w:p>
    <w:p w14:paraId="232EB5E6">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选取等效连续A声级作为环境噪声现状评价量。</w:t>
      </w:r>
    </w:p>
    <w:p w14:paraId="5204EDD4">
      <w:pPr>
        <w:pStyle w:val="6"/>
        <w:numPr>
          <w:ilvl w:val="2"/>
          <w:numId w:val="3"/>
        </w:numPr>
      </w:pPr>
      <w:r>
        <w:t>评价标准</w:t>
      </w:r>
    </w:p>
    <w:p w14:paraId="2224BD7A">
      <w:pPr>
        <w:pStyle w:val="8"/>
        <w:numPr>
          <w:ilvl w:val="4"/>
          <w:numId w:val="3"/>
        </w:numPr>
        <w:rPr>
          <w:sz w:val="24"/>
          <w:szCs w:val="24"/>
        </w:rPr>
      </w:pPr>
      <w:r>
        <w:rPr>
          <w:sz w:val="24"/>
          <w:szCs w:val="24"/>
        </w:rPr>
        <w:t>《声环境质量标准》（GB3096-2008）   单位：dB(A)</w:t>
      </w:r>
    </w:p>
    <w:tbl>
      <w:tblPr>
        <w:tblStyle w:val="88"/>
        <w:tblW w:w="928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903"/>
        <w:gridCol w:w="3096"/>
        <w:gridCol w:w="3287"/>
      </w:tblGrid>
      <w:tr w14:paraId="28469E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903" w:type="dxa"/>
            <w:vAlign w:val="center"/>
          </w:tcPr>
          <w:p w14:paraId="7685B487">
            <w:pPr>
              <w:jc w:val="center"/>
              <w:rPr>
                <w:rFonts w:ascii="Times New Roman" w:hAnsi="Times New Roman"/>
                <w:b/>
                <w:bCs/>
                <w:spacing w:val="-2"/>
                <w:kern w:val="0"/>
                <w:szCs w:val="21"/>
              </w:rPr>
            </w:pPr>
            <w:r>
              <w:rPr>
                <w:rFonts w:ascii="Times New Roman" w:hAnsi="Times New Roman"/>
                <w:b/>
                <w:bCs/>
                <w:spacing w:val="-2"/>
                <w:kern w:val="0"/>
                <w:szCs w:val="21"/>
              </w:rPr>
              <w:t>类别</w:t>
            </w:r>
          </w:p>
        </w:tc>
        <w:tc>
          <w:tcPr>
            <w:tcW w:w="3096" w:type="dxa"/>
            <w:vAlign w:val="center"/>
          </w:tcPr>
          <w:p w14:paraId="026B9CA0">
            <w:pPr>
              <w:jc w:val="center"/>
              <w:rPr>
                <w:rFonts w:ascii="Times New Roman" w:hAnsi="Times New Roman"/>
                <w:b/>
                <w:bCs/>
                <w:spacing w:val="-2"/>
                <w:kern w:val="0"/>
                <w:szCs w:val="21"/>
              </w:rPr>
            </w:pPr>
            <w:r>
              <w:rPr>
                <w:rFonts w:ascii="Times New Roman" w:hAnsi="Times New Roman"/>
                <w:b/>
                <w:bCs/>
                <w:spacing w:val="-2"/>
                <w:kern w:val="0"/>
                <w:szCs w:val="21"/>
              </w:rPr>
              <w:t>昼间</w:t>
            </w:r>
          </w:p>
        </w:tc>
        <w:tc>
          <w:tcPr>
            <w:tcW w:w="3287" w:type="dxa"/>
            <w:vAlign w:val="center"/>
          </w:tcPr>
          <w:p w14:paraId="75646A15">
            <w:pPr>
              <w:jc w:val="center"/>
              <w:rPr>
                <w:rFonts w:ascii="Times New Roman" w:hAnsi="Times New Roman"/>
                <w:b/>
                <w:bCs/>
                <w:spacing w:val="-2"/>
                <w:kern w:val="0"/>
                <w:szCs w:val="21"/>
              </w:rPr>
            </w:pPr>
            <w:r>
              <w:rPr>
                <w:rFonts w:ascii="Times New Roman" w:hAnsi="Times New Roman"/>
                <w:b/>
                <w:bCs/>
                <w:spacing w:val="-2"/>
                <w:kern w:val="0"/>
                <w:szCs w:val="21"/>
              </w:rPr>
              <w:t>夜间</w:t>
            </w:r>
          </w:p>
        </w:tc>
      </w:tr>
      <w:tr w14:paraId="6D6DFE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903" w:type="dxa"/>
            <w:vAlign w:val="center"/>
          </w:tcPr>
          <w:p w14:paraId="382EAFD0">
            <w:pPr>
              <w:jc w:val="center"/>
              <w:rPr>
                <w:rFonts w:ascii="Times New Roman" w:hAnsi="Times New Roman"/>
                <w:spacing w:val="-2"/>
                <w:kern w:val="0"/>
                <w:szCs w:val="21"/>
              </w:rPr>
            </w:pPr>
            <w:r>
              <w:rPr>
                <w:rFonts w:ascii="Times New Roman" w:hAnsi="Times New Roman"/>
                <w:spacing w:val="-2"/>
                <w:kern w:val="0"/>
                <w:szCs w:val="21"/>
              </w:rPr>
              <w:t>3类区</w:t>
            </w:r>
          </w:p>
        </w:tc>
        <w:tc>
          <w:tcPr>
            <w:tcW w:w="3096" w:type="dxa"/>
            <w:vAlign w:val="center"/>
          </w:tcPr>
          <w:p w14:paraId="721B9062">
            <w:pPr>
              <w:jc w:val="center"/>
              <w:rPr>
                <w:rFonts w:ascii="Times New Roman" w:hAnsi="Times New Roman"/>
                <w:spacing w:val="-2"/>
                <w:kern w:val="0"/>
                <w:szCs w:val="21"/>
              </w:rPr>
            </w:pPr>
            <w:r>
              <w:rPr>
                <w:rFonts w:ascii="Times New Roman" w:hAnsi="Times New Roman"/>
                <w:spacing w:val="-2"/>
                <w:kern w:val="0"/>
                <w:szCs w:val="21"/>
              </w:rPr>
              <w:t>65</w:t>
            </w:r>
          </w:p>
        </w:tc>
        <w:tc>
          <w:tcPr>
            <w:tcW w:w="3287" w:type="dxa"/>
            <w:vAlign w:val="center"/>
          </w:tcPr>
          <w:p w14:paraId="267EE6EE">
            <w:pPr>
              <w:jc w:val="center"/>
              <w:rPr>
                <w:rFonts w:ascii="Times New Roman" w:hAnsi="Times New Roman"/>
                <w:spacing w:val="-2"/>
                <w:kern w:val="0"/>
                <w:szCs w:val="21"/>
              </w:rPr>
            </w:pPr>
            <w:r>
              <w:rPr>
                <w:rFonts w:ascii="Times New Roman" w:hAnsi="Times New Roman"/>
                <w:spacing w:val="-2"/>
                <w:kern w:val="0"/>
                <w:szCs w:val="21"/>
              </w:rPr>
              <w:t>55</w:t>
            </w:r>
          </w:p>
        </w:tc>
      </w:tr>
    </w:tbl>
    <w:p w14:paraId="2FCA07CA">
      <w:pPr>
        <w:tabs>
          <w:tab w:val="center" w:pos="4693"/>
        </w:tabs>
        <w:adjustRightInd w:val="0"/>
        <w:snapToGrid w:val="0"/>
        <w:spacing w:line="360" w:lineRule="auto"/>
        <w:ind w:firstLine="472" w:firstLineChars="200"/>
        <w:rPr>
          <w:rFonts w:ascii="Times New Roman" w:hAnsi="Times New Roman"/>
          <w:spacing w:val="-2"/>
          <w:kern w:val="0"/>
          <w:sz w:val="24"/>
          <w:szCs w:val="24"/>
        </w:rPr>
      </w:pPr>
    </w:p>
    <w:p w14:paraId="74999158">
      <w:pPr>
        <w:pStyle w:val="6"/>
        <w:numPr>
          <w:ilvl w:val="2"/>
          <w:numId w:val="3"/>
        </w:numPr>
      </w:pPr>
      <w:r>
        <w:t>声环境现状监测统计结果</w:t>
      </w:r>
    </w:p>
    <w:p w14:paraId="4269C951">
      <w:pPr>
        <w:spacing w:line="360" w:lineRule="auto"/>
        <w:ind w:firstLine="472" w:firstLineChars="200"/>
        <w:rPr>
          <w:rFonts w:ascii="Times New Roman" w:hAnsi="Times New Roman"/>
          <w:spacing w:val="-2"/>
          <w:kern w:val="0"/>
          <w:sz w:val="28"/>
          <w:szCs w:val="20"/>
        </w:rPr>
      </w:pPr>
      <w:r>
        <w:rPr>
          <w:rFonts w:ascii="Times New Roman" w:hAnsi="Times New Roman"/>
          <w:spacing w:val="-2"/>
          <w:kern w:val="0"/>
          <w:sz w:val="24"/>
          <w:szCs w:val="24"/>
        </w:rPr>
        <w:t>本项目位置声环境质量现状监测统计结果详见表3.</w:t>
      </w:r>
      <w:r>
        <w:rPr>
          <w:rFonts w:hint="eastAsia" w:ascii="Times New Roman" w:hAnsi="Times New Roman"/>
          <w:spacing w:val="-2"/>
          <w:kern w:val="0"/>
          <w:sz w:val="24"/>
          <w:szCs w:val="24"/>
        </w:rPr>
        <w:t>6</w:t>
      </w:r>
      <w:r>
        <w:rPr>
          <w:rFonts w:ascii="Times New Roman" w:hAnsi="Times New Roman"/>
          <w:spacing w:val="-2"/>
          <w:kern w:val="0"/>
          <w:sz w:val="24"/>
          <w:szCs w:val="24"/>
        </w:rPr>
        <w:t>-3</w:t>
      </w:r>
      <w:r>
        <w:rPr>
          <w:rFonts w:ascii="Times New Roman" w:hAnsi="Times New Roman"/>
          <w:spacing w:val="-2"/>
          <w:kern w:val="0"/>
          <w:sz w:val="28"/>
          <w:szCs w:val="20"/>
        </w:rPr>
        <w:t>。</w:t>
      </w:r>
    </w:p>
    <w:p w14:paraId="6F5CF513">
      <w:pPr>
        <w:adjustRightInd w:val="0"/>
        <w:snapToGrid w:val="0"/>
        <w:ind w:firstLine="552" w:firstLineChars="200"/>
        <w:rPr>
          <w:rFonts w:ascii="Times New Roman" w:hAnsi="Times New Roman"/>
          <w:spacing w:val="-2"/>
          <w:kern w:val="0"/>
          <w:sz w:val="28"/>
          <w:szCs w:val="20"/>
        </w:rPr>
      </w:pPr>
    </w:p>
    <w:p w14:paraId="5C32D323">
      <w:pPr>
        <w:pStyle w:val="8"/>
        <w:numPr>
          <w:ilvl w:val="4"/>
          <w:numId w:val="3"/>
        </w:numPr>
        <w:rPr>
          <w:sz w:val="24"/>
          <w:szCs w:val="24"/>
        </w:rPr>
      </w:pPr>
      <w:r>
        <w:rPr>
          <w:sz w:val="24"/>
          <w:szCs w:val="24"/>
        </w:rPr>
        <w:t>噪声环境现状监测结果   单位：dB(A)</w:t>
      </w:r>
    </w:p>
    <w:tbl>
      <w:tblPr>
        <w:tblStyle w:val="88"/>
        <w:tblW w:w="892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02"/>
        <w:gridCol w:w="1350"/>
        <w:gridCol w:w="1155"/>
        <w:gridCol w:w="1250"/>
        <w:gridCol w:w="1323"/>
        <w:gridCol w:w="1323"/>
        <w:gridCol w:w="1323"/>
      </w:tblGrid>
      <w:tr w14:paraId="2D706D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202" w:type="dxa"/>
            <w:shd w:val="clear" w:color="auto" w:fill="auto"/>
            <w:vAlign w:val="center"/>
          </w:tcPr>
          <w:p w14:paraId="24DABBA9">
            <w:pPr>
              <w:pStyle w:val="827"/>
              <w:rPr>
                <w:rFonts w:ascii="Times New Roman" w:hAnsi="Times New Roman"/>
                <w:b/>
                <w:bCs/>
              </w:rPr>
            </w:pPr>
            <w:r>
              <w:rPr>
                <w:rFonts w:ascii="Times New Roman" w:hAnsi="Times New Roman"/>
                <w:b/>
                <w:bCs/>
              </w:rPr>
              <w:t>监测编号</w:t>
            </w:r>
          </w:p>
        </w:tc>
        <w:tc>
          <w:tcPr>
            <w:tcW w:w="1350" w:type="dxa"/>
            <w:shd w:val="clear" w:color="auto" w:fill="auto"/>
            <w:vAlign w:val="center"/>
          </w:tcPr>
          <w:p w14:paraId="765E02FB">
            <w:pPr>
              <w:pStyle w:val="827"/>
              <w:rPr>
                <w:rFonts w:ascii="Times New Roman" w:hAnsi="Times New Roman"/>
                <w:b/>
                <w:bCs/>
              </w:rPr>
            </w:pPr>
            <w:r>
              <w:rPr>
                <w:rFonts w:ascii="Times New Roman" w:hAnsi="Times New Roman"/>
                <w:b/>
                <w:bCs/>
              </w:rPr>
              <w:t>监测点位置</w:t>
            </w:r>
          </w:p>
        </w:tc>
        <w:tc>
          <w:tcPr>
            <w:tcW w:w="1155" w:type="dxa"/>
            <w:shd w:val="clear" w:color="auto" w:fill="auto"/>
            <w:vAlign w:val="center"/>
          </w:tcPr>
          <w:p w14:paraId="0FA5470E">
            <w:pPr>
              <w:pStyle w:val="827"/>
              <w:rPr>
                <w:rFonts w:ascii="Times New Roman" w:hAnsi="Times New Roman"/>
                <w:b/>
                <w:bCs/>
              </w:rPr>
            </w:pPr>
            <w:r>
              <w:rPr>
                <w:rFonts w:ascii="Times New Roman" w:hAnsi="Times New Roman"/>
                <w:b/>
                <w:bCs/>
              </w:rPr>
              <w:t>主要声源</w:t>
            </w:r>
          </w:p>
        </w:tc>
        <w:tc>
          <w:tcPr>
            <w:tcW w:w="1250" w:type="dxa"/>
            <w:shd w:val="clear" w:color="auto" w:fill="auto"/>
            <w:vAlign w:val="center"/>
          </w:tcPr>
          <w:p w14:paraId="52A39EE7">
            <w:pPr>
              <w:pStyle w:val="827"/>
              <w:rPr>
                <w:rFonts w:ascii="Times New Roman" w:hAnsi="Times New Roman"/>
                <w:b/>
                <w:bCs/>
              </w:rPr>
            </w:pPr>
            <w:r>
              <w:rPr>
                <w:rFonts w:ascii="Times New Roman" w:hAnsi="Times New Roman"/>
                <w:b/>
                <w:bCs/>
              </w:rPr>
              <w:t>监测日期</w:t>
            </w:r>
          </w:p>
        </w:tc>
        <w:tc>
          <w:tcPr>
            <w:tcW w:w="1323" w:type="dxa"/>
            <w:shd w:val="clear" w:color="auto" w:fill="auto"/>
            <w:vAlign w:val="center"/>
          </w:tcPr>
          <w:p w14:paraId="6A13F44F">
            <w:pPr>
              <w:pStyle w:val="827"/>
              <w:rPr>
                <w:rFonts w:ascii="Times New Roman" w:hAnsi="Times New Roman"/>
                <w:b/>
                <w:bCs/>
              </w:rPr>
            </w:pPr>
            <w:r>
              <w:rPr>
                <w:rFonts w:ascii="Times New Roman" w:hAnsi="Times New Roman"/>
                <w:b/>
                <w:bCs/>
              </w:rPr>
              <w:t>时段</w:t>
            </w:r>
          </w:p>
        </w:tc>
        <w:tc>
          <w:tcPr>
            <w:tcW w:w="1323" w:type="dxa"/>
            <w:shd w:val="clear" w:color="auto" w:fill="auto"/>
            <w:vAlign w:val="center"/>
          </w:tcPr>
          <w:p w14:paraId="1A906639">
            <w:pPr>
              <w:pStyle w:val="827"/>
              <w:rPr>
                <w:rFonts w:ascii="Times New Roman" w:hAnsi="Times New Roman"/>
                <w:b/>
                <w:bCs/>
              </w:rPr>
            </w:pPr>
            <w:r>
              <w:rPr>
                <w:rFonts w:ascii="Times New Roman" w:hAnsi="Times New Roman"/>
                <w:b/>
                <w:bCs/>
              </w:rPr>
              <w:t>监测结果</w:t>
            </w:r>
          </w:p>
        </w:tc>
        <w:tc>
          <w:tcPr>
            <w:tcW w:w="1323" w:type="dxa"/>
            <w:shd w:val="clear" w:color="auto" w:fill="auto"/>
            <w:vAlign w:val="center"/>
          </w:tcPr>
          <w:p w14:paraId="30AE6549">
            <w:pPr>
              <w:pStyle w:val="827"/>
              <w:rPr>
                <w:rFonts w:ascii="Times New Roman" w:hAnsi="Times New Roman"/>
                <w:b/>
                <w:bCs/>
              </w:rPr>
            </w:pPr>
            <w:r>
              <w:rPr>
                <w:rFonts w:ascii="Times New Roman" w:hAnsi="Times New Roman"/>
                <w:b/>
                <w:bCs/>
              </w:rPr>
              <w:t>达标情况</w:t>
            </w:r>
          </w:p>
        </w:tc>
      </w:tr>
      <w:tr w14:paraId="3D5B03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02" w:type="dxa"/>
            <w:vMerge w:val="restart"/>
            <w:shd w:val="clear" w:color="auto" w:fill="auto"/>
            <w:vAlign w:val="center"/>
          </w:tcPr>
          <w:p w14:paraId="4D22A226">
            <w:pPr>
              <w:pStyle w:val="827"/>
              <w:rPr>
                <w:rFonts w:ascii="Times New Roman" w:hAnsi="Times New Roman"/>
              </w:rPr>
            </w:pPr>
            <w:r>
              <w:rPr>
                <w:rFonts w:ascii="Times New Roman" w:hAnsi="Times New Roman"/>
              </w:rPr>
              <w:t>N1</w:t>
            </w:r>
          </w:p>
        </w:tc>
        <w:tc>
          <w:tcPr>
            <w:tcW w:w="1350" w:type="dxa"/>
            <w:vMerge w:val="restart"/>
            <w:shd w:val="clear" w:color="auto" w:fill="auto"/>
            <w:vAlign w:val="center"/>
          </w:tcPr>
          <w:p w14:paraId="44B36472">
            <w:pPr>
              <w:pStyle w:val="827"/>
              <w:rPr>
                <w:rFonts w:ascii="Times New Roman" w:hAnsi="Times New Roman"/>
              </w:rPr>
            </w:pPr>
            <w:r>
              <w:rPr>
                <w:rFonts w:ascii="Times New Roman" w:hAnsi="Times New Roman"/>
              </w:rPr>
              <w:t>项目东面厂界外1m处</w:t>
            </w:r>
          </w:p>
        </w:tc>
        <w:tc>
          <w:tcPr>
            <w:tcW w:w="1155" w:type="dxa"/>
            <w:vMerge w:val="restart"/>
            <w:shd w:val="clear" w:color="auto" w:fill="auto"/>
            <w:vAlign w:val="center"/>
          </w:tcPr>
          <w:p w14:paraId="31213EAF">
            <w:pPr>
              <w:pStyle w:val="827"/>
              <w:rPr>
                <w:rFonts w:ascii="Times New Roman" w:hAnsi="Times New Roman"/>
              </w:rPr>
            </w:pPr>
            <w:r>
              <w:rPr>
                <w:rFonts w:ascii="Times New Roman" w:hAnsi="Times New Roman"/>
              </w:rPr>
              <w:t>环境噪声</w:t>
            </w:r>
          </w:p>
        </w:tc>
        <w:tc>
          <w:tcPr>
            <w:tcW w:w="1250" w:type="dxa"/>
            <w:vMerge w:val="restart"/>
            <w:shd w:val="clear" w:color="auto" w:fill="auto"/>
            <w:vAlign w:val="center"/>
          </w:tcPr>
          <w:p w14:paraId="636E8E2C">
            <w:pPr>
              <w:pStyle w:val="827"/>
              <w:rPr>
                <w:rFonts w:ascii="Times New Roman" w:hAnsi="Times New Roman"/>
              </w:rPr>
            </w:pPr>
            <w:r>
              <w:rPr>
                <w:rFonts w:ascii="Times New Roman" w:hAnsi="Times New Roman"/>
              </w:rPr>
              <w:t>11月1日</w:t>
            </w:r>
          </w:p>
        </w:tc>
        <w:tc>
          <w:tcPr>
            <w:tcW w:w="1323" w:type="dxa"/>
            <w:shd w:val="clear" w:color="auto" w:fill="auto"/>
            <w:vAlign w:val="center"/>
          </w:tcPr>
          <w:p w14:paraId="23511C95">
            <w:pPr>
              <w:pStyle w:val="827"/>
              <w:rPr>
                <w:rFonts w:ascii="Times New Roman" w:hAnsi="Times New Roman"/>
              </w:rPr>
            </w:pPr>
            <w:r>
              <w:rPr>
                <w:rFonts w:ascii="Times New Roman" w:hAnsi="Times New Roman"/>
              </w:rPr>
              <w:t>昼间</w:t>
            </w:r>
          </w:p>
        </w:tc>
        <w:tc>
          <w:tcPr>
            <w:tcW w:w="1323" w:type="dxa"/>
            <w:shd w:val="clear" w:color="auto" w:fill="auto"/>
            <w:vAlign w:val="center"/>
          </w:tcPr>
          <w:p w14:paraId="79C2377F">
            <w:pPr>
              <w:pStyle w:val="827"/>
              <w:rPr>
                <w:rFonts w:ascii="Times New Roman" w:hAnsi="Times New Roman"/>
              </w:rPr>
            </w:pPr>
          </w:p>
        </w:tc>
        <w:tc>
          <w:tcPr>
            <w:tcW w:w="1323" w:type="dxa"/>
            <w:shd w:val="clear" w:color="auto" w:fill="auto"/>
            <w:vAlign w:val="center"/>
          </w:tcPr>
          <w:p w14:paraId="2AD80C42">
            <w:pPr>
              <w:pStyle w:val="827"/>
              <w:rPr>
                <w:rFonts w:ascii="Times New Roman" w:hAnsi="Times New Roman"/>
              </w:rPr>
            </w:pPr>
          </w:p>
        </w:tc>
      </w:tr>
      <w:tr w14:paraId="3C7676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02" w:type="dxa"/>
            <w:vMerge w:val="continue"/>
            <w:shd w:val="clear" w:color="auto" w:fill="auto"/>
            <w:vAlign w:val="center"/>
          </w:tcPr>
          <w:p w14:paraId="67905FE9">
            <w:pPr>
              <w:pStyle w:val="827"/>
              <w:rPr>
                <w:rFonts w:ascii="Times New Roman" w:hAnsi="Times New Roman"/>
              </w:rPr>
            </w:pPr>
          </w:p>
        </w:tc>
        <w:tc>
          <w:tcPr>
            <w:tcW w:w="1350" w:type="dxa"/>
            <w:vMerge w:val="continue"/>
            <w:shd w:val="clear" w:color="auto" w:fill="auto"/>
            <w:vAlign w:val="center"/>
          </w:tcPr>
          <w:p w14:paraId="28BC6036">
            <w:pPr>
              <w:pStyle w:val="827"/>
              <w:rPr>
                <w:rFonts w:ascii="Times New Roman" w:hAnsi="Times New Roman"/>
              </w:rPr>
            </w:pPr>
          </w:p>
        </w:tc>
        <w:tc>
          <w:tcPr>
            <w:tcW w:w="1155" w:type="dxa"/>
            <w:vMerge w:val="continue"/>
            <w:shd w:val="clear" w:color="auto" w:fill="auto"/>
            <w:vAlign w:val="center"/>
          </w:tcPr>
          <w:p w14:paraId="5DC3C70A">
            <w:pPr>
              <w:pStyle w:val="827"/>
              <w:rPr>
                <w:rFonts w:ascii="Times New Roman" w:hAnsi="Times New Roman"/>
              </w:rPr>
            </w:pPr>
          </w:p>
        </w:tc>
        <w:tc>
          <w:tcPr>
            <w:tcW w:w="1250" w:type="dxa"/>
            <w:vMerge w:val="continue"/>
            <w:shd w:val="clear" w:color="auto" w:fill="auto"/>
            <w:vAlign w:val="center"/>
          </w:tcPr>
          <w:p w14:paraId="3AB7B927">
            <w:pPr>
              <w:pStyle w:val="827"/>
              <w:rPr>
                <w:rFonts w:ascii="Times New Roman" w:hAnsi="Times New Roman"/>
              </w:rPr>
            </w:pPr>
          </w:p>
        </w:tc>
        <w:tc>
          <w:tcPr>
            <w:tcW w:w="1323" w:type="dxa"/>
            <w:shd w:val="clear" w:color="auto" w:fill="auto"/>
            <w:vAlign w:val="center"/>
          </w:tcPr>
          <w:p w14:paraId="3546E3F0">
            <w:pPr>
              <w:pStyle w:val="827"/>
              <w:rPr>
                <w:rFonts w:ascii="Times New Roman" w:hAnsi="Times New Roman"/>
              </w:rPr>
            </w:pPr>
            <w:r>
              <w:rPr>
                <w:rFonts w:ascii="Times New Roman" w:hAnsi="Times New Roman"/>
              </w:rPr>
              <w:t>夜间</w:t>
            </w:r>
          </w:p>
        </w:tc>
        <w:tc>
          <w:tcPr>
            <w:tcW w:w="1323" w:type="dxa"/>
            <w:shd w:val="clear" w:color="auto" w:fill="auto"/>
            <w:vAlign w:val="center"/>
          </w:tcPr>
          <w:p w14:paraId="7BA32EB3">
            <w:pPr>
              <w:pStyle w:val="827"/>
              <w:rPr>
                <w:rFonts w:ascii="Times New Roman" w:hAnsi="Times New Roman"/>
              </w:rPr>
            </w:pPr>
          </w:p>
        </w:tc>
        <w:tc>
          <w:tcPr>
            <w:tcW w:w="1323" w:type="dxa"/>
            <w:shd w:val="clear" w:color="auto" w:fill="auto"/>
            <w:vAlign w:val="center"/>
          </w:tcPr>
          <w:p w14:paraId="3E4371ED">
            <w:pPr>
              <w:pStyle w:val="827"/>
              <w:rPr>
                <w:rFonts w:ascii="Times New Roman" w:hAnsi="Times New Roman"/>
              </w:rPr>
            </w:pPr>
          </w:p>
        </w:tc>
      </w:tr>
      <w:tr w14:paraId="1356F6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02" w:type="dxa"/>
            <w:vMerge w:val="continue"/>
            <w:shd w:val="clear" w:color="auto" w:fill="auto"/>
            <w:vAlign w:val="center"/>
          </w:tcPr>
          <w:p w14:paraId="27A63734">
            <w:pPr>
              <w:pStyle w:val="827"/>
              <w:rPr>
                <w:rFonts w:ascii="Times New Roman" w:hAnsi="Times New Roman"/>
              </w:rPr>
            </w:pPr>
          </w:p>
        </w:tc>
        <w:tc>
          <w:tcPr>
            <w:tcW w:w="1350" w:type="dxa"/>
            <w:vMerge w:val="continue"/>
            <w:shd w:val="clear" w:color="auto" w:fill="auto"/>
            <w:vAlign w:val="center"/>
          </w:tcPr>
          <w:p w14:paraId="2EA092B2">
            <w:pPr>
              <w:pStyle w:val="827"/>
              <w:rPr>
                <w:rFonts w:ascii="Times New Roman" w:hAnsi="Times New Roman"/>
              </w:rPr>
            </w:pPr>
          </w:p>
        </w:tc>
        <w:tc>
          <w:tcPr>
            <w:tcW w:w="1155" w:type="dxa"/>
            <w:vMerge w:val="continue"/>
            <w:shd w:val="clear" w:color="auto" w:fill="auto"/>
            <w:vAlign w:val="center"/>
          </w:tcPr>
          <w:p w14:paraId="6128711B">
            <w:pPr>
              <w:pStyle w:val="827"/>
              <w:rPr>
                <w:rFonts w:ascii="Times New Roman" w:hAnsi="Times New Roman"/>
              </w:rPr>
            </w:pPr>
          </w:p>
        </w:tc>
        <w:tc>
          <w:tcPr>
            <w:tcW w:w="1250" w:type="dxa"/>
            <w:vMerge w:val="restart"/>
            <w:shd w:val="clear" w:color="auto" w:fill="auto"/>
            <w:vAlign w:val="center"/>
          </w:tcPr>
          <w:p w14:paraId="67880CB8">
            <w:pPr>
              <w:pStyle w:val="827"/>
              <w:rPr>
                <w:rFonts w:ascii="Times New Roman" w:hAnsi="Times New Roman"/>
              </w:rPr>
            </w:pPr>
            <w:r>
              <w:rPr>
                <w:rFonts w:ascii="Times New Roman" w:hAnsi="Times New Roman"/>
              </w:rPr>
              <w:t>11月2日</w:t>
            </w:r>
          </w:p>
        </w:tc>
        <w:tc>
          <w:tcPr>
            <w:tcW w:w="1323" w:type="dxa"/>
            <w:shd w:val="clear" w:color="auto" w:fill="auto"/>
            <w:vAlign w:val="center"/>
          </w:tcPr>
          <w:p w14:paraId="695CEEF8">
            <w:pPr>
              <w:pStyle w:val="827"/>
              <w:rPr>
                <w:rFonts w:ascii="Times New Roman" w:hAnsi="Times New Roman"/>
              </w:rPr>
            </w:pPr>
            <w:r>
              <w:rPr>
                <w:rFonts w:ascii="Times New Roman" w:hAnsi="Times New Roman"/>
              </w:rPr>
              <w:t>昼间</w:t>
            </w:r>
          </w:p>
        </w:tc>
        <w:tc>
          <w:tcPr>
            <w:tcW w:w="1323" w:type="dxa"/>
            <w:shd w:val="clear" w:color="auto" w:fill="auto"/>
            <w:vAlign w:val="center"/>
          </w:tcPr>
          <w:p w14:paraId="2D489129">
            <w:pPr>
              <w:pStyle w:val="827"/>
              <w:rPr>
                <w:rFonts w:ascii="Times New Roman" w:hAnsi="Times New Roman"/>
              </w:rPr>
            </w:pPr>
          </w:p>
        </w:tc>
        <w:tc>
          <w:tcPr>
            <w:tcW w:w="1323" w:type="dxa"/>
            <w:shd w:val="clear" w:color="auto" w:fill="auto"/>
            <w:vAlign w:val="center"/>
          </w:tcPr>
          <w:p w14:paraId="53F5AF67">
            <w:pPr>
              <w:pStyle w:val="827"/>
              <w:rPr>
                <w:rFonts w:ascii="Times New Roman" w:hAnsi="Times New Roman"/>
              </w:rPr>
            </w:pPr>
          </w:p>
        </w:tc>
      </w:tr>
      <w:tr w14:paraId="7230F2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02" w:type="dxa"/>
            <w:vMerge w:val="continue"/>
            <w:shd w:val="clear" w:color="auto" w:fill="auto"/>
            <w:vAlign w:val="center"/>
          </w:tcPr>
          <w:p w14:paraId="0A407421">
            <w:pPr>
              <w:pStyle w:val="827"/>
              <w:rPr>
                <w:rFonts w:ascii="Times New Roman" w:hAnsi="Times New Roman"/>
              </w:rPr>
            </w:pPr>
          </w:p>
        </w:tc>
        <w:tc>
          <w:tcPr>
            <w:tcW w:w="1350" w:type="dxa"/>
            <w:vMerge w:val="continue"/>
            <w:shd w:val="clear" w:color="auto" w:fill="auto"/>
            <w:vAlign w:val="center"/>
          </w:tcPr>
          <w:p w14:paraId="65B3D035">
            <w:pPr>
              <w:pStyle w:val="827"/>
              <w:rPr>
                <w:rFonts w:ascii="Times New Roman" w:hAnsi="Times New Roman"/>
              </w:rPr>
            </w:pPr>
          </w:p>
        </w:tc>
        <w:tc>
          <w:tcPr>
            <w:tcW w:w="1155" w:type="dxa"/>
            <w:vMerge w:val="continue"/>
            <w:shd w:val="clear" w:color="auto" w:fill="auto"/>
            <w:vAlign w:val="center"/>
          </w:tcPr>
          <w:p w14:paraId="3E476043">
            <w:pPr>
              <w:pStyle w:val="827"/>
              <w:rPr>
                <w:rFonts w:ascii="Times New Roman" w:hAnsi="Times New Roman"/>
              </w:rPr>
            </w:pPr>
          </w:p>
        </w:tc>
        <w:tc>
          <w:tcPr>
            <w:tcW w:w="1250" w:type="dxa"/>
            <w:vMerge w:val="continue"/>
            <w:shd w:val="clear" w:color="auto" w:fill="auto"/>
            <w:vAlign w:val="center"/>
          </w:tcPr>
          <w:p w14:paraId="5344D077">
            <w:pPr>
              <w:pStyle w:val="827"/>
              <w:rPr>
                <w:rFonts w:ascii="Times New Roman" w:hAnsi="Times New Roman"/>
              </w:rPr>
            </w:pPr>
          </w:p>
        </w:tc>
        <w:tc>
          <w:tcPr>
            <w:tcW w:w="1323" w:type="dxa"/>
            <w:shd w:val="clear" w:color="auto" w:fill="auto"/>
            <w:vAlign w:val="center"/>
          </w:tcPr>
          <w:p w14:paraId="11FE552D">
            <w:pPr>
              <w:pStyle w:val="827"/>
              <w:rPr>
                <w:rFonts w:ascii="Times New Roman" w:hAnsi="Times New Roman"/>
              </w:rPr>
            </w:pPr>
            <w:r>
              <w:rPr>
                <w:rFonts w:ascii="Times New Roman" w:hAnsi="Times New Roman"/>
              </w:rPr>
              <w:t>夜间</w:t>
            </w:r>
          </w:p>
        </w:tc>
        <w:tc>
          <w:tcPr>
            <w:tcW w:w="1323" w:type="dxa"/>
            <w:shd w:val="clear" w:color="auto" w:fill="auto"/>
            <w:vAlign w:val="center"/>
          </w:tcPr>
          <w:p w14:paraId="6516610F">
            <w:pPr>
              <w:pStyle w:val="827"/>
              <w:rPr>
                <w:rFonts w:ascii="Times New Roman" w:hAnsi="Times New Roman"/>
              </w:rPr>
            </w:pPr>
          </w:p>
        </w:tc>
        <w:tc>
          <w:tcPr>
            <w:tcW w:w="1323" w:type="dxa"/>
            <w:shd w:val="clear" w:color="auto" w:fill="auto"/>
            <w:vAlign w:val="center"/>
          </w:tcPr>
          <w:p w14:paraId="269661C1">
            <w:pPr>
              <w:pStyle w:val="827"/>
              <w:rPr>
                <w:rFonts w:ascii="Times New Roman" w:hAnsi="Times New Roman"/>
              </w:rPr>
            </w:pPr>
          </w:p>
        </w:tc>
      </w:tr>
      <w:tr w14:paraId="17436C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02" w:type="dxa"/>
            <w:vMerge w:val="restart"/>
            <w:shd w:val="clear" w:color="auto" w:fill="auto"/>
            <w:vAlign w:val="center"/>
          </w:tcPr>
          <w:p w14:paraId="5ADE383F">
            <w:pPr>
              <w:pStyle w:val="827"/>
              <w:rPr>
                <w:rFonts w:ascii="Times New Roman" w:hAnsi="Times New Roman"/>
              </w:rPr>
            </w:pPr>
            <w:r>
              <w:rPr>
                <w:rFonts w:ascii="Times New Roman" w:hAnsi="Times New Roman"/>
              </w:rPr>
              <w:t>N2</w:t>
            </w:r>
          </w:p>
        </w:tc>
        <w:tc>
          <w:tcPr>
            <w:tcW w:w="1350" w:type="dxa"/>
            <w:vMerge w:val="restart"/>
            <w:shd w:val="clear" w:color="auto" w:fill="auto"/>
            <w:vAlign w:val="center"/>
          </w:tcPr>
          <w:p w14:paraId="1A20AA39">
            <w:pPr>
              <w:pStyle w:val="827"/>
              <w:rPr>
                <w:rFonts w:ascii="Times New Roman" w:hAnsi="Times New Roman"/>
              </w:rPr>
            </w:pPr>
            <w:r>
              <w:rPr>
                <w:rFonts w:ascii="Times New Roman" w:hAnsi="Times New Roman"/>
              </w:rPr>
              <w:t>项目南面厂界外1m处</w:t>
            </w:r>
          </w:p>
        </w:tc>
        <w:tc>
          <w:tcPr>
            <w:tcW w:w="1155" w:type="dxa"/>
            <w:vMerge w:val="restart"/>
            <w:shd w:val="clear" w:color="auto" w:fill="auto"/>
            <w:vAlign w:val="center"/>
          </w:tcPr>
          <w:p w14:paraId="722EFE4F">
            <w:pPr>
              <w:pStyle w:val="827"/>
              <w:rPr>
                <w:rFonts w:ascii="Times New Roman" w:hAnsi="Times New Roman"/>
              </w:rPr>
            </w:pPr>
            <w:r>
              <w:rPr>
                <w:rFonts w:ascii="Times New Roman" w:hAnsi="Times New Roman"/>
              </w:rPr>
              <w:t>环境噪声</w:t>
            </w:r>
          </w:p>
        </w:tc>
        <w:tc>
          <w:tcPr>
            <w:tcW w:w="1250" w:type="dxa"/>
            <w:vMerge w:val="restart"/>
            <w:shd w:val="clear" w:color="auto" w:fill="auto"/>
            <w:vAlign w:val="center"/>
          </w:tcPr>
          <w:p w14:paraId="0FDEFFFC">
            <w:pPr>
              <w:pStyle w:val="827"/>
              <w:rPr>
                <w:rFonts w:ascii="Times New Roman" w:hAnsi="Times New Roman"/>
              </w:rPr>
            </w:pPr>
            <w:r>
              <w:rPr>
                <w:rFonts w:ascii="Times New Roman" w:hAnsi="Times New Roman"/>
              </w:rPr>
              <w:t>11月1日</w:t>
            </w:r>
          </w:p>
        </w:tc>
        <w:tc>
          <w:tcPr>
            <w:tcW w:w="1323" w:type="dxa"/>
            <w:shd w:val="clear" w:color="auto" w:fill="auto"/>
            <w:vAlign w:val="center"/>
          </w:tcPr>
          <w:p w14:paraId="790F0D95">
            <w:pPr>
              <w:pStyle w:val="827"/>
              <w:rPr>
                <w:rFonts w:ascii="Times New Roman" w:hAnsi="Times New Roman"/>
              </w:rPr>
            </w:pPr>
            <w:r>
              <w:rPr>
                <w:rFonts w:ascii="Times New Roman" w:hAnsi="Times New Roman"/>
              </w:rPr>
              <w:t>昼间</w:t>
            </w:r>
          </w:p>
        </w:tc>
        <w:tc>
          <w:tcPr>
            <w:tcW w:w="1323" w:type="dxa"/>
            <w:shd w:val="clear" w:color="auto" w:fill="auto"/>
            <w:vAlign w:val="center"/>
          </w:tcPr>
          <w:p w14:paraId="5188FF52">
            <w:pPr>
              <w:pStyle w:val="827"/>
              <w:rPr>
                <w:rFonts w:ascii="Times New Roman" w:hAnsi="Times New Roman"/>
              </w:rPr>
            </w:pPr>
          </w:p>
        </w:tc>
        <w:tc>
          <w:tcPr>
            <w:tcW w:w="1323" w:type="dxa"/>
            <w:shd w:val="clear" w:color="auto" w:fill="auto"/>
            <w:vAlign w:val="center"/>
          </w:tcPr>
          <w:p w14:paraId="0FB7BFBD">
            <w:pPr>
              <w:pStyle w:val="827"/>
              <w:rPr>
                <w:rFonts w:ascii="Times New Roman" w:hAnsi="Times New Roman"/>
              </w:rPr>
            </w:pPr>
          </w:p>
        </w:tc>
      </w:tr>
      <w:tr w14:paraId="70776D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02" w:type="dxa"/>
            <w:vMerge w:val="continue"/>
            <w:shd w:val="clear" w:color="auto" w:fill="auto"/>
            <w:vAlign w:val="center"/>
          </w:tcPr>
          <w:p w14:paraId="10955059">
            <w:pPr>
              <w:pStyle w:val="827"/>
              <w:rPr>
                <w:rFonts w:ascii="Times New Roman" w:hAnsi="Times New Roman"/>
              </w:rPr>
            </w:pPr>
          </w:p>
        </w:tc>
        <w:tc>
          <w:tcPr>
            <w:tcW w:w="1350" w:type="dxa"/>
            <w:vMerge w:val="continue"/>
            <w:shd w:val="clear" w:color="auto" w:fill="auto"/>
            <w:vAlign w:val="center"/>
          </w:tcPr>
          <w:p w14:paraId="4B381217">
            <w:pPr>
              <w:pStyle w:val="827"/>
              <w:rPr>
                <w:rFonts w:ascii="Times New Roman" w:hAnsi="Times New Roman"/>
              </w:rPr>
            </w:pPr>
          </w:p>
        </w:tc>
        <w:tc>
          <w:tcPr>
            <w:tcW w:w="1155" w:type="dxa"/>
            <w:vMerge w:val="continue"/>
            <w:shd w:val="clear" w:color="auto" w:fill="auto"/>
            <w:vAlign w:val="center"/>
          </w:tcPr>
          <w:p w14:paraId="411AD931">
            <w:pPr>
              <w:pStyle w:val="827"/>
              <w:rPr>
                <w:rFonts w:ascii="Times New Roman" w:hAnsi="Times New Roman"/>
              </w:rPr>
            </w:pPr>
          </w:p>
        </w:tc>
        <w:tc>
          <w:tcPr>
            <w:tcW w:w="1250" w:type="dxa"/>
            <w:vMerge w:val="continue"/>
            <w:shd w:val="clear" w:color="auto" w:fill="auto"/>
            <w:vAlign w:val="center"/>
          </w:tcPr>
          <w:p w14:paraId="3E0B08AA">
            <w:pPr>
              <w:pStyle w:val="827"/>
              <w:rPr>
                <w:rFonts w:ascii="Times New Roman" w:hAnsi="Times New Roman"/>
              </w:rPr>
            </w:pPr>
          </w:p>
        </w:tc>
        <w:tc>
          <w:tcPr>
            <w:tcW w:w="1323" w:type="dxa"/>
            <w:shd w:val="clear" w:color="auto" w:fill="auto"/>
            <w:vAlign w:val="center"/>
          </w:tcPr>
          <w:p w14:paraId="48582FC2">
            <w:pPr>
              <w:pStyle w:val="827"/>
              <w:rPr>
                <w:rFonts w:ascii="Times New Roman" w:hAnsi="Times New Roman"/>
              </w:rPr>
            </w:pPr>
            <w:r>
              <w:rPr>
                <w:rFonts w:ascii="Times New Roman" w:hAnsi="Times New Roman"/>
              </w:rPr>
              <w:t>夜间</w:t>
            </w:r>
          </w:p>
        </w:tc>
        <w:tc>
          <w:tcPr>
            <w:tcW w:w="1323" w:type="dxa"/>
            <w:shd w:val="clear" w:color="auto" w:fill="auto"/>
            <w:vAlign w:val="center"/>
          </w:tcPr>
          <w:p w14:paraId="7A2D02AF">
            <w:pPr>
              <w:pStyle w:val="827"/>
              <w:rPr>
                <w:rFonts w:ascii="Times New Roman" w:hAnsi="Times New Roman"/>
              </w:rPr>
            </w:pPr>
          </w:p>
        </w:tc>
        <w:tc>
          <w:tcPr>
            <w:tcW w:w="1323" w:type="dxa"/>
            <w:shd w:val="clear" w:color="auto" w:fill="auto"/>
            <w:vAlign w:val="center"/>
          </w:tcPr>
          <w:p w14:paraId="2BCCF248">
            <w:pPr>
              <w:pStyle w:val="827"/>
              <w:rPr>
                <w:rFonts w:ascii="Times New Roman" w:hAnsi="Times New Roman"/>
              </w:rPr>
            </w:pPr>
          </w:p>
        </w:tc>
      </w:tr>
      <w:tr w14:paraId="2116F1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02" w:type="dxa"/>
            <w:vMerge w:val="continue"/>
            <w:shd w:val="clear" w:color="auto" w:fill="auto"/>
            <w:vAlign w:val="center"/>
          </w:tcPr>
          <w:p w14:paraId="30B5792E">
            <w:pPr>
              <w:pStyle w:val="827"/>
              <w:rPr>
                <w:rFonts w:ascii="Times New Roman" w:hAnsi="Times New Roman"/>
              </w:rPr>
            </w:pPr>
          </w:p>
        </w:tc>
        <w:tc>
          <w:tcPr>
            <w:tcW w:w="1350" w:type="dxa"/>
            <w:vMerge w:val="continue"/>
            <w:shd w:val="clear" w:color="auto" w:fill="auto"/>
            <w:vAlign w:val="center"/>
          </w:tcPr>
          <w:p w14:paraId="3CF69C79">
            <w:pPr>
              <w:pStyle w:val="827"/>
              <w:rPr>
                <w:rFonts w:ascii="Times New Roman" w:hAnsi="Times New Roman"/>
              </w:rPr>
            </w:pPr>
          </w:p>
        </w:tc>
        <w:tc>
          <w:tcPr>
            <w:tcW w:w="1155" w:type="dxa"/>
            <w:vMerge w:val="continue"/>
            <w:shd w:val="clear" w:color="auto" w:fill="auto"/>
            <w:vAlign w:val="center"/>
          </w:tcPr>
          <w:p w14:paraId="5BDDA1BA">
            <w:pPr>
              <w:pStyle w:val="827"/>
              <w:rPr>
                <w:rFonts w:ascii="Times New Roman" w:hAnsi="Times New Roman"/>
              </w:rPr>
            </w:pPr>
          </w:p>
        </w:tc>
        <w:tc>
          <w:tcPr>
            <w:tcW w:w="1250" w:type="dxa"/>
            <w:vMerge w:val="restart"/>
            <w:shd w:val="clear" w:color="auto" w:fill="auto"/>
            <w:vAlign w:val="center"/>
          </w:tcPr>
          <w:p w14:paraId="60923941">
            <w:pPr>
              <w:pStyle w:val="827"/>
              <w:rPr>
                <w:rFonts w:ascii="Times New Roman" w:hAnsi="Times New Roman"/>
              </w:rPr>
            </w:pPr>
            <w:r>
              <w:rPr>
                <w:rFonts w:ascii="Times New Roman" w:hAnsi="Times New Roman"/>
              </w:rPr>
              <w:t>11月2日</w:t>
            </w:r>
          </w:p>
        </w:tc>
        <w:tc>
          <w:tcPr>
            <w:tcW w:w="1323" w:type="dxa"/>
            <w:shd w:val="clear" w:color="auto" w:fill="auto"/>
            <w:vAlign w:val="center"/>
          </w:tcPr>
          <w:p w14:paraId="64AB66E6">
            <w:pPr>
              <w:pStyle w:val="827"/>
              <w:rPr>
                <w:rFonts w:ascii="Times New Roman" w:hAnsi="Times New Roman"/>
              </w:rPr>
            </w:pPr>
            <w:r>
              <w:rPr>
                <w:rFonts w:ascii="Times New Roman" w:hAnsi="Times New Roman"/>
              </w:rPr>
              <w:t>昼间</w:t>
            </w:r>
          </w:p>
        </w:tc>
        <w:tc>
          <w:tcPr>
            <w:tcW w:w="1323" w:type="dxa"/>
            <w:shd w:val="clear" w:color="auto" w:fill="auto"/>
            <w:vAlign w:val="center"/>
          </w:tcPr>
          <w:p w14:paraId="1E97822A">
            <w:pPr>
              <w:pStyle w:val="827"/>
              <w:rPr>
                <w:rFonts w:ascii="Times New Roman" w:hAnsi="Times New Roman"/>
              </w:rPr>
            </w:pPr>
          </w:p>
        </w:tc>
        <w:tc>
          <w:tcPr>
            <w:tcW w:w="1323" w:type="dxa"/>
            <w:shd w:val="clear" w:color="auto" w:fill="auto"/>
            <w:vAlign w:val="center"/>
          </w:tcPr>
          <w:p w14:paraId="35693B5B">
            <w:pPr>
              <w:pStyle w:val="827"/>
              <w:rPr>
                <w:rFonts w:ascii="Times New Roman" w:hAnsi="Times New Roman"/>
              </w:rPr>
            </w:pPr>
          </w:p>
        </w:tc>
      </w:tr>
      <w:tr w14:paraId="7C527D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02" w:type="dxa"/>
            <w:vMerge w:val="continue"/>
            <w:shd w:val="clear" w:color="auto" w:fill="auto"/>
            <w:vAlign w:val="center"/>
          </w:tcPr>
          <w:p w14:paraId="08395EA9">
            <w:pPr>
              <w:pStyle w:val="827"/>
              <w:rPr>
                <w:rFonts w:ascii="Times New Roman" w:hAnsi="Times New Roman"/>
              </w:rPr>
            </w:pPr>
          </w:p>
        </w:tc>
        <w:tc>
          <w:tcPr>
            <w:tcW w:w="1350" w:type="dxa"/>
            <w:vMerge w:val="continue"/>
            <w:shd w:val="clear" w:color="auto" w:fill="auto"/>
            <w:vAlign w:val="center"/>
          </w:tcPr>
          <w:p w14:paraId="1BF12E5F">
            <w:pPr>
              <w:pStyle w:val="827"/>
              <w:rPr>
                <w:rFonts w:ascii="Times New Roman" w:hAnsi="Times New Roman"/>
              </w:rPr>
            </w:pPr>
          </w:p>
        </w:tc>
        <w:tc>
          <w:tcPr>
            <w:tcW w:w="1155" w:type="dxa"/>
            <w:vMerge w:val="continue"/>
            <w:shd w:val="clear" w:color="auto" w:fill="auto"/>
            <w:vAlign w:val="center"/>
          </w:tcPr>
          <w:p w14:paraId="0E8CB61A">
            <w:pPr>
              <w:pStyle w:val="827"/>
              <w:rPr>
                <w:rFonts w:ascii="Times New Roman" w:hAnsi="Times New Roman"/>
              </w:rPr>
            </w:pPr>
          </w:p>
        </w:tc>
        <w:tc>
          <w:tcPr>
            <w:tcW w:w="1250" w:type="dxa"/>
            <w:vMerge w:val="continue"/>
            <w:shd w:val="clear" w:color="auto" w:fill="auto"/>
            <w:vAlign w:val="center"/>
          </w:tcPr>
          <w:p w14:paraId="4732B0C7">
            <w:pPr>
              <w:pStyle w:val="827"/>
              <w:rPr>
                <w:rFonts w:ascii="Times New Roman" w:hAnsi="Times New Roman"/>
              </w:rPr>
            </w:pPr>
          </w:p>
        </w:tc>
        <w:tc>
          <w:tcPr>
            <w:tcW w:w="1323" w:type="dxa"/>
            <w:shd w:val="clear" w:color="auto" w:fill="auto"/>
            <w:vAlign w:val="center"/>
          </w:tcPr>
          <w:p w14:paraId="7EB49802">
            <w:pPr>
              <w:pStyle w:val="827"/>
              <w:rPr>
                <w:rFonts w:ascii="Times New Roman" w:hAnsi="Times New Roman"/>
              </w:rPr>
            </w:pPr>
            <w:r>
              <w:rPr>
                <w:rFonts w:ascii="Times New Roman" w:hAnsi="Times New Roman"/>
              </w:rPr>
              <w:t>夜间</w:t>
            </w:r>
          </w:p>
        </w:tc>
        <w:tc>
          <w:tcPr>
            <w:tcW w:w="1323" w:type="dxa"/>
            <w:shd w:val="clear" w:color="auto" w:fill="auto"/>
            <w:vAlign w:val="center"/>
          </w:tcPr>
          <w:p w14:paraId="71387D22">
            <w:pPr>
              <w:pStyle w:val="827"/>
              <w:rPr>
                <w:rFonts w:ascii="Times New Roman" w:hAnsi="Times New Roman"/>
              </w:rPr>
            </w:pPr>
          </w:p>
        </w:tc>
        <w:tc>
          <w:tcPr>
            <w:tcW w:w="1323" w:type="dxa"/>
            <w:shd w:val="clear" w:color="auto" w:fill="auto"/>
            <w:vAlign w:val="center"/>
          </w:tcPr>
          <w:p w14:paraId="1F257DA9">
            <w:pPr>
              <w:pStyle w:val="827"/>
              <w:rPr>
                <w:rFonts w:ascii="Times New Roman" w:hAnsi="Times New Roman"/>
              </w:rPr>
            </w:pPr>
          </w:p>
        </w:tc>
      </w:tr>
      <w:tr w14:paraId="551A53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02" w:type="dxa"/>
            <w:vMerge w:val="restart"/>
            <w:shd w:val="clear" w:color="auto" w:fill="auto"/>
            <w:vAlign w:val="center"/>
          </w:tcPr>
          <w:p w14:paraId="039478ED">
            <w:pPr>
              <w:pStyle w:val="827"/>
              <w:rPr>
                <w:rFonts w:ascii="Times New Roman" w:hAnsi="Times New Roman"/>
              </w:rPr>
            </w:pPr>
            <w:r>
              <w:rPr>
                <w:rFonts w:ascii="Times New Roman" w:hAnsi="Times New Roman"/>
              </w:rPr>
              <w:t>N3</w:t>
            </w:r>
          </w:p>
        </w:tc>
        <w:tc>
          <w:tcPr>
            <w:tcW w:w="1350" w:type="dxa"/>
            <w:vMerge w:val="restart"/>
            <w:shd w:val="clear" w:color="auto" w:fill="auto"/>
            <w:vAlign w:val="center"/>
          </w:tcPr>
          <w:p w14:paraId="71EFD2DE">
            <w:pPr>
              <w:pStyle w:val="827"/>
              <w:rPr>
                <w:rFonts w:ascii="Times New Roman" w:hAnsi="Times New Roman"/>
              </w:rPr>
            </w:pPr>
            <w:r>
              <w:rPr>
                <w:rFonts w:ascii="Times New Roman" w:hAnsi="Times New Roman"/>
              </w:rPr>
              <w:t>项目西面厂界外1m处</w:t>
            </w:r>
          </w:p>
        </w:tc>
        <w:tc>
          <w:tcPr>
            <w:tcW w:w="1155" w:type="dxa"/>
            <w:vMerge w:val="restart"/>
            <w:shd w:val="clear" w:color="auto" w:fill="auto"/>
            <w:vAlign w:val="center"/>
          </w:tcPr>
          <w:p w14:paraId="18798663">
            <w:pPr>
              <w:pStyle w:val="827"/>
              <w:rPr>
                <w:rFonts w:ascii="Times New Roman" w:hAnsi="Times New Roman"/>
              </w:rPr>
            </w:pPr>
            <w:r>
              <w:rPr>
                <w:rFonts w:ascii="Times New Roman" w:hAnsi="Times New Roman"/>
              </w:rPr>
              <w:t>环境噪声</w:t>
            </w:r>
          </w:p>
        </w:tc>
        <w:tc>
          <w:tcPr>
            <w:tcW w:w="1250" w:type="dxa"/>
            <w:vMerge w:val="restart"/>
            <w:shd w:val="clear" w:color="auto" w:fill="auto"/>
            <w:vAlign w:val="center"/>
          </w:tcPr>
          <w:p w14:paraId="092541A2">
            <w:pPr>
              <w:pStyle w:val="827"/>
              <w:rPr>
                <w:rFonts w:ascii="Times New Roman" w:hAnsi="Times New Roman"/>
              </w:rPr>
            </w:pPr>
            <w:r>
              <w:rPr>
                <w:rFonts w:ascii="Times New Roman" w:hAnsi="Times New Roman"/>
              </w:rPr>
              <w:t>11月1日</w:t>
            </w:r>
          </w:p>
        </w:tc>
        <w:tc>
          <w:tcPr>
            <w:tcW w:w="1323" w:type="dxa"/>
            <w:shd w:val="clear" w:color="auto" w:fill="auto"/>
            <w:vAlign w:val="center"/>
          </w:tcPr>
          <w:p w14:paraId="7553AA22">
            <w:pPr>
              <w:pStyle w:val="827"/>
              <w:rPr>
                <w:rFonts w:ascii="Times New Roman" w:hAnsi="Times New Roman"/>
              </w:rPr>
            </w:pPr>
            <w:r>
              <w:rPr>
                <w:rFonts w:ascii="Times New Roman" w:hAnsi="Times New Roman"/>
              </w:rPr>
              <w:t>昼间</w:t>
            </w:r>
          </w:p>
        </w:tc>
        <w:tc>
          <w:tcPr>
            <w:tcW w:w="1323" w:type="dxa"/>
            <w:shd w:val="clear" w:color="auto" w:fill="auto"/>
            <w:vAlign w:val="center"/>
          </w:tcPr>
          <w:p w14:paraId="25B2C2BB">
            <w:pPr>
              <w:pStyle w:val="827"/>
              <w:rPr>
                <w:rFonts w:ascii="Times New Roman" w:hAnsi="Times New Roman"/>
              </w:rPr>
            </w:pPr>
          </w:p>
        </w:tc>
        <w:tc>
          <w:tcPr>
            <w:tcW w:w="1323" w:type="dxa"/>
            <w:shd w:val="clear" w:color="auto" w:fill="auto"/>
            <w:vAlign w:val="center"/>
          </w:tcPr>
          <w:p w14:paraId="55E53475">
            <w:pPr>
              <w:pStyle w:val="827"/>
              <w:rPr>
                <w:rFonts w:ascii="Times New Roman" w:hAnsi="Times New Roman"/>
              </w:rPr>
            </w:pPr>
          </w:p>
        </w:tc>
      </w:tr>
      <w:tr w14:paraId="61A37B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02" w:type="dxa"/>
            <w:vMerge w:val="continue"/>
            <w:shd w:val="clear" w:color="auto" w:fill="auto"/>
            <w:vAlign w:val="center"/>
          </w:tcPr>
          <w:p w14:paraId="6DEF39C8">
            <w:pPr>
              <w:pStyle w:val="827"/>
              <w:rPr>
                <w:rFonts w:ascii="Times New Roman" w:hAnsi="Times New Roman"/>
              </w:rPr>
            </w:pPr>
          </w:p>
        </w:tc>
        <w:tc>
          <w:tcPr>
            <w:tcW w:w="1350" w:type="dxa"/>
            <w:vMerge w:val="continue"/>
            <w:shd w:val="clear" w:color="auto" w:fill="auto"/>
            <w:vAlign w:val="center"/>
          </w:tcPr>
          <w:p w14:paraId="0D88A77E">
            <w:pPr>
              <w:pStyle w:val="827"/>
              <w:rPr>
                <w:rFonts w:ascii="Times New Roman" w:hAnsi="Times New Roman"/>
              </w:rPr>
            </w:pPr>
          </w:p>
        </w:tc>
        <w:tc>
          <w:tcPr>
            <w:tcW w:w="1155" w:type="dxa"/>
            <w:vMerge w:val="continue"/>
            <w:shd w:val="clear" w:color="auto" w:fill="auto"/>
            <w:vAlign w:val="center"/>
          </w:tcPr>
          <w:p w14:paraId="4E8E4DBC">
            <w:pPr>
              <w:pStyle w:val="827"/>
              <w:rPr>
                <w:rFonts w:ascii="Times New Roman" w:hAnsi="Times New Roman"/>
              </w:rPr>
            </w:pPr>
          </w:p>
        </w:tc>
        <w:tc>
          <w:tcPr>
            <w:tcW w:w="1250" w:type="dxa"/>
            <w:vMerge w:val="continue"/>
            <w:shd w:val="clear" w:color="auto" w:fill="auto"/>
            <w:vAlign w:val="center"/>
          </w:tcPr>
          <w:p w14:paraId="444911A5">
            <w:pPr>
              <w:pStyle w:val="827"/>
              <w:rPr>
                <w:rFonts w:ascii="Times New Roman" w:hAnsi="Times New Roman"/>
              </w:rPr>
            </w:pPr>
          </w:p>
        </w:tc>
        <w:tc>
          <w:tcPr>
            <w:tcW w:w="1323" w:type="dxa"/>
            <w:shd w:val="clear" w:color="auto" w:fill="auto"/>
            <w:vAlign w:val="center"/>
          </w:tcPr>
          <w:p w14:paraId="4236B372">
            <w:pPr>
              <w:pStyle w:val="827"/>
              <w:rPr>
                <w:rFonts w:ascii="Times New Roman" w:hAnsi="Times New Roman"/>
              </w:rPr>
            </w:pPr>
            <w:r>
              <w:rPr>
                <w:rFonts w:ascii="Times New Roman" w:hAnsi="Times New Roman"/>
              </w:rPr>
              <w:t>夜间</w:t>
            </w:r>
          </w:p>
        </w:tc>
        <w:tc>
          <w:tcPr>
            <w:tcW w:w="1323" w:type="dxa"/>
            <w:shd w:val="clear" w:color="auto" w:fill="auto"/>
            <w:vAlign w:val="center"/>
          </w:tcPr>
          <w:p w14:paraId="478EE159">
            <w:pPr>
              <w:pStyle w:val="827"/>
              <w:rPr>
                <w:rFonts w:ascii="Times New Roman" w:hAnsi="Times New Roman"/>
              </w:rPr>
            </w:pPr>
          </w:p>
        </w:tc>
        <w:tc>
          <w:tcPr>
            <w:tcW w:w="1323" w:type="dxa"/>
            <w:shd w:val="clear" w:color="auto" w:fill="auto"/>
            <w:vAlign w:val="center"/>
          </w:tcPr>
          <w:p w14:paraId="4F67F15E">
            <w:pPr>
              <w:pStyle w:val="827"/>
              <w:rPr>
                <w:rFonts w:ascii="Times New Roman" w:hAnsi="Times New Roman"/>
              </w:rPr>
            </w:pPr>
          </w:p>
        </w:tc>
      </w:tr>
      <w:tr w14:paraId="5EA7FD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02" w:type="dxa"/>
            <w:vMerge w:val="continue"/>
            <w:shd w:val="clear" w:color="auto" w:fill="auto"/>
            <w:vAlign w:val="center"/>
          </w:tcPr>
          <w:p w14:paraId="57C26A4C">
            <w:pPr>
              <w:pStyle w:val="827"/>
              <w:rPr>
                <w:rFonts w:ascii="Times New Roman" w:hAnsi="Times New Roman"/>
              </w:rPr>
            </w:pPr>
          </w:p>
        </w:tc>
        <w:tc>
          <w:tcPr>
            <w:tcW w:w="1350" w:type="dxa"/>
            <w:vMerge w:val="continue"/>
            <w:shd w:val="clear" w:color="auto" w:fill="auto"/>
            <w:vAlign w:val="center"/>
          </w:tcPr>
          <w:p w14:paraId="5874C8D0">
            <w:pPr>
              <w:pStyle w:val="827"/>
              <w:rPr>
                <w:rFonts w:ascii="Times New Roman" w:hAnsi="Times New Roman"/>
              </w:rPr>
            </w:pPr>
          </w:p>
        </w:tc>
        <w:tc>
          <w:tcPr>
            <w:tcW w:w="1155" w:type="dxa"/>
            <w:vMerge w:val="continue"/>
            <w:shd w:val="clear" w:color="auto" w:fill="auto"/>
            <w:vAlign w:val="center"/>
          </w:tcPr>
          <w:p w14:paraId="1348C049">
            <w:pPr>
              <w:pStyle w:val="827"/>
              <w:rPr>
                <w:rFonts w:ascii="Times New Roman" w:hAnsi="Times New Roman"/>
              </w:rPr>
            </w:pPr>
          </w:p>
        </w:tc>
        <w:tc>
          <w:tcPr>
            <w:tcW w:w="1250" w:type="dxa"/>
            <w:vMerge w:val="restart"/>
            <w:shd w:val="clear" w:color="auto" w:fill="auto"/>
            <w:vAlign w:val="center"/>
          </w:tcPr>
          <w:p w14:paraId="6905797F">
            <w:pPr>
              <w:pStyle w:val="827"/>
              <w:rPr>
                <w:rFonts w:ascii="Times New Roman" w:hAnsi="Times New Roman"/>
              </w:rPr>
            </w:pPr>
            <w:r>
              <w:rPr>
                <w:rFonts w:ascii="Times New Roman" w:hAnsi="Times New Roman"/>
              </w:rPr>
              <w:t>11月2日</w:t>
            </w:r>
          </w:p>
        </w:tc>
        <w:tc>
          <w:tcPr>
            <w:tcW w:w="1323" w:type="dxa"/>
            <w:shd w:val="clear" w:color="auto" w:fill="auto"/>
            <w:vAlign w:val="center"/>
          </w:tcPr>
          <w:p w14:paraId="1212FA32">
            <w:pPr>
              <w:pStyle w:val="827"/>
              <w:rPr>
                <w:rFonts w:ascii="Times New Roman" w:hAnsi="Times New Roman"/>
              </w:rPr>
            </w:pPr>
            <w:r>
              <w:rPr>
                <w:rFonts w:ascii="Times New Roman" w:hAnsi="Times New Roman"/>
              </w:rPr>
              <w:t>昼间</w:t>
            </w:r>
          </w:p>
        </w:tc>
        <w:tc>
          <w:tcPr>
            <w:tcW w:w="1323" w:type="dxa"/>
            <w:shd w:val="clear" w:color="auto" w:fill="auto"/>
            <w:vAlign w:val="center"/>
          </w:tcPr>
          <w:p w14:paraId="7D1509B5">
            <w:pPr>
              <w:pStyle w:val="827"/>
              <w:rPr>
                <w:rFonts w:ascii="Times New Roman" w:hAnsi="Times New Roman"/>
              </w:rPr>
            </w:pPr>
          </w:p>
        </w:tc>
        <w:tc>
          <w:tcPr>
            <w:tcW w:w="1323" w:type="dxa"/>
            <w:shd w:val="clear" w:color="auto" w:fill="auto"/>
            <w:vAlign w:val="center"/>
          </w:tcPr>
          <w:p w14:paraId="2B2251C7">
            <w:pPr>
              <w:pStyle w:val="827"/>
              <w:rPr>
                <w:rFonts w:ascii="Times New Roman" w:hAnsi="Times New Roman"/>
              </w:rPr>
            </w:pPr>
          </w:p>
        </w:tc>
      </w:tr>
      <w:tr w14:paraId="4D8B3F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02" w:type="dxa"/>
            <w:vMerge w:val="continue"/>
            <w:shd w:val="clear" w:color="auto" w:fill="auto"/>
            <w:vAlign w:val="center"/>
          </w:tcPr>
          <w:p w14:paraId="6DC2AE18">
            <w:pPr>
              <w:pStyle w:val="827"/>
              <w:rPr>
                <w:rFonts w:ascii="Times New Roman" w:hAnsi="Times New Roman"/>
              </w:rPr>
            </w:pPr>
          </w:p>
        </w:tc>
        <w:tc>
          <w:tcPr>
            <w:tcW w:w="1350" w:type="dxa"/>
            <w:vMerge w:val="continue"/>
            <w:shd w:val="clear" w:color="auto" w:fill="auto"/>
            <w:vAlign w:val="center"/>
          </w:tcPr>
          <w:p w14:paraId="609DD25E">
            <w:pPr>
              <w:pStyle w:val="827"/>
              <w:rPr>
                <w:rFonts w:ascii="Times New Roman" w:hAnsi="Times New Roman"/>
              </w:rPr>
            </w:pPr>
          </w:p>
        </w:tc>
        <w:tc>
          <w:tcPr>
            <w:tcW w:w="1155" w:type="dxa"/>
            <w:vMerge w:val="continue"/>
            <w:shd w:val="clear" w:color="auto" w:fill="auto"/>
            <w:vAlign w:val="center"/>
          </w:tcPr>
          <w:p w14:paraId="219C3F89">
            <w:pPr>
              <w:pStyle w:val="827"/>
              <w:rPr>
                <w:rFonts w:ascii="Times New Roman" w:hAnsi="Times New Roman"/>
              </w:rPr>
            </w:pPr>
          </w:p>
        </w:tc>
        <w:tc>
          <w:tcPr>
            <w:tcW w:w="1250" w:type="dxa"/>
            <w:vMerge w:val="continue"/>
            <w:shd w:val="clear" w:color="auto" w:fill="auto"/>
            <w:vAlign w:val="center"/>
          </w:tcPr>
          <w:p w14:paraId="023E2704">
            <w:pPr>
              <w:pStyle w:val="827"/>
              <w:rPr>
                <w:rFonts w:ascii="Times New Roman" w:hAnsi="Times New Roman"/>
              </w:rPr>
            </w:pPr>
          </w:p>
        </w:tc>
        <w:tc>
          <w:tcPr>
            <w:tcW w:w="1323" w:type="dxa"/>
            <w:shd w:val="clear" w:color="auto" w:fill="auto"/>
            <w:vAlign w:val="center"/>
          </w:tcPr>
          <w:p w14:paraId="256B796E">
            <w:pPr>
              <w:pStyle w:val="827"/>
              <w:rPr>
                <w:rFonts w:ascii="Times New Roman" w:hAnsi="Times New Roman"/>
              </w:rPr>
            </w:pPr>
            <w:r>
              <w:rPr>
                <w:rFonts w:ascii="Times New Roman" w:hAnsi="Times New Roman"/>
              </w:rPr>
              <w:t>夜间</w:t>
            </w:r>
          </w:p>
        </w:tc>
        <w:tc>
          <w:tcPr>
            <w:tcW w:w="1323" w:type="dxa"/>
            <w:shd w:val="clear" w:color="auto" w:fill="auto"/>
            <w:vAlign w:val="center"/>
          </w:tcPr>
          <w:p w14:paraId="271E348D">
            <w:pPr>
              <w:pStyle w:val="827"/>
              <w:rPr>
                <w:rFonts w:ascii="Times New Roman" w:hAnsi="Times New Roman"/>
              </w:rPr>
            </w:pPr>
          </w:p>
        </w:tc>
        <w:tc>
          <w:tcPr>
            <w:tcW w:w="1323" w:type="dxa"/>
            <w:shd w:val="clear" w:color="auto" w:fill="auto"/>
            <w:vAlign w:val="center"/>
          </w:tcPr>
          <w:p w14:paraId="4CD2C98F">
            <w:pPr>
              <w:pStyle w:val="827"/>
              <w:rPr>
                <w:rFonts w:ascii="Times New Roman" w:hAnsi="Times New Roman"/>
              </w:rPr>
            </w:pPr>
          </w:p>
        </w:tc>
      </w:tr>
      <w:tr w14:paraId="72D39D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02" w:type="dxa"/>
            <w:vMerge w:val="restart"/>
            <w:shd w:val="clear" w:color="auto" w:fill="auto"/>
            <w:vAlign w:val="center"/>
          </w:tcPr>
          <w:p w14:paraId="7213C9D0">
            <w:pPr>
              <w:pStyle w:val="827"/>
              <w:rPr>
                <w:rFonts w:ascii="Times New Roman" w:hAnsi="Times New Roman"/>
              </w:rPr>
            </w:pPr>
            <w:r>
              <w:rPr>
                <w:rFonts w:ascii="Times New Roman" w:hAnsi="Times New Roman"/>
              </w:rPr>
              <w:t>N4</w:t>
            </w:r>
          </w:p>
        </w:tc>
        <w:tc>
          <w:tcPr>
            <w:tcW w:w="1350" w:type="dxa"/>
            <w:vMerge w:val="restart"/>
            <w:shd w:val="clear" w:color="auto" w:fill="auto"/>
            <w:vAlign w:val="center"/>
          </w:tcPr>
          <w:p w14:paraId="7C322CB7">
            <w:pPr>
              <w:pStyle w:val="827"/>
              <w:rPr>
                <w:rFonts w:ascii="Times New Roman" w:hAnsi="Times New Roman"/>
              </w:rPr>
            </w:pPr>
            <w:r>
              <w:rPr>
                <w:rFonts w:ascii="Times New Roman" w:hAnsi="Times New Roman"/>
              </w:rPr>
              <w:t>项目北面厂界外1m处</w:t>
            </w:r>
          </w:p>
        </w:tc>
        <w:tc>
          <w:tcPr>
            <w:tcW w:w="1155" w:type="dxa"/>
            <w:vMerge w:val="restart"/>
            <w:shd w:val="clear" w:color="auto" w:fill="auto"/>
            <w:vAlign w:val="center"/>
          </w:tcPr>
          <w:p w14:paraId="2BEA67EF">
            <w:pPr>
              <w:pStyle w:val="827"/>
              <w:rPr>
                <w:rFonts w:ascii="Times New Roman" w:hAnsi="Times New Roman"/>
              </w:rPr>
            </w:pPr>
            <w:r>
              <w:rPr>
                <w:rFonts w:ascii="Times New Roman" w:hAnsi="Times New Roman"/>
              </w:rPr>
              <w:t>环境噪声</w:t>
            </w:r>
          </w:p>
        </w:tc>
        <w:tc>
          <w:tcPr>
            <w:tcW w:w="1250" w:type="dxa"/>
            <w:vMerge w:val="restart"/>
            <w:shd w:val="clear" w:color="auto" w:fill="auto"/>
            <w:vAlign w:val="center"/>
          </w:tcPr>
          <w:p w14:paraId="5AA2149D">
            <w:pPr>
              <w:pStyle w:val="827"/>
              <w:rPr>
                <w:rFonts w:ascii="Times New Roman" w:hAnsi="Times New Roman"/>
              </w:rPr>
            </w:pPr>
            <w:r>
              <w:rPr>
                <w:rFonts w:ascii="Times New Roman" w:hAnsi="Times New Roman"/>
              </w:rPr>
              <w:t>11月1日</w:t>
            </w:r>
          </w:p>
        </w:tc>
        <w:tc>
          <w:tcPr>
            <w:tcW w:w="1323" w:type="dxa"/>
            <w:shd w:val="clear" w:color="auto" w:fill="auto"/>
            <w:vAlign w:val="center"/>
          </w:tcPr>
          <w:p w14:paraId="16FDAE3E">
            <w:pPr>
              <w:pStyle w:val="827"/>
              <w:rPr>
                <w:rFonts w:ascii="Times New Roman" w:hAnsi="Times New Roman"/>
              </w:rPr>
            </w:pPr>
            <w:r>
              <w:rPr>
                <w:rFonts w:ascii="Times New Roman" w:hAnsi="Times New Roman"/>
              </w:rPr>
              <w:t>昼间</w:t>
            </w:r>
          </w:p>
        </w:tc>
        <w:tc>
          <w:tcPr>
            <w:tcW w:w="1323" w:type="dxa"/>
            <w:shd w:val="clear" w:color="auto" w:fill="auto"/>
            <w:vAlign w:val="center"/>
          </w:tcPr>
          <w:p w14:paraId="1D1246E2">
            <w:pPr>
              <w:pStyle w:val="827"/>
              <w:rPr>
                <w:rFonts w:ascii="Times New Roman" w:hAnsi="Times New Roman"/>
              </w:rPr>
            </w:pPr>
          </w:p>
        </w:tc>
        <w:tc>
          <w:tcPr>
            <w:tcW w:w="1323" w:type="dxa"/>
            <w:shd w:val="clear" w:color="auto" w:fill="auto"/>
            <w:vAlign w:val="center"/>
          </w:tcPr>
          <w:p w14:paraId="61361514">
            <w:pPr>
              <w:pStyle w:val="827"/>
              <w:rPr>
                <w:rFonts w:ascii="Times New Roman" w:hAnsi="Times New Roman"/>
              </w:rPr>
            </w:pPr>
          </w:p>
        </w:tc>
      </w:tr>
      <w:tr w14:paraId="07023C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02" w:type="dxa"/>
            <w:vMerge w:val="continue"/>
            <w:shd w:val="clear" w:color="auto" w:fill="auto"/>
            <w:vAlign w:val="center"/>
          </w:tcPr>
          <w:p w14:paraId="3B4732B3">
            <w:pPr>
              <w:pStyle w:val="827"/>
              <w:rPr>
                <w:rFonts w:ascii="Times New Roman" w:hAnsi="Times New Roman"/>
              </w:rPr>
            </w:pPr>
          </w:p>
        </w:tc>
        <w:tc>
          <w:tcPr>
            <w:tcW w:w="1350" w:type="dxa"/>
            <w:vMerge w:val="continue"/>
            <w:shd w:val="clear" w:color="auto" w:fill="auto"/>
            <w:vAlign w:val="center"/>
          </w:tcPr>
          <w:p w14:paraId="3570C3B0">
            <w:pPr>
              <w:pStyle w:val="827"/>
              <w:rPr>
                <w:rFonts w:ascii="Times New Roman" w:hAnsi="Times New Roman"/>
              </w:rPr>
            </w:pPr>
          </w:p>
        </w:tc>
        <w:tc>
          <w:tcPr>
            <w:tcW w:w="1155" w:type="dxa"/>
            <w:vMerge w:val="continue"/>
            <w:shd w:val="clear" w:color="auto" w:fill="auto"/>
            <w:vAlign w:val="center"/>
          </w:tcPr>
          <w:p w14:paraId="420FF56E">
            <w:pPr>
              <w:pStyle w:val="827"/>
              <w:rPr>
                <w:rFonts w:ascii="Times New Roman" w:hAnsi="Times New Roman"/>
              </w:rPr>
            </w:pPr>
          </w:p>
        </w:tc>
        <w:tc>
          <w:tcPr>
            <w:tcW w:w="1250" w:type="dxa"/>
            <w:vMerge w:val="continue"/>
            <w:shd w:val="clear" w:color="auto" w:fill="auto"/>
            <w:vAlign w:val="center"/>
          </w:tcPr>
          <w:p w14:paraId="7947432A">
            <w:pPr>
              <w:pStyle w:val="827"/>
              <w:rPr>
                <w:rFonts w:ascii="Times New Roman" w:hAnsi="Times New Roman"/>
              </w:rPr>
            </w:pPr>
          </w:p>
        </w:tc>
        <w:tc>
          <w:tcPr>
            <w:tcW w:w="1323" w:type="dxa"/>
            <w:shd w:val="clear" w:color="auto" w:fill="auto"/>
            <w:vAlign w:val="center"/>
          </w:tcPr>
          <w:p w14:paraId="3DE8AA07">
            <w:pPr>
              <w:pStyle w:val="827"/>
              <w:rPr>
                <w:rFonts w:ascii="Times New Roman" w:hAnsi="Times New Roman"/>
              </w:rPr>
            </w:pPr>
            <w:r>
              <w:rPr>
                <w:rFonts w:ascii="Times New Roman" w:hAnsi="Times New Roman"/>
              </w:rPr>
              <w:t>夜间</w:t>
            </w:r>
          </w:p>
        </w:tc>
        <w:tc>
          <w:tcPr>
            <w:tcW w:w="1323" w:type="dxa"/>
            <w:shd w:val="clear" w:color="auto" w:fill="auto"/>
            <w:vAlign w:val="center"/>
          </w:tcPr>
          <w:p w14:paraId="21CFAD7B">
            <w:pPr>
              <w:pStyle w:val="827"/>
              <w:rPr>
                <w:rFonts w:ascii="Times New Roman" w:hAnsi="Times New Roman"/>
              </w:rPr>
            </w:pPr>
          </w:p>
        </w:tc>
        <w:tc>
          <w:tcPr>
            <w:tcW w:w="1323" w:type="dxa"/>
            <w:shd w:val="clear" w:color="auto" w:fill="auto"/>
            <w:vAlign w:val="center"/>
          </w:tcPr>
          <w:p w14:paraId="373F007B">
            <w:pPr>
              <w:pStyle w:val="827"/>
              <w:rPr>
                <w:rFonts w:ascii="Times New Roman" w:hAnsi="Times New Roman"/>
              </w:rPr>
            </w:pPr>
          </w:p>
        </w:tc>
      </w:tr>
      <w:tr w14:paraId="750ED3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02" w:type="dxa"/>
            <w:vMerge w:val="continue"/>
            <w:shd w:val="clear" w:color="auto" w:fill="auto"/>
            <w:vAlign w:val="center"/>
          </w:tcPr>
          <w:p w14:paraId="7BD3634D">
            <w:pPr>
              <w:pStyle w:val="827"/>
              <w:rPr>
                <w:rFonts w:ascii="Times New Roman" w:hAnsi="Times New Roman"/>
              </w:rPr>
            </w:pPr>
          </w:p>
        </w:tc>
        <w:tc>
          <w:tcPr>
            <w:tcW w:w="1350" w:type="dxa"/>
            <w:vMerge w:val="continue"/>
            <w:shd w:val="clear" w:color="auto" w:fill="auto"/>
            <w:vAlign w:val="center"/>
          </w:tcPr>
          <w:p w14:paraId="779569CB">
            <w:pPr>
              <w:pStyle w:val="827"/>
              <w:rPr>
                <w:rFonts w:ascii="Times New Roman" w:hAnsi="Times New Roman"/>
              </w:rPr>
            </w:pPr>
          </w:p>
        </w:tc>
        <w:tc>
          <w:tcPr>
            <w:tcW w:w="1155" w:type="dxa"/>
            <w:vMerge w:val="continue"/>
            <w:shd w:val="clear" w:color="auto" w:fill="auto"/>
            <w:vAlign w:val="center"/>
          </w:tcPr>
          <w:p w14:paraId="3A089572">
            <w:pPr>
              <w:pStyle w:val="827"/>
              <w:rPr>
                <w:rFonts w:ascii="Times New Roman" w:hAnsi="Times New Roman"/>
              </w:rPr>
            </w:pPr>
          </w:p>
        </w:tc>
        <w:tc>
          <w:tcPr>
            <w:tcW w:w="1250" w:type="dxa"/>
            <w:vMerge w:val="restart"/>
            <w:shd w:val="clear" w:color="auto" w:fill="auto"/>
            <w:vAlign w:val="center"/>
          </w:tcPr>
          <w:p w14:paraId="765A0443">
            <w:pPr>
              <w:pStyle w:val="827"/>
              <w:rPr>
                <w:rFonts w:ascii="Times New Roman" w:hAnsi="Times New Roman"/>
              </w:rPr>
            </w:pPr>
            <w:r>
              <w:rPr>
                <w:rFonts w:ascii="Times New Roman" w:hAnsi="Times New Roman"/>
              </w:rPr>
              <w:t>11月2日</w:t>
            </w:r>
          </w:p>
        </w:tc>
        <w:tc>
          <w:tcPr>
            <w:tcW w:w="1323" w:type="dxa"/>
            <w:shd w:val="clear" w:color="auto" w:fill="auto"/>
            <w:vAlign w:val="center"/>
          </w:tcPr>
          <w:p w14:paraId="766273F9">
            <w:pPr>
              <w:pStyle w:val="827"/>
              <w:rPr>
                <w:rFonts w:ascii="Times New Roman" w:hAnsi="Times New Roman"/>
              </w:rPr>
            </w:pPr>
            <w:r>
              <w:rPr>
                <w:rFonts w:ascii="Times New Roman" w:hAnsi="Times New Roman"/>
              </w:rPr>
              <w:t>昼间</w:t>
            </w:r>
          </w:p>
        </w:tc>
        <w:tc>
          <w:tcPr>
            <w:tcW w:w="1323" w:type="dxa"/>
            <w:shd w:val="clear" w:color="auto" w:fill="auto"/>
            <w:vAlign w:val="center"/>
          </w:tcPr>
          <w:p w14:paraId="3A081E8E">
            <w:pPr>
              <w:pStyle w:val="827"/>
              <w:rPr>
                <w:rFonts w:ascii="Times New Roman" w:hAnsi="Times New Roman"/>
              </w:rPr>
            </w:pPr>
          </w:p>
        </w:tc>
        <w:tc>
          <w:tcPr>
            <w:tcW w:w="1323" w:type="dxa"/>
            <w:shd w:val="clear" w:color="auto" w:fill="auto"/>
            <w:vAlign w:val="center"/>
          </w:tcPr>
          <w:p w14:paraId="6488F43E">
            <w:pPr>
              <w:pStyle w:val="827"/>
              <w:rPr>
                <w:rFonts w:ascii="Times New Roman" w:hAnsi="Times New Roman"/>
              </w:rPr>
            </w:pPr>
          </w:p>
        </w:tc>
      </w:tr>
      <w:tr w14:paraId="6929D3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02" w:type="dxa"/>
            <w:vMerge w:val="continue"/>
            <w:shd w:val="clear" w:color="auto" w:fill="auto"/>
            <w:vAlign w:val="center"/>
          </w:tcPr>
          <w:p w14:paraId="54CFF672">
            <w:pPr>
              <w:pStyle w:val="827"/>
              <w:rPr>
                <w:rFonts w:ascii="Times New Roman" w:hAnsi="Times New Roman"/>
              </w:rPr>
            </w:pPr>
          </w:p>
        </w:tc>
        <w:tc>
          <w:tcPr>
            <w:tcW w:w="1350" w:type="dxa"/>
            <w:vMerge w:val="continue"/>
            <w:shd w:val="clear" w:color="auto" w:fill="auto"/>
            <w:vAlign w:val="center"/>
          </w:tcPr>
          <w:p w14:paraId="492E54E5">
            <w:pPr>
              <w:pStyle w:val="827"/>
              <w:rPr>
                <w:rFonts w:ascii="Times New Roman" w:hAnsi="Times New Roman"/>
              </w:rPr>
            </w:pPr>
          </w:p>
        </w:tc>
        <w:tc>
          <w:tcPr>
            <w:tcW w:w="1155" w:type="dxa"/>
            <w:vMerge w:val="continue"/>
            <w:shd w:val="clear" w:color="auto" w:fill="auto"/>
            <w:vAlign w:val="center"/>
          </w:tcPr>
          <w:p w14:paraId="117BBB19">
            <w:pPr>
              <w:pStyle w:val="827"/>
              <w:rPr>
                <w:rFonts w:ascii="Times New Roman" w:hAnsi="Times New Roman"/>
              </w:rPr>
            </w:pPr>
          </w:p>
        </w:tc>
        <w:tc>
          <w:tcPr>
            <w:tcW w:w="1250" w:type="dxa"/>
            <w:vMerge w:val="continue"/>
            <w:shd w:val="clear" w:color="auto" w:fill="auto"/>
            <w:vAlign w:val="center"/>
          </w:tcPr>
          <w:p w14:paraId="52C562C1">
            <w:pPr>
              <w:pStyle w:val="827"/>
              <w:rPr>
                <w:rFonts w:ascii="Times New Roman" w:hAnsi="Times New Roman"/>
              </w:rPr>
            </w:pPr>
          </w:p>
        </w:tc>
        <w:tc>
          <w:tcPr>
            <w:tcW w:w="1323" w:type="dxa"/>
            <w:shd w:val="clear" w:color="auto" w:fill="auto"/>
            <w:vAlign w:val="center"/>
          </w:tcPr>
          <w:p w14:paraId="796A7A8C">
            <w:pPr>
              <w:pStyle w:val="827"/>
              <w:rPr>
                <w:rFonts w:ascii="Times New Roman" w:hAnsi="Times New Roman"/>
              </w:rPr>
            </w:pPr>
            <w:r>
              <w:rPr>
                <w:rFonts w:ascii="Times New Roman" w:hAnsi="Times New Roman"/>
              </w:rPr>
              <w:t>夜间</w:t>
            </w:r>
          </w:p>
        </w:tc>
        <w:tc>
          <w:tcPr>
            <w:tcW w:w="1323" w:type="dxa"/>
            <w:shd w:val="clear" w:color="auto" w:fill="auto"/>
            <w:vAlign w:val="center"/>
          </w:tcPr>
          <w:p w14:paraId="04EC5768">
            <w:pPr>
              <w:pStyle w:val="827"/>
              <w:rPr>
                <w:rFonts w:ascii="Times New Roman" w:hAnsi="Times New Roman"/>
              </w:rPr>
            </w:pPr>
          </w:p>
        </w:tc>
        <w:tc>
          <w:tcPr>
            <w:tcW w:w="1323" w:type="dxa"/>
            <w:shd w:val="clear" w:color="auto" w:fill="auto"/>
            <w:vAlign w:val="center"/>
          </w:tcPr>
          <w:p w14:paraId="79E1DEB6">
            <w:pPr>
              <w:pStyle w:val="827"/>
              <w:rPr>
                <w:rFonts w:ascii="Times New Roman" w:hAnsi="Times New Roman"/>
              </w:rPr>
            </w:pPr>
          </w:p>
        </w:tc>
      </w:tr>
      <w:tr w14:paraId="36A547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957" w:type="dxa"/>
            <w:gridSpan w:val="4"/>
            <w:vMerge w:val="restart"/>
            <w:shd w:val="clear" w:color="auto" w:fill="auto"/>
            <w:vAlign w:val="center"/>
          </w:tcPr>
          <w:p w14:paraId="0498E2CA">
            <w:pPr>
              <w:pStyle w:val="827"/>
              <w:rPr>
                <w:rFonts w:ascii="Times New Roman" w:hAnsi="Times New Roman"/>
              </w:rPr>
            </w:pPr>
            <w:r>
              <w:rPr>
                <w:rFonts w:ascii="Times New Roman" w:hAnsi="Times New Roman"/>
              </w:rPr>
              <w:t>标准限值依据《GB 3096-2008》中3类要求</w:t>
            </w:r>
          </w:p>
        </w:tc>
        <w:tc>
          <w:tcPr>
            <w:tcW w:w="1323" w:type="dxa"/>
            <w:shd w:val="clear" w:color="auto" w:fill="auto"/>
            <w:vAlign w:val="center"/>
          </w:tcPr>
          <w:p w14:paraId="784111E2">
            <w:pPr>
              <w:pStyle w:val="827"/>
              <w:rPr>
                <w:rFonts w:ascii="Times New Roman" w:hAnsi="Times New Roman"/>
              </w:rPr>
            </w:pPr>
            <w:r>
              <w:rPr>
                <w:rFonts w:ascii="Times New Roman" w:hAnsi="Times New Roman"/>
              </w:rPr>
              <w:t>昼间</w:t>
            </w:r>
          </w:p>
        </w:tc>
        <w:tc>
          <w:tcPr>
            <w:tcW w:w="1323" w:type="dxa"/>
            <w:shd w:val="clear" w:color="auto" w:fill="auto"/>
            <w:vAlign w:val="center"/>
          </w:tcPr>
          <w:p w14:paraId="7357F546">
            <w:pPr>
              <w:pStyle w:val="827"/>
              <w:rPr>
                <w:rFonts w:ascii="Times New Roman" w:hAnsi="Times New Roman"/>
              </w:rPr>
            </w:pPr>
            <w:r>
              <w:rPr>
                <w:rFonts w:hint="eastAsia" w:ascii="Times New Roman" w:hAnsi="Times New Roman"/>
              </w:rPr>
              <w:t>65</w:t>
            </w:r>
          </w:p>
        </w:tc>
        <w:tc>
          <w:tcPr>
            <w:tcW w:w="1323" w:type="dxa"/>
            <w:shd w:val="clear" w:color="auto" w:fill="auto"/>
            <w:vAlign w:val="center"/>
          </w:tcPr>
          <w:p w14:paraId="1069671C">
            <w:pPr>
              <w:pStyle w:val="827"/>
              <w:rPr>
                <w:rFonts w:ascii="Times New Roman" w:hAnsi="Times New Roman"/>
              </w:rPr>
            </w:pPr>
          </w:p>
        </w:tc>
      </w:tr>
      <w:tr w14:paraId="1E69E2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957" w:type="dxa"/>
            <w:gridSpan w:val="4"/>
            <w:vMerge w:val="continue"/>
            <w:shd w:val="clear" w:color="auto" w:fill="auto"/>
            <w:vAlign w:val="center"/>
          </w:tcPr>
          <w:p w14:paraId="7DA99245">
            <w:pPr>
              <w:pStyle w:val="827"/>
              <w:rPr>
                <w:rFonts w:ascii="Times New Roman" w:hAnsi="Times New Roman"/>
              </w:rPr>
            </w:pPr>
          </w:p>
        </w:tc>
        <w:tc>
          <w:tcPr>
            <w:tcW w:w="1323" w:type="dxa"/>
            <w:shd w:val="clear" w:color="auto" w:fill="auto"/>
            <w:vAlign w:val="center"/>
          </w:tcPr>
          <w:p w14:paraId="6D5D4EFC">
            <w:pPr>
              <w:pStyle w:val="827"/>
              <w:rPr>
                <w:rFonts w:ascii="Times New Roman" w:hAnsi="Times New Roman"/>
              </w:rPr>
            </w:pPr>
            <w:r>
              <w:rPr>
                <w:rFonts w:ascii="Times New Roman" w:hAnsi="Times New Roman"/>
              </w:rPr>
              <w:t>夜间</w:t>
            </w:r>
          </w:p>
        </w:tc>
        <w:tc>
          <w:tcPr>
            <w:tcW w:w="1323" w:type="dxa"/>
            <w:shd w:val="clear" w:color="auto" w:fill="auto"/>
            <w:vAlign w:val="center"/>
          </w:tcPr>
          <w:p w14:paraId="2FAC055F">
            <w:pPr>
              <w:pStyle w:val="827"/>
              <w:rPr>
                <w:rFonts w:ascii="Times New Roman" w:hAnsi="Times New Roman"/>
              </w:rPr>
            </w:pPr>
            <w:r>
              <w:rPr>
                <w:rFonts w:hint="eastAsia" w:ascii="Times New Roman" w:hAnsi="Times New Roman"/>
              </w:rPr>
              <w:t>55</w:t>
            </w:r>
          </w:p>
        </w:tc>
        <w:tc>
          <w:tcPr>
            <w:tcW w:w="1323" w:type="dxa"/>
            <w:shd w:val="clear" w:color="auto" w:fill="auto"/>
            <w:vAlign w:val="center"/>
          </w:tcPr>
          <w:p w14:paraId="7556CFAC">
            <w:pPr>
              <w:pStyle w:val="827"/>
              <w:rPr>
                <w:rFonts w:ascii="Times New Roman" w:hAnsi="Times New Roman"/>
              </w:rPr>
            </w:pPr>
          </w:p>
        </w:tc>
      </w:tr>
    </w:tbl>
    <w:p w14:paraId="5F18EF3D">
      <w:pPr>
        <w:tabs>
          <w:tab w:val="center" w:pos="4693"/>
        </w:tabs>
        <w:adjustRightInd w:val="0"/>
        <w:snapToGrid w:val="0"/>
        <w:spacing w:line="360" w:lineRule="auto"/>
        <w:ind w:firstLine="472" w:firstLineChars="200"/>
        <w:rPr>
          <w:rFonts w:ascii="Times New Roman" w:hAnsi="Times New Roman"/>
          <w:spacing w:val="-2"/>
          <w:kern w:val="0"/>
          <w:sz w:val="24"/>
          <w:szCs w:val="24"/>
        </w:rPr>
      </w:pPr>
    </w:p>
    <w:p w14:paraId="5A9ED006">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由表3.</w:t>
      </w:r>
      <w:r>
        <w:rPr>
          <w:rFonts w:hint="eastAsia" w:ascii="Times New Roman" w:hAnsi="Times New Roman"/>
          <w:spacing w:val="-2"/>
          <w:kern w:val="0"/>
          <w:sz w:val="24"/>
          <w:szCs w:val="24"/>
        </w:rPr>
        <w:t>6</w:t>
      </w:r>
      <w:r>
        <w:rPr>
          <w:rFonts w:ascii="Times New Roman" w:hAnsi="Times New Roman"/>
          <w:spacing w:val="-2"/>
          <w:kern w:val="0"/>
          <w:sz w:val="24"/>
          <w:szCs w:val="24"/>
        </w:rPr>
        <w:t>-3可知，项目东、南、西、北各厂界处的昼、夜间噪声监测值均符合《声环境质量标准》（GB3096-2008）</w:t>
      </w:r>
      <w:r>
        <w:rPr>
          <w:rFonts w:hint="eastAsia" w:ascii="Times New Roman" w:hAnsi="Times New Roman"/>
          <w:spacing w:val="-2"/>
          <w:kern w:val="0"/>
          <w:sz w:val="24"/>
          <w:szCs w:val="24"/>
        </w:rPr>
        <w:t>3</w:t>
      </w:r>
      <w:r>
        <w:rPr>
          <w:rFonts w:ascii="Times New Roman" w:hAnsi="Times New Roman"/>
          <w:spacing w:val="-2"/>
          <w:kern w:val="0"/>
          <w:sz w:val="24"/>
          <w:szCs w:val="24"/>
        </w:rPr>
        <w:t>类标准要求。根据调查情况显示，项目所在区域声环境质量状况可达到区域功能要求。</w:t>
      </w:r>
    </w:p>
    <w:p w14:paraId="199F605B">
      <w:pPr>
        <w:keepNext/>
        <w:keepLines/>
        <w:spacing w:line="360" w:lineRule="auto"/>
        <w:outlineLvl w:val="2"/>
        <w:rPr>
          <w:rFonts w:ascii="Times New Roman" w:hAnsi="Times New Roman" w:eastAsia="黑体"/>
          <w:b/>
          <w:bCs/>
          <w:spacing w:val="-2"/>
          <w:kern w:val="0"/>
          <w:sz w:val="24"/>
          <w:szCs w:val="24"/>
        </w:rPr>
      </w:pPr>
      <w:r>
        <w:rPr>
          <w:rFonts w:ascii="Times New Roman" w:hAnsi="Times New Roman" w:eastAsia="黑体"/>
          <w:b/>
          <w:bCs/>
          <w:spacing w:val="-2"/>
          <w:kern w:val="0"/>
          <w:sz w:val="24"/>
          <w:szCs w:val="24"/>
        </w:rPr>
        <w:t>3.5.7小结</w:t>
      </w:r>
    </w:p>
    <w:p w14:paraId="1240454C">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4"/>
        </w:rPr>
        <w:t>本次在项目四周厂界共设置4个声环境质量现状监测点。根据监测结果，项目四周厂界噪声环境满足《声环境质量标准》（GB3096-2008）3类功能区标准要求。</w:t>
      </w:r>
      <w:bookmarkStart w:id="178" w:name="_Toc347417836"/>
      <w:bookmarkStart w:id="179" w:name="_Toc434426555"/>
    </w:p>
    <w:bookmarkEnd w:id="135"/>
    <w:bookmarkEnd w:id="136"/>
    <w:bookmarkEnd w:id="137"/>
    <w:bookmarkEnd w:id="138"/>
    <w:bookmarkEnd w:id="139"/>
    <w:bookmarkEnd w:id="140"/>
    <w:bookmarkEnd w:id="178"/>
    <w:bookmarkEnd w:id="179"/>
    <w:p w14:paraId="46AF3DF7">
      <w:pPr>
        <w:pStyle w:val="5"/>
        <w:numPr>
          <w:ilvl w:val="1"/>
          <w:numId w:val="3"/>
        </w:numPr>
      </w:pPr>
      <w:bookmarkStart w:id="180" w:name="_Toc434426556"/>
      <w:bookmarkStart w:id="181" w:name="_Toc30360"/>
      <w:r>
        <w:t>生态环境质量现状调查</w:t>
      </w:r>
      <w:bookmarkEnd w:id="180"/>
      <w:bookmarkEnd w:id="181"/>
    </w:p>
    <w:p w14:paraId="4BE8FFE7">
      <w:pPr>
        <w:adjustRightInd w:val="0"/>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项目用地位于广西钦州保税港区内，广西钦州保税港区所在场地原为海域，原地貌为浅海地貌，现状地形地貌经人工吹填砂形成，填海成陆的陆域无原生的动植物资源，区域地块多已平整硬化，区域用地以工业用地、物流仓储用地、港口用地为主。</w:t>
      </w:r>
    </w:p>
    <w:p w14:paraId="44AE0C39">
      <w:pPr>
        <w:pStyle w:val="6"/>
        <w:numPr>
          <w:ilvl w:val="2"/>
          <w:numId w:val="3"/>
        </w:numPr>
      </w:pPr>
      <w:r>
        <w:t>植物资源现状调查</w:t>
      </w:r>
    </w:p>
    <w:p w14:paraId="6417AF3C">
      <w:pPr>
        <w:adjustRightInd w:val="0"/>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陆域用地为人工吹砂成陆区域，无原生陆生植物资源，区域内的植物主要以城市景观绿化植物为主。景观绿化带植被主要为杧果、小叶榕、扁桃等为主，植被覆盖率较低。由于人为干扰严重，群落结构较为简单，群落内无灌木层及草本层分布，仅有少数常见杂草分布。</w:t>
      </w:r>
    </w:p>
    <w:p w14:paraId="7BAA8A67">
      <w:pPr>
        <w:pStyle w:val="6"/>
        <w:numPr>
          <w:ilvl w:val="2"/>
          <w:numId w:val="3"/>
        </w:numPr>
      </w:pPr>
      <w:r>
        <w:t>动物资源现状调查</w:t>
      </w:r>
    </w:p>
    <w:p w14:paraId="588C8A0D">
      <w:pPr>
        <w:adjustRightInd w:val="0"/>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陆域用地为人工吹砂成陆区域，无原生陆动植物资源。区域内土地开发利用率高，人类工业、物流活动频繁，区域内未发现有大型野生动物迁徙，未发现国家保护的珍稀濒危动物种类迁徙至此区域。区域的陆生动物以迁徙而来的啮齿类、爬行类、鸟类等为主。</w:t>
      </w:r>
    </w:p>
    <w:p w14:paraId="2298FFA6">
      <w:pPr>
        <w:pStyle w:val="6"/>
        <w:numPr>
          <w:ilvl w:val="2"/>
          <w:numId w:val="3"/>
        </w:numPr>
      </w:pPr>
      <w:r>
        <w:t>小结</w:t>
      </w:r>
    </w:p>
    <w:p w14:paraId="62943E7F">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项目位于广西钦州保税港区，原地貌为浅海地貌，陆域用地为人工吹砂成陆区域，无原生陆生动植物资源，区域内的植物主要以城市景观绿化植物为主，植被覆盖率较低，动物以迁徙而来的啮齿类、爬行类、鸟类等为主，生物多样性较低，由于区域人类工业、物流活动频繁，未发现国家保护的珍稀濒危动物种类迁徙至此区域，项目所在区域生态环境一般。</w:t>
      </w:r>
    </w:p>
    <w:p w14:paraId="6C2E7B01">
      <w:pPr>
        <w:pStyle w:val="5"/>
        <w:numPr>
          <w:ilvl w:val="1"/>
          <w:numId w:val="3"/>
        </w:numPr>
      </w:pPr>
      <w:bookmarkStart w:id="182" w:name="_Toc19751"/>
      <w:r>
        <w:t>辐射环境现状</w:t>
      </w:r>
      <w:bookmarkEnd w:id="182"/>
    </w:p>
    <w:p w14:paraId="4E31D2A5">
      <w:pPr>
        <w:spacing w:line="360" w:lineRule="auto"/>
        <w:ind w:firstLine="480" w:firstLineChars="200"/>
        <w:rPr>
          <w:rFonts w:ascii="Times New Roman" w:hAnsi="Times New Roman"/>
          <w:sz w:val="24"/>
          <w:szCs w:val="24"/>
        </w:rPr>
      </w:pPr>
      <w:r>
        <w:rPr>
          <w:rFonts w:hint="eastAsia" w:ascii="Times New Roman" w:hAnsi="Times New Roman"/>
          <w:sz w:val="24"/>
          <w:szCs w:val="24"/>
        </w:rPr>
        <w:t>根据</w:t>
      </w:r>
      <w:r>
        <w:rPr>
          <w:rFonts w:ascii="Times New Roman" w:hAnsi="Times New Roman"/>
          <w:sz w:val="24"/>
          <w:szCs w:val="24"/>
        </w:rPr>
        <w:t>《锆钛矿石分选加工项目辐射环境影响评价专篇》</w:t>
      </w:r>
      <w:r>
        <w:rPr>
          <w:rFonts w:hint="eastAsia" w:ascii="Times New Roman" w:hAnsi="Times New Roman"/>
          <w:sz w:val="24"/>
          <w:szCs w:val="24"/>
        </w:rPr>
        <w:t>辐射环境质量现状分析：</w:t>
      </w:r>
    </w:p>
    <w:p w14:paraId="686AD264">
      <w:pPr>
        <w:spacing w:line="360" w:lineRule="auto"/>
        <w:ind w:firstLine="480" w:firstLineChars="200"/>
        <w:rPr>
          <w:rFonts w:ascii="Times New Roman" w:hAnsi="Times New Roman"/>
          <w:sz w:val="24"/>
          <w:szCs w:val="24"/>
        </w:rPr>
      </w:pPr>
      <w:r>
        <w:rPr>
          <w:rFonts w:hint="eastAsia" w:ascii="Times New Roman" w:hAnsi="Times New Roman"/>
          <w:sz w:val="24"/>
          <w:szCs w:val="24"/>
        </w:rPr>
        <w:t>（1）项目周边环境中γ辐射剂量率与广西钦州地区γ辐射剂量率处于同一水平。</w:t>
      </w:r>
    </w:p>
    <w:p w14:paraId="651626FC">
      <w:pPr>
        <w:spacing w:line="360" w:lineRule="auto"/>
        <w:ind w:firstLine="480" w:firstLineChars="200"/>
        <w:rPr>
          <w:rFonts w:ascii="Times New Roman" w:hAnsi="Times New Roman"/>
          <w:sz w:val="24"/>
          <w:szCs w:val="24"/>
        </w:rPr>
      </w:pPr>
      <w:r>
        <w:rPr>
          <w:rFonts w:hint="eastAsia" w:ascii="Times New Roman" w:hAnsi="Times New Roman"/>
          <w:sz w:val="24"/>
          <w:szCs w:val="24"/>
        </w:rPr>
        <w:t>（2）项目西面、南面空气中</w:t>
      </w:r>
      <w:r>
        <w:rPr>
          <w:rFonts w:hint="eastAsia" w:ascii="Times New Roman" w:hAnsi="Times New Roman"/>
          <w:sz w:val="24"/>
          <w:szCs w:val="24"/>
          <w:vertAlign w:val="superscript"/>
        </w:rPr>
        <w:t>222</w:t>
      </w:r>
      <w:r>
        <w:rPr>
          <w:rFonts w:hint="eastAsia" w:ascii="Times New Roman" w:hAnsi="Times New Roman"/>
          <w:sz w:val="24"/>
          <w:szCs w:val="24"/>
        </w:rPr>
        <w:t>Rn浓度出现高于《中国环境天然放射性水平》中全国城市空气中氡平均浓度的情况，可能是受广西钦州保税区创大冷链物流公司3号仓库南部区域生产影响。</w:t>
      </w:r>
    </w:p>
    <w:p w14:paraId="1DE27787">
      <w:pPr>
        <w:spacing w:line="360" w:lineRule="auto"/>
        <w:ind w:firstLine="480" w:firstLineChars="200"/>
        <w:rPr>
          <w:rFonts w:ascii="Times New Roman" w:hAnsi="Times New Roman"/>
          <w:sz w:val="24"/>
          <w:szCs w:val="24"/>
        </w:rPr>
      </w:pPr>
      <w:r>
        <w:rPr>
          <w:rFonts w:hint="eastAsia" w:ascii="Times New Roman" w:hAnsi="Times New Roman"/>
          <w:sz w:val="24"/>
          <w:szCs w:val="24"/>
        </w:rPr>
        <w:t>（3）气溶胶中核素总</w:t>
      </w:r>
      <w:r>
        <w:rPr>
          <w:rFonts w:ascii="Times New Roman" w:hAnsi="Times New Roman"/>
          <w:sz w:val="24"/>
          <w:szCs w:val="24"/>
        </w:rPr>
        <w:t>α</w:t>
      </w:r>
      <w:r>
        <w:rPr>
          <w:rFonts w:hint="eastAsia" w:ascii="Times New Roman" w:hAnsi="Times New Roman"/>
          <w:sz w:val="24"/>
          <w:szCs w:val="24"/>
        </w:rPr>
        <w:t>、总</w:t>
      </w:r>
      <w:r>
        <w:rPr>
          <w:rFonts w:ascii="Times New Roman" w:hAnsi="Times New Roman"/>
          <w:sz w:val="24"/>
          <w:szCs w:val="24"/>
        </w:rPr>
        <w:t>β</w:t>
      </w:r>
      <w:r>
        <w:rPr>
          <w:rFonts w:hint="eastAsia" w:ascii="Times New Roman" w:hAnsi="Times New Roman"/>
          <w:sz w:val="24"/>
          <w:szCs w:val="24"/>
        </w:rPr>
        <w:t>、</w:t>
      </w:r>
      <w:r>
        <w:rPr>
          <w:rFonts w:hint="eastAsia" w:ascii="Times New Roman" w:hAnsi="Times New Roman"/>
          <w:sz w:val="24"/>
          <w:szCs w:val="24"/>
          <w:vertAlign w:val="superscript"/>
        </w:rPr>
        <w:t>210</w:t>
      </w:r>
      <w:r>
        <w:rPr>
          <w:rFonts w:hint="eastAsia" w:ascii="Times New Roman" w:hAnsi="Times New Roman"/>
          <w:sz w:val="24"/>
          <w:szCs w:val="24"/>
        </w:rPr>
        <w:t>Po和</w:t>
      </w:r>
      <w:r>
        <w:rPr>
          <w:rFonts w:hint="eastAsia" w:ascii="Times New Roman" w:hAnsi="Times New Roman"/>
          <w:sz w:val="24"/>
          <w:szCs w:val="24"/>
          <w:vertAlign w:val="superscript"/>
        </w:rPr>
        <w:t>210</w:t>
      </w:r>
      <w:r>
        <w:rPr>
          <w:rFonts w:hint="eastAsia" w:ascii="Times New Roman" w:hAnsi="Times New Roman"/>
          <w:sz w:val="24"/>
          <w:szCs w:val="24"/>
        </w:rPr>
        <w:t>Pb的含量较低。</w:t>
      </w:r>
    </w:p>
    <w:p w14:paraId="141031B0">
      <w:pPr>
        <w:pStyle w:val="5"/>
        <w:numPr>
          <w:ilvl w:val="1"/>
          <w:numId w:val="3"/>
        </w:numPr>
      </w:pPr>
      <w:bookmarkStart w:id="183" w:name="_Toc20998"/>
      <w:r>
        <w:rPr>
          <w:rFonts w:hint="eastAsia"/>
        </w:rPr>
        <w:t>区域污染源调查</w:t>
      </w:r>
      <w:bookmarkEnd w:id="183"/>
    </w:p>
    <w:p w14:paraId="17BEC08F">
      <w:pPr>
        <w:spacing w:line="360" w:lineRule="auto"/>
        <w:ind w:firstLine="480" w:firstLineChars="200"/>
        <w:rPr>
          <w:rFonts w:ascii="Times New Roman" w:hAnsi="Times New Roman"/>
          <w:sz w:val="24"/>
          <w:szCs w:val="24"/>
        </w:rPr>
      </w:pPr>
      <w:r>
        <w:rPr>
          <w:rFonts w:hint="eastAsia" w:ascii="Times New Roman" w:hAnsi="Times New Roman"/>
          <w:sz w:val="24"/>
          <w:szCs w:val="24"/>
        </w:rPr>
        <w:t>项目位于</w:t>
      </w:r>
      <w:r>
        <w:rPr>
          <w:rFonts w:hint="eastAsia" w:ascii="Times New Roman" w:hAnsi="Times New Roman"/>
          <w:spacing w:val="-2"/>
          <w:kern w:val="0"/>
          <w:sz w:val="24"/>
          <w:szCs w:val="24"/>
        </w:rPr>
        <w:t>广西钦州保税港区，</w:t>
      </w:r>
      <w:r>
        <w:rPr>
          <w:rFonts w:hint="eastAsia" w:ascii="Times New Roman" w:hAnsi="Times New Roman"/>
          <w:sz w:val="24"/>
          <w:szCs w:val="24"/>
        </w:rPr>
        <w:t>所在区域周边用地主要规划为仓储物流、工业用地。项目周边的企业以仓储物流为主，主要有钦州港冷链保税交易中心、星火物流、创大仓储、诚峰仓储、桂吉冷链物流及加工、炬申物流、恒湘物流、侨益物流等企业，产生的主要污染因子以物流交通扬尘为主。还有部分工业项目，主要有宇佳半导体LED项目、太极船船木加工项目、海纳新材料、奇智纺纱、北湖湾（国际）钦州粮食加工产业园、双胞胎饲料、金陵农牧等，多以粮食加工、电子装配、机械设备装配为主，污染因子多以粮食、饲料等粉尘为主，污染排放不大。</w:t>
      </w:r>
    </w:p>
    <w:p w14:paraId="4C4EF6E4">
      <w:pPr>
        <w:spacing w:line="360" w:lineRule="auto"/>
        <w:ind w:firstLine="480" w:firstLineChars="200"/>
        <w:rPr>
          <w:rFonts w:ascii="Times New Roman" w:hAnsi="Times New Roman"/>
          <w:sz w:val="24"/>
          <w:szCs w:val="24"/>
        </w:rPr>
      </w:pPr>
      <w:r>
        <w:rPr>
          <w:rFonts w:hint="eastAsia" w:ascii="Times New Roman" w:hAnsi="Times New Roman"/>
          <w:sz w:val="24"/>
          <w:szCs w:val="24"/>
          <w:u w:val="single"/>
        </w:rPr>
        <w:t>周边无放射性伴生矿加工企业，未有同类大气污染排放企业。</w:t>
      </w:r>
    </w:p>
    <w:p w14:paraId="0C626D63">
      <w:pPr>
        <w:spacing w:line="360" w:lineRule="auto"/>
        <w:ind w:firstLine="420" w:firstLineChars="200"/>
      </w:pPr>
    </w:p>
    <w:p w14:paraId="370B194D">
      <w:pPr>
        <w:rPr>
          <w:rFonts w:ascii="Times New Roman" w:hAnsi="Times New Roman"/>
          <w:spacing w:val="-2"/>
          <w:kern w:val="0"/>
          <w:sz w:val="28"/>
          <w:szCs w:val="20"/>
        </w:rPr>
        <w:sectPr>
          <w:pgSz w:w="11906" w:h="16838"/>
          <w:pgMar w:top="1418" w:right="1418" w:bottom="1418" w:left="1418" w:header="851" w:footer="992" w:gutter="0"/>
          <w:cols w:space="720" w:num="1"/>
          <w:docGrid w:type="lines" w:linePitch="312" w:charSpace="0"/>
        </w:sectPr>
      </w:pPr>
    </w:p>
    <w:p w14:paraId="3FD66A80">
      <w:pPr>
        <w:pStyle w:val="4"/>
        <w:numPr>
          <w:ilvl w:val="0"/>
          <w:numId w:val="3"/>
        </w:numPr>
      </w:pPr>
      <w:bookmarkStart w:id="184" w:name="_Toc415564632"/>
      <w:bookmarkStart w:id="185" w:name="_Toc368170018"/>
      <w:bookmarkStart w:id="186" w:name="_Toc24309"/>
      <w:r>
        <w:t>环境影响预测与评价</w:t>
      </w:r>
      <w:bookmarkEnd w:id="184"/>
      <w:bookmarkEnd w:id="185"/>
      <w:bookmarkEnd w:id="186"/>
    </w:p>
    <w:p w14:paraId="1FC08DF0">
      <w:pPr>
        <w:pStyle w:val="5"/>
        <w:numPr>
          <w:ilvl w:val="1"/>
          <w:numId w:val="3"/>
        </w:numPr>
      </w:pPr>
      <w:bookmarkStart w:id="187" w:name="_Toc523493839"/>
      <w:bookmarkStart w:id="188" w:name="_Toc1520"/>
      <w:r>
        <w:t>施工期环境影响分析</w:t>
      </w:r>
      <w:bookmarkEnd w:id="187"/>
      <w:bookmarkEnd w:id="188"/>
    </w:p>
    <w:p w14:paraId="3911F712">
      <w:pPr>
        <w:spacing w:line="360" w:lineRule="auto"/>
        <w:ind w:firstLine="480"/>
        <w:rPr>
          <w:rFonts w:ascii="Times New Roman" w:hAnsi="Times New Roman"/>
          <w:kern w:val="0"/>
          <w:sz w:val="24"/>
          <w:szCs w:val="24"/>
        </w:rPr>
      </w:pPr>
      <w:r>
        <w:rPr>
          <w:rFonts w:ascii="Times New Roman" w:hAnsi="Times New Roman"/>
          <w:kern w:val="0"/>
          <w:sz w:val="24"/>
          <w:szCs w:val="24"/>
        </w:rPr>
        <w:t>本项目租用广西钦州保税区创大冷链物流公司进口汽车仓储物流园内3号仓库进行生产，项目生产线及原料、产品等物料的存放均设置在室内，无新增室外建筑物。项目施工期主要在已建成的车间厂房内进行设备安装及厂房简易装修等，施工期不涉及土方开挖、基础工程、主体工程等施工。</w:t>
      </w:r>
    </w:p>
    <w:p w14:paraId="014040F0">
      <w:pPr>
        <w:keepNext/>
        <w:keepLines/>
        <w:spacing w:line="360" w:lineRule="auto"/>
        <w:outlineLvl w:val="2"/>
        <w:rPr>
          <w:rFonts w:ascii="Times New Roman" w:hAnsi="Times New Roman" w:eastAsia="黑体"/>
          <w:b/>
          <w:bCs/>
          <w:spacing w:val="-2"/>
          <w:kern w:val="0"/>
          <w:sz w:val="24"/>
          <w:szCs w:val="24"/>
        </w:rPr>
      </w:pPr>
      <w:r>
        <w:rPr>
          <w:rFonts w:ascii="Times New Roman" w:hAnsi="Times New Roman" w:eastAsia="黑体"/>
          <w:b/>
          <w:bCs/>
          <w:spacing w:val="-2"/>
          <w:kern w:val="0"/>
          <w:sz w:val="24"/>
          <w:szCs w:val="24"/>
        </w:rPr>
        <w:t>4.1.1施工期大气影响分析</w:t>
      </w:r>
    </w:p>
    <w:p w14:paraId="1907F109">
      <w:pPr>
        <w:spacing w:line="360" w:lineRule="auto"/>
        <w:ind w:firstLine="480"/>
        <w:rPr>
          <w:rFonts w:ascii="Times New Roman" w:hAnsi="Times New Roman"/>
          <w:kern w:val="0"/>
          <w:sz w:val="24"/>
          <w:szCs w:val="24"/>
        </w:rPr>
      </w:pPr>
      <w:bookmarkStart w:id="189" w:name="_Hlk187070988"/>
      <w:bookmarkStart w:id="190" w:name="_Toc330574345"/>
      <w:bookmarkStart w:id="191" w:name="_Toc309725773"/>
      <w:bookmarkStart w:id="192" w:name="_Toc330681516"/>
      <w:bookmarkStart w:id="193" w:name="_Toc330681700"/>
      <w:bookmarkStart w:id="194" w:name="_Toc330708089"/>
      <w:bookmarkStart w:id="195" w:name="_Toc235924861"/>
      <w:bookmarkStart w:id="196" w:name="_Toc235931147"/>
      <w:bookmarkStart w:id="197" w:name="_Toc186727523"/>
      <w:bookmarkStart w:id="198" w:name="_Toc298853173"/>
      <w:bookmarkStart w:id="199" w:name="_Toc415564634"/>
      <w:bookmarkStart w:id="200" w:name="_Toc368170020"/>
      <w:bookmarkStart w:id="201" w:name="_Toc14660054"/>
      <w:r>
        <w:rPr>
          <w:rFonts w:ascii="Times New Roman" w:hAnsi="Times New Roman"/>
          <w:kern w:val="0"/>
          <w:sz w:val="24"/>
          <w:szCs w:val="24"/>
        </w:rPr>
        <w:t>项目施工期厂房</w:t>
      </w:r>
      <w:r>
        <w:rPr>
          <w:rFonts w:hint="eastAsia" w:ascii="Times New Roman" w:hAnsi="Times New Roman"/>
          <w:kern w:val="0"/>
          <w:sz w:val="24"/>
          <w:szCs w:val="24"/>
        </w:rPr>
        <w:t>内生产线安装</w:t>
      </w:r>
      <w:r>
        <w:rPr>
          <w:rFonts w:ascii="Times New Roman" w:hAnsi="Times New Roman"/>
          <w:kern w:val="0"/>
          <w:sz w:val="24"/>
          <w:szCs w:val="24"/>
        </w:rPr>
        <w:t>阶段</w:t>
      </w:r>
      <w:r>
        <w:rPr>
          <w:rFonts w:hint="eastAsia" w:ascii="Times New Roman" w:hAnsi="Times New Roman"/>
          <w:kern w:val="0"/>
          <w:sz w:val="24"/>
          <w:szCs w:val="24"/>
        </w:rPr>
        <w:t>设备基础钻孔、安装产生的少量扬尘，主要沉降在车间厂房内，主要影响在车间厂房内，极少量逸散到车间外，</w:t>
      </w:r>
      <w:r>
        <w:rPr>
          <w:rFonts w:ascii="Times New Roman" w:hAnsi="Times New Roman"/>
          <w:kern w:val="0"/>
          <w:sz w:val="24"/>
          <w:szCs w:val="24"/>
        </w:rPr>
        <w:t>项目所在区域开阔，大气扩散条件较好，且周边无居民区，施工期</w:t>
      </w:r>
      <w:r>
        <w:rPr>
          <w:rFonts w:hint="eastAsia" w:ascii="Times New Roman" w:hAnsi="Times New Roman"/>
          <w:kern w:val="0"/>
          <w:sz w:val="24"/>
          <w:szCs w:val="24"/>
        </w:rPr>
        <w:t>生产线安装产生的扬尘</w:t>
      </w:r>
      <w:r>
        <w:rPr>
          <w:rFonts w:ascii="Times New Roman" w:hAnsi="Times New Roman"/>
          <w:kern w:val="0"/>
          <w:sz w:val="24"/>
          <w:szCs w:val="24"/>
        </w:rPr>
        <w:t>，对周边环境影响较小。</w:t>
      </w:r>
    </w:p>
    <w:bookmarkEnd w:id="189"/>
    <w:p w14:paraId="60B6A270">
      <w:pPr>
        <w:pStyle w:val="6"/>
        <w:numPr>
          <w:ilvl w:val="2"/>
          <w:numId w:val="3"/>
        </w:numPr>
      </w:pPr>
      <w:r>
        <w:t>施工期废水影响分析</w:t>
      </w:r>
    </w:p>
    <w:p w14:paraId="5982828F">
      <w:pPr>
        <w:spacing w:line="360" w:lineRule="auto"/>
        <w:ind w:firstLine="480"/>
        <w:rPr>
          <w:rFonts w:ascii="Times New Roman" w:hAnsi="Times New Roman"/>
          <w:kern w:val="0"/>
          <w:sz w:val="24"/>
          <w:szCs w:val="24"/>
        </w:rPr>
      </w:pPr>
      <w:r>
        <w:rPr>
          <w:rFonts w:ascii="Times New Roman" w:hAnsi="Times New Roman"/>
          <w:kern w:val="0"/>
          <w:sz w:val="24"/>
          <w:szCs w:val="24"/>
        </w:rPr>
        <w:t>项目施工期人员厂房装修及设备安装两个阶段施工人员均为2人，施工期时间3个月，周期较短，产生的生活污水</w:t>
      </w:r>
      <w:r>
        <w:rPr>
          <w:rFonts w:hint="eastAsia" w:ascii="Times New Roman" w:hAnsi="Times New Roman"/>
          <w:kern w:val="0"/>
          <w:sz w:val="24"/>
          <w:szCs w:val="24"/>
          <w:lang w:eastAsia="zh-CN"/>
        </w:rPr>
        <w:t>非常少</w:t>
      </w:r>
      <w:r>
        <w:rPr>
          <w:rFonts w:ascii="Times New Roman" w:hAnsi="Times New Roman"/>
          <w:kern w:val="0"/>
          <w:sz w:val="24"/>
          <w:szCs w:val="24"/>
        </w:rPr>
        <w:t>，约4.3m</w:t>
      </w:r>
      <w:r>
        <w:rPr>
          <w:rFonts w:ascii="Times New Roman" w:hAnsi="Times New Roman"/>
          <w:kern w:val="0"/>
          <w:sz w:val="24"/>
          <w:szCs w:val="24"/>
          <w:vertAlign w:val="superscript"/>
        </w:rPr>
        <w:t>3</w:t>
      </w:r>
      <w:r>
        <w:rPr>
          <w:rFonts w:ascii="Times New Roman" w:hAnsi="Times New Roman"/>
          <w:kern w:val="0"/>
          <w:sz w:val="24"/>
          <w:szCs w:val="24"/>
        </w:rPr>
        <w:t>，施工人员的生活污水依托广西钦州保税区创大冷链物流公司的3号仓库南部现有的化粪池进行处理，处理后排入市政污水管网送钦州港大榄坪污水处理厂处理，项目施工期废水影响较小。</w:t>
      </w:r>
    </w:p>
    <w:bookmarkEnd w:id="190"/>
    <w:bookmarkEnd w:id="191"/>
    <w:bookmarkEnd w:id="192"/>
    <w:bookmarkEnd w:id="193"/>
    <w:bookmarkEnd w:id="194"/>
    <w:p w14:paraId="7ED77E43">
      <w:pPr>
        <w:pStyle w:val="6"/>
        <w:numPr>
          <w:ilvl w:val="2"/>
          <w:numId w:val="3"/>
        </w:numPr>
      </w:pPr>
      <w:r>
        <w:t>施工期环境噪声影响分析</w:t>
      </w:r>
    </w:p>
    <w:p w14:paraId="2C13DA22">
      <w:pPr>
        <w:spacing w:line="360" w:lineRule="auto"/>
        <w:ind w:firstLine="480"/>
        <w:rPr>
          <w:rFonts w:ascii="Times New Roman" w:hAnsi="Times New Roman"/>
          <w:kern w:val="0"/>
          <w:sz w:val="24"/>
          <w:szCs w:val="24"/>
        </w:rPr>
      </w:pPr>
      <w:r>
        <w:rPr>
          <w:rFonts w:ascii="Times New Roman" w:hAnsi="Times New Roman"/>
          <w:kern w:val="0"/>
          <w:sz w:val="24"/>
          <w:szCs w:val="24"/>
        </w:rPr>
        <w:t>施工期影响是厂房装修及设备安装噪声，由于夜间不进行装修及设备安装，施工期噪声不大，多为间歇性产生的噪声，施工期较短，施工期噪声源强见表4.1-1。</w:t>
      </w:r>
    </w:p>
    <w:p w14:paraId="10A425B1">
      <w:pPr>
        <w:pStyle w:val="8"/>
        <w:numPr>
          <w:ilvl w:val="4"/>
          <w:numId w:val="3"/>
        </w:numPr>
        <w:rPr>
          <w:sz w:val="24"/>
          <w:szCs w:val="24"/>
        </w:rPr>
      </w:pPr>
      <w:r>
        <w:rPr>
          <w:sz w:val="24"/>
          <w:szCs w:val="24"/>
        </w:rPr>
        <w:t>施工中各阶段主要噪声源统计表</w:t>
      </w:r>
    </w:p>
    <w:tbl>
      <w:tblPr>
        <w:tblStyle w:val="88"/>
        <w:tblW w:w="904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495"/>
        <w:gridCol w:w="3126"/>
        <w:gridCol w:w="3419"/>
      </w:tblGrid>
      <w:tr w14:paraId="7C1665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tblHeader/>
          <w:jc w:val="center"/>
        </w:trPr>
        <w:tc>
          <w:tcPr>
            <w:tcW w:w="2495" w:type="dxa"/>
            <w:vAlign w:val="center"/>
          </w:tcPr>
          <w:p w14:paraId="0446BAE4">
            <w:pPr>
              <w:jc w:val="center"/>
              <w:rPr>
                <w:rFonts w:ascii="Times New Roman" w:hAnsi="Times New Roman"/>
                <w:b/>
                <w:bCs/>
              </w:rPr>
            </w:pPr>
            <w:r>
              <w:rPr>
                <w:rFonts w:ascii="Times New Roman" w:hAnsi="Times New Roman"/>
                <w:b/>
                <w:bCs/>
              </w:rPr>
              <w:t>施工阶段</w:t>
            </w:r>
          </w:p>
        </w:tc>
        <w:tc>
          <w:tcPr>
            <w:tcW w:w="3126" w:type="dxa"/>
            <w:vAlign w:val="center"/>
          </w:tcPr>
          <w:p w14:paraId="287C6A29">
            <w:pPr>
              <w:jc w:val="center"/>
              <w:rPr>
                <w:rFonts w:ascii="Times New Roman" w:hAnsi="Times New Roman"/>
                <w:b/>
                <w:bCs/>
              </w:rPr>
            </w:pPr>
            <w:r>
              <w:rPr>
                <w:rFonts w:ascii="Times New Roman" w:hAnsi="Times New Roman"/>
                <w:b/>
                <w:bCs/>
              </w:rPr>
              <w:t>声 源</w:t>
            </w:r>
          </w:p>
        </w:tc>
        <w:tc>
          <w:tcPr>
            <w:tcW w:w="3419" w:type="dxa"/>
            <w:vAlign w:val="center"/>
          </w:tcPr>
          <w:p w14:paraId="48017C9D">
            <w:pPr>
              <w:jc w:val="center"/>
              <w:rPr>
                <w:rFonts w:ascii="Times New Roman" w:hAnsi="Times New Roman"/>
                <w:b/>
                <w:bCs/>
              </w:rPr>
            </w:pPr>
            <w:r>
              <w:rPr>
                <w:rFonts w:ascii="Times New Roman" w:hAnsi="Times New Roman"/>
                <w:b/>
                <w:bCs/>
              </w:rPr>
              <w:t>声级/dB(A)</w:t>
            </w:r>
          </w:p>
        </w:tc>
      </w:tr>
      <w:tr w14:paraId="2BA6BD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2495" w:type="dxa"/>
            <w:vMerge w:val="restart"/>
            <w:vAlign w:val="center"/>
          </w:tcPr>
          <w:p w14:paraId="0230AC80">
            <w:pPr>
              <w:jc w:val="center"/>
              <w:rPr>
                <w:rFonts w:ascii="Times New Roman" w:hAnsi="Times New Roman"/>
              </w:rPr>
            </w:pPr>
            <w:r>
              <w:rPr>
                <w:rFonts w:ascii="Times New Roman" w:hAnsi="Times New Roman"/>
              </w:rPr>
              <w:t>装修、设备安装阶段</w:t>
            </w:r>
          </w:p>
        </w:tc>
        <w:tc>
          <w:tcPr>
            <w:tcW w:w="3126" w:type="dxa"/>
            <w:vAlign w:val="center"/>
          </w:tcPr>
          <w:p w14:paraId="20566446">
            <w:pPr>
              <w:jc w:val="center"/>
              <w:rPr>
                <w:rFonts w:ascii="Times New Roman" w:hAnsi="Times New Roman"/>
              </w:rPr>
            </w:pPr>
            <w:r>
              <w:rPr>
                <w:rFonts w:ascii="Times New Roman" w:hAnsi="Times New Roman"/>
              </w:rPr>
              <w:t>切割机、电钻、电锯</w:t>
            </w:r>
          </w:p>
        </w:tc>
        <w:tc>
          <w:tcPr>
            <w:tcW w:w="3419" w:type="dxa"/>
            <w:vAlign w:val="center"/>
          </w:tcPr>
          <w:p w14:paraId="2D5186A2">
            <w:pPr>
              <w:jc w:val="center"/>
              <w:rPr>
                <w:rFonts w:ascii="Times New Roman" w:hAnsi="Times New Roman"/>
              </w:rPr>
            </w:pPr>
            <w:r>
              <w:rPr>
                <w:rFonts w:ascii="Times New Roman" w:hAnsi="Times New Roman"/>
              </w:rPr>
              <w:t>105～115</w:t>
            </w:r>
          </w:p>
        </w:tc>
      </w:tr>
      <w:tr w14:paraId="6130A8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2495" w:type="dxa"/>
            <w:vMerge w:val="continue"/>
            <w:vAlign w:val="center"/>
          </w:tcPr>
          <w:p w14:paraId="36D32AD0">
            <w:pPr>
              <w:jc w:val="center"/>
              <w:rPr>
                <w:rFonts w:ascii="Times New Roman" w:hAnsi="Times New Roman"/>
              </w:rPr>
            </w:pPr>
          </w:p>
        </w:tc>
        <w:tc>
          <w:tcPr>
            <w:tcW w:w="3126" w:type="dxa"/>
            <w:vAlign w:val="center"/>
          </w:tcPr>
          <w:p w14:paraId="5E1E453A">
            <w:pPr>
              <w:jc w:val="center"/>
              <w:rPr>
                <w:rFonts w:ascii="Times New Roman" w:hAnsi="Times New Roman"/>
              </w:rPr>
            </w:pPr>
            <w:r>
              <w:rPr>
                <w:rFonts w:ascii="Times New Roman" w:hAnsi="Times New Roman"/>
              </w:rPr>
              <w:t>自动螺丝刀、锤敲打</w:t>
            </w:r>
          </w:p>
        </w:tc>
        <w:tc>
          <w:tcPr>
            <w:tcW w:w="3419" w:type="dxa"/>
            <w:vAlign w:val="center"/>
          </w:tcPr>
          <w:p w14:paraId="4A52AFD7">
            <w:pPr>
              <w:jc w:val="center"/>
              <w:rPr>
                <w:rFonts w:ascii="Times New Roman" w:hAnsi="Times New Roman"/>
              </w:rPr>
            </w:pPr>
            <w:r>
              <w:rPr>
                <w:rFonts w:ascii="Times New Roman" w:hAnsi="Times New Roman"/>
              </w:rPr>
              <w:t>95～100</w:t>
            </w:r>
          </w:p>
        </w:tc>
      </w:tr>
    </w:tbl>
    <w:p w14:paraId="22CD02BC">
      <w:pPr>
        <w:spacing w:line="360" w:lineRule="auto"/>
        <w:ind w:firstLine="480" w:firstLineChars="200"/>
        <w:rPr>
          <w:rFonts w:ascii="Times New Roman" w:hAnsi="Times New Roman"/>
          <w:kern w:val="0"/>
          <w:sz w:val="24"/>
          <w:szCs w:val="24"/>
        </w:rPr>
      </w:pPr>
    </w:p>
    <w:p w14:paraId="2DEEA517">
      <w:pPr>
        <w:spacing w:line="360" w:lineRule="auto"/>
        <w:ind w:firstLine="480" w:firstLineChars="200"/>
        <w:rPr>
          <w:rFonts w:ascii="Times New Roman" w:hAnsi="Times New Roman"/>
          <w:kern w:val="0"/>
          <w:sz w:val="24"/>
          <w:szCs w:val="24"/>
        </w:rPr>
      </w:pPr>
      <w:r>
        <w:rPr>
          <w:rFonts w:ascii="Times New Roman" w:hAnsi="Times New Roman"/>
          <w:kern w:val="0"/>
          <w:sz w:val="24"/>
          <w:szCs w:val="24"/>
        </w:rPr>
        <w:t>项目施工期噪声主要是装修及设备安装时产生的噪声，装修时使用切割机、电钻、电锯等高噪音设备，但是产生的噪声影响是短时间的，间断偶发性的，随着装修结束，该影响是可逆的；项目生产设备安装主要是设备基础的安装，设备的组装、摆放和固定，设备组装、固定产生间歇的敲击捶打声，基本不产生连续或较大的噪声。</w:t>
      </w:r>
    </w:p>
    <w:p w14:paraId="37401F13">
      <w:pPr>
        <w:spacing w:line="360" w:lineRule="auto"/>
        <w:ind w:firstLine="480" w:firstLineChars="200"/>
        <w:rPr>
          <w:rFonts w:ascii="Times New Roman" w:hAnsi="Times New Roman"/>
          <w:kern w:val="0"/>
          <w:sz w:val="24"/>
          <w:szCs w:val="24"/>
        </w:rPr>
      </w:pPr>
      <w:r>
        <w:rPr>
          <w:rFonts w:ascii="Times New Roman" w:hAnsi="Times New Roman"/>
          <w:kern w:val="0"/>
          <w:sz w:val="24"/>
          <w:szCs w:val="24"/>
        </w:rPr>
        <w:t>项目周边区域均为工业用地、物流仓储用地，周边的园区企业宿舍区、居民区距离较远，</w:t>
      </w:r>
      <w:r>
        <w:rPr>
          <w:rFonts w:hint="eastAsia" w:ascii="Times New Roman" w:hAnsi="Times New Roman"/>
          <w:kern w:val="0"/>
          <w:sz w:val="24"/>
          <w:szCs w:val="24"/>
        </w:rPr>
        <w:t>声环境评价范围内无保护目标，</w:t>
      </w:r>
      <w:r>
        <w:rPr>
          <w:rFonts w:ascii="Times New Roman" w:hAnsi="Times New Roman"/>
          <w:kern w:val="0"/>
          <w:sz w:val="24"/>
          <w:szCs w:val="24"/>
        </w:rPr>
        <w:t>且项目主要在室内进行施工，施工期噪声不会影响周边居民和企业员工休息，产生的施工期噪声影响较小。</w:t>
      </w:r>
    </w:p>
    <w:p w14:paraId="31F4ECD3">
      <w:pPr>
        <w:pStyle w:val="6"/>
        <w:numPr>
          <w:ilvl w:val="2"/>
          <w:numId w:val="3"/>
        </w:numPr>
      </w:pPr>
      <w:r>
        <w:t>施工期固体废物影响分析</w:t>
      </w:r>
    </w:p>
    <w:p w14:paraId="1C2E3B16">
      <w:pPr>
        <w:spacing w:line="360" w:lineRule="auto"/>
        <w:ind w:firstLine="480"/>
        <w:rPr>
          <w:rFonts w:ascii="Times New Roman" w:hAnsi="Times New Roman"/>
          <w:kern w:val="0"/>
          <w:sz w:val="24"/>
          <w:szCs w:val="24"/>
        </w:rPr>
      </w:pPr>
      <w:r>
        <w:rPr>
          <w:rFonts w:ascii="Times New Roman" w:hAnsi="Times New Roman"/>
          <w:kern w:val="0"/>
          <w:sz w:val="24"/>
          <w:szCs w:val="24"/>
        </w:rPr>
        <w:t>项目施工期产生固体废物主要是装修垃圾以及生产线装配的包装废料等，主要是废纸、废木板等，约0.5t，施工人员产生少量的生活垃圾，</w:t>
      </w:r>
      <w:r>
        <w:rPr>
          <w:rFonts w:ascii="Times New Roman" w:hAnsi="Times New Roman"/>
          <w:spacing w:val="-2"/>
          <w:kern w:val="0"/>
          <w:sz w:val="24"/>
          <w:szCs w:val="20"/>
        </w:rPr>
        <w:t>收集到创大进口汽车仓储物流园垃圾收集点后由环卫部门统一收运</w:t>
      </w:r>
      <w:r>
        <w:rPr>
          <w:rFonts w:ascii="Times New Roman" w:hAnsi="Times New Roman"/>
          <w:kern w:val="0"/>
          <w:sz w:val="24"/>
          <w:szCs w:val="24"/>
        </w:rPr>
        <w:t>，项目固体废物对环境影响不大。</w:t>
      </w:r>
    </w:p>
    <w:bookmarkEnd w:id="195"/>
    <w:bookmarkEnd w:id="196"/>
    <w:p w14:paraId="349D8C11">
      <w:pPr>
        <w:pStyle w:val="5"/>
        <w:numPr>
          <w:ilvl w:val="1"/>
          <w:numId w:val="3"/>
        </w:numPr>
      </w:pPr>
      <w:bookmarkStart w:id="202" w:name="_Toc1624"/>
      <w:r>
        <w:t>运营期大气环境影响</w:t>
      </w:r>
      <w:bookmarkEnd w:id="197"/>
      <w:bookmarkEnd w:id="198"/>
      <w:r>
        <w:t>预测与评价</w:t>
      </w:r>
      <w:bookmarkEnd w:id="199"/>
      <w:bookmarkEnd w:id="200"/>
      <w:bookmarkEnd w:id="202"/>
    </w:p>
    <w:bookmarkEnd w:id="201"/>
    <w:p w14:paraId="1B13302F">
      <w:pPr>
        <w:pStyle w:val="6"/>
        <w:numPr>
          <w:ilvl w:val="2"/>
          <w:numId w:val="3"/>
        </w:numPr>
      </w:pPr>
      <w:r>
        <w:t>污染气象分析</w:t>
      </w:r>
    </w:p>
    <w:p w14:paraId="4A2C43E7">
      <w:pPr>
        <w:spacing w:line="360" w:lineRule="auto"/>
        <w:ind w:firstLine="480"/>
        <w:rPr>
          <w:rFonts w:ascii="Times New Roman" w:hAnsi="Times New Roman"/>
          <w:kern w:val="0"/>
          <w:sz w:val="24"/>
          <w:szCs w:val="24"/>
        </w:rPr>
      </w:pPr>
      <w:r>
        <w:rPr>
          <w:rFonts w:ascii="Times New Roman" w:hAnsi="Times New Roman"/>
          <w:kern w:val="0"/>
          <w:sz w:val="24"/>
          <w:szCs w:val="24"/>
        </w:rPr>
        <w:t>项目采用的是钦州气象站（59632）资料，气象站位于广西壮族自治区钦州市，地理坐标为坐标东经108.62度，北纬21.95度。气象站始建于1952年，1952年正式进行气象观测。</w:t>
      </w:r>
    </w:p>
    <w:p w14:paraId="1F35E40A">
      <w:pPr>
        <w:spacing w:line="360" w:lineRule="auto"/>
        <w:ind w:firstLine="480"/>
        <w:rPr>
          <w:rFonts w:ascii="Times New Roman" w:hAnsi="Times New Roman"/>
          <w:kern w:val="0"/>
          <w:sz w:val="24"/>
          <w:szCs w:val="24"/>
        </w:rPr>
      </w:pPr>
      <w:r>
        <w:rPr>
          <w:rFonts w:ascii="Times New Roman" w:hAnsi="Times New Roman"/>
          <w:kern w:val="0"/>
          <w:sz w:val="24"/>
          <w:szCs w:val="24"/>
        </w:rPr>
        <w:t>钦州气象站是距项目最近的国家气象站，拥有长期的气象观测资料，根据钦州气象站常规气象数据统计分析，累年极端最高气温为36.9℃，累年极端最低气温为5.2℃。近20年资料分析，钦州气象站以N为主风向，占到全年16.5%左右，静风占全年4.7%。</w:t>
      </w:r>
    </w:p>
    <w:p w14:paraId="717A156B">
      <w:pPr>
        <w:spacing w:line="360" w:lineRule="auto"/>
        <w:ind w:firstLine="480"/>
        <w:rPr>
          <w:rFonts w:ascii="Times New Roman" w:hAnsi="Times New Roman"/>
          <w:kern w:val="0"/>
          <w:sz w:val="24"/>
          <w:szCs w:val="24"/>
        </w:rPr>
      </w:pPr>
      <w:r>
        <w:rPr>
          <w:rFonts w:ascii="Times New Roman" w:hAnsi="Times New Roman"/>
          <w:kern w:val="0"/>
          <w:sz w:val="24"/>
          <w:szCs w:val="24"/>
        </w:rPr>
        <w:t>（1）气候特征</w:t>
      </w:r>
    </w:p>
    <w:p w14:paraId="73949624">
      <w:pPr>
        <w:spacing w:line="360" w:lineRule="auto"/>
        <w:ind w:firstLine="480"/>
        <w:rPr>
          <w:rFonts w:ascii="Times New Roman" w:hAnsi="Times New Roman"/>
          <w:kern w:val="0"/>
          <w:sz w:val="24"/>
          <w:szCs w:val="24"/>
        </w:rPr>
      </w:pPr>
      <w:r>
        <w:rPr>
          <w:rFonts w:ascii="Times New Roman" w:hAnsi="Times New Roman"/>
          <w:kern w:val="0"/>
          <w:sz w:val="24"/>
          <w:szCs w:val="24"/>
        </w:rPr>
        <w:t>根据钦州国家一般气象站</w:t>
      </w:r>
      <w:r>
        <w:rPr>
          <w:rFonts w:hint="eastAsia" w:ascii="Times New Roman" w:hAnsi="Times New Roman"/>
          <w:kern w:val="0"/>
          <w:sz w:val="24"/>
          <w:szCs w:val="24"/>
        </w:rPr>
        <w:t>近20年</w:t>
      </w:r>
      <w:r>
        <w:rPr>
          <w:rFonts w:ascii="Times New Roman" w:hAnsi="Times New Roman"/>
          <w:kern w:val="0"/>
          <w:sz w:val="24"/>
          <w:szCs w:val="24"/>
        </w:rPr>
        <w:t>统计的气象资料</w:t>
      </w:r>
      <w:r>
        <w:rPr>
          <w:rFonts w:hint="eastAsia" w:ascii="Times New Roman" w:hAnsi="Times New Roman"/>
          <w:kern w:val="0"/>
          <w:sz w:val="24"/>
          <w:szCs w:val="24"/>
          <w:lang w:eastAsia="zh-CN"/>
        </w:rPr>
        <w:t>分析</w:t>
      </w:r>
      <w:r>
        <w:rPr>
          <w:rFonts w:ascii="Times New Roman" w:hAnsi="Times New Roman"/>
          <w:kern w:val="0"/>
          <w:sz w:val="24"/>
          <w:szCs w:val="24"/>
        </w:rPr>
        <w:t>，项目所在区域主要的气象特征见表</w:t>
      </w:r>
      <w:r>
        <w:rPr>
          <w:rFonts w:hint="eastAsia" w:ascii="Times New Roman" w:hAnsi="Times New Roman"/>
          <w:kern w:val="0"/>
          <w:sz w:val="24"/>
          <w:szCs w:val="24"/>
        </w:rPr>
        <w:t>4.2-1</w:t>
      </w:r>
      <w:r>
        <w:rPr>
          <w:rFonts w:ascii="Times New Roman" w:hAnsi="Times New Roman"/>
          <w:kern w:val="0"/>
          <w:sz w:val="24"/>
          <w:szCs w:val="24"/>
        </w:rPr>
        <w:t>。</w:t>
      </w:r>
    </w:p>
    <w:p w14:paraId="2650CF0D">
      <w:pPr>
        <w:pStyle w:val="8"/>
        <w:numPr>
          <w:ilvl w:val="4"/>
          <w:numId w:val="3"/>
        </w:numPr>
        <w:rPr>
          <w:sz w:val="24"/>
          <w:szCs w:val="24"/>
        </w:rPr>
      </w:pPr>
      <w:r>
        <w:rPr>
          <w:sz w:val="24"/>
          <w:szCs w:val="24"/>
        </w:rPr>
        <w:t>钦州气象站近20年的主要气候资料统计表</w:t>
      </w:r>
    </w:p>
    <w:tbl>
      <w:tblPr>
        <w:tblStyle w:val="88"/>
        <w:tblW w:w="9204"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476"/>
        <w:gridCol w:w="3864"/>
        <w:gridCol w:w="3864"/>
      </w:tblGrid>
      <w:tr w14:paraId="4678FF0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blHeader/>
          <w:jc w:val="center"/>
        </w:trPr>
        <w:tc>
          <w:tcPr>
            <w:tcW w:w="1476" w:type="dxa"/>
            <w:vAlign w:val="center"/>
          </w:tcPr>
          <w:p w14:paraId="0523F5D3">
            <w:pPr>
              <w:widowControl/>
              <w:adjustRightInd w:val="0"/>
              <w:snapToGrid w:val="0"/>
              <w:jc w:val="center"/>
              <w:textAlignment w:val="center"/>
              <w:rPr>
                <w:rFonts w:ascii="Times New Roman" w:hAnsi="Times New Roman"/>
                <w:b/>
                <w:bCs/>
                <w:szCs w:val="21"/>
              </w:rPr>
            </w:pPr>
            <w:r>
              <w:rPr>
                <w:rFonts w:ascii="Times New Roman" w:hAnsi="Times New Roman"/>
                <w:b/>
                <w:bCs/>
                <w:kern w:val="0"/>
                <w:szCs w:val="21"/>
                <w:lang w:bidi="ar"/>
              </w:rPr>
              <w:t>气象条件</w:t>
            </w:r>
          </w:p>
        </w:tc>
        <w:tc>
          <w:tcPr>
            <w:tcW w:w="3864" w:type="dxa"/>
            <w:vAlign w:val="center"/>
          </w:tcPr>
          <w:p w14:paraId="4F9A59CC">
            <w:pPr>
              <w:widowControl/>
              <w:adjustRightInd w:val="0"/>
              <w:snapToGrid w:val="0"/>
              <w:jc w:val="center"/>
              <w:textAlignment w:val="center"/>
              <w:rPr>
                <w:rFonts w:ascii="Times New Roman" w:hAnsi="Times New Roman"/>
                <w:b/>
                <w:bCs/>
                <w:szCs w:val="21"/>
              </w:rPr>
            </w:pPr>
            <w:r>
              <w:rPr>
                <w:rFonts w:ascii="Times New Roman" w:hAnsi="Times New Roman"/>
                <w:b/>
                <w:bCs/>
                <w:kern w:val="0"/>
                <w:szCs w:val="21"/>
                <w:lang w:bidi="ar"/>
              </w:rPr>
              <w:t>特征值</w:t>
            </w:r>
          </w:p>
        </w:tc>
        <w:tc>
          <w:tcPr>
            <w:tcW w:w="3864" w:type="dxa"/>
            <w:vAlign w:val="center"/>
          </w:tcPr>
          <w:p w14:paraId="6F73BF26">
            <w:pPr>
              <w:widowControl/>
              <w:adjustRightInd w:val="0"/>
              <w:snapToGrid w:val="0"/>
              <w:jc w:val="center"/>
              <w:textAlignment w:val="center"/>
              <w:rPr>
                <w:rFonts w:ascii="Times New Roman" w:hAnsi="Times New Roman"/>
                <w:b/>
                <w:bCs/>
                <w:szCs w:val="21"/>
              </w:rPr>
            </w:pPr>
            <w:r>
              <w:rPr>
                <w:rFonts w:ascii="Times New Roman" w:hAnsi="Times New Roman"/>
                <w:b/>
                <w:bCs/>
                <w:kern w:val="0"/>
                <w:szCs w:val="21"/>
                <w:lang w:bidi="ar"/>
              </w:rPr>
              <w:t>统计数据</w:t>
            </w:r>
          </w:p>
        </w:tc>
      </w:tr>
      <w:tr w14:paraId="2264649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76" w:type="dxa"/>
            <w:vMerge w:val="restart"/>
            <w:vAlign w:val="center"/>
          </w:tcPr>
          <w:p w14:paraId="2ADD8571">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气温</w:t>
            </w:r>
          </w:p>
        </w:tc>
        <w:tc>
          <w:tcPr>
            <w:tcW w:w="3864" w:type="dxa"/>
            <w:vAlign w:val="center"/>
          </w:tcPr>
          <w:p w14:paraId="0F551339">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全年平均气温</w:t>
            </w:r>
          </w:p>
        </w:tc>
        <w:tc>
          <w:tcPr>
            <w:tcW w:w="3864" w:type="dxa"/>
            <w:vAlign w:val="center"/>
          </w:tcPr>
          <w:p w14:paraId="4DCF3D02">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22.9℃</w:t>
            </w:r>
          </w:p>
        </w:tc>
      </w:tr>
      <w:tr w14:paraId="29690D4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76" w:type="dxa"/>
            <w:vMerge w:val="continue"/>
            <w:vAlign w:val="center"/>
          </w:tcPr>
          <w:p w14:paraId="0074FB03">
            <w:pPr>
              <w:adjustRightInd w:val="0"/>
              <w:snapToGrid w:val="0"/>
              <w:jc w:val="center"/>
              <w:rPr>
                <w:rFonts w:ascii="Times New Roman" w:hAnsi="Times New Roman"/>
                <w:szCs w:val="21"/>
              </w:rPr>
            </w:pPr>
          </w:p>
        </w:tc>
        <w:tc>
          <w:tcPr>
            <w:tcW w:w="3864" w:type="dxa"/>
            <w:vAlign w:val="center"/>
          </w:tcPr>
          <w:p w14:paraId="22CE4E00">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极端最高气温及出现时间</w:t>
            </w:r>
          </w:p>
        </w:tc>
        <w:tc>
          <w:tcPr>
            <w:tcW w:w="3864" w:type="dxa"/>
            <w:vAlign w:val="center"/>
          </w:tcPr>
          <w:p w14:paraId="5F931A69">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37.9℃（出现时间：2005.7.19）</w:t>
            </w:r>
          </w:p>
        </w:tc>
      </w:tr>
      <w:tr w14:paraId="606F5ED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76" w:type="dxa"/>
            <w:vMerge w:val="continue"/>
            <w:vAlign w:val="center"/>
          </w:tcPr>
          <w:p w14:paraId="3E2EC710">
            <w:pPr>
              <w:adjustRightInd w:val="0"/>
              <w:snapToGrid w:val="0"/>
              <w:jc w:val="center"/>
              <w:rPr>
                <w:rFonts w:ascii="Times New Roman" w:hAnsi="Times New Roman"/>
                <w:szCs w:val="21"/>
              </w:rPr>
            </w:pPr>
          </w:p>
        </w:tc>
        <w:tc>
          <w:tcPr>
            <w:tcW w:w="3864" w:type="dxa"/>
            <w:vAlign w:val="center"/>
          </w:tcPr>
          <w:p w14:paraId="23979717">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极端最低气温及出现时间</w:t>
            </w:r>
          </w:p>
        </w:tc>
        <w:tc>
          <w:tcPr>
            <w:tcW w:w="3864" w:type="dxa"/>
            <w:vAlign w:val="center"/>
          </w:tcPr>
          <w:p w14:paraId="098C24E0">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1.6℃（出现时间：2016.1.24）</w:t>
            </w:r>
          </w:p>
        </w:tc>
      </w:tr>
      <w:tr w14:paraId="327EDC3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76" w:type="dxa"/>
            <w:vMerge w:val="continue"/>
            <w:vAlign w:val="center"/>
          </w:tcPr>
          <w:p w14:paraId="2B966A86">
            <w:pPr>
              <w:adjustRightInd w:val="0"/>
              <w:snapToGrid w:val="0"/>
              <w:jc w:val="center"/>
              <w:rPr>
                <w:rFonts w:ascii="Times New Roman" w:hAnsi="Times New Roman"/>
                <w:szCs w:val="21"/>
              </w:rPr>
            </w:pPr>
          </w:p>
        </w:tc>
        <w:tc>
          <w:tcPr>
            <w:tcW w:w="3864" w:type="dxa"/>
            <w:vAlign w:val="center"/>
          </w:tcPr>
          <w:p w14:paraId="4481594A">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多年平均最高温</w:t>
            </w:r>
          </w:p>
        </w:tc>
        <w:tc>
          <w:tcPr>
            <w:tcW w:w="3864" w:type="dxa"/>
            <w:vAlign w:val="center"/>
          </w:tcPr>
          <w:p w14:paraId="314B5815">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36.9℃</w:t>
            </w:r>
          </w:p>
        </w:tc>
      </w:tr>
      <w:tr w14:paraId="6DDB655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76" w:type="dxa"/>
            <w:vMerge w:val="continue"/>
            <w:vAlign w:val="center"/>
          </w:tcPr>
          <w:p w14:paraId="47D23757">
            <w:pPr>
              <w:adjustRightInd w:val="0"/>
              <w:snapToGrid w:val="0"/>
              <w:jc w:val="center"/>
              <w:rPr>
                <w:rFonts w:ascii="Times New Roman" w:hAnsi="Times New Roman"/>
                <w:szCs w:val="21"/>
              </w:rPr>
            </w:pPr>
          </w:p>
        </w:tc>
        <w:tc>
          <w:tcPr>
            <w:tcW w:w="3864" w:type="dxa"/>
            <w:vAlign w:val="center"/>
          </w:tcPr>
          <w:p w14:paraId="66A1E1E4">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多年平均最低温</w:t>
            </w:r>
          </w:p>
        </w:tc>
        <w:tc>
          <w:tcPr>
            <w:tcW w:w="3864" w:type="dxa"/>
            <w:vAlign w:val="center"/>
          </w:tcPr>
          <w:p w14:paraId="6B63C722">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5.1℃</w:t>
            </w:r>
          </w:p>
        </w:tc>
      </w:tr>
      <w:tr w14:paraId="2EE5A2B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76" w:type="dxa"/>
            <w:vAlign w:val="center"/>
          </w:tcPr>
          <w:p w14:paraId="14CC0D3B">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气压</w:t>
            </w:r>
          </w:p>
        </w:tc>
        <w:tc>
          <w:tcPr>
            <w:tcW w:w="3864" w:type="dxa"/>
            <w:vAlign w:val="center"/>
          </w:tcPr>
          <w:p w14:paraId="73245AAF">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平均大气压</w:t>
            </w:r>
          </w:p>
        </w:tc>
        <w:tc>
          <w:tcPr>
            <w:tcW w:w="3864" w:type="dxa"/>
            <w:vAlign w:val="center"/>
          </w:tcPr>
          <w:p w14:paraId="54B7EC00">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1010.3hpa</w:t>
            </w:r>
          </w:p>
        </w:tc>
      </w:tr>
      <w:tr w14:paraId="0B7DD7B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76" w:type="dxa"/>
            <w:vAlign w:val="center"/>
          </w:tcPr>
          <w:p w14:paraId="3AA09489">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空气湿度</w:t>
            </w:r>
          </w:p>
        </w:tc>
        <w:tc>
          <w:tcPr>
            <w:tcW w:w="3864" w:type="dxa"/>
            <w:vAlign w:val="center"/>
          </w:tcPr>
          <w:p w14:paraId="3D6F12E1">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年平均相对湿度</w:t>
            </w:r>
          </w:p>
        </w:tc>
        <w:tc>
          <w:tcPr>
            <w:tcW w:w="3864" w:type="dxa"/>
            <w:vAlign w:val="center"/>
          </w:tcPr>
          <w:p w14:paraId="693403AC">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78.10%</w:t>
            </w:r>
          </w:p>
        </w:tc>
      </w:tr>
      <w:tr w14:paraId="2207ADB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76" w:type="dxa"/>
            <w:vMerge w:val="restart"/>
            <w:vAlign w:val="center"/>
          </w:tcPr>
          <w:p w14:paraId="75C884F4">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降雨量</w:t>
            </w:r>
          </w:p>
        </w:tc>
        <w:tc>
          <w:tcPr>
            <w:tcW w:w="3864" w:type="dxa"/>
            <w:vAlign w:val="center"/>
          </w:tcPr>
          <w:p w14:paraId="28A174CF">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年平均降雨量</w:t>
            </w:r>
          </w:p>
        </w:tc>
        <w:tc>
          <w:tcPr>
            <w:tcW w:w="3864" w:type="dxa"/>
            <w:vAlign w:val="center"/>
          </w:tcPr>
          <w:p w14:paraId="550AFFE4">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2203.7mm</w:t>
            </w:r>
          </w:p>
        </w:tc>
      </w:tr>
      <w:tr w14:paraId="68CE233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76" w:type="dxa"/>
            <w:vMerge w:val="continue"/>
            <w:vAlign w:val="center"/>
          </w:tcPr>
          <w:p w14:paraId="1BA0F252">
            <w:pPr>
              <w:adjustRightInd w:val="0"/>
              <w:snapToGrid w:val="0"/>
              <w:jc w:val="center"/>
              <w:rPr>
                <w:rFonts w:ascii="Times New Roman" w:hAnsi="Times New Roman"/>
                <w:szCs w:val="21"/>
              </w:rPr>
            </w:pPr>
          </w:p>
        </w:tc>
        <w:tc>
          <w:tcPr>
            <w:tcW w:w="3864" w:type="dxa"/>
            <w:vAlign w:val="center"/>
          </w:tcPr>
          <w:p w14:paraId="087CF248">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最大日降水量</w:t>
            </w:r>
          </w:p>
        </w:tc>
        <w:tc>
          <w:tcPr>
            <w:tcW w:w="3864" w:type="dxa"/>
            <w:vAlign w:val="center"/>
          </w:tcPr>
          <w:p w14:paraId="3C677A5D">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380.5mm</w:t>
            </w:r>
          </w:p>
        </w:tc>
      </w:tr>
      <w:tr w14:paraId="7F2B349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76" w:type="dxa"/>
            <w:vMerge w:val="continue"/>
            <w:vAlign w:val="center"/>
          </w:tcPr>
          <w:p w14:paraId="4728EDBC">
            <w:pPr>
              <w:adjustRightInd w:val="0"/>
              <w:snapToGrid w:val="0"/>
              <w:jc w:val="center"/>
              <w:rPr>
                <w:rFonts w:ascii="Times New Roman" w:hAnsi="Times New Roman"/>
                <w:szCs w:val="21"/>
              </w:rPr>
            </w:pPr>
          </w:p>
        </w:tc>
        <w:tc>
          <w:tcPr>
            <w:tcW w:w="3864" w:type="dxa"/>
            <w:vAlign w:val="center"/>
          </w:tcPr>
          <w:p w14:paraId="08352476">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最小年降水量</w:t>
            </w:r>
          </w:p>
        </w:tc>
        <w:tc>
          <w:tcPr>
            <w:tcW w:w="3864" w:type="dxa"/>
            <w:vAlign w:val="center"/>
          </w:tcPr>
          <w:p w14:paraId="79C46A34">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1634.8mm</w:t>
            </w:r>
          </w:p>
        </w:tc>
      </w:tr>
      <w:tr w14:paraId="4486378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76" w:type="dxa"/>
            <w:vMerge w:val="restart"/>
            <w:vAlign w:val="center"/>
          </w:tcPr>
          <w:p w14:paraId="378D6DAE">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风向和频率</w:t>
            </w:r>
          </w:p>
        </w:tc>
        <w:tc>
          <w:tcPr>
            <w:tcW w:w="3864" w:type="dxa"/>
            <w:vAlign w:val="center"/>
          </w:tcPr>
          <w:p w14:paraId="47B58A8C">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全年主导风向和频率</w:t>
            </w:r>
          </w:p>
        </w:tc>
        <w:tc>
          <w:tcPr>
            <w:tcW w:w="3864" w:type="dxa"/>
            <w:vAlign w:val="center"/>
          </w:tcPr>
          <w:p w14:paraId="1A90EAA3">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N，21%</w:t>
            </w:r>
          </w:p>
        </w:tc>
      </w:tr>
      <w:tr w14:paraId="031898A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76" w:type="dxa"/>
            <w:vMerge w:val="continue"/>
            <w:vAlign w:val="center"/>
          </w:tcPr>
          <w:p w14:paraId="6C0CCE05">
            <w:pPr>
              <w:adjustRightInd w:val="0"/>
              <w:snapToGrid w:val="0"/>
              <w:jc w:val="center"/>
              <w:rPr>
                <w:rFonts w:ascii="Times New Roman" w:hAnsi="Times New Roman"/>
                <w:szCs w:val="21"/>
              </w:rPr>
            </w:pPr>
          </w:p>
        </w:tc>
        <w:tc>
          <w:tcPr>
            <w:tcW w:w="3864" w:type="dxa"/>
            <w:vAlign w:val="center"/>
          </w:tcPr>
          <w:p w14:paraId="42487473">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静风频率</w:t>
            </w:r>
          </w:p>
        </w:tc>
        <w:tc>
          <w:tcPr>
            <w:tcW w:w="3864" w:type="dxa"/>
            <w:vAlign w:val="center"/>
          </w:tcPr>
          <w:p w14:paraId="70A84980">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5.70%</w:t>
            </w:r>
          </w:p>
        </w:tc>
      </w:tr>
      <w:tr w14:paraId="7987D52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76" w:type="dxa"/>
            <w:vMerge w:val="restart"/>
            <w:vAlign w:val="center"/>
          </w:tcPr>
          <w:p w14:paraId="61A520E6">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风速</w:t>
            </w:r>
          </w:p>
        </w:tc>
        <w:tc>
          <w:tcPr>
            <w:tcW w:w="3864" w:type="dxa"/>
            <w:vAlign w:val="center"/>
          </w:tcPr>
          <w:p w14:paraId="16EBF66B">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平均风速</w:t>
            </w:r>
          </w:p>
        </w:tc>
        <w:tc>
          <w:tcPr>
            <w:tcW w:w="3864" w:type="dxa"/>
            <w:vAlign w:val="center"/>
          </w:tcPr>
          <w:p w14:paraId="75592FB3">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2.2m/s</w:t>
            </w:r>
          </w:p>
        </w:tc>
      </w:tr>
      <w:tr w14:paraId="7D1ECBB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76" w:type="dxa"/>
            <w:vMerge w:val="continue"/>
            <w:vAlign w:val="center"/>
          </w:tcPr>
          <w:p w14:paraId="6B08D4AA">
            <w:pPr>
              <w:adjustRightInd w:val="0"/>
              <w:snapToGrid w:val="0"/>
              <w:jc w:val="center"/>
              <w:rPr>
                <w:rFonts w:ascii="Times New Roman" w:hAnsi="Times New Roman"/>
                <w:szCs w:val="21"/>
              </w:rPr>
            </w:pPr>
          </w:p>
        </w:tc>
        <w:tc>
          <w:tcPr>
            <w:tcW w:w="3864" w:type="dxa"/>
            <w:vAlign w:val="center"/>
          </w:tcPr>
          <w:p w14:paraId="4CD37112">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极大风速及出现时间</w:t>
            </w:r>
          </w:p>
        </w:tc>
        <w:tc>
          <w:tcPr>
            <w:tcW w:w="3864" w:type="dxa"/>
            <w:vAlign w:val="center"/>
          </w:tcPr>
          <w:p w14:paraId="66A5AE5B">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24.6m/s （出现时间：2019.9.14）</w:t>
            </w:r>
          </w:p>
        </w:tc>
      </w:tr>
    </w:tbl>
    <w:p w14:paraId="2179686C">
      <w:pPr>
        <w:pStyle w:val="6"/>
        <w:numPr>
          <w:ilvl w:val="2"/>
          <w:numId w:val="3"/>
        </w:numPr>
      </w:pPr>
      <w:r>
        <w:t>预测因子</w:t>
      </w:r>
    </w:p>
    <w:p w14:paraId="49A7BB58">
      <w:pPr>
        <w:spacing w:line="360" w:lineRule="auto"/>
        <w:ind w:firstLine="480" w:firstLineChars="200"/>
        <w:rPr>
          <w:rFonts w:ascii="Times New Roman" w:hAnsi="Times New Roman"/>
          <w:sz w:val="24"/>
          <w:szCs w:val="24"/>
        </w:rPr>
      </w:pPr>
      <w:r>
        <w:rPr>
          <w:rFonts w:ascii="Times New Roman" w:hAnsi="Times New Roman"/>
          <w:sz w:val="24"/>
          <w:szCs w:val="24"/>
        </w:rPr>
        <w:t>根据工程分析，项目工程产生的废气污染物主要为项目产生的废气，主要是烘干炉燃生物质燃料烟气、生产车间内产生的含矿粉尘、原料及产品等物料运输的扬尘。</w:t>
      </w:r>
      <w:r>
        <w:rPr>
          <w:rFonts w:ascii="Times New Roman" w:hAnsi="Times New Roman"/>
          <w:spacing w:val="-2"/>
          <w:kern w:val="0"/>
          <w:sz w:val="24"/>
          <w:szCs w:val="24"/>
        </w:rPr>
        <w:t>烘干炉烟气采用袋式除尘系统处理达标后引至1</w:t>
      </w:r>
      <w:r>
        <w:rPr>
          <w:rFonts w:hint="eastAsia" w:ascii="Times New Roman" w:hAnsi="Times New Roman"/>
          <w:spacing w:val="-2"/>
          <w:kern w:val="0"/>
          <w:sz w:val="24"/>
          <w:szCs w:val="24"/>
        </w:rPr>
        <w:t>9</w:t>
      </w:r>
      <w:r>
        <w:rPr>
          <w:rFonts w:ascii="Times New Roman" w:hAnsi="Times New Roman"/>
          <w:spacing w:val="-2"/>
          <w:kern w:val="0"/>
          <w:sz w:val="24"/>
          <w:szCs w:val="24"/>
        </w:rPr>
        <w:t>m高的排气筒（DA001）排放；</w:t>
      </w:r>
      <w:r>
        <w:rPr>
          <w:rFonts w:hint="eastAsia" w:ascii="Times New Roman" w:hAnsi="Times New Roman"/>
          <w:spacing w:val="-2"/>
          <w:kern w:val="0"/>
          <w:sz w:val="24"/>
          <w:szCs w:val="24"/>
        </w:rPr>
        <w:t>1#原料处理</w:t>
      </w:r>
      <w:r>
        <w:rPr>
          <w:rFonts w:ascii="Times New Roman" w:hAnsi="Times New Roman"/>
          <w:spacing w:val="-2"/>
          <w:kern w:val="0"/>
          <w:sz w:val="24"/>
          <w:szCs w:val="24"/>
        </w:rPr>
        <w:t>车间粉尘采用袋式除尘系统处理达标后引至1</w:t>
      </w:r>
      <w:r>
        <w:rPr>
          <w:rFonts w:hint="eastAsia" w:ascii="Times New Roman" w:hAnsi="Times New Roman"/>
          <w:spacing w:val="-2"/>
          <w:kern w:val="0"/>
          <w:sz w:val="24"/>
          <w:szCs w:val="24"/>
        </w:rPr>
        <w:t>9</w:t>
      </w:r>
      <w:r>
        <w:rPr>
          <w:rFonts w:ascii="Times New Roman" w:hAnsi="Times New Roman"/>
          <w:spacing w:val="-2"/>
          <w:kern w:val="0"/>
          <w:sz w:val="24"/>
          <w:szCs w:val="24"/>
        </w:rPr>
        <w:t>m高的排气筒（DA002）排放；</w:t>
      </w:r>
      <w:r>
        <w:rPr>
          <w:rFonts w:hint="eastAsia" w:ascii="Times New Roman" w:hAnsi="Times New Roman"/>
          <w:spacing w:val="-2"/>
          <w:kern w:val="0"/>
          <w:sz w:val="24"/>
          <w:szCs w:val="24"/>
        </w:rPr>
        <w:t>2#分选</w:t>
      </w:r>
      <w:r>
        <w:rPr>
          <w:rFonts w:ascii="Times New Roman" w:hAnsi="Times New Roman"/>
          <w:spacing w:val="-2"/>
          <w:kern w:val="0"/>
          <w:sz w:val="24"/>
          <w:szCs w:val="24"/>
        </w:rPr>
        <w:t>车间粉尘采用袋式除尘系统处理达标后引至1</w:t>
      </w:r>
      <w:r>
        <w:rPr>
          <w:rFonts w:hint="eastAsia" w:ascii="Times New Roman" w:hAnsi="Times New Roman"/>
          <w:spacing w:val="-2"/>
          <w:kern w:val="0"/>
          <w:sz w:val="24"/>
          <w:szCs w:val="24"/>
        </w:rPr>
        <w:t>9</w:t>
      </w:r>
      <w:r>
        <w:rPr>
          <w:rFonts w:ascii="Times New Roman" w:hAnsi="Times New Roman"/>
          <w:spacing w:val="-2"/>
          <w:kern w:val="0"/>
          <w:sz w:val="24"/>
          <w:szCs w:val="24"/>
        </w:rPr>
        <w:t>m高的排气筒（DA00</w:t>
      </w:r>
      <w:r>
        <w:rPr>
          <w:rFonts w:hint="eastAsia" w:ascii="Times New Roman" w:hAnsi="Times New Roman"/>
          <w:spacing w:val="-2"/>
          <w:kern w:val="0"/>
          <w:sz w:val="24"/>
          <w:szCs w:val="24"/>
        </w:rPr>
        <w:t>3</w:t>
      </w:r>
      <w:r>
        <w:rPr>
          <w:rFonts w:ascii="Times New Roman" w:hAnsi="Times New Roman"/>
          <w:spacing w:val="-2"/>
          <w:kern w:val="0"/>
          <w:sz w:val="24"/>
          <w:szCs w:val="24"/>
        </w:rPr>
        <w:t>）排放；</w:t>
      </w:r>
      <w:r>
        <w:rPr>
          <w:rFonts w:hint="eastAsia" w:ascii="Times New Roman" w:hAnsi="Times New Roman"/>
          <w:spacing w:val="-2"/>
          <w:kern w:val="0"/>
          <w:sz w:val="24"/>
          <w:szCs w:val="24"/>
        </w:rPr>
        <w:t>厂房内逸散粉尘、</w:t>
      </w:r>
      <w:r>
        <w:rPr>
          <w:rFonts w:ascii="Times New Roman" w:hAnsi="Times New Roman"/>
          <w:spacing w:val="-2"/>
          <w:kern w:val="0"/>
          <w:sz w:val="24"/>
          <w:szCs w:val="24"/>
        </w:rPr>
        <w:t>物料运输扬尘以无组织排放。</w:t>
      </w:r>
    </w:p>
    <w:p w14:paraId="42CAFD14">
      <w:pPr>
        <w:spacing w:line="360" w:lineRule="auto"/>
        <w:ind w:firstLine="480" w:firstLineChars="200"/>
        <w:rPr>
          <w:rFonts w:ascii="Times New Roman" w:hAnsi="Times New Roman"/>
          <w:sz w:val="24"/>
          <w:szCs w:val="24"/>
        </w:rPr>
      </w:pPr>
      <w:r>
        <w:rPr>
          <w:rFonts w:ascii="Times New Roman" w:hAnsi="Times New Roman"/>
          <w:sz w:val="24"/>
          <w:szCs w:val="24"/>
        </w:rPr>
        <w:t>根据《环境影响评价技术导则 大气环境》（HJ2.2-2018）的要求及本项目的特点，大气预测主要考虑项目完成后排放的常规污染物和特征污染物对评价区和环境空气敏感点的最大影响，预测因子为</w:t>
      </w:r>
      <w:r>
        <w:rPr>
          <w:rFonts w:ascii="Times New Roman" w:hAnsi="Times New Roman"/>
          <w:spacing w:val="-2"/>
          <w:kern w:val="0"/>
          <w:sz w:val="24"/>
          <w:szCs w:val="24"/>
        </w:rPr>
        <w:t>SO</w:t>
      </w:r>
      <w:r>
        <w:rPr>
          <w:rFonts w:ascii="Times New Roman" w:hAnsi="Times New Roman"/>
          <w:spacing w:val="-2"/>
          <w:kern w:val="0"/>
          <w:sz w:val="24"/>
          <w:szCs w:val="24"/>
          <w:vertAlign w:val="subscript"/>
        </w:rPr>
        <w:t>2</w:t>
      </w:r>
      <w:r>
        <w:rPr>
          <w:rFonts w:ascii="Times New Roman" w:hAnsi="Times New Roman"/>
          <w:spacing w:val="-2"/>
          <w:kern w:val="0"/>
          <w:sz w:val="24"/>
          <w:szCs w:val="24"/>
        </w:rPr>
        <w:t>、</w:t>
      </w:r>
      <w:r>
        <w:rPr>
          <w:rFonts w:ascii="Times New Roman" w:hAnsi="Times New Roman"/>
          <w:sz w:val="24"/>
          <w:szCs w:val="24"/>
        </w:rPr>
        <w:t>NO</w:t>
      </w:r>
      <w:r>
        <w:rPr>
          <w:rFonts w:ascii="Times New Roman" w:hAnsi="Times New Roman"/>
          <w:sz w:val="24"/>
          <w:szCs w:val="24"/>
          <w:vertAlign w:val="subscript"/>
        </w:rPr>
        <w:t>X</w:t>
      </w:r>
      <w:r>
        <w:rPr>
          <w:rFonts w:ascii="Times New Roman" w:hAnsi="Times New Roman"/>
          <w:sz w:val="24"/>
          <w:szCs w:val="24"/>
        </w:rPr>
        <w:t>、PM</w:t>
      </w:r>
      <w:r>
        <w:rPr>
          <w:rFonts w:ascii="Times New Roman" w:hAnsi="Times New Roman"/>
          <w:sz w:val="24"/>
          <w:szCs w:val="24"/>
          <w:vertAlign w:val="subscript"/>
        </w:rPr>
        <w:t>10</w:t>
      </w:r>
      <w:r>
        <w:rPr>
          <w:rFonts w:hint="eastAsia" w:ascii="Times New Roman" w:hAnsi="Times New Roman"/>
          <w:sz w:val="24"/>
          <w:szCs w:val="24"/>
        </w:rPr>
        <w:t>、</w:t>
      </w:r>
      <w:r>
        <w:rPr>
          <w:rFonts w:ascii="Times New Roman" w:hAnsi="Times New Roman"/>
          <w:sz w:val="24"/>
          <w:szCs w:val="24"/>
        </w:rPr>
        <w:t>TSP。</w:t>
      </w:r>
    </w:p>
    <w:p w14:paraId="005BC781">
      <w:pPr>
        <w:pStyle w:val="6"/>
        <w:numPr>
          <w:ilvl w:val="2"/>
          <w:numId w:val="3"/>
        </w:numPr>
      </w:pPr>
      <w:r>
        <w:t>评价标准</w:t>
      </w:r>
    </w:p>
    <w:p w14:paraId="5C014E2B">
      <w:pPr>
        <w:spacing w:line="360" w:lineRule="auto"/>
        <w:ind w:firstLine="472" w:firstLineChars="200"/>
        <w:rPr>
          <w:rFonts w:ascii="Times New Roman" w:hAnsi="Times New Roman"/>
          <w:sz w:val="24"/>
          <w:szCs w:val="24"/>
        </w:rPr>
      </w:pPr>
      <w:r>
        <w:rPr>
          <w:rFonts w:ascii="Times New Roman" w:hAnsi="Times New Roman"/>
          <w:spacing w:val="-2"/>
          <w:kern w:val="0"/>
          <w:sz w:val="24"/>
          <w:szCs w:val="24"/>
        </w:rPr>
        <w:t>SO</w:t>
      </w:r>
      <w:r>
        <w:rPr>
          <w:rFonts w:ascii="Times New Roman" w:hAnsi="Times New Roman"/>
          <w:spacing w:val="-2"/>
          <w:kern w:val="0"/>
          <w:sz w:val="24"/>
          <w:szCs w:val="24"/>
          <w:vertAlign w:val="subscript"/>
        </w:rPr>
        <w:t>2</w:t>
      </w:r>
      <w:r>
        <w:rPr>
          <w:rFonts w:ascii="Times New Roman" w:hAnsi="Times New Roman"/>
          <w:spacing w:val="-2"/>
          <w:kern w:val="0"/>
          <w:sz w:val="24"/>
          <w:szCs w:val="24"/>
        </w:rPr>
        <w:t>、</w:t>
      </w:r>
      <w:r>
        <w:rPr>
          <w:rFonts w:ascii="Times New Roman" w:hAnsi="Times New Roman"/>
          <w:sz w:val="24"/>
          <w:szCs w:val="24"/>
        </w:rPr>
        <w:t>NO</w:t>
      </w:r>
      <w:r>
        <w:rPr>
          <w:rFonts w:ascii="Times New Roman" w:hAnsi="Times New Roman"/>
          <w:sz w:val="24"/>
          <w:szCs w:val="24"/>
          <w:vertAlign w:val="subscript"/>
        </w:rPr>
        <w:t>X</w:t>
      </w:r>
      <w:r>
        <w:rPr>
          <w:rFonts w:ascii="Times New Roman" w:hAnsi="Times New Roman"/>
          <w:sz w:val="24"/>
          <w:szCs w:val="24"/>
        </w:rPr>
        <w:t>、PM</w:t>
      </w:r>
      <w:r>
        <w:rPr>
          <w:rFonts w:ascii="Times New Roman" w:hAnsi="Times New Roman"/>
          <w:sz w:val="24"/>
          <w:szCs w:val="24"/>
          <w:vertAlign w:val="subscript"/>
        </w:rPr>
        <w:t>10</w:t>
      </w:r>
      <w:r>
        <w:rPr>
          <w:rFonts w:hint="eastAsia" w:ascii="Times New Roman" w:hAnsi="Times New Roman"/>
          <w:sz w:val="24"/>
          <w:szCs w:val="24"/>
        </w:rPr>
        <w:t>、</w:t>
      </w:r>
      <w:r>
        <w:rPr>
          <w:rFonts w:ascii="Times New Roman" w:hAnsi="Times New Roman"/>
          <w:sz w:val="24"/>
          <w:szCs w:val="24"/>
        </w:rPr>
        <w:t>TSP预测评价标准采用《环境空气质量标准》（GB3095-2012）浓度限值。标准值见表4.2-2。</w:t>
      </w:r>
    </w:p>
    <w:p w14:paraId="3920AB34">
      <w:pPr>
        <w:pStyle w:val="8"/>
        <w:numPr>
          <w:ilvl w:val="4"/>
          <w:numId w:val="3"/>
        </w:numPr>
        <w:rPr>
          <w:sz w:val="24"/>
          <w:szCs w:val="24"/>
        </w:rPr>
      </w:pPr>
      <w:r>
        <w:rPr>
          <w:sz w:val="24"/>
          <w:szCs w:val="24"/>
        </w:rPr>
        <w:t>大气污染物预测评价标准限值一览表</w:t>
      </w:r>
    </w:p>
    <w:tbl>
      <w:tblPr>
        <w:tblStyle w:val="88"/>
        <w:tblW w:w="852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76"/>
        <w:gridCol w:w="2149"/>
        <w:gridCol w:w="1655"/>
        <w:gridCol w:w="1287"/>
        <w:gridCol w:w="2055"/>
      </w:tblGrid>
      <w:tr w14:paraId="7ABF4E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tblHeader/>
          <w:jc w:val="center"/>
        </w:trPr>
        <w:tc>
          <w:tcPr>
            <w:tcW w:w="1376" w:type="dxa"/>
            <w:vAlign w:val="center"/>
          </w:tcPr>
          <w:p w14:paraId="3554BB1D">
            <w:pPr>
              <w:adjustRightInd w:val="0"/>
              <w:snapToGrid w:val="0"/>
              <w:jc w:val="center"/>
              <w:rPr>
                <w:rFonts w:ascii="Times New Roman" w:hAnsi="Times New Roman"/>
                <w:szCs w:val="21"/>
              </w:rPr>
            </w:pPr>
            <w:r>
              <w:rPr>
                <w:rFonts w:ascii="Times New Roman" w:hAnsi="Times New Roman"/>
                <w:szCs w:val="21"/>
              </w:rPr>
              <w:t>污染物项目</w:t>
            </w:r>
          </w:p>
        </w:tc>
        <w:tc>
          <w:tcPr>
            <w:tcW w:w="2149" w:type="dxa"/>
            <w:vAlign w:val="center"/>
          </w:tcPr>
          <w:p w14:paraId="0E9B1D7B">
            <w:pPr>
              <w:adjustRightInd w:val="0"/>
              <w:snapToGrid w:val="0"/>
              <w:ind w:left="861" w:hanging="861"/>
              <w:jc w:val="center"/>
              <w:rPr>
                <w:rFonts w:ascii="Times New Roman" w:hAnsi="Times New Roman"/>
                <w:szCs w:val="21"/>
              </w:rPr>
            </w:pPr>
            <w:r>
              <w:rPr>
                <w:rFonts w:ascii="Times New Roman" w:hAnsi="Times New Roman"/>
                <w:szCs w:val="21"/>
              </w:rPr>
              <w:t>平均时间</w:t>
            </w:r>
          </w:p>
        </w:tc>
        <w:tc>
          <w:tcPr>
            <w:tcW w:w="1655" w:type="dxa"/>
            <w:vAlign w:val="center"/>
          </w:tcPr>
          <w:p w14:paraId="6FC6B845">
            <w:pPr>
              <w:adjustRightInd w:val="0"/>
              <w:snapToGrid w:val="0"/>
              <w:ind w:left="861" w:hanging="861"/>
              <w:jc w:val="center"/>
              <w:rPr>
                <w:rFonts w:ascii="Times New Roman" w:hAnsi="Times New Roman"/>
                <w:szCs w:val="21"/>
              </w:rPr>
            </w:pPr>
            <w:r>
              <w:rPr>
                <w:rFonts w:ascii="Times New Roman" w:hAnsi="Times New Roman"/>
                <w:szCs w:val="21"/>
              </w:rPr>
              <w:t>二级浓度限值</w:t>
            </w:r>
          </w:p>
        </w:tc>
        <w:tc>
          <w:tcPr>
            <w:tcW w:w="1287" w:type="dxa"/>
            <w:vAlign w:val="center"/>
          </w:tcPr>
          <w:p w14:paraId="35981EEF">
            <w:pPr>
              <w:adjustRightInd w:val="0"/>
              <w:snapToGrid w:val="0"/>
              <w:ind w:left="861" w:hanging="861"/>
              <w:jc w:val="center"/>
              <w:rPr>
                <w:rFonts w:ascii="Times New Roman" w:hAnsi="Times New Roman"/>
                <w:szCs w:val="21"/>
              </w:rPr>
            </w:pPr>
            <w:r>
              <w:rPr>
                <w:rFonts w:ascii="Times New Roman" w:hAnsi="Times New Roman"/>
                <w:szCs w:val="21"/>
              </w:rPr>
              <w:t>单位</w:t>
            </w:r>
          </w:p>
        </w:tc>
        <w:tc>
          <w:tcPr>
            <w:tcW w:w="2055" w:type="dxa"/>
            <w:vAlign w:val="center"/>
          </w:tcPr>
          <w:p w14:paraId="27E79802">
            <w:pPr>
              <w:adjustRightInd w:val="0"/>
              <w:snapToGrid w:val="0"/>
              <w:ind w:left="861" w:hanging="861"/>
              <w:jc w:val="center"/>
              <w:rPr>
                <w:rFonts w:ascii="Times New Roman" w:hAnsi="Times New Roman"/>
                <w:szCs w:val="21"/>
              </w:rPr>
            </w:pPr>
            <w:r>
              <w:rPr>
                <w:rFonts w:ascii="Times New Roman" w:hAnsi="Times New Roman"/>
                <w:szCs w:val="21"/>
              </w:rPr>
              <w:t>标准来源</w:t>
            </w:r>
          </w:p>
        </w:tc>
      </w:tr>
      <w:tr w14:paraId="43C15F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tblHeader/>
          <w:jc w:val="center"/>
        </w:trPr>
        <w:tc>
          <w:tcPr>
            <w:tcW w:w="1376" w:type="dxa"/>
            <w:vMerge w:val="restart"/>
            <w:vAlign w:val="center"/>
          </w:tcPr>
          <w:p w14:paraId="183D2DA3">
            <w:pPr>
              <w:adjustRightInd w:val="0"/>
              <w:snapToGrid w:val="0"/>
              <w:jc w:val="center"/>
              <w:rPr>
                <w:rFonts w:ascii="Times New Roman" w:hAnsi="Times New Roman"/>
                <w:szCs w:val="21"/>
              </w:rPr>
            </w:pPr>
            <w:r>
              <w:rPr>
                <w:rFonts w:ascii="Times New Roman" w:hAnsi="Times New Roman"/>
                <w:szCs w:val="21"/>
              </w:rPr>
              <w:t>SO</w:t>
            </w:r>
            <w:r>
              <w:rPr>
                <w:rFonts w:ascii="Times New Roman" w:hAnsi="Times New Roman"/>
                <w:szCs w:val="21"/>
                <w:vertAlign w:val="subscript"/>
              </w:rPr>
              <w:t>2</w:t>
            </w:r>
          </w:p>
        </w:tc>
        <w:tc>
          <w:tcPr>
            <w:tcW w:w="2149" w:type="dxa"/>
            <w:vAlign w:val="center"/>
          </w:tcPr>
          <w:p w14:paraId="7E0C92DD">
            <w:pPr>
              <w:snapToGrid w:val="0"/>
              <w:jc w:val="center"/>
              <w:rPr>
                <w:rFonts w:ascii="Times New Roman" w:hAnsi="Times New Roman"/>
                <w:szCs w:val="21"/>
              </w:rPr>
            </w:pPr>
            <w:r>
              <w:rPr>
                <w:rFonts w:ascii="Times New Roman" w:hAnsi="Times New Roman"/>
                <w:szCs w:val="21"/>
              </w:rPr>
              <w:t>1小时平均</w:t>
            </w:r>
          </w:p>
        </w:tc>
        <w:tc>
          <w:tcPr>
            <w:tcW w:w="1655" w:type="dxa"/>
            <w:vAlign w:val="center"/>
          </w:tcPr>
          <w:p w14:paraId="436B2185">
            <w:pPr>
              <w:adjustRightInd w:val="0"/>
              <w:snapToGrid w:val="0"/>
              <w:ind w:left="861" w:hanging="861"/>
              <w:jc w:val="center"/>
              <w:rPr>
                <w:rFonts w:ascii="Times New Roman" w:hAnsi="Times New Roman"/>
                <w:szCs w:val="21"/>
              </w:rPr>
            </w:pPr>
            <w:r>
              <w:rPr>
                <w:rFonts w:ascii="Times New Roman" w:hAnsi="Times New Roman"/>
                <w:szCs w:val="21"/>
              </w:rPr>
              <w:t>500</w:t>
            </w:r>
          </w:p>
        </w:tc>
        <w:tc>
          <w:tcPr>
            <w:tcW w:w="1287" w:type="dxa"/>
            <w:vMerge w:val="restart"/>
            <w:vAlign w:val="center"/>
          </w:tcPr>
          <w:p w14:paraId="7FF1C141">
            <w:pPr>
              <w:adjustRightInd w:val="0"/>
              <w:snapToGrid w:val="0"/>
              <w:ind w:left="861" w:hanging="861"/>
              <w:jc w:val="center"/>
              <w:rPr>
                <w:rFonts w:ascii="Times New Roman" w:hAnsi="Times New Roman"/>
                <w:szCs w:val="21"/>
              </w:rPr>
            </w:pPr>
            <w:r>
              <w:rPr>
                <w:rFonts w:ascii="Times New Roman" w:hAnsi="Times New Roman"/>
                <w:szCs w:val="21"/>
              </w:rPr>
              <w:t>μg/m</w:t>
            </w:r>
            <w:r>
              <w:rPr>
                <w:rFonts w:ascii="Times New Roman" w:hAnsi="Times New Roman"/>
                <w:szCs w:val="21"/>
                <w:vertAlign w:val="superscript"/>
              </w:rPr>
              <w:t>3</w:t>
            </w:r>
          </w:p>
        </w:tc>
        <w:tc>
          <w:tcPr>
            <w:tcW w:w="2055" w:type="dxa"/>
            <w:vMerge w:val="restart"/>
            <w:vAlign w:val="center"/>
          </w:tcPr>
          <w:p w14:paraId="788FE7ED">
            <w:pPr>
              <w:wordWrap w:val="0"/>
              <w:adjustRightInd w:val="0"/>
              <w:snapToGrid w:val="0"/>
              <w:jc w:val="center"/>
              <w:rPr>
                <w:rFonts w:ascii="Times New Roman" w:hAnsi="Times New Roman"/>
                <w:szCs w:val="21"/>
              </w:rPr>
            </w:pPr>
            <w:r>
              <w:rPr>
                <w:rFonts w:ascii="Times New Roman" w:hAnsi="Times New Roman"/>
                <w:szCs w:val="21"/>
              </w:rPr>
              <w:t>《环境空气质量标准》（GB3095-2012）浓度限值</w:t>
            </w:r>
          </w:p>
        </w:tc>
      </w:tr>
      <w:tr w14:paraId="18A338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tblHeader/>
          <w:jc w:val="center"/>
        </w:trPr>
        <w:tc>
          <w:tcPr>
            <w:tcW w:w="1376" w:type="dxa"/>
            <w:vMerge w:val="continue"/>
            <w:vAlign w:val="center"/>
          </w:tcPr>
          <w:p w14:paraId="6C6ACAA7">
            <w:pPr>
              <w:adjustRightInd w:val="0"/>
              <w:snapToGrid w:val="0"/>
              <w:jc w:val="center"/>
              <w:rPr>
                <w:rFonts w:ascii="Times New Roman" w:hAnsi="Times New Roman"/>
                <w:szCs w:val="21"/>
              </w:rPr>
            </w:pPr>
          </w:p>
        </w:tc>
        <w:tc>
          <w:tcPr>
            <w:tcW w:w="2149" w:type="dxa"/>
            <w:vAlign w:val="center"/>
          </w:tcPr>
          <w:p w14:paraId="57ED50D1">
            <w:pPr>
              <w:snapToGrid w:val="0"/>
              <w:jc w:val="center"/>
              <w:rPr>
                <w:rFonts w:ascii="Times New Roman" w:hAnsi="Times New Roman"/>
                <w:szCs w:val="21"/>
              </w:rPr>
            </w:pPr>
            <w:r>
              <w:rPr>
                <w:rFonts w:ascii="Times New Roman" w:hAnsi="Times New Roman"/>
                <w:szCs w:val="21"/>
              </w:rPr>
              <w:t>24小时平均</w:t>
            </w:r>
          </w:p>
        </w:tc>
        <w:tc>
          <w:tcPr>
            <w:tcW w:w="1655" w:type="dxa"/>
            <w:vAlign w:val="center"/>
          </w:tcPr>
          <w:p w14:paraId="46424E59">
            <w:pPr>
              <w:adjustRightInd w:val="0"/>
              <w:snapToGrid w:val="0"/>
              <w:ind w:left="861" w:hanging="861"/>
              <w:jc w:val="center"/>
              <w:rPr>
                <w:rFonts w:ascii="Times New Roman" w:hAnsi="Times New Roman"/>
                <w:szCs w:val="21"/>
              </w:rPr>
            </w:pPr>
            <w:r>
              <w:rPr>
                <w:rFonts w:ascii="Times New Roman" w:hAnsi="Times New Roman"/>
                <w:szCs w:val="21"/>
              </w:rPr>
              <w:t>150</w:t>
            </w:r>
          </w:p>
        </w:tc>
        <w:tc>
          <w:tcPr>
            <w:tcW w:w="1287" w:type="dxa"/>
            <w:vMerge w:val="continue"/>
            <w:vAlign w:val="center"/>
          </w:tcPr>
          <w:p w14:paraId="78C47FCD">
            <w:pPr>
              <w:adjustRightInd w:val="0"/>
              <w:snapToGrid w:val="0"/>
              <w:ind w:left="861" w:hanging="861"/>
              <w:jc w:val="center"/>
              <w:rPr>
                <w:rFonts w:ascii="Times New Roman" w:hAnsi="Times New Roman"/>
                <w:szCs w:val="21"/>
              </w:rPr>
            </w:pPr>
          </w:p>
        </w:tc>
        <w:tc>
          <w:tcPr>
            <w:tcW w:w="2055" w:type="dxa"/>
            <w:vMerge w:val="continue"/>
            <w:vAlign w:val="center"/>
          </w:tcPr>
          <w:p w14:paraId="2567C2A7">
            <w:pPr>
              <w:wordWrap w:val="0"/>
              <w:adjustRightInd w:val="0"/>
              <w:snapToGrid w:val="0"/>
              <w:jc w:val="center"/>
              <w:rPr>
                <w:rFonts w:ascii="Times New Roman" w:hAnsi="Times New Roman"/>
                <w:szCs w:val="21"/>
              </w:rPr>
            </w:pPr>
          </w:p>
        </w:tc>
      </w:tr>
      <w:tr w14:paraId="121885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tblHeader/>
          <w:jc w:val="center"/>
        </w:trPr>
        <w:tc>
          <w:tcPr>
            <w:tcW w:w="1376" w:type="dxa"/>
            <w:vMerge w:val="restart"/>
            <w:vAlign w:val="center"/>
          </w:tcPr>
          <w:p w14:paraId="48C67918">
            <w:pPr>
              <w:adjustRightInd w:val="0"/>
              <w:snapToGrid w:val="0"/>
              <w:jc w:val="center"/>
              <w:rPr>
                <w:rFonts w:ascii="Times New Roman" w:hAnsi="Times New Roman"/>
                <w:szCs w:val="21"/>
              </w:rPr>
            </w:pPr>
            <w:r>
              <w:rPr>
                <w:rFonts w:ascii="Times New Roman" w:hAnsi="Times New Roman"/>
                <w:szCs w:val="21"/>
              </w:rPr>
              <w:t>NO</w:t>
            </w:r>
            <w:r>
              <w:rPr>
                <w:rFonts w:ascii="Times New Roman" w:hAnsi="Times New Roman"/>
                <w:szCs w:val="21"/>
                <w:vertAlign w:val="subscript"/>
              </w:rPr>
              <w:t>X</w:t>
            </w:r>
          </w:p>
        </w:tc>
        <w:tc>
          <w:tcPr>
            <w:tcW w:w="2149" w:type="dxa"/>
            <w:vAlign w:val="center"/>
          </w:tcPr>
          <w:p w14:paraId="01207426">
            <w:pPr>
              <w:snapToGrid w:val="0"/>
              <w:jc w:val="center"/>
              <w:rPr>
                <w:rFonts w:ascii="Times New Roman" w:hAnsi="Times New Roman"/>
                <w:szCs w:val="21"/>
              </w:rPr>
            </w:pPr>
            <w:r>
              <w:rPr>
                <w:rFonts w:ascii="Times New Roman" w:hAnsi="Times New Roman"/>
                <w:szCs w:val="21"/>
              </w:rPr>
              <w:t>1小时平均</w:t>
            </w:r>
          </w:p>
        </w:tc>
        <w:tc>
          <w:tcPr>
            <w:tcW w:w="1655" w:type="dxa"/>
            <w:vAlign w:val="center"/>
          </w:tcPr>
          <w:p w14:paraId="551494E5">
            <w:pPr>
              <w:snapToGrid w:val="0"/>
              <w:jc w:val="center"/>
              <w:rPr>
                <w:rFonts w:ascii="Times New Roman" w:hAnsi="Times New Roman"/>
                <w:szCs w:val="21"/>
              </w:rPr>
            </w:pPr>
            <w:r>
              <w:rPr>
                <w:rFonts w:ascii="Times New Roman" w:hAnsi="Times New Roman"/>
                <w:szCs w:val="21"/>
              </w:rPr>
              <w:t>250</w:t>
            </w:r>
          </w:p>
        </w:tc>
        <w:tc>
          <w:tcPr>
            <w:tcW w:w="1287" w:type="dxa"/>
            <w:vMerge w:val="continue"/>
            <w:vAlign w:val="center"/>
          </w:tcPr>
          <w:p w14:paraId="11A0ECC9">
            <w:pPr>
              <w:adjustRightInd w:val="0"/>
              <w:snapToGrid w:val="0"/>
              <w:ind w:left="861" w:hanging="861"/>
              <w:jc w:val="center"/>
              <w:rPr>
                <w:rFonts w:ascii="Times New Roman" w:hAnsi="Times New Roman"/>
                <w:szCs w:val="21"/>
              </w:rPr>
            </w:pPr>
          </w:p>
        </w:tc>
        <w:tc>
          <w:tcPr>
            <w:tcW w:w="2055" w:type="dxa"/>
            <w:vMerge w:val="continue"/>
            <w:vAlign w:val="center"/>
          </w:tcPr>
          <w:p w14:paraId="65A8A6EB">
            <w:pPr>
              <w:wordWrap w:val="0"/>
              <w:adjustRightInd w:val="0"/>
              <w:snapToGrid w:val="0"/>
              <w:jc w:val="center"/>
              <w:rPr>
                <w:rFonts w:ascii="Times New Roman" w:hAnsi="Times New Roman"/>
                <w:szCs w:val="21"/>
              </w:rPr>
            </w:pPr>
          </w:p>
        </w:tc>
      </w:tr>
      <w:tr w14:paraId="613343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tblHeader/>
          <w:jc w:val="center"/>
        </w:trPr>
        <w:tc>
          <w:tcPr>
            <w:tcW w:w="1376" w:type="dxa"/>
            <w:vMerge w:val="continue"/>
            <w:vAlign w:val="center"/>
          </w:tcPr>
          <w:p w14:paraId="51CC09F2">
            <w:pPr>
              <w:adjustRightInd w:val="0"/>
              <w:snapToGrid w:val="0"/>
              <w:jc w:val="center"/>
              <w:rPr>
                <w:rFonts w:ascii="Times New Roman" w:hAnsi="Times New Roman"/>
                <w:szCs w:val="21"/>
              </w:rPr>
            </w:pPr>
          </w:p>
        </w:tc>
        <w:tc>
          <w:tcPr>
            <w:tcW w:w="2149" w:type="dxa"/>
            <w:vAlign w:val="center"/>
          </w:tcPr>
          <w:p w14:paraId="1BA65E2F">
            <w:pPr>
              <w:snapToGrid w:val="0"/>
              <w:jc w:val="center"/>
              <w:rPr>
                <w:rFonts w:ascii="Times New Roman" w:hAnsi="Times New Roman"/>
                <w:szCs w:val="21"/>
              </w:rPr>
            </w:pPr>
            <w:r>
              <w:rPr>
                <w:rFonts w:ascii="Times New Roman" w:hAnsi="Times New Roman"/>
                <w:szCs w:val="21"/>
              </w:rPr>
              <w:t>24小时平均</w:t>
            </w:r>
          </w:p>
        </w:tc>
        <w:tc>
          <w:tcPr>
            <w:tcW w:w="1655" w:type="dxa"/>
            <w:vAlign w:val="center"/>
          </w:tcPr>
          <w:p w14:paraId="5877FFAC">
            <w:pPr>
              <w:snapToGrid w:val="0"/>
              <w:jc w:val="center"/>
              <w:rPr>
                <w:rFonts w:ascii="Times New Roman" w:hAnsi="Times New Roman"/>
                <w:szCs w:val="21"/>
              </w:rPr>
            </w:pPr>
            <w:r>
              <w:rPr>
                <w:rFonts w:ascii="Times New Roman" w:hAnsi="Times New Roman"/>
                <w:szCs w:val="21"/>
              </w:rPr>
              <w:t>100</w:t>
            </w:r>
          </w:p>
        </w:tc>
        <w:tc>
          <w:tcPr>
            <w:tcW w:w="1287" w:type="dxa"/>
            <w:vMerge w:val="continue"/>
            <w:vAlign w:val="center"/>
          </w:tcPr>
          <w:p w14:paraId="0E985815">
            <w:pPr>
              <w:adjustRightInd w:val="0"/>
              <w:snapToGrid w:val="0"/>
              <w:ind w:left="861" w:hanging="861"/>
              <w:jc w:val="center"/>
              <w:rPr>
                <w:rFonts w:ascii="Times New Roman" w:hAnsi="Times New Roman"/>
                <w:szCs w:val="21"/>
              </w:rPr>
            </w:pPr>
          </w:p>
        </w:tc>
        <w:tc>
          <w:tcPr>
            <w:tcW w:w="2055" w:type="dxa"/>
            <w:vMerge w:val="continue"/>
            <w:vAlign w:val="center"/>
          </w:tcPr>
          <w:p w14:paraId="0577D501">
            <w:pPr>
              <w:wordWrap w:val="0"/>
              <w:adjustRightInd w:val="0"/>
              <w:snapToGrid w:val="0"/>
              <w:jc w:val="center"/>
              <w:rPr>
                <w:rFonts w:ascii="Times New Roman" w:hAnsi="Times New Roman"/>
                <w:szCs w:val="21"/>
              </w:rPr>
            </w:pPr>
          </w:p>
        </w:tc>
      </w:tr>
      <w:tr w14:paraId="65FAC9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376" w:type="dxa"/>
            <w:vMerge w:val="restart"/>
            <w:vAlign w:val="center"/>
          </w:tcPr>
          <w:p w14:paraId="06BB2C64">
            <w:pPr>
              <w:adjustRightInd w:val="0"/>
              <w:snapToGrid w:val="0"/>
              <w:ind w:left="861" w:hanging="861"/>
              <w:jc w:val="center"/>
              <w:rPr>
                <w:rFonts w:ascii="Times New Roman" w:hAnsi="Times New Roman"/>
                <w:kern w:val="0"/>
                <w:szCs w:val="21"/>
                <w:vertAlign w:val="subscript"/>
              </w:rPr>
            </w:pPr>
            <w:r>
              <w:rPr>
                <w:rFonts w:ascii="Times New Roman" w:hAnsi="Times New Roman"/>
                <w:szCs w:val="21"/>
              </w:rPr>
              <w:t>PM</w:t>
            </w:r>
            <w:r>
              <w:rPr>
                <w:rFonts w:ascii="Times New Roman" w:hAnsi="Times New Roman"/>
                <w:szCs w:val="21"/>
                <w:vertAlign w:val="subscript"/>
              </w:rPr>
              <w:t>10</w:t>
            </w:r>
          </w:p>
        </w:tc>
        <w:tc>
          <w:tcPr>
            <w:tcW w:w="2149" w:type="dxa"/>
            <w:vAlign w:val="center"/>
          </w:tcPr>
          <w:p w14:paraId="55A2B3AC">
            <w:pPr>
              <w:snapToGrid w:val="0"/>
              <w:jc w:val="center"/>
              <w:rPr>
                <w:rFonts w:ascii="Times New Roman" w:hAnsi="Times New Roman"/>
                <w:szCs w:val="21"/>
              </w:rPr>
            </w:pPr>
            <w:r>
              <w:rPr>
                <w:rFonts w:ascii="Times New Roman" w:hAnsi="Times New Roman"/>
                <w:szCs w:val="21"/>
              </w:rPr>
              <w:t>1小时平均</w:t>
            </w:r>
          </w:p>
        </w:tc>
        <w:tc>
          <w:tcPr>
            <w:tcW w:w="1655" w:type="dxa"/>
            <w:vAlign w:val="center"/>
          </w:tcPr>
          <w:p w14:paraId="5DD3A1ED">
            <w:pPr>
              <w:snapToGrid w:val="0"/>
              <w:jc w:val="center"/>
              <w:rPr>
                <w:rFonts w:ascii="Times New Roman" w:hAnsi="Times New Roman"/>
                <w:szCs w:val="21"/>
              </w:rPr>
            </w:pPr>
            <w:r>
              <w:rPr>
                <w:rFonts w:ascii="Times New Roman" w:hAnsi="Times New Roman"/>
                <w:szCs w:val="21"/>
              </w:rPr>
              <w:t>450*</w:t>
            </w:r>
          </w:p>
        </w:tc>
        <w:tc>
          <w:tcPr>
            <w:tcW w:w="1287" w:type="dxa"/>
            <w:vMerge w:val="continue"/>
            <w:vAlign w:val="center"/>
          </w:tcPr>
          <w:p w14:paraId="1AF7F623">
            <w:pPr>
              <w:adjustRightInd w:val="0"/>
              <w:snapToGrid w:val="0"/>
              <w:ind w:left="861" w:hanging="861"/>
              <w:jc w:val="center"/>
              <w:rPr>
                <w:rFonts w:ascii="Times New Roman" w:hAnsi="Times New Roman"/>
                <w:szCs w:val="21"/>
              </w:rPr>
            </w:pPr>
          </w:p>
        </w:tc>
        <w:tc>
          <w:tcPr>
            <w:tcW w:w="2055" w:type="dxa"/>
            <w:vMerge w:val="continue"/>
            <w:vAlign w:val="center"/>
          </w:tcPr>
          <w:p w14:paraId="35AA6BEA">
            <w:pPr>
              <w:wordWrap w:val="0"/>
              <w:adjustRightInd w:val="0"/>
              <w:snapToGrid w:val="0"/>
              <w:jc w:val="center"/>
              <w:rPr>
                <w:rFonts w:ascii="Times New Roman" w:hAnsi="Times New Roman"/>
                <w:szCs w:val="21"/>
              </w:rPr>
            </w:pPr>
          </w:p>
        </w:tc>
      </w:tr>
      <w:tr w14:paraId="3DCFCD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376" w:type="dxa"/>
            <w:vMerge w:val="continue"/>
            <w:vAlign w:val="center"/>
          </w:tcPr>
          <w:p w14:paraId="6115BBE4">
            <w:pPr>
              <w:adjustRightInd w:val="0"/>
              <w:snapToGrid w:val="0"/>
              <w:ind w:left="861" w:hanging="861"/>
              <w:jc w:val="center"/>
              <w:rPr>
                <w:rFonts w:ascii="Times New Roman" w:hAnsi="Times New Roman"/>
                <w:kern w:val="0"/>
                <w:szCs w:val="21"/>
                <w:vertAlign w:val="subscript"/>
              </w:rPr>
            </w:pPr>
          </w:p>
        </w:tc>
        <w:tc>
          <w:tcPr>
            <w:tcW w:w="2149" w:type="dxa"/>
            <w:vAlign w:val="center"/>
          </w:tcPr>
          <w:p w14:paraId="19D5FF95">
            <w:pPr>
              <w:adjustRightInd w:val="0"/>
              <w:snapToGrid w:val="0"/>
              <w:ind w:left="861" w:hanging="861"/>
              <w:jc w:val="center"/>
              <w:rPr>
                <w:rFonts w:ascii="Times New Roman" w:hAnsi="Times New Roman"/>
                <w:kern w:val="0"/>
                <w:szCs w:val="21"/>
              </w:rPr>
            </w:pPr>
            <w:r>
              <w:rPr>
                <w:rFonts w:ascii="Times New Roman" w:hAnsi="Times New Roman"/>
                <w:szCs w:val="21"/>
              </w:rPr>
              <w:t>24小时平均</w:t>
            </w:r>
          </w:p>
        </w:tc>
        <w:tc>
          <w:tcPr>
            <w:tcW w:w="1655" w:type="dxa"/>
            <w:vAlign w:val="center"/>
          </w:tcPr>
          <w:p w14:paraId="41BAC43B">
            <w:pPr>
              <w:adjustRightInd w:val="0"/>
              <w:snapToGrid w:val="0"/>
              <w:ind w:left="861" w:hanging="861"/>
              <w:jc w:val="center"/>
              <w:rPr>
                <w:rFonts w:ascii="Times New Roman" w:hAnsi="Times New Roman"/>
                <w:kern w:val="0"/>
                <w:szCs w:val="21"/>
              </w:rPr>
            </w:pPr>
            <w:r>
              <w:rPr>
                <w:rFonts w:ascii="Times New Roman" w:hAnsi="Times New Roman"/>
                <w:szCs w:val="21"/>
              </w:rPr>
              <w:t>150</w:t>
            </w:r>
          </w:p>
        </w:tc>
        <w:tc>
          <w:tcPr>
            <w:tcW w:w="1287" w:type="dxa"/>
            <w:vMerge w:val="continue"/>
            <w:vAlign w:val="center"/>
          </w:tcPr>
          <w:p w14:paraId="3506E1C1">
            <w:pPr>
              <w:widowControl/>
              <w:adjustRightInd w:val="0"/>
              <w:snapToGrid w:val="0"/>
              <w:jc w:val="center"/>
              <w:rPr>
                <w:rFonts w:ascii="Times New Roman" w:hAnsi="Times New Roman"/>
                <w:kern w:val="0"/>
                <w:szCs w:val="21"/>
              </w:rPr>
            </w:pPr>
          </w:p>
        </w:tc>
        <w:tc>
          <w:tcPr>
            <w:tcW w:w="2055" w:type="dxa"/>
            <w:vMerge w:val="continue"/>
            <w:vAlign w:val="center"/>
          </w:tcPr>
          <w:p w14:paraId="640F662E">
            <w:pPr>
              <w:wordWrap w:val="0"/>
              <w:adjustRightInd w:val="0"/>
              <w:snapToGrid w:val="0"/>
              <w:jc w:val="center"/>
              <w:rPr>
                <w:rFonts w:ascii="Times New Roman" w:hAnsi="Times New Roman"/>
                <w:szCs w:val="21"/>
              </w:rPr>
            </w:pPr>
          </w:p>
        </w:tc>
      </w:tr>
      <w:tr w14:paraId="4F1BD4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376" w:type="dxa"/>
            <w:vMerge w:val="restart"/>
            <w:vAlign w:val="center"/>
          </w:tcPr>
          <w:p w14:paraId="681DAC6F">
            <w:pPr>
              <w:widowControl/>
              <w:adjustRightInd w:val="0"/>
              <w:snapToGrid w:val="0"/>
              <w:jc w:val="center"/>
              <w:rPr>
                <w:rFonts w:ascii="Times New Roman" w:hAnsi="Times New Roman"/>
                <w:kern w:val="0"/>
                <w:szCs w:val="21"/>
                <w:vertAlign w:val="subscript"/>
              </w:rPr>
            </w:pPr>
            <w:r>
              <w:rPr>
                <w:rFonts w:ascii="Times New Roman" w:hAnsi="Times New Roman"/>
                <w:szCs w:val="21"/>
              </w:rPr>
              <w:t>TSP</w:t>
            </w:r>
          </w:p>
        </w:tc>
        <w:tc>
          <w:tcPr>
            <w:tcW w:w="2149" w:type="dxa"/>
            <w:vAlign w:val="center"/>
          </w:tcPr>
          <w:p w14:paraId="556D1C81">
            <w:pPr>
              <w:snapToGrid w:val="0"/>
              <w:jc w:val="center"/>
              <w:rPr>
                <w:rFonts w:ascii="Times New Roman" w:hAnsi="Times New Roman"/>
                <w:szCs w:val="21"/>
              </w:rPr>
            </w:pPr>
            <w:r>
              <w:rPr>
                <w:rFonts w:ascii="Times New Roman" w:hAnsi="Times New Roman"/>
                <w:szCs w:val="21"/>
              </w:rPr>
              <w:t>1小时平均</w:t>
            </w:r>
          </w:p>
        </w:tc>
        <w:tc>
          <w:tcPr>
            <w:tcW w:w="1655" w:type="dxa"/>
            <w:vAlign w:val="center"/>
          </w:tcPr>
          <w:p w14:paraId="55EB5635">
            <w:pPr>
              <w:snapToGrid w:val="0"/>
              <w:jc w:val="center"/>
              <w:rPr>
                <w:rFonts w:ascii="Times New Roman" w:hAnsi="Times New Roman"/>
                <w:szCs w:val="21"/>
              </w:rPr>
            </w:pPr>
            <w:r>
              <w:rPr>
                <w:rFonts w:ascii="Times New Roman" w:hAnsi="Times New Roman"/>
                <w:szCs w:val="21"/>
              </w:rPr>
              <w:t>900*</w:t>
            </w:r>
          </w:p>
        </w:tc>
        <w:tc>
          <w:tcPr>
            <w:tcW w:w="1287" w:type="dxa"/>
            <w:vMerge w:val="continue"/>
            <w:vAlign w:val="center"/>
          </w:tcPr>
          <w:p w14:paraId="405704D3">
            <w:pPr>
              <w:widowControl/>
              <w:adjustRightInd w:val="0"/>
              <w:snapToGrid w:val="0"/>
              <w:jc w:val="center"/>
              <w:rPr>
                <w:rFonts w:ascii="Times New Roman" w:hAnsi="Times New Roman"/>
                <w:kern w:val="0"/>
                <w:szCs w:val="21"/>
              </w:rPr>
            </w:pPr>
          </w:p>
        </w:tc>
        <w:tc>
          <w:tcPr>
            <w:tcW w:w="2055" w:type="dxa"/>
            <w:vMerge w:val="continue"/>
            <w:vAlign w:val="center"/>
          </w:tcPr>
          <w:p w14:paraId="6560D6C3">
            <w:pPr>
              <w:wordWrap w:val="0"/>
              <w:adjustRightInd w:val="0"/>
              <w:snapToGrid w:val="0"/>
              <w:jc w:val="center"/>
              <w:rPr>
                <w:rFonts w:ascii="Times New Roman" w:hAnsi="Times New Roman"/>
                <w:szCs w:val="21"/>
              </w:rPr>
            </w:pPr>
          </w:p>
        </w:tc>
      </w:tr>
      <w:tr w14:paraId="7FB540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376" w:type="dxa"/>
            <w:vMerge w:val="continue"/>
            <w:vAlign w:val="center"/>
          </w:tcPr>
          <w:p w14:paraId="79C54D82">
            <w:pPr>
              <w:widowControl/>
              <w:adjustRightInd w:val="0"/>
              <w:snapToGrid w:val="0"/>
              <w:jc w:val="center"/>
              <w:rPr>
                <w:rFonts w:ascii="Times New Roman" w:hAnsi="Times New Roman"/>
                <w:kern w:val="0"/>
                <w:szCs w:val="21"/>
                <w:vertAlign w:val="subscript"/>
              </w:rPr>
            </w:pPr>
          </w:p>
        </w:tc>
        <w:tc>
          <w:tcPr>
            <w:tcW w:w="2149" w:type="dxa"/>
            <w:vAlign w:val="center"/>
          </w:tcPr>
          <w:p w14:paraId="213B6F43">
            <w:pPr>
              <w:widowControl/>
              <w:adjustRightInd w:val="0"/>
              <w:snapToGrid w:val="0"/>
              <w:jc w:val="center"/>
              <w:rPr>
                <w:rFonts w:ascii="Times New Roman" w:hAnsi="Times New Roman"/>
                <w:szCs w:val="21"/>
              </w:rPr>
            </w:pPr>
            <w:r>
              <w:rPr>
                <w:rFonts w:ascii="Times New Roman" w:hAnsi="Times New Roman"/>
                <w:szCs w:val="21"/>
              </w:rPr>
              <w:t>24小时平均</w:t>
            </w:r>
          </w:p>
        </w:tc>
        <w:tc>
          <w:tcPr>
            <w:tcW w:w="1655" w:type="dxa"/>
            <w:vAlign w:val="center"/>
          </w:tcPr>
          <w:p w14:paraId="00281AB6">
            <w:pPr>
              <w:widowControl/>
              <w:adjustRightInd w:val="0"/>
              <w:snapToGrid w:val="0"/>
              <w:jc w:val="center"/>
              <w:rPr>
                <w:rFonts w:ascii="Times New Roman" w:hAnsi="Times New Roman"/>
                <w:szCs w:val="21"/>
              </w:rPr>
            </w:pPr>
            <w:r>
              <w:rPr>
                <w:rFonts w:ascii="Times New Roman" w:hAnsi="Times New Roman"/>
                <w:szCs w:val="21"/>
              </w:rPr>
              <w:t>300</w:t>
            </w:r>
          </w:p>
        </w:tc>
        <w:tc>
          <w:tcPr>
            <w:tcW w:w="1287" w:type="dxa"/>
            <w:vMerge w:val="continue"/>
            <w:vAlign w:val="center"/>
          </w:tcPr>
          <w:p w14:paraId="1D956287">
            <w:pPr>
              <w:widowControl/>
              <w:adjustRightInd w:val="0"/>
              <w:snapToGrid w:val="0"/>
              <w:jc w:val="center"/>
              <w:rPr>
                <w:rFonts w:ascii="Times New Roman" w:hAnsi="Times New Roman"/>
                <w:kern w:val="0"/>
                <w:szCs w:val="21"/>
              </w:rPr>
            </w:pPr>
          </w:p>
        </w:tc>
        <w:tc>
          <w:tcPr>
            <w:tcW w:w="2055" w:type="dxa"/>
            <w:vMerge w:val="continue"/>
            <w:vAlign w:val="center"/>
          </w:tcPr>
          <w:p w14:paraId="06F1A78B">
            <w:pPr>
              <w:wordWrap w:val="0"/>
              <w:adjustRightInd w:val="0"/>
              <w:snapToGrid w:val="0"/>
              <w:jc w:val="center"/>
              <w:rPr>
                <w:rFonts w:ascii="Times New Roman" w:hAnsi="Times New Roman"/>
                <w:szCs w:val="21"/>
              </w:rPr>
            </w:pPr>
          </w:p>
        </w:tc>
      </w:tr>
    </w:tbl>
    <w:p w14:paraId="67851434">
      <w:pPr>
        <w:spacing w:line="360" w:lineRule="auto"/>
        <w:rPr>
          <w:rFonts w:ascii="Times New Roman" w:hAnsi="Times New Roman"/>
          <w:b/>
          <w:szCs w:val="21"/>
        </w:rPr>
      </w:pPr>
      <w:r>
        <w:rPr>
          <w:rFonts w:ascii="Times New Roman" w:hAnsi="Times New Roman"/>
          <w:b/>
          <w:szCs w:val="21"/>
        </w:rPr>
        <w:t>注*根据大气导则对标准中未给出的小时浓度限值的污染物，取日平均浓度限值的三倍值。</w:t>
      </w:r>
    </w:p>
    <w:p w14:paraId="7764ED39">
      <w:pPr>
        <w:pStyle w:val="6"/>
        <w:numPr>
          <w:ilvl w:val="2"/>
          <w:numId w:val="3"/>
        </w:numPr>
        <w:rPr>
          <w:szCs w:val="24"/>
        </w:rPr>
      </w:pPr>
      <w:r>
        <w:rPr>
          <w:szCs w:val="24"/>
        </w:rPr>
        <w:t>估算模型及参数</w:t>
      </w:r>
    </w:p>
    <w:p w14:paraId="75ED97D8">
      <w:pPr>
        <w:spacing w:line="360" w:lineRule="auto"/>
        <w:ind w:firstLine="480" w:firstLineChars="200"/>
        <w:rPr>
          <w:rFonts w:ascii="Times New Roman" w:hAnsi="Times New Roman"/>
          <w:sz w:val="24"/>
          <w:szCs w:val="24"/>
        </w:rPr>
      </w:pPr>
      <w:r>
        <w:rPr>
          <w:rFonts w:ascii="Times New Roman" w:hAnsi="Times New Roman"/>
          <w:sz w:val="24"/>
          <w:szCs w:val="24"/>
        </w:rPr>
        <w:t>依据《环境影响评价技术导则</w:t>
      </w:r>
      <w:r>
        <w:rPr>
          <w:rFonts w:hint="eastAsia" w:ascii="Times New Roman" w:hAnsi="Times New Roman"/>
          <w:sz w:val="24"/>
          <w:szCs w:val="24"/>
        </w:rPr>
        <w:t xml:space="preserve"> </w:t>
      </w:r>
      <w:r>
        <w:rPr>
          <w:rFonts w:ascii="Times New Roman" w:hAnsi="Times New Roman"/>
          <w:sz w:val="24"/>
          <w:szCs w:val="24"/>
        </w:rPr>
        <w:t>大气环境》（HJ2.2-2018）中5.3节工作等级的确定方法，结合项目工程分析结果，选择正常排放的主要污染物及排放参数，采用附录A推荐模型中的AERSCREEN模型计算项目污染源的最大环境影响。</w:t>
      </w:r>
    </w:p>
    <w:p w14:paraId="36E7284A">
      <w:pPr>
        <w:pStyle w:val="8"/>
        <w:numPr>
          <w:ilvl w:val="4"/>
          <w:numId w:val="3"/>
        </w:numPr>
        <w:rPr>
          <w:sz w:val="24"/>
          <w:szCs w:val="24"/>
        </w:rPr>
      </w:pPr>
      <w:r>
        <w:rPr>
          <w:sz w:val="24"/>
          <w:szCs w:val="24"/>
        </w:rPr>
        <w:t>估算模型参数表</w:t>
      </w:r>
    </w:p>
    <w:tbl>
      <w:tblPr>
        <w:tblStyle w:val="88"/>
        <w:tblW w:w="904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309"/>
        <w:gridCol w:w="3238"/>
        <w:gridCol w:w="3493"/>
      </w:tblGrid>
      <w:tr w14:paraId="17A176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5547" w:type="dxa"/>
            <w:gridSpan w:val="2"/>
            <w:vAlign w:val="center"/>
          </w:tcPr>
          <w:p w14:paraId="5D016B3C">
            <w:pPr>
              <w:snapToGrid w:val="0"/>
              <w:jc w:val="center"/>
              <w:rPr>
                <w:rFonts w:ascii="Times New Roman" w:hAnsi="Times New Roman"/>
                <w:b/>
                <w:bCs/>
                <w:spacing w:val="-2"/>
                <w:kern w:val="0"/>
                <w:szCs w:val="21"/>
              </w:rPr>
            </w:pPr>
            <w:r>
              <w:rPr>
                <w:rFonts w:ascii="Times New Roman" w:hAnsi="Times New Roman"/>
                <w:b/>
                <w:bCs/>
                <w:spacing w:val="-2"/>
                <w:kern w:val="0"/>
                <w:szCs w:val="21"/>
              </w:rPr>
              <w:t>参数</w:t>
            </w:r>
          </w:p>
        </w:tc>
        <w:tc>
          <w:tcPr>
            <w:tcW w:w="3493" w:type="dxa"/>
            <w:vAlign w:val="center"/>
          </w:tcPr>
          <w:p w14:paraId="1A7BBA29">
            <w:pPr>
              <w:jc w:val="center"/>
              <w:rPr>
                <w:rFonts w:ascii="Times New Roman" w:hAnsi="Times New Roman"/>
                <w:b/>
                <w:bCs/>
                <w:spacing w:val="-2"/>
                <w:kern w:val="0"/>
                <w:szCs w:val="21"/>
              </w:rPr>
            </w:pPr>
            <w:r>
              <w:rPr>
                <w:rFonts w:ascii="Times New Roman" w:hAnsi="Times New Roman"/>
                <w:b/>
                <w:bCs/>
                <w:spacing w:val="-2"/>
                <w:kern w:val="0"/>
                <w:szCs w:val="21"/>
              </w:rPr>
              <w:t>取值</w:t>
            </w:r>
          </w:p>
        </w:tc>
      </w:tr>
      <w:tr w14:paraId="0C9406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09" w:type="dxa"/>
            <w:vMerge w:val="restart"/>
            <w:vAlign w:val="center"/>
          </w:tcPr>
          <w:p w14:paraId="2857BAB8">
            <w:pPr>
              <w:snapToGrid w:val="0"/>
              <w:jc w:val="center"/>
              <w:rPr>
                <w:rFonts w:ascii="Times New Roman" w:hAnsi="Times New Roman"/>
                <w:spacing w:val="-2"/>
                <w:kern w:val="0"/>
                <w:szCs w:val="21"/>
              </w:rPr>
            </w:pPr>
            <w:r>
              <w:rPr>
                <w:rFonts w:ascii="Times New Roman" w:hAnsi="Times New Roman"/>
                <w:spacing w:val="-2"/>
                <w:kern w:val="0"/>
                <w:szCs w:val="21"/>
              </w:rPr>
              <w:t>城市/农村选项</w:t>
            </w:r>
          </w:p>
        </w:tc>
        <w:tc>
          <w:tcPr>
            <w:tcW w:w="3238" w:type="dxa"/>
            <w:vAlign w:val="center"/>
          </w:tcPr>
          <w:p w14:paraId="48A2DE50">
            <w:pPr>
              <w:jc w:val="center"/>
              <w:rPr>
                <w:rFonts w:ascii="Times New Roman" w:hAnsi="Times New Roman"/>
                <w:spacing w:val="-2"/>
                <w:kern w:val="0"/>
                <w:szCs w:val="21"/>
              </w:rPr>
            </w:pPr>
            <w:r>
              <w:rPr>
                <w:rFonts w:ascii="Times New Roman" w:hAnsi="Times New Roman"/>
                <w:spacing w:val="-2"/>
                <w:kern w:val="0"/>
                <w:szCs w:val="21"/>
              </w:rPr>
              <w:t>城市/农村</w:t>
            </w:r>
          </w:p>
        </w:tc>
        <w:tc>
          <w:tcPr>
            <w:tcW w:w="3493" w:type="dxa"/>
            <w:vAlign w:val="center"/>
          </w:tcPr>
          <w:p w14:paraId="2B37891E">
            <w:pPr>
              <w:jc w:val="center"/>
              <w:rPr>
                <w:rFonts w:ascii="Times New Roman" w:hAnsi="Times New Roman"/>
                <w:spacing w:val="-2"/>
                <w:kern w:val="0"/>
                <w:szCs w:val="21"/>
              </w:rPr>
            </w:pPr>
            <w:r>
              <w:rPr>
                <w:rFonts w:ascii="Times New Roman" w:hAnsi="Times New Roman"/>
                <w:spacing w:val="-2"/>
                <w:kern w:val="0"/>
                <w:szCs w:val="21"/>
              </w:rPr>
              <w:t>城市</w:t>
            </w:r>
          </w:p>
        </w:tc>
      </w:tr>
      <w:tr w14:paraId="4492D4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09" w:type="dxa"/>
            <w:vMerge w:val="continue"/>
            <w:vAlign w:val="center"/>
          </w:tcPr>
          <w:p w14:paraId="25CA956D">
            <w:pPr>
              <w:snapToGrid w:val="0"/>
              <w:jc w:val="center"/>
              <w:rPr>
                <w:rFonts w:ascii="Times New Roman" w:hAnsi="Times New Roman"/>
                <w:spacing w:val="-2"/>
                <w:kern w:val="0"/>
                <w:szCs w:val="21"/>
              </w:rPr>
            </w:pPr>
          </w:p>
        </w:tc>
        <w:tc>
          <w:tcPr>
            <w:tcW w:w="3238" w:type="dxa"/>
            <w:vAlign w:val="center"/>
          </w:tcPr>
          <w:p w14:paraId="67D33529">
            <w:pPr>
              <w:jc w:val="center"/>
              <w:rPr>
                <w:rFonts w:ascii="Times New Roman" w:hAnsi="Times New Roman"/>
                <w:spacing w:val="-2"/>
                <w:kern w:val="0"/>
                <w:szCs w:val="21"/>
              </w:rPr>
            </w:pPr>
            <w:r>
              <w:rPr>
                <w:rFonts w:ascii="Times New Roman" w:hAnsi="Times New Roman"/>
                <w:spacing w:val="-2"/>
                <w:kern w:val="0"/>
                <w:szCs w:val="21"/>
              </w:rPr>
              <w:t>人口数（城市选项时）</w:t>
            </w:r>
          </w:p>
        </w:tc>
        <w:tc>
          <w:tcPr>
            <w:tcW w:w="3493" w:type="dxa"/>
            <w:vAlign w:val="center"/>
          </w:tcPr>
          <w:p w14:paraId="2CAB596F">
            <w:pPr>
              <w:snapToGrid w:val="0"/>
              <w:jc w:val="center"/>
              <w:rPr>
                <w:rFonts w:ascii="Times New Roman" w:hAnsi="Times New Roman"/>
                <w:spacing w:val="-2"/>
                <w:kern w:val="0"/>
                <w:szCs w:val="21"/>
              </w:rPr>
            </w:pPr>
            <w:r>
              <w:rPr>
                <w:rFonts w:hint="eastAsia" w:ascii="Times New Roman" w:hAnsi="Times New Roman"/>
                <w:spacing w:val="-2"/>
                <w:kern w:val="0"/>
                <w:szCs w:val="21"/>
              </w:rPr>
              <w:t>1</w:t>
            </w:r>
            <w:r>
              <w:rPr>
                <w:rFonts w:ascii="Times New Roman" w:hAnsi="Times New Roman"/>
                <w:spacing w:val="-2"/>
                <w:kern w:val="0"/>
                <w:szCs w:val="21"/>
              </w:rPr>
              <w:t>700</w:t>
            </w:r>
            <w:r>
              <w:rPr>
                <w:rFonts w:hint="eastAsia" w:ascii="Times New Roman" w:hAnsi="Times New Roman"/>
                <w:spacing w:val="-2"/>
                <w:kern w:val="0"/>
                <w:szCs w:val="21"/>
              </w:rPr>
              <w:t>00</w:t>
            </w:r>
          </w:p>
        </w:tc>
      </w:tr>
      <w:tr w14:paraId="55C88A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47" w:type="dxa"/>
            <w:gridSpan w:val="2"/>
            <w:vAlign w:val="center"/>
          </w:tcPr>
          <w:p w14:paraId="4FF343FB">
            <w:pPr>
              <w:snapToGrid w:val="0"/>
              <w:jc w:val="center"/>
              <w:rPr>
                <w:rFonts w:ascii="Times New Roman" w:hAnsi="Times New Roman"/>
                <w:spacing w:val="-2"/>
                <w:kern w:val="0"/>
                <w:szCs w:val="21"/>
              </w:rPr>
            </w:pPr>
            <w:r>
              <w:rPr>
                <w:rFonts w:ascii="Times New Roman" w:hAnsi="Times New Roman"/>
                <w:spacing w:val="-2"/>
                <w:kern w:val="0"/>
                <w:szCs w:val="21"/>
              </w:rPr>
              <w:t>最高环境温度/℃</w:t>
            </w:r>
          </w:p>
        </w:tc>
        <w:tc>
          <w:tcPr>
            <w:tcW w:w="3493" w:type="dxa"/>
            <w:vAlign w:val="center"/>
          </w:tcPr>
          <w:p w14:paraId="4283CFD2">
            <w:pPr>
              <w:snapToGrid w:val="0"/>
              <w:jc w:val="center"/>
              <w:rPr>
                <w:rFonts w:ascii="Times New Roman" w:hAnsi="Times New Roman"/>
                <w:spacing w:val="-2"/>
                <w:kern w:val="0"/>
                <w:szCs w:val="21"/>
              </w:rPr>
            </w:pPr>
            <w:r>
              <w:rPr>
                <w:rFonts w:hint="eastAsia" w:ascii="Times New Roman" w:hAnsi="Times New Roman"/>
                <w:spacing w:val="-2"/>
                <w:kern w:val="0"/>
                <w:szCs w:val="21"/>
              </w:rPr>
              <w:t>36.9</w:t>
            </w:r>
          </w:p>
        </w:tc>
      </w:tr>
      <w:tr w14:paraId="68A81C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47" w:type="dxa"/>
            <w:gridSpan w:val="2"/>
            <w:vAlign w:val="center"/>
          </w:tcPr>
          <w:p w14:paraId="097FAAF7">
            <w:pPr>
              <w:snapToGrid w:val="0"/>
              <w:jc w:val="center"/>
              <w:rPr>
                <w:rFonts w:ascii="Times New Roman" w:hAnsi="Times New Roman"/>
                <w:spacing w:val="-2"/>
                <w:kern w:val="0"/>
                <w:szCs w:val="21"/>
              </w:rPr>
            </w:pPr>
            <w:r>
              <w:rPr>
                <w:rFonts w:ascii="Times New Roman" w:hAnsi="Times New Roman"/>
                <w:spacing w:val="-2"/>
                <w:kern w:val="0"/>
                <w:szCs w:val="21"/>
              </w:rPr>
              <w:t>最低环境温度/℃</w:t>
            </w:r>
          </w:p>
        </w:tc>
        <w:tc>
          <w:tcPr>
            <w:tcW w:w="3493" w:type="dxa"/>
            <w:vAlign w:val="center"/>
          </w:tcPr>
          <w:p w14:paraId="01CE7696">
            <w:pPr>
              <w:snapToGrid w:val="0"/>
              <w:jc w:val="center"/>
              <w:rPr>
                <w:rFonts w:ascii="Times New Roman" w:hAnsi="Times New Roman"/>
                <w:spacing w:val="-2"/>
                <w:kern w:val="0"/>
                <w:szCs w:val="21"/>
              </w:rPr>
            </w:pPr>
            <w:r>
              <w:rPr>
                <w:rFonts w:hint="eastAsia" w:ascii="Times New Roman" w:hAnsi="Times New Roman"/>
                <w:spacing w:val="-2"/>
                <w:kern w:val="0"/>
                <w:szCs w:val="21"/>
              </w:rPr>
              <w:t>5.1</w:t>
            </w:r>
          </w:p>
        </w:tc>
      </w:tr>
      <w:tr w14:paraId="013E9C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47" w:type="dxa"/>
            <w:gridSpan w:val="2"/>
            <w:vAlign w:val="center"/>
          </w:tcPr>
          <w:p w14:paraId="14585E52">
            <w:pPr>
              <w:snapToGrid w:val="0"/>
              <w:jc w:val="center"/>
              <w:rPr>
                <w:rFonts w:ascii="Times New Roman" w:hAnsi="Times New Roman"/>
                <w:spacing w:val="-2"/>
                <w:kern w:val="0"/>
                <w:szCs w:val="21"/>
              </w:rPr>
            </w:pPr>
            <w:r>
              <w:rPr>
                <w:rFonts w:ascii="Times New Roman" w:hAnsi="Times New Roman"/>
                <w:spacing w:val="-2"/>
                <w:kern w:val="0"/>
                <w:szCs w:val="21"/>
              </w:rPr>
              <w:t>土地利用类型</w:t>
            </w:r>
          </w:p>
        </w:tc>
        <w:tc>
          <w:tcPr>
            <w:tcW w:w="3493" w:type="dxa"/>
            <w:vAlign w:val="center"/>
          </w:tcPr>
          <w:p w14:paraId="1D27218B">
            <w:pPr>
              <w:snapToGrid w:val="0"/>
              <w:jc w:val="center"/>
              <w:rPr>
                <w:rFonts w:ascii="Times New Roman" w:hAnsi="Times New Roman"/>
                <w:spacing w:val="-2"/>
                <w:kern w:val="0"/>
                <w:szCs w:val="21"/>
              </w:rPr>
            </w:pPr>
            <w:r>
              <w:rPr>
                <w:rFonts w:ascii="Times New Roman" w:hAnsi="Times New Roman"/>
                <w:spacing w:val="-2"/>
                <w:kern w:val="0"/>
                <w:szCs w:val="21"/>
              </w:rPr>
              <w:t>城市</w:t>
            </w:r>
          </w:p>
        </w:tc>
      </w:tr>
      <w:tr w14:paraId="7E8527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47" w:type="dxa"/>
            <w:gridSpan w:val="2"/>
            <w:vAlign w:val="center"/>
          </w:tcPr>
          <w:p w14:paraId="5A00EDC7">
            <w:pPr>
              <w:snapToGrid w:val="0"/>
              <w:jc w:val="center"/>
              <w:rPr>
                <w:rFonts w:ascii="Times New Roman" w:hAnsi="Times New Roman"/>
                <w:spacing w:val="-2"/>
                <w:kern w:val="0"/>
                <w:szCs w:val="21"/>
              </w:rPr>
            </w:pPr>
            <w:r>
              <w:rPr>
                <w:rFonts w:ascii="Times New Roman" w:hAnsi="Times New Roman"/>
                <w:spacing w:val="-2"/>
                <w:kern w:val="0"/>
                <w:szCs w:val="21"/>
              </w:rPr>
              <w:t>区域湿度条件</w:t>
            </w:r>
          </w:p>
        </w:tc>
        <w:tc>
          <w:tcPr>
            <w:tcW w:w="3493" w:type="dxa"/>
            <w:vAlign w:val="center"/>
          </w:tcPr>
          <w:p w14:paraId="70AED743">
            <w:pPr>
              <w:snapToGrid w:val="0"/>
              <w:jc w:val="center"/>
              <w:rPr>
                <w:rFonts w:ascii="Times New Roman" w:hAnsi="Times New Roman"/>
                <w:spacing w:val="-2"/>
                <w:kern w:val="0"/>
                <w:szCs w:val="21"/>
              </w:rPr>
            </w:pPr>
            <w:r>
              <w:rPr>
                <w:rFonts w:ascii="Times New Roman" w:hAnsi="Times New Roman"/>
                <w:spacing w:val="-2"/>
                <w:kern w:val="0"/>
                <w:szCs w:val="21"/>
              </w:rPr>
              <w:t>潮湿</w:t>
            </w:r>
          </w:p>
        </w:tc>
      </w:tr>
      <w:tr w14:paraId="7F681E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09" w:type="dxa"/>
            <w:vMerge w:val="restart"/>
            <w:vAlign w:val="center"/>
          </w:tcPr>
          <w:p w14:paraId="553D5466">
            <w:pPr>
              <w:snapToGrid w:val="0"/>
              <w:jc w:val="center"/>
              <w:rPr>
                <w:rFonts w:ascii="Times New Roman" w:hAnsi="Times New Roman"/>
                <w:spacing w:val="-2"/>
                <w:kern w:val="0"/>
                <w:szCs w:val="21"/>
              </w:rPr>
            </w:pPr>
            <w:r>
              <w:rPr>
                <w:rFonts w:ascii="Times New Roman" w:hAnsi="Times New Roman"/>
                <w:spacing w:val="-2"/>
                <w:kern w:val="0"/>
                <w:szCs w:val="21"/>
              </w:rPr>
              <w:t>是否考虑地形</w:t>
            </w:r>
          </w:p>
        </w:tc>
        <w:tc>
          <w:tcPr>
            <w:tcW w:w="3238" w:type="dxa"/>
            <w:vAlign w:val="center"/>
          </w:tcPr>
          <w:p w14:paraId="2CDB9F8D">
            <w:pPr>
              <w:jc w:val="center"/>
              <w:rPr>
                <w:rFonts w:ascii="Times New Roman" w:hAnsi="Times New Roman"/>
                <w:spacing w:val="-2"/>
                <w:kern w:val="0"/>
                <w:szCs w:val="21"/>
              </w:rPr>
            </w:pPr>
            <w:r>
              <w:rPr>
                <w:rFonts w:ascii="Times New Roman" w:hAnsi="Times New Roman"/>
                <w:spacing w:val="-2"/>
                <w:kern w:val="0"/>
                <w:szCs w:val="21"/>
              </w:rPr>
              <w:t>考虑地形</w:t>
            </w:r>
          </w:p>
        </w:tc>
        <w:tc>
          <w:tcPr>
            <w:tcW w:w="3493" w:type="dxa"/>
            <w:vAlign w:val="center"/>
          </w:tcPr>
          <w:p w14:paraId="0084BD8B">
            <w:pPr>
              <w:snapToGrid w:val="0"/>
              <w:jc w:val="center"/>
              <w:rPr>
                <w:rFonts w:ascii="Times New Roman" w:hAnsi="Times New Roman"/>
                <w:spacing w:val="-2"/>
                <w:kern w:val="0"/>
                <w:szCs w:val="21"/>
              </w:rPr>
            </w:pPr>
            <w:r>
              <w:rPr>
                <w:rFonts w:ascii="Times New Roman" w:hAnsi="Times New Roman"/>
                <w:spacing w:val="-2"/>
                <w:kern w:val="0"/>
                <w:szCs w:val="21"/>
              </w:rPr>
              <w:sym w:font="Wingdings 2" w:char="0052"/>
            </w:r>
            <w:r>
              <w:rPr>
                <w:rFonts w:ascii="Times New Roman" w:hAnsi="Times New Roman"/>
                <w:spacing w:val="-2"/>
                <w:kern w:val="0"/>
                <w:szCs w:val="21"/>
              </w:rPr>
              <w:t xml:space="preserve">是   </w:t>
            </w:r>
            <w:r>
              <w:rPr>
                <w:rFonts w:ascii="Times New Roman" w:hAnsi="Times New Roman"/>
                <w:spacing w:val="-2"/>
                <w:kern w:val="0"/>
                <w:szCs w:val="21"/>
              </w:rPr>
              <w:sym w:font="Wingdings 2" w:char="00A3"/>
            </w:r>
            <w:r>
              <w:rPr>
                <w:rFonts w:ascii="Times New Roman" w:hAnsi="Times New Roman"/>
                <w:spacing w:val="-2"/>
                <w:kern w:val="0"/>
                <w:szCs w:val="21"/>
              </w:rPr>
              <w:t>否</w:t>
            </w:r>
          </w:p>
        </w:tc>
      </w:tr>
      <w:tr w14:paraId="6E4388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09" w:type="dxa"/>
            <w:vMerge w:val="continue"/>
            <w:vAlign w:val="center"/>
          </w:tcPr>
          <w:p w14:paraId="5862B234">
            <w:pPr>
              <w:snapToGrid w:val="0"/>
              <w:jc w:val="center"/>
              <w:rPr>
                <w:rFonts w:ascii="Times New Roman" w:hAnsi="Times New Roman"/>
                <w:spacing w:val="-2"/>
                <w:kern w:val="0"/>
                <w:szCs w:val="21"/>
              </w:rPr>
            </w:pPr>
          </w:p>
        </w:tc>
        <w:tc>
          <w:tcPr>
            <w:tcW w:w="3238" w:type="dxa"/>
            <w:vAlign w:val="center"/>
          </w:tcPr>
          <w:p w14:paraId="5D5B4C08">
            <w:pPr>
              <w:jc w:val="center"/>
              <w:rPr>
                <w:rFonts w:ascii="Times New Roman" w:hAnsi="Times New Roman"/>
                <w:spacing w:val="-2"/>
                <w:kern w:val="0"/>
                <w:szCs w:val="21"/>
              </w:rPr>
            </w:pPr>
            <w:r>
              <w:rPr>
                <w:rFonts w:ascii="Times New Roman" w:hAnsi="Times New Roman"/>
                <w:spacing w:val="-2"/>
                <w:kern w:val="0"/>
                <w:szCs w:val="21"/>
              </w:rPr>
              <w:t>地形数据分辨率/m</w:t>
            </w:r>
          </w:p>
        </w:tc>
        <w:tc>
          <w:tcPr>
            <w:tcW w:w="3493" w:type="dxa"/>
            <w:vAlign w:val="center"/>
          </w:tcPr>
          <w:p w14:paraId="1280B244">
            <w:pPr>
              <w:snapToGrid w:val="0"/>
              <w:jc w:val="center"/>
              <w:rPr>
                <w:rFonts w:ascii="Times New Roman" w:hAnsi="Times New Roman"/>
                <w:spacing w:val="-2"/>
                <w:kern w:val="0"/>
                <w:szCs w:val="21"/>
              </w:rPr>
            </w:pPr>
            <w:r>
              <w:rPr>
                <w:rFonts w:hint="eastAsia" w:ascii="Times New Roman" w:hAnsi="Times New Roman"/>
                <w:spacing w:val="-2"/>
                <w:kern w:val="0"/>
                <w:szCs w:val="21"/>
              </w:rPr>
              <w:t>90</w:t>
            </w:r>
          </w:p>
        </w:tc>
      </w:tr>
      <w:tr w14:paraId="15F1A2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09" w:type="dxa"/>
            <w:vMerge w:val="restart"/>
            <w:vAlign w:val="center"/>
          </w:tcPr>
          <w:p w14:paraId="2FDD95F4">
            <w:pPr>
              <w:snapToGrid w:val="0"/>
              <w:jc w:val="center"/>
              <w:rPr>
                <w:rFonts w:ascii="Times New Roman" w:hAnsi="Times New Roman"/>
                <w:spacing w:val="-2"/>
                <w:kern w:val="0"/>
                <w:szCs w:val="21"/>
              </w:rPr>
            </w:pPr>
            <w:r>
              <w:rPr>
                <w:rFonts w:ascii="Times New Roman" w:hAnsi="Times New Roman"/>
                <w:spacing w:val="-2"/>
                <w:kern w:val="0"/>
                <w:szCs w:val="21"/>
              </w:rPr>
              <w:t>是否考虑岸线熏烟</w:t>
            </w:r>
          </w:p>
        </w:tc>
        <w:tc>
          <w:tcPr>
            <w:tcW w:w="3238" w:type="dxa"/>
            <w:vAlign w:val="center"/>
          </w:tcPr>
          <w:p w14:paraId="62CE8915">
            <w:pPr>
              <w:jc w:val="center"/>
              <w:rPr>
                <w:rFonts w:ascii="Times New Roman" w:hAnsi="Times New Roman"/>
                <w:spacing w:val="-2"/>
                <w:kern w:val="0"/>
                <w:szCs w:val="21"/>
              </w:rPr>
            </w:pPr>
            <w:r>
              <w:rPr>
                <w:rFonts w:ascii="Times New Roman" w:hAnsi="Times New Roman"/>
                <w:spacing w:val="-2"/>
                <w:kern w:val="0"/>
                <w:szCs w:val="21"/>
              </w:rPr>
              <w:t>考虑岸线熏烟</w:t>
            </w:r>
          </w:p>
        </w:tc>
        <w:tc>
          <w:tcPr>
            <w:tcW w:w="3493" w:type="dxa"/>
            <w:vAlign w:val="center"/>
          </w:tcPr>
          <w:p w14:paraId="286DC37F">
            <w:pPr>
              <w:snapToGrid w:val="0"/>
              <w:jc w:val="center"/>
              <w:rPr>
                <w:rFonts w:ascii="Times New Roman" w:hAnsi="Times New Roman"/>
                <w:spacing w:val="-2"/>
                <w:kern w:val="0"/>
                <w:szCs w:val="21"/>
              </w:rPr>
            </w:pPr>
            <w:r>
              <w:rPr>
                <w:rFonts w:ascii="Times New Roman" w:hAnsi="Times New Roman"/>
                <w:spacing w:val="-2"/>
                <w:kern w:val="0"/>
                <w:szCs w:val="21"/>
              </w:rPr>
              <w:sym w:font="Wingdings 2" w:char="00A3"/>
            </w:r>
            <w:r>
              <w:rPr>
                <w:rFonts w:ascii="Times New Roman" w:hAnsi="Times New Roman"/>
                <w:spacing w:val="-2"/>
                <w:kern w:val="0"/>
                <w:szCs w:val="21"/>
              </w:rPr>
              <w:t xml:space="preserve">是 </w:t>
            </w:r>
            <w:r>
              <w:rPr>
                <w:rFonts w:hint="eastAsia" w:ascii="Times New Roman" w:hAnsi="Times New Roman"/>
                <w:spacing w:val="-2"/>
                <w:kern w:val="0"/>
                <w:szCs w:val="21"/>
              </w:rPr>
              <w:t xml:space="preserve"> </w:t>
            </w:r>
            <w:r>
              <w:rPr>
                <w:rFonts w:ascii="Times New Roman" w:hAnsi="Times New Roman"/>
                <w:spacing w:val="-2"/>
                <w:kern w:val="0"/>
                <w:szCs w:val="21"/>
              </w:rPr>
              <w:t xml:space="preserve"> </w:t>
            </w:r>
            <w:r>
              <w:rPr>
                <w:rFonts w:ascii="Times New Roman" w:hAnsi="Times New Roman"/>
                <w:spacing w:val="-2"/>
                <w:kern w:val="0"/>
                <w:szCs w:val="21"/>
              </w:rPr>
              <w:sym w:font="Wingdings 2" w:char="0052"/>
            </w:r>
            <w:r>
              <w:rPr>
                <w:rFonts w:ascii="Times New Roman" w:hAnsi="Times New Roman"/>
                <w:spacing w:val="-2"/>
                <w:kern w:val="0"/>
                <w:szCs w:val="21"/>
              </w:rPr>
              <w:t>否</w:t>
            </w:r>
          </w:p>
        </w:tc>
      </w:tr>
      <w:tr w14:paraId="3BA472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09" w:type="dxa"/>
            <w:vMerge w:val="continue"/>
            <w:vAlign w:val="center"/>
          </w:tcPr>
          <w:p w14:paraId="72050683">
            <w:pPr>
              <w:snapToGrid w:val="0"/>
              <w:jc w:val="center"/>
              <w:rPr>
                <w:rFonts w:ascii="Times New Roman" w:hAnsi="Times New Roman"/>
                <w:spacing w:val="-2"/>
                <w:kern w:val="0"/>
                <w:szCs w:val="21"/>
              </w:rPr>
            </w:pPr>
          </w:p>
        </w:tc>
        <w:tc>
          <w:tcPr>
            <w:tcW w:w="3238" w:type="dxa"/>
            <w:vAlign w:val="center"/>
          </w:tcPr>
          <w:p w14:paraId="45D7BF4F">
            <w:pPr>
              <w:jc w:val="center"/>
              <w:rPr>
                <w:rFonts w:ascii="Times New Roman" w:hAnsi="Times New Roman"/>
                <w:spacing w:val="-2"/>
                <w:kern w:val="0"/>
                <w:szCs w:val="21"/>
              </w:rPr>
            </w:pPr>
            <w:r>
              <w:rPr>
                <w:rFonts w:ascii="Times New Roman" w:hAnsi="Times New Roman"/>
                <w:spacing w:val="-2"/>
                <w:kern w:val="0"/>
                <w:szCs w:val="21"/>
              </w:rPr>
              <w:t>岸线距离/km</w:t>
            </w:r>
          </w:p>
        </w:tc>
        <w:tc>
          <w:tcPr>
            <w:tcW w:w="3493" w:type="dxa"/>
            <w:vAlign w:val="center"/>
          </w:tcPr>
          <w:p w14:paraId="00D30CF3">
            <w:pPr>
              <w:snapToGrid w:val="0"/>
              <w:jc w:val="center"/>
              <w:rPr>
                <w:rFonts w:ascii="Times New Roman" w:hAnsi="Times New Roman"/>
                <w:spacing w:val="-2"/>
                <w:kern w:val="0"/>
                <w:szCs w:val="21"/>
              </w:rPr>
            </w:pPr>
            <w:r>
              <w:rPr>
                <w:rFonts w:hint="eastAsia" w:ascii="Times New Roman" w:hAnsi="Times New Roman"/>
                <w:spacing w:val="-2"/>
                <w:kern w:val="0"/>
                <w:szCs w:val="21"/>
              </w:rPr>
              <w:t>/</w:t>
            </w:r>
          </w:p>
        </w:tc>
      </w:tr>
      <w:tr w14:paraId="79D8AD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09" w:type="dxa"/>
            <w:vMerge w:val="continue"/>
            <w:vAlign w:val="center"/>
          </w:tcPr>
          <w:p w14:paraId="2EBD5FD9">
            <w:pPr>
              <w:snapToGrid w:val="0"/>
              <w:jc w:val="center"/>
              <w:rPr>
                <w:rFonts w:ascii="Times New Roman" w:hAnsi="Times New Roman"/>
                <w:spacing w:val="-2"/>
                <w:kern w:val="0"/>
                <w:szCs w:val="21"/>
              </w:rPr>
            </w:pPr>
          </w:p>
        </w:tc>
        <w:tc>
          <w:tcPr>
            <w:tcW w:w="3238" w:type="dxa"/>
            <w:vAlign w:val="center"/>
          </w:tcPr>
          <w:p w14:paraId="3212E6EB">
            <w:pPr>
              <w:jc w:val="center"/>
              <w:rPr>
                <w:rFonts w:ascii="Times New Roman" w:hAnsi="Times New Roman"/>
                <w:spacing w:val="-2"/>
                <w:kern w:val="0"/>
                <w:szCs w:val="21"/>
              </w:rPr>
            </w:pPr>
            <w:r>
              <w:rPr>
                <w:rFonts w:ascii="Times New Roman" w:hAnsi="Times New Roman"/>
                <w:spacing w:val="-2"/>
                <w:kern w:val="0"/>
                <w:szCs w:val="21"/>
              </w:rPr>
              <w:t>岸线方向/°</w:t>
            </w:r>
          </w:p>
        </w:tc>
        <w:tc>
          <w:tcPr>
            <w:tcW w:w="3493" w:type="dxa"/>
            <w:vAlign w:val="center"/>
          </w:tcPr>
          <w:p w14:paraId="1A318C1B">
            <w:pPr>
              <w:snapToGrid w:val="0"/>
              <w:jc w:val="center"/>
              <w:rPr>
                <w:rFonts w:ascii="Times New Roman" w:hAnsi="Times New Roman"/>
                <w:spacing w:val="-2"/>
                <w:kern w:val="0"/>
                <w:szCs w:val="21"/>
              </w:rPr>
            </w:pPr>
            <w:r>
              <w:rPr>
                <w:rFonts w:hint="eastAsia" w:ascii="Times New Roman" w:hAnsi="Times New Roman"/>
                <w:spacing w:val="-2"/>
                <w:kern w:val="0"/>
                <w:szCs w:val="21"/>
              </w:rPr>
              <w:t>/</w:t>
            </w:r>
          </w:p>
        </w:tc>
      </w:tr>
    </w:tbl>
    <w:p w14:paraId="087BF228">
      <w:pPr>
        <w:snapToGrid w:val="0"/>
        <w:spacing w:line="348" w:lineRule="auto"/>
        <w:ind w:firstLine="480"/>
        <w:rPr>
          <w:rFonts w:ascii="Times New Roman" w:hAnsi="Times New Roman"/>
        </w:rPr>
      </w:pPr>
    </w:p>
    <w:p w14:paraId="1605A41A">
      <w:pPr>
        <w:pStyle w:val="6"/>
        <w:numPr>
          <w:ilvl w:val="2"/>
          <w:numId w:val="3"/>
        </w:numPr>
      </w:pPr>
      <w:r>
        <w:t>污染源强清单</w:t>
      </w:r>
    </w:p>
    <w:p w14:paraId="71753C6E">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根据《环境影响评价技术导则  大气环境》</w:t>
      </w:r>
      <w:r>
        <w:rPr>
          <w:rFonts w:ascii="Times New Roman" w:hAnsi="Times New Roman"/>
          <w:sz w:val="24"/>
          <w:szCs w:val="24"/>
        </w:rPr>
        <w:t>（HJ2.2-2018）</w:t>
      </w:r>
      <w:r>
        <w:rPr>
          <w:rFonts w:ascii="Times New Roman" w:hAnsi="Times New Roman"/>
          <w:spacing w:val="-2"/>
          <w:kern w:val="0"/>
          <w:sz w:val="24"/>
          <w:szCs w:val="20"/>
        </w:rPr>
        <w:t>的要求，污染源污染物排放情况见表4.2-4、表4.2-5。</w:t>
      </w:r>
    </w:p>
    <w:p w14:paraId="399C30A3">
      <w:pPr>
        <w:pStyle w:val="8"/>
        <w:numPr>
          <w:ilvl w:val="4"/>
          <w:numId w:val="3"/>
        </w:numPr>
        <w:rPr>
          <w:sz w:val="24"/>
          <w:szCs w:val="24"/>
        </w:rPr>
      </w:pPr>
      <w:r>
        <w:rPr>
          <w:sz w:val="24"/>
          <w:szCs w:val="24"/>
        </w:rPr>
        <w:t>项目污染源（点源）参数一览表</w:t>
      </w:r>
    </w:p>
    <w:tbl>
      <w:tblPr>
        <w:tblStyle w:val="88"/>
        <w:tblW w:w="9057"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607"/>
        <w:gridCol w:w="938"/>
        <w:gridCol w:w="1134"/>
        <w:gridCol w:w="1275"/>
        <w:gridCol w:w="993"/>
        <w:gridCol w:w="567"/>
        <w:gridCol w:w="567"/>
        <w:gridCol w:w="567"/>
        <w:gridCol w:w="567"/>
        <w:gridCol w:w="850"/>
        <w:gridCol w:w="992"/>
      </w:tblGrid>
      <w:tr w14:paraId="0A35D1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blHeader/>
        </w:trPr>
        <w:tc>
          <w:tcPr>
            <w:tcW w:w="607" w:type="dxa"/>
            <w:vMerge w:val="restart"/>
            <w:vAlign w:val="center"/>
          </w:tcPr>
          <w:p w14:paraId="3802AD9D">
            <w:pPr>
              <w:jc w:val="center"/>
              <w:rPr>
                <w:rFonts w:ascii="Times New Roman" w:hAnsi="Times New Roman"/>
                <w:b/>
                <w:szCs w:val="21"/>
              </w:rPr>
            </w:pPr>
            <w:r>
              <w:rPr>
                <w:rFonts w:ascii="Times New Roman" w:hAnsi="Times New Roman"/>
                <w:b/>
                <w:szCs w:val="21"/>
              </w:rPr>
              <w:t>排放情景</w:t>
            </w:r>
          </w:p>
        </w:tc>
        <w:tc>
          <w:tcPr>
            <w:tcW w:w="938" w:type="dxa"/>
            <w:vMerge w:val="restart"/>
            <w:vAlign w:val="center"/>
          </w:tcPr>
          <w:p w14:paraId="59CB360D">
            <w:pPr>
              <w:jc w:val="center"/>
              <w:rPr>
                <w:rFonts w:ascii="Times New Roman" w:hAnsi="Times New Roman"/>
                <w:b/>
                <w:szCs w:val="21"/>
              </w:rPr>
            </w:pPr>
            <w:r>
              <w:rPr>
                <w:rFonts w:ascii="Times New Roman" w:hAnsi="Times New Roman"/>
                <w:b/>
                <w:szCs w:val="21"/>
              </w:rPr>
              <w:t>污染源名称</w:t>
            </w:r>
          </w:p>
        </w:tc>
        <w:tc>
          <w:tcPr>
            <w:tcW w:w="2409" w:type="dxa"/>
            <w:gridSpan w:val="2"/>
            <w:vAlign w:val="center"/>
          </w:tcPr>
          <w:p w14:paraId="63E57EA4">
            <w:pPr>
              <w:snapToGrid w:val="0"/>
              <w:jc w:val="center"/>
              <w:rPr>
                <w:rFonts w:ascii="Times New Roman" w:hAnsi="Times New Roman"/>
                <w:b/>
                <w:szCs w:val="21"/>
              </w:rPr>
            </w:pPr>
            <w:r>
              <w:rPr>
                <w:rFonts w:ascii="Times New Roman" w:hAnsi="Times New Roman"/>
                <w:b/>
                <w:szCs w:val="21"/>
              </w:rPr>
              <w:t>排气筒底部中心坐标</w:t>
            </w:r>
          </w:p>
        </w:tc>
        <w:tc>
          <w:tcPr>
            <w:tcW w:w="993" w:type="dxa"/>
            <w:vMerge w:val="restart"/>
            <w:vAlign w:val="center"/>
          </w:tcPr>
          <w:p w14:paraId="76384552">
            <w:pPr>
              <w:snapToGrid w:val="0"/>
              <w:jc w:val="center"/>
              <w:rPr>
                <w:rFonts w:ascii="Times New Roman" w:hAnsi="Times New Roman"/>
                <w:b/>
                <w:szCs w:val="21"/>
              </w:rPr>
            </w:pPr>
            <w:r>
              <w:rPr>
                <w:rFonts w:ascii="Times New Roman" w:hAnsi="Times New Roman"/>
                <w:b/>
                <w:szCs w:val="21"/>
              </w:rPr>
              <w:t>排气筒底部海拔高度(m)</w:t>
            </w:r>
          </w:p>
        </w:tc>
        <w:tc>
          <w:tcPr>
            <w:tcW w:w="2268" w:type="dxa"/>
            <w:gridSpan w:val="4"/>
            <w:vAlign w:val="center"/>
          </w:tcPr>
          <w:p w14:paraId="67C862A2">
            <w:pPr>
              <w:snapToGrid w:val="0"/>
              <w:jc w:val="center"/>
              <w:rPr>
                <w:rFonts w:ascii="Times New Roman" w:hAnsi="Times New Roman"/>
                <w:b/>
                <w:szCs w:val="21"/>
              </w:rPr>
            </w:pPr>
            <w:r>
              <w:rPr>
                <w:rFonts w:ascii="Times New Roman" w:hAnsi="Times New Roman"/>
                <w:b/>
                <w:szCs w:val="21"/>
              </w:rPr>
              <w:t>排气筒参数</w:t>
            </w:r>
          </w:p>
        </w:tc>
        <w:tc>
          <w:tcPr>
            <w:tcW w:w="850" w:type="dxa"/>
            <w:vMerge w:val="restart"/>
            <w:vAlign w:val="center"/>
          </w:tcPr>
          <w:p w14:paraId="0D7CC6D5">
            <w:pPr>
              <w:snapToGrid w:val="0"/>
              <w:jc w:val="center"/>
              <w:rPr>
                <w:rFonts w:ascii="Times New Roman" w:hAnsi="Times New Roman"/>
                <w:b/>
                <w:szCs w:val="21"/>
              </w:rPr>
            </w:pPr>
            <w:r>
              <w:rPr>
                <w:rFonts w:ascii="Times New Roman" w:hAnsi="Times New Roman"/>
                <w:b/>
                <w:szCs w:val="21"/>
              </w:rPr>
              <w:t>污染物名称</w:t>
            </w:r>
          </w:p>
        </w:tc>
        <w:tc>
          <w:tcPr>
            <w:tcW w:w="992" w:type="dxa"/>
            <w:vMerge w:val="restart"/>
            <w:vAlign w:val="center"/>
          </w:tcPr>
          <w:p w14:paraId="06E49507">
            <w:pPr>
              <w:snapToGrid w:val="0"/>
              <w:jc w:val="center"/>
              <w:rPr>
                <w:rFonts w:ascii="Times New Roman" w:hAnsi="Times New Roman"/>
                <w:b/>
                <w:szCs w:val="21"/>
              </w:rPr>
            </w:pPr>
            <w:r>
              <w:rPr>
                <w:rFonts w:ascii="Times New Roman" w:hAnsi="Times New Roman"/>
                <w:b/>
                <w:szCs w:val="21"/>
              </w:rPr>
              <w:t>排放速率（kg/h）</w:t>
            </w:r>
          </w:p>
        </w:tc>
      </w:tr>
      <w:tr w14:paraId="2E55A5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blHeader/>
        </w:trPr>
        <w:tc>
          <w:tcPr>
            <w:tcW w:w="607" w:type="dxa"/>
            <w:vMerge w:val="continue"/>
            <w:vAlign w:val="center"/>
          </w:tcPr>
          <w:p w14:paraId="4DA4E9E8">
            <w:pPr>
              <w:snapToGrid w:val="0"/>
              <w:jc w:val="center"/>
              <w:rPr>
                <w:rFonts w:ascii="Times New Roman" w:hAnsi="Times New Roman"/>
                <w:b/>
                <w:szCs w:val="21"/>
              </w:rPr>
            </w:pPr>
          </w:p>
        </w:tc>
        <w:tc>
          <w:tcPr>
            <w:tcW w:w="938" w:type="dxa"/>
            <w:vMerge w:val="continue"/>
            <w:vAlign w:val="center"/>
          </w:tcPr>
          <w:p w14:paraId="4AAE39FB">
            <w:pPr>
              <w:snapToGrid w:val="0"/>
              <w:jc w:val="center"/>
              <w:rPr>
                <w:rFonts w:ascii="Times New Roman" w:hAnsi="Times New Roman"/>
                <w:b/>
                <w:szCs w:val="21"/>
              </w:rPr>
            </w:pPr>
          </w:p>
        </w:tc>
        <w:tc>
          <w:tcPr>
            <w:tcW w:w="1134" w:type="dxa"/>
            <w:vAlign w:val="center"/>
          </w:tcPr>
          <w:p w14:paraId="18F31DB7">
            <w:pPr>
              <w:adjustRightInd w:val="0"/>
              <w:snapToGrid w:val="0"/>
              <w:jc w:val="center"/>
              <w:rPr>
                <w:rFonts w:ascii="Times New Roman" w:hAnsi="Times New Roman"/>
                <w:b/>
                <w:szCs w:val="21"/>
              </w:rPr>
            </w:pPr>
            <w:r>
              <w:rPr>
                <w:rFonts w:ascii="Times New Roman" w:hAnsi="Times New Roman"/>
                <w:b/>
                <w:szCs w:val="21"/>
              </w:rPr>
              <w:t>经度</w:t>
            </w:r>
          </w:p>
        </w:tc>
        <w:tc>
          <w:tcPr>
            <w:tcW w:w="1275" w:type="dxa"/>
            <w:vAlign w:val="center"/>
          </w:tcPr>
          <w:p w14:paraId="41C7AC8E">
            <w:pPr>
              <w:adjustRightInd w:val="0"/>
              <w:snapToGrid w:val="0"/>
              <w:jc w:val="center"/>
              <w:rPr>
                <w:rFonts w:ascii="Times New Roman" w:hAnsi="Times New Roman"/>
                <w:b/>
                <w:szCs w:val="21"/>
              </w:rPr>
            </w:pPr>
            <w:r>
              <w:rPr>
                <w:rFonts w:ascii="Times New Roman" w:hAnsi="Times New Roman"/>
                <w:b/>
                <w:szCs w:val="21"/>
              </w:rPr>
              <w:t>维度</w:t>
            </w:r>
          </w:p>
        </w:tc>
        <w:tc>
          <w:tcPr>
            <w:tcW w:w="993" w:type="dxa"/>
            <w:vMerge w:val="continue"/>
            <w:vAlign w:val="center"/>
          </w:tcPr>
          <w:p w14:paraId="24338A78">
            <w:pPr>
              <w:snapToGrid w:val="0"/>
              <w:jc w:val="center"/>
              <w:rPr>
                <w:rFonts w:ascii="Times New Roman" w:hAnsi="Times New Roman"/>
                <w:b/>
                <w:szCs w:val="21"/>
              </w:rPr>
            </w:pPr>
          </w:p>
        </w:tc>
        <w:tc>
          <w:tcPr>
            <w:tcW w:w="567" w:type="dxa"/>
            <w:vAlign w:val="center"/>
          </w:tcPr>
          <w:p w14:paraId="6853F0FD">
            <w:pPr>
              <w:snapToGrid w:val="0"/>
              <w:jc w:val="center"/>
              <w:rPr>
                <w:rFonts w:ascii="Times New Roman" w:hAnsi="Times New Roman"/>
                <w:b/>
                <w:szCs w:val="21"/>
              </w:rPr>
            </w:pPr>
            <w:r>
              <w:rPr>
                <w:rFonts w:ascii="Times New Roman" w:hAnsi="Times New Roman"/>
                <w:b/>
                <w:szCs w:val="21"/>
              </w:rPr>
              <w:t>高度(m)</w:t>
            </w:r>
          </w:p>
        </w:tc>
        <w:tc>
          <w:tcPr>
            <w:tcW w:w="567" w:type="dxa"/>
            <w:vAlign w:val="center"/>
          </w:tcPr>
          <w:p w14:paraId="7750FA1D">
            <w:pPr>
              <w:snapToGrid w:val="0"/>
              <w:jc w:val="center"/>
              <w:rPr>
                <w:rFonts w:ascii="Times New Roman" w:hAnsi="Times New Roman"/>
                <w:b/>
                <w:szCs w:val="21"/>
              </w:rPr>
            </w:pPr>
            <w:r>
              <w:rPr>
                <w:rFonts w:ascii="Times New Roman" w:hAnsi="Times New Roman"/>
                <w:b/>
                <w:szCs w:val="21"/>
              </w:rPr>
              <w:t>内径(m)</w:t>
            </w:r>
          </w:p>
        </w:tc>
        <w:tc>
          <w:tcPr>
            <w:tcW w:w="567" w:type="dxa"/>
            <w:vAlign w:val="center"/>
          </w:tcPr>
          <w:p w14:paraId="7898336D">
            <w:pPr>
              <w:snapToGrid w:val="0"/>
              <w:jc w:val="center"/>
              <w:rPr>
                <w:rFonts w:ascii="Times New Roman" w:hAnsi="Times New Roman"/>
                <w:b/>
                <w:szCs w:val="21"/>
              </w:rPr>
            </w:pPr>
            <w:r>
              <w:rPr>
                <w:rFonts w:ascii="Times New Roman" w:hAnsi="Times New Roman"/>
                <w:b/>
                <w:szCs w:val="21"/>
              </w:rPr>
              <w:t>温度(℃)</w:t>
            </w:r>
          </w:p>
        </w:tc>
        <w:tc>
          <w:tcPr>
            <w:tcW w:w="567" w:type="dxa"/>
            <w:vAlign w:val="center"/>
          </w:tcPr>
          <w:p w14:paraId="01F9D769">
            <w:pPr>
              <w:snapToGrid w:val="0"/>
              <w:jc w:val="center"/>
              <w:rPr>
                <w:rFonts w:ascii="Times New Roman" w:hAnsi="Times New Roman"/>
                <w:b/>
                <w:szCs w:val="21"/>
              </w:rPr>
            </w:pPr>
            <w:r>
              <w:rPr>
                <w:rFonts w:ascii="Times New Roman" w:hAnsi="Times New Roman"/>
                <w:b/>
                <w:szCs w:val="21"/>
              </w:rPr>
              <w:t>流速(</w:t>
            </w:r>
            <w:r>
              <w:rPr>
                <w:rFonts w:ascii="Times New Roman" w:hAnsi="Times New Roman"/>
                <w:b/>
                <w:spacing w:val="-2"/>
                <w:kern w:val="0"/>
                <w:szCs w:val="21"/>
              </w:rPr>
              <w:t>m/s</w:t>
            </w:r>
            <w:r>
              <w:rPr>
                <w:rFonts w:ascii="Times New Roman" w:hAnsi="Times New Roman"/>
                <w:b/>
                <w:szCs w:val="21"/>
              </w:rPr>
              <w:t>)</w:t>
            </w:r>
          </w:p>
        </w:tc>
        <w:tc>
          <w:tcPr>
            <w:tcW w:w="850" w:type="dxa"/>
            <w:vMerge w:val="continue"/>
            <w:vAlign w:val="center"/>
          </w:tcPr>
          <w:p w14:paraId="68C97F87">
            <w:pPr>
              <w:snapToGrid w:val="0"/>
              <w:jc w:val="center"/>
              <w:rPr>
                <w:rFonts w:ascii="Times New Roman" w:hAnsi="Times New Roman"/>
                <w:b/>
                <w:szCs w:val="21"/>
              </w:rPr>
            </w:pPr>
          </w:p>
        </w:tc>
        <w:tc>
          <w:tcPr>
            <w:tcW w:w="992" w:type="dxa"/>
            <w:vMerge w:val="continue"/>
            <w:vAlign w:val="center"/>
          </w:tcPr>
          <w:p w14:paraId="152E5A94">
            <w:pPr>
              <w:snapToGrid w:val="0"/>
              <w:jc w:val="center"/>
              <w:rPr>
                <w:rFonts w:ascii="Times New Roman" w:hAnsi="Times New Roman"/>
                <w:b/>
                <w:szCs w:val="21"/>
              </w:rPr>
            </w:pPr>
          </w:p>
        </w:tc>
      </w:tr>
      <w:tr w14:paraId="48A425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Pr>
        <w:tc>
          <w:tcPr>
            <w:tcW w:w="607" w:type="dxa"/>
            <w:vMerge w:val="restart"/>
            <w:vAlign w:val="center"/>
          </w:tcPr>
          <w:p w14:paraId="26CA42FF">
            <w:pPr>
              <w:jc w:val="center"/>
              <w:rPr>
                <w:rFonts w:ascii="Times New Roman" w:hAnsi="Times New Roman"/>
                <w:szCs w:val="21"/>
              </w:rPr>
            </w:pPr>
            <w:r>
              <w:rPr>
                <w:rFonts w:ascii="Times New Roman" w:hAnsi="Times New Roman"/>
                <w:szCs w:val="21"/>
              </w:rPr>
              <w:t>正常排放</w:t>
            </w:r>
          </w:p>
        </w:tc>
        <w:tc>
          <w:tcPr>
            <w:tcW w:w="938" w:type="dxa"/>
            <w:vMerge w:val="restart"/>
            <w:vAlign w:val="center"/>
          </w:tcPr>
          <w:p w14:paraId="3878ED54">
            <w:pPr>
              <w:jc w:val="center"/>
              <w:rPr>
                <w:rFonts w:ascii="Times New Roman" w:hAnsi="Times New Roman"/>
                <w:szCs w:val="21"/>
              </w:rPr>
            </w:pPr>
            <w:r>
              <w:rPr>
                <w:rFonts w:ascii="Times New Roman" w:hAnsi="Times New Roman"/>
                <w:szCs w:val="21"/>
              </w:rPr>
              <w:t>烘干炉排气筒</w:t>
            </w:r>
          </w:p>
        </w:tc>
        <w:tc>
          <w:tcPr>
            <w:tcW w:w="1134" w:type="dxa"/>
            <w:vMerge w:val="restart"/>
            <w:vAlign w:val="center"/>
          </w:tcPr>
          <w:p w14:paraId="12358E4E">
            <w:pPr>
              <w:jc w:val="center"/>
              <w:rPr>
                <w:rFonts w:ascii="Times New Roman" w:hAnsi="Times New Roman"/>
                <w:szCs w:val="21"/>
              </w:rPr>
            </w:pPr>
            <w:r>
              <w:rPr>
                <w:rFonts w:ascii="Times New Roman" w:hAnsi="Times New Roman"/>
                <w:szCs w:val="21"/>
              </w:rPr>
              <w:t>108.667620</w:t>
            </w:r>
          </w:p>
        </w:tc>
        <w:tc>
          <w:tcPr>
            <w:tcW w:w="1275" w:type="dxa"/>
            <w:vMerge w:val="restart"/>
            <w:vAlign w:val="center"/>
          </w:tcPr>
          <w:p w14:paraId="2BA0F132">
            <w:pPr>
              <w:jc w:val="center"/>
              <w:rPr>
                <w:rFonts w:ascii="Times New Roman" w:hAnsi="Times New Roman"/>
                <w:szCs w:val="21"/>
              </w:rPr>
            </w:pPr>
            <w:r>
              <w:rPr>
                <w:rFonts w:ascii="Times New Roman" w:hAnsi="Times New Roman"/>
                <w:szCs w:val="21"/>
              </w:rPr>
              <w:t>21.672537</w:t>
            </w:r>
          </w:p>
        </w:tc>
        <w:tc>
          <w:tcPr>
            <w:tcW w:w="993" w:type="dxa"/>
            <w:vMerge w:val="restart"/>
            <w:vAlign w:val="center"/>
          </w:tcPr>
          <w:p w14:paraId="5851E11B">
            <w:pPr>
              <w:jc w:val="center"/>
              <w:rPr>
                <w:rFonts w:ascii="Times New Roman" w:hAnsi="Times New Roman"/>
                <w:szCs w:val="21"/>
              </w:rPr>
            </w:pPr>
            <w:r>
              <w:rPr>
                <w:rFonts w:ascii="Times New Roman" w:hAnsi="Times New Roman"/>
                <w:szCs w:val="21"/>
              </w:rPr>
              <w:t>0</w:t>
            </w:r>
          </w:p>
        </w:tc>
        <w:tc>
          <w:tcPr>
            <w:tcW w:w="567" w:type="dxa"/>
            <w:vMerge w:val="restart"/>
            <w:vAlign w:val="center"/>
          </w:tcPr>
          <w:p w14:paraId="5835AFC2">
            <w:pPr>
              <w:adjustRightInd w:val="0"/>
              <w:snapToGrid w:val="0"/>
              <w:jc w:val="center"/>
              <w:rPr>
                <w:rFonts w:ascii="Times New Roman" w:hAnsi="Times New Roman"/>
                <w:szCs w:val="21"/>
              </w:rPr>
            </w:pPr>
            <w:r>
              <w:rPr>
                <w:rFonts w:ascii="Times New Roman" w:hAnsi="Times New Roman"/>
                <w:szCs w:val="21"/>
              </w:rPr>
              <w:t>1</w:t>
            </w:r>
            <w:r>
              <w:rPr>
                <w:rFonts w:hint="eastAsia" w:ascii="Times New Roman" w:hAnsi="Times New Roman"/>
                <w:szCs w:val="21"/>
              </w:rPr>
              <w:t>9</w:t>
            </w:r>
          </w:p>
        </w:tc>
        <w:tc>
          <w:tcPr>
            <w:tcW w:w="567" w:type="dxa"/>
            <w:vMerge w:val="restart"/>
            <w:vAlign w:val="center"/>
          </w:tcPr>
          <w:p w14:paraId="1EA49559">
            <w:pPr>
              <w:adjustRightInd w:val="0"/>
              <w:snapToGrid w:val="0"/>
              <w:jc w:val="center"/>
              <w:rPr>
                <w:rFonts w:ascii="Times New Roman" w:hAnsi="Times New Roman"/>
                <w:szCs w:val="21"/>
              </w:rPr>
            </w:pPr>
            <w:r>
              <w:rPr>
                <w:rFonts w:ascii="Times New Roman" w:hAnsi="Times New Roman"/>
                <w:szCs w:val="21"/>
              </w:rPr>
              <w:t>0.</w:t>
            </w:r>
            <w:r>
              <w:rPr>
                <w:rFonts w:hint="eastAsia" w:ascii="Times New Roman" w:hAnsi="Times New Roman"/>
                <w:szCs w:val="21"/>
              </w:rPr>
              <w:t>3</w:t>
            </w:r>
          </w:p>
        </w:tc>
        <w:tc>
          <w:tcPr>
            <w:tcW w:w="567" w:type="dxa"/>
            <w:vMerge w:val="restart"/>
            <w:vAlign w:val="center"/>
          </w:tcPr>
          <w:p w14:paraId="2B023214">
            <w:pPr>
              <w:adjustRightInd w:val="0"/>
              <w:snapToGrid w:val="0"/>
              <w:jc w:val="center"/>
              <w:rPr>
                <w:rFonts w:ascii="Times New Roman" w:hAnsi="Times New Roman"/>
                <w:szCs w:val="21"/>
              </w:rPr>
            </w:pPr>
            <w:r>
              <w:rPr>
                <w:rFonts w:ascii="Times New Roman" w:hAnsi="Times New Roman"/>
                <w:szCs w:val="21"/>
              </w:rPr>
              <w:t>80</w:t>
            </w:r>
          </w:p>
        </w:tc>
        <w:tc>
          <w:tcPr>
            <w:tcW w:w="567" w:type="dxa"/>
            <w:vMerge w:val="restart"/>
            <w:vAlign w:val="center"/>
          </w:tcPr>
          <w:p w14:paraId="0E47EC54">
            <w:pPr>
              <w:jc w:val="center"/>
              <w:rPr>
                <w:rFonts w:ascii="Times New Roman" w:hAnsi="Times New Roman"/>
                <w:szCs w:val="21"/>
              </w:rPr>
            </w:pPr>
            <w:r>
              <w:rPr>
                <w:rFonts w:hint="eastAsia" w:ascii="Times New Roman" w:hAnsi="Times New Roman"/>
                <w:szCs w:val="21"/>
              </w:rPr>
              <w:t>19.65</w:t>
            </w:r>
          </w:p>
        </w:tc>
        <w:tc>
          <w:tcPr>
            <w:tcW w:w="850" w:type="dxa"/>
            <w:vAlign w:val="center"/>
          </w:tcPr>
          <w:p w14:paraId="78421BCB">
            <w:pPr>
              <w:tabs>
                <w:tab w:val="left" w:pos="624"/>
              </w:tabs>
              <w:jc w:val="center"/>
              <w:rPr>
                <w:rFonts w:ascii="Times New Roman" w:hAnsi="Times New Roman"/>
                <w:szCs w:val="21"/>
              </w:rPr>
            </w:pPr>
            <w:r>
              <w:rPr>
                <w:rFonts w:ascii="Times New Roman" w:hAnsi="Times New Roman"/>
                <w:szCs w:val="21"/>
              </w:rPr>
              <w:t>PM</w:t>
            </w:r>
            <w:r>
              <w:rPr>
                <w:rFonts w:ascii="Times New Roman" w:hAnsi="Times New Roman"/>
                <w:szCs w:val="21"/>
                <w:vertAlign w:val="subscript"/>
              </w:rPr>
              <w:t>10</w:t>
            </w:r>
          </w:p>
        </w:tc>
        <w:tc>
          <w:tcPr>
            <w:tcW w:w="992" w:type="dxa"/>
            <w:vAlign w:val="center"/>
          </w:tcPr>
          <w:p w14:paraId="1B312D50">
            <w:pPr>
              <w:jc w:val="center"/>
              <w:rPr>
                <w:rFonts w:ascii="Times New Roman" w:hAnsi="Times New Roman"/>
                <w:szCs w:val="21"/>
              </w:rPr>
            </w:pPr>
            <w:r>
              <w:rPr>
                <w:rFonts w:ascii="Times New Roman" w:hAnsi="Times New Roman"/>
                <w:kern w:val="0"/>
                <w:szCs w:val="21"/>
                <w:u w:val="single"/>
              </w:rPr>
              <w:t>0.0175</w:t>
            </w:r>
          </w:p>
        </w:tc>
      </w:tr>
      <w:tr w14:paraId="409F58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Pr>
        <w:tc>
          <w:tcPr>
            <w:tcW w:w="607" w:type="dxa"/>
            <w:vMerge w:val="continue"/>
            <w:vAlign w:val="center"/>
          </w:tcPr>
          <w:p w14:paraId="5C41D46F">
            <w:pPr>
              <w:jc w:val="center"/>
              <w:rPr>
                <w:rFonts w:ascii="Times New Roman" w:hAnsi="Times New Roman"/>
                <w:szCs w:val="21"/>
              </w:rPr>
            </w:pPr>
          </w:p>
        </w:tc>
        <w:tc>
          <w:tcPr>
            <w:tcW w:w="938" w:type="dxa"/>
            <w:vMerge w:val="continue"/>
            <w:vAlign w:val="center"/>
          </w:tcPr>
          <w:p w14:paraId="647F9F55">
            <w:pPr>
              <w:jc w:val="center"/>
              <w:rPr>
                <w:rFonts w:ascii="Times New Roman" w:hAnsi="Times New Roman"/>
                <w:szCs w:val="21"/>
              </w:rPr>
            </w:pPr>
          </w:p>
        </w:tc>
        <w:tc>
          <w:tcPr>
            <w:tcW w:w="1134" w:type="dxa"/>
            <w:vMerge w:val="continue"/>
            <w:vAlign w:val="center"/>
          </w:tcPr>
          <w:p w14:paraId="0F106722">
            <w:pPr>
              <w:jc w:val="center"/>
              <w:rPr>
                <w:rFonts w:ascii="Times New Roman" w:hAnsi="Times New Roman"/>
                <w:szCs w:val="21"/>
              </w:rPr>
            </w:pPr>
          </w:p>
        </w:tc>
        <w:tc>
          <w:tcPr>
            <w:tcW w:w="1275" w:type="dxa"/>
            <w:vMerge w:val="continue"/>
            <w:vAlign w:val="center"/>
          </w:tcPr>
          <w:p w14:paraId="0351425F">
            <w:pPr>
              <w:jc w:val="center"/>
              <w:rPr>
                <w:rFonts w:ascii="Times New Roman" w:hAnsi="Times New Roman"/>
                <w:szCs w:val="21"/>
              </w:rPr>
            </w:pPr>
          </w:p>
        </w:tc>
        <w:tc>
          <w:tcPr>
            <w:tcW w:w="993" w:type="dxa"/>
            <w:vMerge w:val="continue"/>
            <w:vAlign w:val="center"/>
          </w:tcPr>
          <w:p w14:paraId="5F6BE0C5">
            <w:pPr>
              <w:jc w:val="center"/>
              <w:rPr>
                <w:rFonts w:ascii="Times New Roman" w:hAnsi="Times New Roman"/>
                <w:szCs w:val="21"/>
              </w:rPr>
            </w:pPr>
          </w:p>
        </w:tc>
        <w:tc>
          <w:tcPr>
            <w:tcW w:w="567" w:type="dxa"/>
            <w:vMerge w:val="continue"/>
            <w:vAlign w:val="center"/>
          </w:tcPr>
          <w:p w14:paraId="489AD07E">
            <w:pPr>
              <w:adjustRightInd w:val="0"/>
              <w:snapToGrid w:val="0"/>
              <w:jc w:val="center"/>
              <w:rPr>
                <w:rFonts w:ascii="Times New Roman" w:hAnsi="Times New Roman"/>
                <w:szCs w:val="21"/>
              </w:rPr>
            </w:pPr>
          </w:p>
        </w:tc>
        <w:tc>
          <w:tcPr>
            <w:tcW w:w="567" w:type="dxa"/>
            <w:vMerge w:val="continue"/>
            <w:vAlign w:val="center"/>
          </w:tcPr>
          <w:p w14:paraId="763D43F7">
            <w:pPr>
              <w:adjustRightInd w:val="0"/>
              <w:snapToGrid w:val="0"/>
              <w:jc w:val="center"/>
              <w:rPr>
                <w:rFonts w:ascii="Times New Roman" w:hAnsi="Times New Roman"/>
                <w:szCs w:val="21"/>
              </w:rPr>
            </w:pPr>
          </w:p>
        </w:tc>
        <w:tc>
          <w:tcPr>
            <w:tcW w:w="567" w:type="dxa"/>
            <w:vMerge w:val="continue"/>
            <w:vAlign w:val="center"/>
          </w:tcPr>
          <w:p w14:paraId="276564E6">
            <w:pPr>
              <w:adjustRightInd w:val="0"/>
              <w:snapToGrid w:val="0"/>
              <w:jc w:val="center"/>
              <w:rPr>
                <w:rFonts w:ascii="Times New Roman" w:hAnsi="Times New Roman"/>
                <w:szCs w:val="21"/>
              </w:rPr>
            </w:pPr>
          </w:p>
        </w:tc>
        <w:tc>
          <w:tcPr>
            <w:tcW w:w="567" w:type="dxa"/>
            <w:vMerge w:val="continue"/>
            <w:vAlign w:val="center"/>
          </w:tcPr>
          <w:p w14:paraId="77DCA34B">
            <w:pPr>
              <w:jc w:val="center"/>
              <w:rPr>
                <w:rFonts w:ascii="Times New Roman" w:hAnsi="Times New Roman"/>
                <w:szCs w:val="21"/>
              </w:rPr>
            </w:pPr>
          </w:p>
        </w:tc>
        <w:tc>
          <w:tcPr>
            <w:tcW w:w="850" w:type="dxa"/>
            <w:vAlign w:val="center"/>
          </w:tcPr>
          <w:p w14:paraId="667168FB">
            <w:pPr>
              <w:tabs>
                <w:tab w:val="left" w:pos="624"/>
              </w:tabs>
              <w:jc w:val="center"/>
              <w:rPr>
                <w:rFonts w:ascii="Times New Roman" w:hAnsi="Times New Roman"/>
                <w:szCs w:val="21"/>
              </w:rPr>
            </w:pPr>
            <w:r>
              <w:rPr>
                <w:rFonts w:ascii="Times New Roman" w:hAnsi="Times New Roman"/>
                <w:spacing w:val="-2"/>
                <w:kern w:val="0"/>
                <w:szCs w:val="21"/>
              </w:rPr>
              <w:t>SO</w:t>
            </w:r>
            <w:r>
              <w:rPr>
                <w:rFonts w:ascii="Times New Roman" w:hAnsi="Times New Roman"/>
                <w:spacing w:val="-2"/>
                <w:kern w:val="0"/>
                <w:szCs w:val="21"/>
                <w:vertAlign w:val="subscript"/>
              </w:rPr>
              <w:t>2</w:t>
            </w:r>
          </w:p>
        </w:tc>
        <w:tc>
          <w:tcPr>
            <w:tcW w:w="992" w:type="dxa"/>
            <w:vAlign w:val="center"/>
          </w:tcPr>
          <w:p w14:paraId="27D56563">
            <w:pPr>
              <w:jc w:val="center"/>
              <w:rPr>
                <w:rFonts w:ascii="Times New Roman" w:hAnsi="Times New Roman"/>
                <w:szCs w:val="21"/>
              </w:rPr>
            </w:pPr>
            <w:r>
              <w:rPr>
                <w:rFonts w:ascii="Times New Roman" w:hAnsi="Times New Roman"/>
                <w:kern w:val="0"/>
                <w:szCs w:val="21"/>
                <w:u w:val="single"/>
              </w:rPr>
              <w:t>0.0921</w:t>
            </w:r>
          </w:p>
        </w:tc>
      </w:tr>
      <w:tr w14:paraId="3D1D1B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Pr>
        <w:tc>
          <w:tcPr>
            <w:tcW w:w="607" w:type="dxa"/>
            <w:vMerge w:val="continue"/>
            <w:vAlign w:val="center"/>
          </w:tcPr>
          <w:p w14:paraId="3C183E9B">
            <w:pPr>
              <w:jc w:val="center"/>
              <w:rPr>
                <w:rFonts w:ascii="Times New Roman" w:hAnsi="Times New Roman"/>
                <w:szCs w:val="21"/>
              </w:rPr>
            </w:pPr>
          </w:p>
        </w:tc>
        <w:tc>
          <w:tcPr>
            <w:tcW w:w="938" w:type="dxa"/>
            <w:vMerge w:val="continue"/>
            <w:vAlign w:val="center"/>
          </w:tcPr>
          <w:p w14:paraId="09268E8A">
            <w:pPr>
              <w:jc w:val="center"/>
              <w:rPr>
                <w:rFonts w:ascii="Times New Roman" w:hAnsi="Times New Roman"/>
                <w:szCs w:val="21"/>
              </w:rPr>
            </w:pPr>
          </w:p>
        </w:tc>
        <w:tc>
          <w:tcPr>
            <w:tcW w:w="1134" w:type="dxa"/>
            <w:vMerge w:val="continue"/>
            <w:vAlign w:val="center"/>
          </w:tcPr>
          <w:p w14:paraId="2736E986">
            <w:pPr>
              <w:jc w:val="center"/>
              <w:rPr>
                <w:rFonts w:ascii="Times New Roman" w:hAnsi="Times New Roman"/>
                <w:szCs w:val="21"/>
              </w:rPr>
            </w:pPr>
          </w:p>
        </w:tc>
        <w:tc>
          <w:tcPr>
            <w:tcW w:w="1275" w:type="dxa"/>
            <w:vMerge w:val="continue"/>
            <w:vAlign w:val="center"/>
          </w:tcPr>
          <w:p w14:paraId="00A985A9">
            <w:pPr>
              <w:jc w:val="center"/>
              <w:rPr>
                <w:rFonts w:ascii="Times New Roman" w:hAnsi="Times New Roman"/>
                <w:szCs w:val="21"/>
              </w:rPr>
            </w:pPr>
          </w:p>
        </w:tc>
        <w:tc>
          <w:tcPr>
            <w:tcW w:w="993" w:type="dxa"/>
            <w:vMerge w:val="continue"/>
            <w:vAlign w:val="center"/>
          </w:tcPr>
          <w:p w14:paraId="02795EEB">
            <w:pPr>
              <w:jc w:val="center"/>
              <w:rPr>
                <w:rFonts w:ascii="Times New Roman" w:hAnsi="Times New Roman"/>
                <w:szCs w:val="21"/>
              </w:rPr>
            </w:pPr>
          </w:p>
        </w:tc>
        <w:tc>
          <w:tcPr>
            <w:tcW w:w="567" w:type="dxa"/>
            <w:vMerge w:val="continue"/>
            <w:vAlign w:val="center"/>
          </w:tcPr>
          <w:p w14:paraId="053B0B88">
            <w:pPr>
              <w:adjustRightInd w:val="0"/>
              <w:snapToGrid w:val="0"/>
              <w:jc w:val="center"/>
              <w:rPr>
                <w:rFonts w:ascii="Times New Roman" w:hAnsi="Times New Roman"/>
                <w:szCs w:val="21"/>
              </w:rPr>
            </w:pPr>
          </w:p>
        </w:tc>
        <w:tc>
          <w:tcPr>
            <w:tcW w:w="567" w:type="dxa"/>
            <w:vMerge w:val="continue"/>
            <w:vAlign w:val="center"/>
          </w:tcPr>
          <w:p w14:paraId="45361B2F">
            <w:pPr>
              <w:adjustRightInd w:val="0"/>
              <w:snapToGrid w:val="0"/>
              <w:jc w:val="center"/>
              <w:rPr>
                <w:rFonts w:ascii="Times New Roman" w:hAnsi="Times New Roman"/>
                <w:szCs w:val="21"/>
              </w:rPr>
            </w:pPr>
          </w:p>
        </w:tc>
        <w:tc>
          <w:tcPr>
            <w:tcW w:w="567" w:type="dxa"/>
            <w:vMerge w:val="continue"/>
            <w:vAlign w:val="center"/>
          </w:tcPr>
          <w:p w14:paraId="47BDC32C">
            <w:pPr>
              <w:adjustRightInd w:val="0"/>
              <w:snapToGrid w:val="0"/>
              <w:jc w:val="center"/>
              <w:rPr>
                <w:rFonts w:ascii="Times New Roman" w:hAnsi="Times New Roman"/>
                <w:szCs w:val="21"/>
              </w:rPr>
            </w:pPr>
          </w:p>
        </w:tc>
        <w:tc>
          <w:tcPr>
            <w:tcW w:w="567" w:type="dxa"/>
            <w:vMerge w:val="continue"/>
            <w:vAlign w:val="center"/>
          </w:tcPr>
          <w:p w14:paraId="55F53B56">
            <w:pPr>
              <w:jc w:val="center"/>
              <w:rPr>
                <w:rFonts w:ascii="Times New Roman" w:hAnsi="Times New Roman"/>
                <w:szCs w:val="21"/>
              </w:rPr>
            </w:pPr>
          </w:p>
        </w:tc>
        <w:tc>
          <w:tcPr>
            <w:tcW w:w="850" w:type="dxa"/>
            <w:vAlign w:val="center"/>
          </w:tcPr>
          <w:p w14:paraId="3BF22F9A">
            <w:pPr>
              <w:tabs>
                <w:tab w:val="left" w:pos="624"/>
              </w:tabs>
              <w:jc w:val="center"/>
              <w:rPr>
                <w:rFonts w:ascii="Times New Roman" w:hAnsi="Times New Roman"/>
                <w:szCs w:val="21"/>
              </w:rPr>
            </w:pPr>
            <w:r>
              <w:rPr>
                <w:rFonts w:ascii="Times New Roman" w:hAnsi="Times New Roman"/>
                <w:szCs w:val="21"/>
              </w:rPr>
              <w:t>NO</w:t>
            </w:r>
            <w:r>
              <w:rPr>
                <w:rFonts w:ascii="Times New Roman" w:hAnsi="Times New Roman"/>
                <w:szCs w:val="21"/>
                <w:vertAlign w:val="subscript"/>
              </w:rPr>
              <w:t>X</w:t>
            </w:r>
          </w:p>
        </w:tc>
        <w:tc>
          <w:tcPr>
            <w:tcW w:w="992" w:type="dxa"/>
            <w:vAlign w:val="center"/>
          </w:tcPr>
          <w:p w14:paraId="55190D39">
            <w:pPr>
              <w:jc w:val="center"/>
              <w:rPr>
                <w:rFonts w:ascii="Times New Roman" w:hAnsi="Times New Roman"/>
                <w:szCs w:val="21"/>
              </w:rPr>
            </w:pPr>
            <w:r>
              <w:rPr>
                <w:rFonts w:ascii="Times New Roman" w:hAnsi="Times New Roman"/>
                <w:kern w:val="0"/>
                <w:szCs w:val="21"/>
                <w:u w:val="single"/>
              </w:rPr>
              <w:t>0.5000</w:t>
            </w:r>
          </w:p>
        </w:tc>
      </w:tr>
      <w:tr w14:paraId="5B4454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Pr>
        <w:tc>
          <w:tcPr>
            <w:tcW w:w="607" w:type="dxa"/>
            <w:vMerge w:val="continue"/>
            <w:vAlign w:val="center"/>
          </w:tcPr>
          <w:p w14:paraId="20AA398B">
            <w:pPr>
              <w:jc w:val="center"/>
              <w:rPr>
                <w:rFonts w:ascii="Times New Roman" w:hAnsi="Times New Roman"/>
                <w:szCs w:val="21"/>
              </w:rPr>
            </w:pPr>
          </w:p>
        </w:tc>
        <w:tc>
          <w:tcPr>
            <w:tcW w:w="938" w:type="dxa"/>
            <w:vAlign w:val="center"/>
          </w:tcPr>
          <w:p w14:paraId="3D6E4930">
            <w:pPr>
              <w:jc w:val="center"/>
              <w:rPr>
                <w:rFonts w:ascii="Times New Roman" w:hAnsi="Times New Roman"/>
                <w:szCs w:val="21"/>
              </w:rPr>
            </w:pPr>
            <w:r>
              <w:rPr>
                <w:rFonts w:hint="eastAsia" w:ascii="Times New Roman" w:hAnsi="Times New Roman"/>
                <w:szCs w:val="21"/>
              </w:rPr>
              <w:t>1#</w:t>
            </w:r>
            <w:r>
              <w:rPr>
                <w:rFonts w:ascii="Times New Roman" w:hAnsi="Times New Roman"/>
                <w:szCs w:val="21"/>
              </w:rPr>
              <w:t>车间粉尘排气筒</w:t>
            </w:r>
          </w:p>
        </w:tc>
        <w:tc>
          <w:tcPr>
            <w:tcW w:w="1134" w:type="dxa"/>
            <w:vAlign w:val="center"/>
          </w:tcPr>
          <w:p w14:paraId="4AFA790C">
            <w:pPr>
              <w:jc w:val="center"/>
              <w:rPr>
                <w:rFonts w:ascii="Times New Roman" w:hAnsi="Times New Roman"/>
                <w:szCs w:val="21"/>
              </w:rPr>
            </w:pPr>
            <w:r>
              <w:rPr>
                <w:rFonts w:ascii="Times New Roman" w:hAnsi="Times New Roman"/>
                <w:szCs w:val="21"/>
              </w:rPr>
              <w:t>108.66769</w:t>
            </w:r>
            <w:r>
              <w:rPr>
                <w:rFonts w:hint="eastAsia" w:ascii="Times New Roman" w:hAnsi="Times New Roman"/>
                <w:szCs w:val="21"/>
              </w:rPr>
              <w:t>6</w:t>
            </w:r>
          </w:p>
        </w:tc>
        <w:tc>
          <w:tcPr>
            <w:tcW w:w="1275" w:type="dxa"/>
            <w:vAlign w:val="center"/>
          </w:tcPr>
          <w:p w14:paraId="0602AD8F">
            <w:pPr>
              <w:jc w:val="center"/>
              <w:rPr>
                <w:rFonts w:ascii="Times New Roman" w:hAnsi="Times New Roman"/>
                <w:szCs w:val="21"/>
              </w:rPr>
            </w:pPr>
            <w:r>
              <w:rPr>
                <w:rFonts w:ascii="Times New Roman" w:hAnsi="Times New Roman"/>
                <w:szCs w:val="21"/>
              </w:rPr>
              <w:t>21.672580</w:t>
            </w:r>
          </w:p>
        </w:tc>
        <w:tc>
          <w:tcPr>
            <w:tcW w:w="993" w:type="dxa"/>
            <w:vAlign w:val="center"/>
          </w:tcPr>
          <w:p w14:paraId="2FC90584">
            <w:pPr>
              <w:jc w:val="center"/>
              <w:rPr>
                <w:rFonts w:ascii="Times New Roman" w:hAnsi="Times New Roman"/>
                <w:szCs w:val="21"/>
              </w:rPr>
            </w:pPr>
            <w:r>
              <w:rPr>
                <w:rFonts w:hint="eastAsia" w:ascii="Times New Roman" w:hAnsi="Times New Roman"/>
                <w:szCs w:val="21"/>
              </w:rPr>
              <w:t>0</w:t>
            </w:r>
          </w:p>
        </w:tc>
        <w:tc>
          <w:tcPr>
            <w:tcW w:w="567" w:type="dxa"/>
            <w:vAlign w:val="center"/>
          </w:tcPr>
          <w:p w14:paraId="4DE56621">
            <w:pPr>
              <w:adjustRightInd w:val="0"/>
              <w:snapToGrid w:val="0"/>
              <w:jc w:val="center"/>
              <w:rPr>
                <w:rFonts w:ascii="Times New Roman" w:hAnsi="Times New Roman"/>
                <w:szCs w:val="21"/>
              </w:rPr>
            </w:pPr>
            <w:r>
              <w:rPr>
                <w:rFonts w:hint="eastAsia" w:ascii="Times New Roman" w:hAnsi="Times New Roman"/>
                <w:szCs w:val="21"/>
                <w:u w:val="single"/>
              </w:rPr>
              <w:t>19</w:t>
            </w:r>
          </w:p>
        </w:tc>
        <w:tc>
          <w:tcPr>
            <w:tcW w:w="567" w:type="dxa"/>
            <w:vAlign w:val="center"/>
          </w:tcPr>
          <w:p w14:paraId="748BDD45">
            <w:pPr>
              <w:adjustRightInd w:val="0"/>
              <w:snapToGrid w:val="0"/>
              <w:jc w:val="center"/>
              <w:rPr>
                <w:rFonts w:ascii="Times New Roman" w:hAnsi="Times New Roman"/>
                <w:szCs w:val="21"/>
              </w:rPr>
            </w:pPr>
            <w:r>
              <w:rPr>
                <w:rFonts w:ascii="Times New Roman" w:hAnsi="Times New Roman"/>
                <w:szCs w:val="21"/>
                <w:u w:val="single"/>
              </w:rPr>
              <w:t>0.</w:t>
            </w:r>
            <w:r>
              <w:rPr>
                <w:rFonts w:hint="eastAsia" w:ascii="Times New Roman" w:hAnsi="Times New Roman"/>
                <w:szCs w:val="21"/>
                <w:u w:val="single"/>
              </w:rPr>
              <w:t>4</w:t>
            </w:r>
          </w:p>
        </w:tc>
        <w:tc>
          <w:tcPr>
            <w:tcW w:w="567" w:type="dxa"/>
            <w:vAlign w:val="center"/>
          </w:tcPr>
          <w:p w14:paraId="34B4A5BD">
            <w:pPr>
              <w:adjustRightInd w:val="0"/>
              <w:snapToGrid w:val="0"/>
              <w:jc w:val="center"/>
              <w:rPr>
                <w:rFonts w:ascii="Times New Roman" w:hAnsi="Times New Roman"/>
                <w:szCs w:val="21"/>
              </w:rPr>
            </w:pPr>
            <w:r>
              <w:rPr>
                <w:rFonts w:ascii="Times New Roman" w:hAnsi="Times New Roman"/>
                <w:szCs w:val="21"/>
              </w:rPr>
              <w:t>25</w:t>
            </w:r>
          </w:p>
        </w:tc>
        <w:tc>
          <w:tcPr>
            <w:tcW w:w="567" w:type="dxa"/>
            <w:vAlign w:val="center"/>
          </w:tcPr>
          <w:p w14:paraId="11471F4D">
            <w:pPr>
              <w:jc w:val="center"/>
              <w:rPr>
                <w:rFonts w:ascii="Times New Roman" w:hAnsi="Times New Roman"/>
                <w:szCs w:val="21"/>
              </w:rPr>
            </w:pPr>
            <w:r>
              <w:rPr>
                <w:rFonts w:hint="eastAsia" w:ascii="Times New Roman" w:hAnsi="Times New Roman"/>
                <w:szCs w:val="21"/>
                <w:u w:val="single"/>
              </w:rPr>
              <w:t>17.68</w:t>
            </w:r>
          </w:p>
        </w:tc>
        <w:tc>
          <w:tcPr>
            <w:tcW w:w="850" w:type="dxa"/>
            <w:vAlign w:val="center"/>
          </w:tcPr>
          <w:p w14:paraId="70888611">
            <w:pPr>
              <w:tabs>
                <w:tab w:val="left" w:pos="624"/>
              </w:tabs>
              <w:jc w:val="center"/>
              <w:rPr>
                <w:rFonts w:ascii="Times New Roman" w:hAnsi="Times New Roman"/>
                <w:szCs w:val="21"/>
              </w:rPr>
            </w:pPr>
            <w:r>
              <w:rPr>
                <w:rFonts w:ascii="Times New Roman" w:hAnsi="Times New Roman"/>
                <w:szCs w:val="21"/>
              </w:rPr>
              <w:t>PM</w:t>
            </w:r>
            <w:r>
              <w:rPr>
                <w:rFonts w:ascii="Times New Roman" w:hAnsi="Times New Roman"/>
                <w:szCs w:val="21"/>
                <w:vertAlign w:val="subscript"/>
              </w:rPr>
              <w:t>10</w:t>
            </w:r>
          </w:p>
        </w:tc>
        <w:tc>
          <w:tcPr>
            <w:tcW w:w="992" w:type="dxa"/>
            <w:vAlign w:val="center"/>
          </w:tcPr>
          <w:p w14:paraId="408C23C0">
            <w:pPr>
              <w:jc w:val="center"/>
              <w:rPr>
                <w:rFonts w:ascii="Times New Roman" w:hAnsi="Times New Roman"/>
                <w:szCs w:val="21"/>
              </w:rPr>
            </w:pPr>
            <w:r>
              <w:rPr>
                <w:rFonts w:ascii="Times New Roman" w:hAnsi="Times New Roman"/>
                <w:kern w:val="0"/>
                <w:szCs w:val="21"/>
                <w:u w:val="single"/>
              </w:rPr>
              <w:t>0.0013</w:t>
            </w:r>
          </w:p>
        </w:tc>
      </w:tr>
      <w:tr w14:paraId="3C403D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784" w:hRule="atLeast"/>
        </w:trPr>
        <w:tc>
          <w:tcPr>
            <w:tcW w:w="607" w:type="dxa"/>
            <w:vMerge w:val="continue"/>
            <w:vAlign w:val="center"/>
          </w:tcPr>
          <w:p w14:paraId="6758F4EC">
            <w:pPr>
              <w:jc w:val="center"/>
              <w:rPr>
                <w:rFonts w:ascii="Times New Roman" w:hAnsi="Times New Roman"/>
                <w:szCs w:val="21"/>
              </w:rPr>
            </w:pPr>
          </w:p>
        </w:tc>
        <w:tc>
          <w:tcPr>
            <w:tcW w:w="938" w:type="dxa"/>
            <w:vAlign w:val="center"/>
          </w:tcPr>
          <w:p w14:paraId="5AB8F426">
            <w:pPr>
              <w:jc w:val="center"/>
              <w:rPr>
                <w:rFonts w:ascii="Times New Roman" w:hAnsi="Times New Roman"/>
                <w:szCs w:val="21"/>
              </w:rPr>
            </w:pPr>
            <w:r>
              <w:rPr>
                <w:rFonts w:hint="eastAsia" w:ascii="Times New Roman" w:hAnsi="Times New Roman"/>
                <w:szCs w:val="21"/>
              </w:rPr>
              <w:t>2#</w:t>
            </w:r>
            <w:r>
              <w:rPr>
                <w:rFonts w:ascii="Times New Roman" w:hAnsi="Times New Roman"/>
                <w:szCs w:val="21"/>
              </w:rPr>
              <w:t>车间粉尘排气筒</w:t>
            </w:r>
          </w:p>
        </w:tc>
        <w:tc>
          <w:tcPr>
            <w:tcW w:w="1134" w:type="dxa"/>
            <w:vAlign w:val="center"/>
          </w:tcPr>
          <w:p w14:paraId="047B3DA9">
            <w:pPr>
              <w:jc w:val="center"/>
              <w:rPr>
                <w:rFonts w:ascii="Times New Roman" w:hAnsi="Times New Roman"/>
                <w:szCs w:val="21"/>
              </w:rPr>
            </w:pPr>
            <w:r>
              <w:rPr>
                <w:rFonts w:ascii="Times New Roman" w:hAnsi="Times New Roman"/>
                <w:szCs w:val="21"/>
              </w:rPr>
              <w:t>108.667904</w:t>
            </w:r>
          </w:p>
        </w:tc>
        <w:tc>
          <w:tcPr>
            <w:tcW w:w="1275" w:type="dxa"/>
            <w:vAlign w:val="center"/>
          </w:tcPr>
          <w:p w14:paraId="06F9266F">
            <w:pPr>
              <w:jc w:val="center"/>
              <w:rPr>
                <w:rFonts w:ascii="Times New Roman" w:hAnsi="Times New Roman"/>
                <w:szCs w:val="21"/>
              </w:rPr>
            </w:pPr>
            <w:r>
              <w:rPr>
                <w:rFonts w:ascii="Times New Roman" w:hAnsi="Times New Roman"/>
                <w:szCs w:val="21"/>
              </w:rPr>
              <w:t>21.672726</w:t>
            </w:r>
          </w:p>
        </w:tc>
        <w:tc>
          <w:tcPr>
            <w:tcW w:w="993" w:type="dxa"/>
            <w:vAlign w:val="center"/>
          </w:tcPr>
          <w:p w14:paraId="1F441FFB">
            <w:pPr>
              <w:jc w:val="center"/>
              <w:rPr>
                <w:rFonts w:ascii="Times New Roman" w:hAnsi="Times New Roman"/>
                <w:szCs w:val="21"/>
              </w:rPr>
            </w:pPr>
            <w:r>
              <w:rPr>
                <w:rFonts w:ascii="Times New Roman" w:hAnsi="Times New Roman"/>
                <w:szCs w:val="21"/>
              </w:rPr>
              <w:t>0</w:t>
            </w:r>
          </w:p>
        </w:tc>
        <w:tc>
          <w:tcPr>
            <w:tcW w:w="567" w:type="dxa"/>
            <w:vAlign w:val="center"/>
          </w:tcPr>
          <w:p w14:paraId="138BA7BE">
            <w:pPr>
              <w:jc w:val="center"/>
              <w:rPr>
                <w:rFonts w:ascii="Times New Roman" w:hAnsi="Times New Roman"/>
                <w:szCs w:val="21"/>
              </w:rPr>
            </w:pPr>
            <w:r>
              <w:rPr>
                <w:rFonts w:hint="eastAsia" w:ascii="Times New Roman" w:hAnsi="Times New Roman"/>
                <w:szCs w:val="21"/>
                <w:u w:val="single"/>
              </w:rPr>
              <w:t>19</w:t>
            </w:r>
          </w:p>
        </w:tc>
        <w:tc>
          <w:tcPr>
            <w:tcW w:w="567" w:type="dxa"/>
            <w:vAlign w:val="center"/>
          </w:tcPr>
          <w:p w14:paraId="6FAEE968">
            <w:pPr>
              <w:jc w:val="center"/>
              <w:rPr>
                <w:rFonts w:ascii="Times New Roman" w:hAnsi="Times New Roman"/>
                <w:szCs w:val="21"/>
              </w:rPr>
            </w:pPr>
            <w:r>
              <w:rPr>
                <w:rFonts w:ascii="Times New Roman" w:hAnsi="Times New Roman"/>
                <w:szCs w:val="21"/>
                <w:u w:val="single"/>
              </w:rPr>
              <w:t>0.</w:t>
            </w:r>
            <w:r>
              <w:rPr>
                <w:rFonts w:hint="eastAsia" w:ascii="Times New Roman" w:hAnsi="Times New Roman"/>
                <w:szCs w:val="21"/>
                <w:u w:val="single"/>
              </w:rPr>
              <w:t>4</w:t>
            </w:r>
          </w:p>
        </w:tc>
        <w:tc>
          <w:tcPr>
            <w:tcW w:w="567" w:type="dxa"/>
            <w:vAlign w:val="center"/>
          </w:tcPr>
          <w:p w14:paraId="243D1C44">
            <w:pPr>
              <w:jc w:val="center"/>
              <w:rPr>
                <w:rFonts w:ascii="Times New Roman" w:hAnsi="Times New Roman"/>
                <w:szCs w:val="21"/>
              </w:rPr>
            </w:pPr>
            <w:r>
              <w:rPr>
                <w:rFonts w:ascii="Times New Roman" w:hAnsi="Times New Roman"/>
                <w:szCs w:val="21"/>
              </w:rPr>
              <w:t>25</w:t>
            </w:r>
          </w:p>
        </w:tc>
        <w:tc>
          <w:tcPr>
            <w:tcW w:w="567" w:type="dxa"/>
            <w:vAlign w:val="center"/>
          </w:tcPr>
          <w:p w14:paraId="57721C51">
            <w:pPr>
              <w:jc w:val="center"/>
              <w:rPr>
                <w:rFonts w:ascii="Times New Roman" w:hAnsi="Times New Roman"/>
              </w:rPr>
            </w:pPr>
            <w:r>
              <w:rPr>
                <w:rFonts w:hint="eastAsia" w:ascii="Times New Roman" w:hAnsi="Times New Roman"/>
                <w:szCs w:val="21"/>
                <w:u w:val="single"/>
              </w:rPr>
              <w:t>17.68</w:t>
            </w:r>
          </w:p>
        </w:tc>
        <w:tc>
          <w:tcPr>
            <w:tcW w:w="850" w:type="dxa"/>
            <w:vAlign w:val="center"/>
          </w:tcPr>
          <w:p w14:paraId="4FB5316E">
            <w:pPr>
              <w:tabs>
                <w:tab w:val="left" w:pos="624"/>
              </w:tabs>
              <w:jc w:val="center"/>
              <w:rPr>
                <w:rFonts w:ascii="Times New Roman" w:hAnsi="Times New Roman"/>
                <w:szCs w:val="21"/>
              </w:rPr>
            </w:pPr>
            <w:r>
              <w:rPr>
                <w:rFonts w:ascii="Times New Roman" w:hAnsi="Times New Roman"/>
                <w:szCs w:val="21"/>
              </w:rPr>
              <w:t>PM</w:t>
            </w:r>
            <w:r>
              <w:rPr>
                <w:rFonts w:ascii="Times New Roman" w:hAnsi="Times New Roman"/>
                <w:szCs w:val="21"/>
                <w:vertAlign w:val="subscript"/>
              </w:rPr>
              <w:t>10</w:t>
            </w:r>
          </w:p>
        </w:tc>
        <w:tc>
          <w:tcPr>
            <w:tcW w:w="992" w:type="dxa"/>
            <w:vAlign w:val="center"/>
          </w:tcPr>
          <w:p w14:paraId="75363947">
            <w:pPr>
              <w:jc w:val="center"/>
              <w:rPr>
                <w:rFonts w:ascii="Times New Roman" w:hAnsi="Times New Roman"/>
                <w:szCs w:val="21"/>
              </w:rPr>
            </w:pPr>
            <w:r>
              <w:rPr>
                <w:rFonts w:ascii="Times New Roman" w:hAnsi="Times New Roman"/>
                <w:kern w:val="0"/>
                <w:szCs w:val="21"/>
                <w:u w:val="single"/>
              </w:rPr>
              <w:t>0.0017</w:t>
            </w:r>
          </w:p>
        </w:tc>
      </w:tr>
    </w:tbl>
    <w:p w14:paraId="077E502F">
      <w:pPr>
        <w:spacing w:line="360" w:lineRule="auto"/>
        <w:ind w:firstLine="480" w:firstLineChars="200"/>
        <w:rPr>
          <w:rFonts w:ascii="Times New Roman" w:hAnsi="Times New Roman"/>
          <w:sz w:val="24"/>
          <w:szCs w:val="24"/>
        </w:rPr>
      </w:pPr>
    </w:p>
    <w:p w14:paraId="13D6CE2E">
      <w:pPr>
        <w:pStyle w:val="8"/>
        <w:numPr>
          <w:ilvl w:val="4"/>
          <w:numId w:val="3"/>
        </w:numPr>
        <w:rPr>
          <w:sz w:val="24"/>
          <w:szCs w:val="24"/>
        </w:rPr>
      </w:pPr>
      <w:r>
        <w:rPr>
          <w:sz w:val="24"/>
          <w:szCs w:val="24"/>
        </w:rPr>
        <w:t>本项目污染源（矩形面源）参数一览表</w:t>
      </w:r>
    </w:p>
    <w:tbl>
      <w:tblPr>
        <w:tblStyle w:val="88"/>
        <w:tblW w:w="919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94"/>
        <w:gridCol w:w="1115"/>
        <w:gridCol w:w="1295"/>
        <w:gridCol w:w="1134"/>
        <w:gridCol w:w="709"/>
        <w:gridCol w:w="850"/>
        <w:gridCol w:w="709"/>
        <w:gridCol w:w="850"/>
        <w:gridCol w:w="851"/>
        <w:gridCol w:w="992"/>
      </w:tblGrid>
      <w:tr w14:paraId="7CE490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jc w:val="center"/>
        </w:trPr>
        <w:tc>
          <w:tcPr>
            <w:tcW w:w="694" w:type="dxa"/>
            <w:vMerge w:val="restart"/>
            <w:vAlign w:val="center"/>
          </w:tcPr>
          <w:p w14:paraId="32B0698B">
            <w:pPr>
              <w:jc w:val="center"/>
              <w:rPr>
                <w:rFonts w:ascii="Times New Roman" w:hAnsi="Times New Roman"/>
                <w:b/>
                <w:szCs w:val="21"/>
              </w:rPr>
            </w:pPr>
            <w:r>
              <w:rPr>
                <w:rFonts w:ascii="Times New Roman" w:hAnsi="Times New Roman"/>
                <w:b/>
                <w:szCs w:val="21"/>
              </w:rPr>
              <w:t>排放情景</w:t>
            </w:r>
          </w:p>
        </w:tc>
        <w:tc>
          <w:tcPr>
            <w:tcW w:w="1115" w:type="dxa"/>
            <w:vMerge w:val="restart"/>
            <w:vAlign w:val="center"/>
          </w:tcPr>
          <w:p w14:paraId="34CDC121">
            <w:pPr>
              <w:jc w:val="center"/>
              <w:rPr>
                <w:rFonts w:ascii="Times New Roman" w:hAnsi="Times New Roman"/>
                <w:b/>
                <w:szCs w:val="21"/>
              </w:rPr>
            </w:pPr>
            <w:r>
              <w:rPr>
                <w:rFonts w:ascii="Times New Roman" w:hAnsi="Times New Roman"/>
                <w:b/>
                <w:szCs w:val="21"/>
              </w:rPr>
              <w:t>污染源名称</w:t>
            </w:r>
          </w:p>
        </w:tc>
        <w:tc>
          <w:tcPr>
            <w:tcW w:w="2429" w:type="dxa"/>
            <w:gridSpan w:val="2"/>
            <w:vAlign w:val="center"/>
          </w:tcPr>
          <w:p w14:paraId="5476DB57">
            <w:pPr>
              <w:snapToGrid w:val="0"/>
              <w:jc w:val="center"/>
              <w:rPr>
                <w:rFonts w:ascii="Times New Roman" w:hAnsi="Times New Roman"/>
                <w:b/>
                <w:szCs w:val="21"/>
              </w:rPr>
            </w:pPr>
            <w:r>
              <w:rPr>
                <w:rFonts w:ascii="Times New Roman" w:hAnsi="Times New Roman"/>
                <w:b/>
                <w:szCs w:val="21"/>
              </w:rPr>
              <w:t>坐标</w:t>
            </w:r>
          </w:p>
        </w:tc>
        <w:tc>
          <w:tcPr>
            <w:tcW w:w="709" w:type="dxa"/>
            <w:vMerge w:val="restart"/>
            <w:vAlign w:val="center"/>
          </w:tcPr>
          <w:p w14:paraId="6EC975F7">
            <w:pPr>
              <w:snapToGrid w:val="0"/>
              <w:jc w:val="center"/>
              <w:rPr>
                <w:rFonts w:ascii="Times New Roman" w:hAnsi="Times New Roman"/>
                <w:b/>
                <w:szCs w:val="21"/>
              </w:rPr>
            </w:pPr>
            <w:r>
              <w:rPr>
                <w:rFonts w:ascii="Times New Roman" w:hAnsi="Times New Roman"/>
                <w:b/>
                <w:szCs w:val="21"/>
              </w:rPr>
              <w:t>海拔高度(m)</w:t>
            </w:r>
          </w:p>
        </w:tc>
        <w:tc>
          <w:tcPr>
            <w:tcW w:w="2409" w:type="dxa"/>
            <w:gridSpan w:val="3"/>
            <w:vAlign w:val="center"/>
          </w:tcPr>
          <w:p w14:paraId="41BF6B02">
            <w:pPr>
              <w:snapToGrid w:val="0"/>
              <w:jc w:val="center"/>
              <w:rPr>
                <w:rFonts w:ascii="Times New Roman" w:hAnsi="Times New Roman"/>
                <w:b/>
                <w:szCs w:val="21"/>
              </w:rPr>
            </w:pPr>
            <w:r>
              <w:rPr>
                <w:rFonts w:ascii="Times New Roman" w:hAnsi="Times New Roman"/>
                <w:b/>
                <w:szCs w:val="21"/>
              </w:rPr>
              <w:t>矩形面源（m）</w:t>
            </w:r>
          </w:p>
        </w:tc>
        <w:tc>
          <w:tcPr>
            <w:tcW w:w="851" w:type="dxa"/>
            <w:vMerge w:val="restart"/>
            <w:vAlign w:val="center"/>
          </w:tcPr>
          <w:p w14:paraId="67790351">
            <w:pPr>
              <w:snapToGrid w:val="0"/>
              <w:jc w:val="center"/>
              <w:rPr>
                <w:rFonts w:ascii="Times New Roman" w:hAnsi="Times New Roman"/>
                <w:b/>
                <w:szCs w:val="21"/>
              </w:rPr>
            </w:pPr>
            <w:r>
              <w:rPr>
                <w:rFonts w:ascii="Times New Roman" w:hAnsi="Times New Roman"/>
                <w:b/>
                <w:szCs w:val="21"/>
              </w:rPr>
              <w:t>污染物</w:t>
            </w:r>
          </w:p>
        </w:tc>
        <w:tc>
          <w:tcPr>
            <w:tcW w:w="992" w:type="dxa"/>
            <w:vMerge w:val="restart"/>
            <w:vAlign w:val="center"/>
          </w:tcPr>
          <w:p w14:paraId="2881213B">
            <w:pPr>
              <w:snapToGrid w:val="0"/>
              <w:jc w:val="center"/>
              <w:rPr>
                <w:rFonts w:ascii="Times New Roman" w:hAnsi="Times New Roman"/>
                <w:b/>
                <w:szCs w:val="21"/>
              </w:rPr>
            </w:pPr>
            <w:r>
              <w:rPr>
                <w:rFonts w:ascii="Times New Roman" w:hAnsi="Times New Roman"/>
                <w:b/>
                <w:szCs w:val="21"/>
              </w:rPr>
              <w:t>排放量(kg/h)</w:t>
            </w:r>
          </w:p>
        </w:tc>
      </w:tr>
      <w:tr w14:paraId="441416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jc w:val="center"/>
        </w:trPr>
        <w:tc>
          <w:tcPr>
            <w:tcW w:w="694" w:type="dxa"/>
            <w:vMerge w:val="continue"/>
            <w:vAlign w:val="center"/>
          </w:tcPr>
          <w:p w14:paraId="67753959">
            <w:pPr>
              <w:snapToGrid w:val="0"/>
              <w:jc w:val="center"/>
              <w:rPr>
                <w:rFonts w:ascii="Times New Roman" w:hAnsi="Times New Roman"/>
                <w:b/>
                <w:szCs w:val="21"/>
              </w:rPr>
            </w:pPr>
          </w:p>
        </w:tc>
        <w:tc>
          <w:tcPr>
            <w:tcW w:w="1115" w:type="dxa"/>
            <w:vMerge w:val="continue"/>
            <w:vAlign w:val="center"/>
          </w:tcPr>
          <w:p w14:paraId="1725F429">
            <w:pPr>
              <w:snapToGrid w:val="0"/>
              <w:jc w:val="center"/>
              <w:rPr>
                <w:rFonts w:ascii="Times New Roman" w:hAnsi="Times New Roman"/>
                <w:b/>
                <w:szCs w:val="21"/>
              </w:rPr>
            </w:pPr>
          </w:p>
        </w:tc>
        <w:tc>
          <w:tcPr>
            <w:tcW w:w="1295" w:type="dxa"/>
            <w:vAlign w:val="center"/>
          </w:tcPr>
          <w:p w14:paraId="261480CB">
            <w:pPr>
              <w:adjustRightInd w:val="0"/>
              <w:snapToGrid w:val="0"/>
              <w:jc w:val="center"/>
              <w:rPr>
                <w:rFonts w:ascii="Times New Roman" w:hAnsi="Times New Roman"/>
                <w:b/>
                <w:szCs w:val="21"/>
              </w:rPr>
            </w:pPr>
            <w:r>
              <w:rPr>
                <w:rFonts w:ascii="Times New Roman" w:hAnsi="Times New Roman"/>
                <w:b/>
                <w:szCs w:val="21"/>
              </w:rPr>
              <w:t>经度</w:t>
            </w:r>
          </w:p>
        </w:tc>
        <w:tc>
          <w:tcPr>
            <w:tcW w:w="1134" w:type="dxa"/>
            <w:vAlign w:val="center"/>
          </w:tcPr>
          <w:p w14:paraId="7B9DB28D">
            <w:pPr>
              <w:adjustRightInd w:val="0"/>
              <w:snapToGrid w:val="0"/>
              <w:jc w:val="center"/>
              <w:rPr>
                <w:rFonts w:ascii="Times New Roman" w:hAnsi="Times New Roman"/>
                <w:b/>
                <w:szCs w:val="21"/>
              </w:rPr>
            </w:pPr>
            <w:r>
              <w:rPr>
                <w:rFonts w:ascii="Times New Roman" w:hAnsi="Times New Roman"/>
                <w:b/>
                <w:szCs w:val="21"/>
              </w:rPr>
              <w:t>维度</w:t>
            </w:r>
          </w:p>
        </w:tc>
        <w:tc>
          <w:tcPr>
            <w:tcW w:w="709" w:type="dxa"/>
            <w:vMerge w:val="continue"/>
            <w:vAlign w:val="center"/>
          </w:tcPr>
          <w:p w14:paraId="6BD7BE03">
            <w:pPr>
              <w:snapToGrid w:val="0"/>
              <w:jc w:val="center"/>
              <w:rPr>
                <w:rFonts w:ascii="Times New Roman" w:hAnsi="Times New Roman"/>
                <w:b/>
                <w:szCs w:val="21"/>
              </w:rPr>
            </w:pPr>
          </w:p>
        </w:tc>
        <w:tc>
          <w:tcPr>
            <w:tcW w:w="850" w:type="dxa"/>
            <w:vAlign w:val="center"/>
          </w:tcPr>
          <w:p w14:paraId="4EA15D6B">
            <w:pPr>
              <w:snapToGrid w:val="0"/>
              <w:jc w:val="center"/>
              <w:rPr>
                <w:rFonts w:ascii="Times New Roman" w:hAnsi="Times New Roman"/>
                <w:b/>
                <w:szCs w:val="21"/>
              </w:rPr>
            </w:pPr>
            <w:r>
              <w:rPr>
                <w:rFonts w:ascii="Times New Roman" w:hAnsi="Times New Roman"/>
                <w:b/>
                <w:szCs w:val="21"/>
              </w:rPr>
              <w:t>长度</w:t>
            </w:r>
          </w:p>
        </w:tc>
        <w:tc>
          <w:tcPr>
            <w:tcW w:w="709" w:type="dxa"/>
            <w:vAlign w:val="center"/>
          </w:tcPr>
          <w:p w14:paraId="1F89B41B">
            <w:pPr>
              <w:snapToGrid w:val="0"/>
              <w:jc w:val="center"/>
              <w:rPr>
                <w:rFonts w:ascii="Times New Roman" w:hAnsi="Times New Roman"/>
                <w:b/>
                <w:szCs w:val="21"/>
              </w:rPr>
            </w:pPr>
            <w:r>
              <w:rPr>
                <w:rFonts w:ascii="Times New Roman" w:hAnsi="Times New Roman"/>
                <w:b/>
                <w:szCs w:val="21"/>
              </w:rPr>
              <w:t>宽度</w:t>
            </w:r>
          </w:p>
        </w:tc>
        <w:tc>
          <w:tcPr>
            <w:tcW w:w="850" w:type="dxa"/>
            <w:vAlign w:val="center"/>
          </w:tcPr>
          <w:p w14:paraId="00CF284F">
            <w:pPr>
              <w:snapToGrid w:val="0"/>
              <w:jc w:val="center"/>
              <w:rPr>
                <w:rFonts w:ascii="Times New Roman" w:hAnsi="Times New Roman"/>
                <w:b/>
                <w:szCs w:val="21"/>
              </w:rPr>
            </w:pPr>
            <w:r>
              <w:rPr>
                <w:rFonts w:ascii="Times New Roman" w:hAnsi="Times New Roman"/>
                <w:b/>
                <w:szCs w:val="21"/>
              </w:rPr>
              <w:t>有效</w:t>
            </w:r>
          </w:p>
          <w:p w14:paraId="264A1087">
            <w:pPr>
              <w:snapToGrid w:val="0"/>
              <w:jc w:val="center"/>
              <w:rPr>
                <w:rFonts w:ascii="Times New Roman" w:hAnsi="Times New Roman"/>
                <w:b/>
                <w:szCs w:val="21"/>
              </w:rPr>
            </w:pPr>
            <w:r>
              <w:rPr>
                <w:rFonts w:ascii="Times New Roman" w:hAnsi="Times New Roman"/>
                <w:b/>
                <w:szCs w:val="21"/>
              </w:rPr>
              <w:t>高度</w:t>
            </w:r>
          </w:p>
        </w:tc>
        <w:tc>
          <w:tcPr>
            <w:tcW w:w="851" w:type="dxa"/>
            <w:vMerge w:val="continue"/>
            <w:vAlign w:val="center"/>
          </w:tcPr>
          <w:p w14:paraId="0268DCDF">
            <w:pPr>
              <w:snapToGrid w:val="0"/>
              <w:jc w:val="center"/>
              <w:rPr>
                <w:rFonts w:ascii="Times New Roman" w:hAnsi="Times New Roman"/>
                <w:b/>
                <w:szCs w:val="21"/>
              </w:rPr>
            </w:pPr>
          </w:p>
        </w:tc>
        <w:tc>
          <w:tcPr>
            <w:tcW w:w="992" w:type="dxa"/>
            <w:vMerge w:val="continue"/>
            <w:vAlign w:val="center"/>
          </w:tcPr>
          <w:p w14:paraId="0BEDFD1E">
            <w:pPr>
              <w:snapToGrid w:val="0"/>
              <w:jc w:val="center"/>
              <w:rPr>
                <w:rFonts w:ascii="Times New Roman" w:hAnsi="Times New Roman"/>
                <w:b/>
                <w:szCs w:val="21"/>
              </w:rPr>
            </w:pPr>
          </w:p>
        </w:tc>
      </w:tr>
      <w:tr w14:paraId="51592F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79" w:hRule="atLeast"/>
          <w:jc w:val="center"/>
        </w:trPr>
        <w:tc>
          <w:tcPr>
            <w:tcW w:w="694" w:type="dxa"/>
            <w:vMerge w:val="restart"/>
            <w:vAlign w:val="center"/>
          </w:tcPr>
          <w:p w14:paraId="51A35387">
            <w:pPr>
              <w:jc w:val="center"/>
              <w:rPr>
                <w:rFonts w:ascii="Times New Roman" w:hAnsi="Times New Roman"/>
                <w:szCs w:val="21"/>
              </w:rPr>
            </w:pPr>
            <w:r>
              <w:rPr>
                <w:rFonts w:ascii="Times New Roman" w:hAnsi="Times New Roman"/>
                <w:szCs w:val="21"/>
              </w:rPr>
              <w:t>正常排放</w:t>
            </w:r>
          </w:p>
        </w:tc>
        <w:tc>
          <w:tcPr>
            <w:tcW w:w="1115" w:type="dxa"/>
            <w:vAlign w:val="center"/>
          </w:tcPr>
          <w:p w14:paraId="01C8482D">
            <w:pPr>
              <w:adjustRightInd w:val="0"/>
              <w:snapToGrid w:val="0"/>
              <w:jc w:val="center"/>
              <w:rPr>
                <w:rFonts w:ascii="Times New Roman" w:hAnsi="Times New Roman"/>
                <w:spacing w:val="-2"/>
                <w:kern w:val="0"/>
                <w:szCs w:val="21"/>
              </w:rPr>
            </w:pPr>
            <w:r>
              <w:rPr>
                <w:rFonts w:ascii="Times New Roman" w:hAnsi="Times New Roman"/>
                <w:spacing w:val="-2"/>
                <w:kern w:val="0"/>
                <w:szCs w:val="21"/>
              </w:rPr>
              <w:t>车间粉尘</w:t>
            </w:r>
          </w:p>
        </w:tc>
        <w:tc>
          <w:tcPr>
            <w:tcW w:w="1295" w:type="dxa"/>
            <w:vAlign w:val="center"/>
          </w:tcPr>
          <w:p w14:paraId="7B858990">
            <w:pPr>
              <w:jc w:val="center"/>
              <w:rPr>
                <w:rFonts w:ascii="Times New Roman" w:hAnsi="Times New Roman"/>
                <w:szCs w:val="21"/>
              </w:rPr>
            </w:pPr>
            <w:r>
              <w:rPr>
                <w:rFonts w:ascii="Times New Roman" w:hAnsi="Times New Roman"/>
                <w:szCs w:val="21"/>
              </w:rPr>
              <w:t>108.667912</w:t>
            </w:r>
          </w:p>
        </w:tc>
        <w:tc>
          <w:tcPr>
            <w:tcW w:w="1134" w:type="dxa"/>
            <w:vAlign w:val="center"/>
          </w:tcPr>
          <w:p w14:paraId="4CFB4164">
            <w:pPr>
              <w:jc w:val="center"/>
              <w:rPr>
                <w:rFonts w:ascii="Times New Roman" w:hAnsi="Times New Roman"/>
                <w:szCs w:val="21"/>
              </w:rPr>
            </w:pPr>
            <w:r>
              <w:rPr>
                <w:rFonts w:ascii="Times New Roman" w:hAnsi="Times New Roman"/>
                <w:szCs w:val="21"/>
              </w:rPr>
              <w:t>21.672484</w:t>
            </w:r>
          </w:p>
        </w:tc>
        <w:tc>
          <w:tcPr>
            <w:tcW w:w="709" w:type="dxa"/>
            <w:vAlign w:val="center"/>
          </w:tcPr>
          <w:p w14:paraId="5E086F45">
            <w:pPr>
              <w:jc w:val="center"/>
              <w:rPr>
                <w:rFonts w:ascii="Times New Roman" w:hAnsi="Times New Roman"/>
                <w:szCs w:val="21"/>
              </w:rPr>
            </w:pPr>
            <w:r>
              <w:rPr>
                <w:rFonts w:ascii="Times New Roman" w:hAnsi="Times New Roman"/>
                <w:szCs w:val="21"/>
              </w:rPr>
              <w:t>0</w:t>
            </w:r>
          </w:p>
        </w:tc>
        <w:tc>
          <w:tcPr>
            <w:tcW w:w="850" w:type="dxa"/>
            <w:vAlign w:val="center"/>
          </w:tcPr>
          <w:p w14:paraId="04A19106">
            <w:pPr>
              <w:jc w:val="center"/>
              <w:rPr>
                <w:rFonts w:ascii="Times New Roman" w:hAnsi="Times New Roman"/>
                <w:szCs w:val="21"/>
              </w:rPr>
            </w:pPr>
            <w:r>
              <w:rPr>
                <w:rFonts w:hint="eastAsia" w:ascii="Times New Roman" w:hAnsi="Times New Roman"/>
                <w:szCs w:val="21"/>
              </w:rPr>
              <w:t>109.21</w:t>
            </w:r>
          </w:p>
        </w:tc>
        <w:tc>
          <w:tcPr>
            <w:tcW w:w="709" w:type="dxa"/>
            <w:vAlign w:val="center"/>
          </w:tcPr>
          <w:p w14:paraId="45453652">
            <w:pPr>
              <w:jc w:val="center"/>
              <w:rPr>
                <w:rFonts w:ascii="Times New Roman" w:hAnsi="Times New Roman"/>
                <w:szCs w:val="21"/>
              </w:rPr>
            </w:pPr>
            <w:r>
              <w:rPr>
                <w:rFonts w:hint="eastAsia" w:ascii="Times New Roman" w:hAnsi="Times New Roman"/>
                <w:szCs w:val="21"/>
              </w:rPr>
              <w:t>21.6</w:t>
            </w:r>
          </w:p>
        </w:tc>
        <w:tc>
          <w:tcPr>
            <w:tcW w:w="850" w:type="dxa"/>
            <w:vAlign w:val="center"/>
          </w:tcPr>
          <w:p w14:paraId="0B41C8E6">
            <w:pPr>
              <w:jc w:val="center"/>
              <w:rPr>
                <w:rFonts w:ascii="Times New Roman" w:hAnsi="Times New Roman"/>
                <w:szCs w:val="21"/>
              </w:rPr>
            </w:pPr>
            <w:r>
              <w:rPr>
                <w:rFonts w:hint="eastAsia" w:ascii="Times New Roman" w:hAnsi="Times New Roman"/>
                <w:szCs w:val="21"/>
              </w:rPr>
              <w:t>9</w:t>
            </w:r>
          </w:p>
        </w:tc>
        <w:tc>
          <w:tcPr>
            <w:tcW w:w="851" w:type="dxa"/>
            <w:vAlign w:val="center"/>
          </w:tcPr>
          <w:p w14:paraId="75C4E29D">
            <w:pPr>
              <w:adjustRightInd w:val="0"/>
              <w:snapToGrid w:val="0"/>
              <w:jc w:val="center"/>
              <w:rPr>
                <w:rFonts w:ascii="Times New Roman" w:hAnsi="Times New Roman"/>
                <w:szCs w:val="21"/>
              </w:rPr>
            </w:pPr>
            <w:r>
              <w:rPr>
                <w:rFonts w:hint="eastAsia" w:ascii="Times New Roman" w:hAnsi="Times New Roman"/>
                <w:szCs w:val="21"/>
              </w:rPr>
              <w:t>TSP</w:t>
            </w:r>
          </w:p>
        </w:tc>
        <w:tc>
          <w:tcPr>
            <w:tcW w:w="992" w:type="dxa"/>
            <w:vAlign w:val="center"/>
          </w:tcPr>
          <w:p w14:paraId="1D3690AE">
            <w:pPr>
              <w:adjustRightInd w:val="0"/>
              <w:snapToGrid w:val="0"/>
              <w:jc w:val="center"/>
              <w:rPr>
                <w:rFonts w:ascii="Times New Roman" w:hAnsi="Times New Roman"/>
                <w:kern w:val="0"/>
                <w:szCs w:val="21"/>
              </w:rPr>
            </w:pPr>
            <w:r>
              <w:rPr>
                <w:rFonts w:ascii="Times New Roman" w:hAnsi="Times New Roman"/>
                <w:kern w:val="0"/>
                <w:szCs w:val="21"/>
                <w:u w:val="single"/>
              </w:rPr>
              <w:t>0.</w:t>
            </w:r>
            <w:r>
              <w:rPr>
                <w:rFonts w:hint="eastAsia" w:ascii="Times New Roman" w:hAnsi="Times New Roman"/>
                <w:kern w:val="0"/>
                <w:szCs w:val="21"/>
                <w:u w:val="single"/>
              </w:rPr>
              <w:t>1054</w:t>
            </w:r>
          </w:p>
        </w:tc>
      </w:tr>
      <w:tr w14:paraId="2257A0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94" w:type="dxa"/>
            <w:vMerge w:val="continue"/>
            <w:vAlign w:val="center"/>
          </w:tcPr>
          <w:p w14:paraId="658284AC">
            <w:pPr>
              <w:jc w:val="center"/>
              <w:rPr>
                <w:rFonts w:ascii="Times New Roman" w:hAnsi="Times New Roman"/>
                <w:szCs w:val="21"/>
              </w:rPr>
            </w:pPr>
          </w:p>
        </w:tc>
        <w:tc>
          <w:tcPr>
            <w:tcW w:w="1115" w:type="dxa"/>
            <w:vAlign w:val="center"/>
          </w:tcPr>
          <w:p w14:paraId="5B28A0C3">
            <w:pPr>
              <w:jc w:val="center"/>
              <w:rPr>
                <w:rFonts w:ascii="Times New Roman" w:hAnsi="Times New Roman"/>
                <w:spacing w:val="-2"/>
                <w:kern w:val="0"/>
                <w:szCs w:val="21"/>
              </w:rPr>
            </w:pPr>
            <w:r>
              <w:rPr>
                <w:rFonts w:ascii="Times New Roman" w:hAnsi="Times New Roman"/>
                <w:spacing w:val="-2"/>
                <w:kern w:val="0"/>
                <w:szCs w:val="21"/>
              </w:rPr>
              <w:t>运输扬尘</w:t>
            </w:r>
          </w:p>
        </w:tc>
        <w:tc>
          <w:tcPr>
            <w:tcW w:w="1295" w:type="dxa"/>
            <w:vAlign w:val="center"/>
          </w:tcPr>
          <w:p w14:paraId="40AC305B">
            <w:pPr>
              <w:jc w:val="center"/>
              <w:rPr>
                <w:rFonts w:ascii="Times New Roman" w:hAnsi="Times New Roman"/>
                <w:szCs w:val="21"/>
              </w:rPr>
            </w:pPr>
            <w:r>
              <w:rPr>
                <w:rFonts w:ascii="Times New Roman" w:hAnsi="Times New Roman"/>
                <w:szCs w:val="21"/>
              </w:rPr>
              <w:t>108.667912</w:t>
            </w:r>
          </w:p>
        </w:tc>
        <w:tc>
          <w:tcPr>
            <w:tcW w:w="1134" w:type="dxa"/>
            <w:vAlign w:val="center"/>
          </w:tcPr>
          <w:p w14:paraId="28C7F2E5">
            <w:pPr>
              <w:jc w:val="center"/>
              <w:rPr>
                <w:rFonts w:ascii="Times New Roman" w:hAnsi="Times New Roman"/>
                <w:szCs w:val="21"/>
              </w:rPr>
            </w:pPr>
            <w:r>
              <w:rPr>
                <w:rFonts w:ascii="Times New Roman" w:hAnsi="Times New Roman"/>
                <w:szCs w:val="21"/>
              </w:rPr>
              <w:t>21.672484</w:t>
            </w:r>
          </w:p>
        </w:tc>
        <w:tc>
          <w:tcPr>
            <w:tcW w:w="709" w:type="dxa"/>
            <w:vAlign w:val="center"/>
          </w:tcPr>
          <w:p w14:paraId="19BDFAE2">
            <w:pPr>
              <w:jc w:val="center"/>
              <w:rPr>
                <w:rFonts w:ascii="Times New Roman" w:hAnsi="Times New Roman"/>
                <w:szCs w:val="21"/>
              </w:rPr>
            </w:pPr>
            <w:r>
              <w:rPr>
                <w:rFonts w:ascii="Times New Roman" w:hAnsi="Times New Roman"/>
                <w:szCs w:val="21"/>
              </w:rPr>
              <w:t>0</w:t>
            </w:r>
          </w:p>
        </w:tc>
        <w:tc>
          <w:tcPr>
            <w:tcW w:w="850" w:type="dxa"/>
            <w:vAlign w:val="center"/>
          </w:tcPr>
          <w:p w14:paraId="284E72B7">
            <w:pPr>
              <w:jc w:val="center"/>
              <w:rPr>
                <w:rFonts w:ascii="Times New Roman" w:hAnsi="Times New Roman"/>
                <w:szCs w:val="21"/>
              </w:rPr>
            </w:pPr>
            <w:r>
              <w:rPr>
                <w:rFonts w:hint="eastAsia" w:ascii="Times New Roman" w:hAnsi="Times New Roman"/>
                <w:szCs w:val="21"/>
              </w:rPr>
              <w:t>175</w:t>
            </w:r>
          </w:p>
        </w:tc>
        <w:tc>
          <w:tcPr>
            <w:tcW w:w="709" w:type="dxa"/>
            <w:vAlign w:val="center"/>
          </w:tcPr>
          <w:p w14:paraId="64939C50">
            <w:pPr>
              <w:jc w:val="center"/>
              <w:rPr>
                <w:rFonts w:ascii="Times New Roman" w:hAnsi="Times New Roman"/>
                <w:szCs w:val="21"/>
              </w:rPr>
            </w:pPr>
            <w:r>
              <w:rPr>
                <w:rFonts w:hint="eastAsia" w:ascii="Times New Roman" w:hAnsi="Times New Roman"/>
                <w:szCs w:val="21"/>
              </w:rPr>
              <w:t>50</w:t>
            </w:r>
          </w:p>
        </w:tc>
        <w:tc>
          <w:tcPr>
            <w:tcW w:w="850" w:type="dxa"/>
            <w:vAlign w:val="center"/>
          </w:tcPr>
          <w:p w14:paraId="0DE08DFF">
            <w:pPr>
              <w:jc w:val="center"/>
              <w:rPr>
                <w:rFonts w:ascii="Times New Roman" w:hAnsi="Times New Roman"/>
                <w:szCs w:val="21"/>
              </w:rPr>
            </w:pPr>
            <w:r>
              <w:rPr>
                <w:rFonts w:hint="eastAsia" w:ascii="Times New Roman" w:hAnsi="Times New Roman"/>
                <w:szCs w:val="21"/>
              </w:rPr>
              <w:t>2.5</w:t>
            </w:r>
          </w:p>
        </w:tc>
        <w:tc>
          <w:tcPr>
            <w:tcW w:w="851" w:type="dxa"/>
            <w:vAlign w:val="center"/>
          </w:tcPr>
          <w:p w14:paraId="7AB41672">
            <w:pPr>
              <w:adjustRightInd w:val="0"/>
              <w:snapToGrid w:val="0"/>
              <w:jc w:val="center"/>
              <w:rPr>
                <w:rFonts w:ascii="Times New Roman" w:hAnsi="Times New Roman"/>
                <w:szCs w:val="21"/>
              </w:rPr>
            </w:pPr>
            <w:r>
              <w:rPr>
                <w:rFonts w:ascii="Times New Roman" w:hAnsi="Times New Roman"/>
                <w:szCs w:val="21"/>
              </w:rPr>
              <w:t>TSP</w:t>
            </w:r>
          </w:p>
        </w:tc>
        <w:tc>
          <w:tcPr>
            <w:tcW w:w="992" w:type="dxa"/>
            <w:vAlign w:val="center"/>
          </w:tcPr>
          <w:p w14:paraId="69CE1710">
            <w:pPr>
              <w:adjustRightInd w:val="0"/>
              <w:snapToGrid w:val="0"/>
              <w:jc w:val="center"/>
              <w:rPr>
                <w:rFonts w:ascii="Times New Roman" w:hAnsi="Times New Roman"/>
                <w:kern w:val="0"/>
                <w:szCs w:val="21"/>
              </w:rPr>
            </w:pPr>
            <w:r>
              <w:rPr>
                <w:rFonts w:ascii="Times New Roman" w:hAnsi="Times New Roman"/>
                <w:kern w:val="0"/>
                <w:szCs w:val="21"/>
                <w:u w:val="single"/>
              </w:rPr>
              <w:t>0.0</w:t>
            </w:r>
            <w:r>
              <w:rPr>
                <w:rFonts w:hint="eastAsia" w:ascii="Times New Roman" w:hAnsi="Times New Roman"/>
                <w:kern w:val="0"/>
                <w:szCs w:val="21"/>
                <w:u w:val="single"/>
              </w:rPr>
              <w:t>299</w:t>
            </w:r>
          </w:p>
        </w:tc>
      </w:tr>
    </w:tbl>
    <w:p w14:paraId="16A980C6">
      <w:pPr>
        <w:spacing w:line="360" w:lineRule="auto"/>
        <w:ind w:firstLine="472" w:firstLineChars="200"/>
        <w:rPr>
          <w:rFonts w:ascii="Times New Roman" w:hAnsi="Times New Roman"/>
          <w:spacing w:val="-2"/>
          <w:kern w:val="0"/>
          <w:sz w:val="24"/>
          <w:szCs w:val="20"/>
        </w:rPr>
      </w:pPr>
    </w:p>
    <w:p w14:paraId="7FBDE0E7">
      <w:pPr>
        <w:pStyle w:val="6"/>
        <w:numPr>
          <w:ilvl w:val="2"/>
          <w:numId w:val="3"/>
        </w:numPr>
      </w:pPr>
      <w:r>
        <w:t>大气环境评价工作等级确定</w:t>
      </w:r>
    </w:p>
    <w:p w14:paraId="3269E7DE">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根据项目污染源调查结果，分别计算项目排放主要污染物的最大地面空气质量浓度占标率Pi（第i个污染物，简称“最大浓度占标率”）及第i个污染物的地面空气质量浓度达到标准值的10%时所对应的最远距离D10%。其中Pi定义为：</w:t>
      </w:r>
    </w:p>
    <w:p w14:paraId="23F1037F">
      <w:pPr>
        <w:spacing w:line="360" w:lineRule="auto"/>
        <w:jc w:val="center"/>
        <w:rPr>
          <w:rFonts w:ascii="Times New Roman" w:hAnsi="Times New Roman"/>
          <w:sz w:val="24"/>
          <w:szCs w:val="24"/>
        </w:rPr>
      </w:pPr>
      <w:r>
        <w:rPr>
          <w:rFonts w:ascii="Times New Roman" w:hAnsi="Times New Roman"/>
          <w:position w:val="-30"/>
          <w:sz w:val="24"/>
          <w:szCs w:val="24"/>
        </w:rPr>
        <w:object>
          <v:shape id="_x0000_i1028" o:spt="75" type="#_x0000_t75" style="height:36.3pt;width:79.5pt;" o:ole="t" filled="f" o:preferrelative="t" stroked="f" coordsize="21600,21600">
            <v:path/>
            <v:fill on="f" focussize="0,0"/>
            <v:stroke on="f" joinstyle="miter"/>
            <v:imagedata r:id="rId29" o:title=""/>
            <o:lock v:ext="edit" aspectratio="t"/>
            <w10:wrap type="none"/>
            <w10:anchorlock/>
          </v:shape>
          <o:OLEObject Type="Embed" ProgID="Equation.KSEE3" ShapeID="_x0000_i1028" DrawAspect="Content" ObjectID="_1468075728" r:id="rId28">
            <o:LockedField>false</o:LockedField>
          </o:OLEObject>
        </w:object>
      </w:r>
    </w:p>
    <w:p w14:paraId="701FDC6D">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式中：</w:t>
      </w:r>
    </w:p>
    <w:p w14:paraId="115831C5">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P</w:t>
      </w:r>
      <w:r>
        <w:rPr>
          <w:rFonts w:ascii="Times New Roman" w:hAnsi="Times New Roman"/>
          <w:spacing w:val="-2"/>
          <w:kern w:val="0"/>
          <w:sz w:val="24"/>
          <w:szCs w:val="24"/>
          <w:vertAlign w:val="subscript"/>
        </w:rPr>
        <w:t>i</w:t>
      </w:r>
      <w:r>
        <w:rPr>
          <w:rFonts w:ascii="Times New Roman" w:hAnsi="Times New Roman"/>
          <w:spacing w:val="-2"/>
          <w:kern w:val="0"/>
          <w:sz w:val="24"/>
          <w:szCs w:val="24"/>
        </w:rPr>
        <w:t>——第i个污染物的最大地面空气质量浓度占标率，%；</w:t>
      </w:r>
    </w:p>
    <w:p w14:paraId="7F7A02E4">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C</w:t>
      </w:r>
      <w:r>
        <w:rPr>
          <w:rFonts w:ascii="Times New Roman" w:hAnsi="Times New Roman"/>
          <w:spacing w:val="-2"/>
          <w:kern w:val="0"/>
          <w:sz w:val="24"/>
          <w:szCs w:val="24"/>
          <w:vertAlign w:val="subscript"/>
        </w:rPr>
        <w:t>i</w:t>
      </w:r>
      <w:r>
        <w:rPr>
          <w:rFonts w:ascii="Times New Roman" w:hAnsi="Times New Roman"/>
          <w:spacing w:val="-2"/>
          <w:kern w:val="0"/>
          <w:sz w:val="24"/>
          <w:szCs w:val="24"/>
        </w:rPr>
        <w:t>——采用估算模型计算出的第i个污染物的最大1h地面空气质量浓度，μg/m</w:t>
      </w:r>
      <w:r>
        <w:rPr>
          <w:rFonts w:ascii="Times New Roman" w:hAnsi="Times New Roman"/>
          <w:spacing w:val="-2"/>
          <w:kern w:val="0"/>
          <w:sz w:val="24"/>
          <w:szCs w:val="24"/>
          <w:vertAlign w:val="superscript"/>
        </w:rPr>
        <w:t>3</w:t>
      </w:r>
      <w:r>
        <w:rPr>
          <w:rFonts w:ascii="Times New Roman" w:hAnsi="Times New Roman"/>
          <w:spacing w:val="-2"/>
          <w:kern w:val="0"/>
          <w:sz w:val="24"/>
          <w:szCs w:val="24"/>
        </w:rPr>
        <w:t>；</w:t>
      </w:r>
    </w:p>
    <w:p w14:paraId="06CDEB1A">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C</w:t>
      </w:r>
      <w:r>
        <w:rPr>
          <w:rFonts w:ascii="Times New Roman" w:hAnsi="Times New Roman"/>
          <w:spacing w:val="-2"/>
          <w:kern w:val="0"/>
          <w:sz w:val="24"/>
          <w:szCs w:val="24"/>
          <w:vertAlign w:val="subscript"/>
        </w:rPr>
        <w:t>0i</w:t>
      </w:r>
      <w:r>
        <w:rPr>
          <w:rFonts w:ascii="Times New Roman" w:hAnsi="Times New Roman"/>
          <w:spacing w:val="-2"/>
          <w:kern w:val="0"/>
          <w:sz w:val="24"/>
          <w:szCs w:val="24"/>
        </w:rPr>
        <w:t>——第i个污染物的环境空气质量标准，μg/m</w:t>
      </w:r>
      <w:r>
        <w:rPr>
          <w:rFonts w:ascii="Times New Roman" w:hAnsi="Times New Roman"/>
          <w:spacing w:val="-2"/>
          <w:kern w:val="0"/>
          <w:sz w:val="24"/>
          <w:szCs w:val="24"/>
          <w:vertAlign w:val="superscript"/>
        </w:rPr>
        <w:t>3</w:t>
      </w:r>
      <w:r>
        <w:rPr>
          <w:rFonts w:ascii="Times New Roman" w:hAnsi="Times New Roman"/>
          <w:spacing w:val="-2"/>
          <w:kern w:val="0"/>
          <w:sz w:val="24"/>
          <w:szCs w:val="24"/>
        </w:rPr>
        <w:t>。一般选用GB3095中1h平均质量浓度的二级浓度限值，如项目位于一类环境空气功能区，应选择相应的一级浓度限值；对该标准中未包含的污染物，使用</w:t>
      </w:r>
      <w:r>
        <w:rPr>
          <w:rFonts w:hint="eastAsia" w:ascii="Times New Roman" w:hAnsi="Times New Roman"/>
          <w:spacing w:val="-2"/>
          <w:kern w:val="0"/>
          <w:sz w:val="24"/>
          <w:szCs w:val="24"/>
        </w:rPr>
        <w:t>4.2.3</w:t>
      </w:r>
      <w:r>
        <w:rPr>
          <w:rFonts w:ascii="Times New Roman" w:hAnsi="Times New Roman"/>
          <w:spacing w:val="-2"/>
          <w:kern w:val="0"/>
          <w:sz w:val="24"/>
          <w:szCs w:val="24"/>
        </w:rPr>
        <w:t>确定的各评价因子1h平均质量浓度限值。对仅有8h平均质量浓度限值、日平均质量浓度限值或年平均质量浓度限值的，可分别按2倍、3倍、6倍折算为1h平均质量浓度限值。</w:t>
      </w:r>
    </w:p>
    <w:p w14:paraId="24C10B1B">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评价等级按表4.2-6的分级判据进行划分。</w:t>
      </w:r>
    </w:p>
    <w:p w14:paraId="1CD3C94D">
      <w:pPr>
        <w:pStyle w:val="8"/>
        <w:numPr>
          <w:ilvl w:val="4"/>
          <w:numId w:val="3"/>
        </w:numPr>
        <w:rPr>
          <w:sz w:val="24"/>
          <w:szCs w:val="24"/>
        </w:rPr>
      </w:pPr>
      <w:r>
        <w:rPr>
          <w:sz w:val="24"/>
          <w:szCs w:val="24"/>
        </w:rPr>
        <w:t>环境空气评价等级划分表</w:t>
      </w:r>
    </w:p>
    <w:tbl>
      <w:tblPr>
        <w:tblStyle w:val="88"/>
        <w:tblW w:w="904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376"/>
        <w:gridCol w:w="5664"/>
      </w:tblGrid>
      <w:tr w14:paraId="79F608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376" w:type="dxa"/>
            <w:vAlign w:val="center"/>
          </w:tcPr>
          <w:p w14:paraId="03DE552F">
            <w:pPr>
              <w:jc w:val="center"/>
              <w:rPr>
                <w:rFonts w:ascii="Times New Roman" w:hAnsi="Times New Roman"/>
                <w:b/>
                <w:bCs/>
                <w:spacing w:val="-2"/>
                <w:kern w:val="0"/>
                <w:szCs w:val="21"/>
              </w:rPr>
            </w:pPr>
            <w:r>
              <w:rPr>
                <w:rFonts w:ascii="Times New Roman" w:hAnsi="Times New Roman"/>
                <w:b/>
                <w:bCs/>
                <w:spacing w:val="-2"/>
                <w:kern w:val="0"/>
                <w:szCs w:val="21"/>
              </w:rPr>
              <w:t>评价工作等级</w:t>
            </w:r>
          </w:p>
        </w:tc>
        <w:tc>
          <w:tcPr>
            <w:tcW w:w="5664" w:type="dxa"/>
            <w:vAlign w:val="center"/>
          </w:tcPr>
          <w:p w14:paraId="0376A71F">
            <w:pPr>
              <w:jc w:val="center"/>
              <w:rPr>
                <w:rFonts w:ascii="Times New Roman" w:hAnsi="Times New Roman"/>
                <w:b/>
                <w:bCs/>
                <w:spacing w:val="-2"/>
                <w:kern w:val="0"/>
                <w:szCs w:val="21"/>
              </w:rPr>
            </w:pPr>
            <w:r>
              <w:rPr>
                <w:rFonts w:ascii="Times New Roman" w:hAnsi="Times New Roman"/>
                <w:b/>
                <w:bCs/>
                <w:spacing w:val="-2"/>
                <w:kern w:val="0"/>
                <w:szCs w:val="21"/>
              </w:rPr>
              <w:t>评价工作分级判据</w:t>
            </w:r>
          </w:p>
        </w:tc>
      </w:tr>
      <w:tr w14:paraId="3BF903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376" w:type="dxa"/>
            <w:vAlign w:val="center"/>
          </w:tcPr>
          <w:p w14:paraId="6EBDB289">
            <w:pPr>
              <w:jc w:val="center"/>
              <w:rPr>
                <w:rFonts w:ascii="Times New Roman" w:hAnsi="Times New Roman"/>
                <w:spacing w:val="-2"/>
                <w:kern w:val="0"/>
                <w:szCs w:val="21"/>
              </w:rPr>
            </w:pPr>
            <w:r>
              <w:rPr>
                <w:rFonts w:ascii="Times New Roman" w:hAnsi="Times New Roman"/>
                <w:spacing w:val="-2"/>
                <w:kern w:val="0"/>
                <w:szCs w:val="21"/>
              </w:rPr>
              <w:t>一级评价</w:t>
            </w:r>
          </w:p>
        </w:tc>
        <w:tc>
          <w:tcPr>
            <w:tcW w:w="5664" w:type="dxa"/>
            <w:vAlign w:val="center"/>
          </w:tcPr>
          <w:p w14:paraId="7E7725FB">
            <w:pPr>
              <w:jc w:val="center"/>
              <w:rPr>
                <w:rFonts w:ascii="Times New Roman" w:hAnsi="Times New Roman"/>
                <w:spacing w:val="-2"/>
                <w:kern w:val="0"/>
                <w:szCs w:val="21"/>
              </w:rPr>
            </w:pPr>
            <w:r>
              <w:rPr>
                <w:rFonts w:ascii="Times New Roman" w:hAnsi="Times New Roman"/>
                <w:spacing w:val="-2"/>
                <w:kern w:val="0"/>
                <w:szCs w:val="21"/>
              </w:rPr>
              <w:t>Pmax≥10%</w:t>
            </w:r>
          </w:p>
        </w:tc>
      </w:tr>
      <w:tr w14:paraId="356B69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376" w:type="dxa"/>
            <w:vAlign w:val="center"/>
          </w:tcPr>
          <w:p w14:paraId="5B174FD1">
            <w:pPr>
              <w:jc w:val="center"/>
              <w:rPr>
                <w:rFonts w:ascii="Times New Roman" w:hAnsi="Times New Roman"/>
                <w:spacing w:val="-2"/>
                <w:kern w:val="0"/>
                <w:szCs w:val="21"/>
              </w:rPr>
            </w:pPr>
            <w:r>
              <w:rPr>
                <w:rFonts w:ascii="Times New Roman" w:hAnsi="Times New Roman"/>
                <w:spacing w:val="-2"/>
                <w:kern w:val="0"/>
                <w:szCs w:val="21"/>
              </w:rPr>
              <w:t>二级评价</w:t>
            </w:r>
          </w:p>
        </w:tc>
        <w:tc>
          <w:tcPr>
            <w:tcW w:w="5664" w:type="dxa"/>
            <w:vAlign w:val="center"/>
          </w:tcPr>
          <w:p w14:paraId="285DE6C9">
            <w:pPr>
              <w:jc w:val="center"/>
              <w:rPr>
                <w:rFonts w:ascii="Times New Roman" w:hAnsi="Times New Roman"/>
                <w:spacing w:val="-2"/>
                <w:kern w:val="0"/>
                <w:szCs w:val="21"/>
              </w:rPr>
            </w:pPr>
            <w:r>
              <w:rPr>
                <w:rFonts w:ascii="Times New Roman" w:hAnsi="Times New Roman"/>
                <w:spacing w:val="-2"/>
                <w:kern w:val="0"/>
                <w:szCs w:val="21"/>
              </w:rPr>
              <w:t>1%≤Pmax＜10%</w:t>
            </w:r>
          </w:p>
        </w:tc>
      </w:tr>
      <w:tr w14:paraId="39520D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376" w:type="dxa"/>
            <w:vAlign w:val="center"/>
          </w:tcPr>
          <w:p w14:paraId="74A96B10">
            <w:pPr>
              <w:jc w:val="center"/>
              <w:rPr>
                <w:rFonts w:ascii="Times New Roman" w:hAnsi="Times New Roman"/>
                <w:spacing w:val="-2"/>
                <w:kern w:val="0"/>
                <w:szCs w:val="21"/>
              </w:rPr>
            </w:pPr>
            <w:r>
              <w:rPr>
                <w:rFonts w:ascii="Times New Roman" w:hAnsi="Times New Roman"/>
                <w:spacing w:val="-2"/>
                <w:kern w:val="0"/>
                <w:szCs w:val="21"/>
              </w:rPr>
              <w:t>三级评价</w:t>
            </w:r>
          </w:p>
        </w:tc>
        <w:tc>
          <w:tcPr>
            <w:tcW w:w="5664" w:type="dxa"/>
            <w:vAlign w:val="center"/>
          </w:tcPr>
          <w:p w14:paraId="227D3B20">
            <w:pPr>
              <w:jc w:val="center"/>
              <w:rPr>
                <w:rFonts w:ascii="Times New Roman" w:hAnsi="Times New Roman"/>
                <w:spacing w:val="-2"/>
                <w:kern w:val="0"/>
                <w:szCs w:val="21"/>
              </w:rPr>
            </w:pPr>
            <w:r>
              <w:rPr>
                <w:rFonts w:ascii="Times New Roman" w:hAnsi="Times New Roman"/>
                <w:spacing w:val="-2"/>
                <w:kern w:val="0"/>
                <w:szCs w:val="21"/>
              </w:rPr>
              <w:t>Pmax＜1%</w:t>
            </w:r>
          </w:p>
        </w:tc>
      </w:tr>
    </w:tbl>
    <w:p w14:paraId="1BD3F752">
      <w:pPr>
        <w:spacing w:line="360" w:lineRule="auto"/>
        <w:ind w:firstLine="472" w:firstLineChars="200"/>
        <w:rPr>
          <w:rFonts w:ascii="Times New Roman" w:hAnsi="Times New Roman"/>
          <w:spacing w:val="-2"/>
          <w:kern w:val="0"/>
          <w:sz w:val="24"/>
          <w:szCs w:val="24"/>
        </w:rPr>
      </w:pPr>
    </w:p>
    <w:p w14:paraId="2DC3C3CE">
      <w:pPr>
        <w:pStyle w:val="6"/>
        <w:numPr>
          <w:ilvl w:val="2"/>
          <w:numId w:val="3"/>
        </w:numPr>
        <w:rPr>
          <w:szCs w:val="24"/>
        </w:rPr>
      </w:pPr>
      <w:r>
        <w:rPr>
          <w:szCs w:val="24"/>
        </w:rPr>
        <w:t>预测结果</w:t>
      </w:r>
    </w:p>
    <w:p w14:paraId="4A3B8675">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根据《环境影响评价技术导则 大气环境》（HJ2.2-2018）中推荐的估算模型，预测结果详见表4.2-7。</w:t>
      </w:r>
    </w:p>
    <w:p w14:paraId="68A2216D">
      <w:pPr>
        <w:pStyle w:val="8"/>
        <w:numPr>
          <w:ilvl w:val="4"/>
          <w:numId w:val="3"/>
        </w:numPr>
        <w:rPr>
          <w:sz w:val="24"/>
          <w:szCs w:val="24"/>
        </w:rPr>
      </w:pPr>
      <w:r>
        <w:rPr>
          <w:sz w:val="24"/>
          <w:szCs w:val="24"/>
        </w:rPr>
        <w:t>本项目废气排放预测结果表</w:t>
      </w:r>
    </w:p>
    <w:tbl>
      <w:tblPr>
        <w:tblStyle w:val="88"/>
        <w:tblW w:w="928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281"/>
        <w:gridCol w:w="1356"/>
        <w:gridCol w:w="2154"/>
        <w:gridCol w:w="1829"/>
        <w:gridCol w:w="1666"/>
      </w:tblGrid>
      <w:tr w14:paraId="4D2144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2281" w:type="dxa"/>
            <w:vAlign w:val="center"/>
          </w:tcPr>
          <w:p w14:paraId="2EE93428">
            <w:pPr>
              <w:jc w:val="center"/>
              <w:rPr>
                <w:rFonts w:ascii="Times New Roman" w:hAnsi="Times New Roman"/>
                <w:b/>
                <w:bCs/>
                <w:szCs w:val="21"/>
              </w:rPr>
            </w:pPr>
            <w:r>
              <w:rPr>
                <w:rFonts w:ascii="Times New Roman" w:hAnsi="Times New Roman"/>
                <w:b/>
                <w:bCs/>
                <w:szCs w:val="21"/>
              </w:rPr>
              <w:t>污染源名称</w:t>
            </w:r>
          </w:p>
        </w:tc>
        <w:tc>
          <w:tcPr>
            <w:tcW w:w="1356" w:type="dxa"/>
            <w:vAlign w:val="center"/>
          </w:tcPr>
          <w:p w14:paraId="4382A90A">
            <w:pPr>
              <w:jc w:val="center"/>
              <w:rPr>
                <w:rFonts w:ascii="Times New Roman" w:hAnsi="Times New Roman"/>
                <w:b/>
                <w:bCs/>
                <w:szCs w:val="21"/>
              </w:rPr>
            </w:pPr>
            <w:r>
              <w:rPr>
                <w:rFonts w:ascii="Times New Roman" w:hAnsi="Times New Roman"/>
                <w:b/>
                <w:bCs/>
                <w:szCs w:val="21"/>
              </w:rPr>
              <w:t>评价因子</w:t>
            </w:r>
          </w:p>
        </w:tc>
        <w:tc>
          <w:tcPr>
            <w:tcW w:w="2154" w:type="dxa"/>
            <w:vAlign w:val="center"/>
          </w:tcPr>
          <w:p w14:paraId="069BBB8E">
            <w:pPr>
              <w:jc w:val="center"/>
              <w:rPr>
                <w:rFonts w:ascii="Times New Roman" w:hAnsi="Times New Roman"/>
                <w:b/>
                <w:bCs/>
                <w:szCs w:val="21"/>
              </w:rPr>
            </w:pPr>
            <w:r>
              <w:rPr>
                <w:rFonts w:ascii="Times New Roman" w:hAnsi="Times New Roman"/>
                <w:b/>
                <w:bCs/>
                <w:szCs w:val="21"/>
              </w:rPr>
              <w:t>评价标准(μg/m</w:t>
            </w:r>
            <w:r>
              <w:rPr>
                <w:rFonts w:ascii="Times New Roman" w:hAnsi="Times New Roman"/>
                <w:b/>
                <w:bCs/>
                <w:szCs w:val="21"/>
                <w:vertAlign w:val="superscript"/>
              </w:rPr>
              <w:t>3</w:t>
            </w:r>
            <w:r>
              <w:rPr>
                <w:rFonts w:ascii="Times New Roman" w:hAnsi="Times New Roman"/>
                <w:b/>
                <w:bCs/>
                <w:szCs w:val="21"/>
              </w:rPr>
              <w:t>)</w:t>
            </w:r>
          </w:p>
        </w:tc>
        <w:tc>
          <w:tcPr>
            <w:tcW w:w="1829" w:type="dxa"/>
            <w:vAlign w:val="center"/>
          </w:tcPr>
          <w:p w14:paraId="1F76DEAD">
            <w:pPr>
              <w:jc w:val="center"/>
              <w:rPr>
                <w:rFonts w:ascii="Times New Roman" w:hAnsi="Times New Roman"/>
                <w:b/>
                <w:bCs/>
                <w:szCs w:val="21"/>
              </w:rPr>
            </w:pPr>
            <w:r>
              <w:rPr>
                <w:rFonts w:ascii="Times New Roman" w:hAnsi="Times New Roman"/>
                <w:b/>
                <w:bCs/>
                <w:szCs w:val="21"/>
              </w:rPr>
              <w:t>C</w:t>
            </w:r>
            <w:r>
              <w:rPr>
                <w:rFonts w:ascii="Times New Roman" w:hAnsi="Times New Roman"/>
                <w:b/>
                <w:bCs/>
                <w:szCs w:val="21"/>
                <w:vertAlign w:val="subscript"/>
              </w:rPr>
              <w:t>max</w:t>
            </w:r>
            <w:r>
              <w:rPr>
                <w:rFonts w:ascii="Times New Roman" w:hAnsi="Times New Roman"/>
                <w:b/>
                <w:bCs/>
                <w:szCs w:val="21"/>
              </w:rPr>
              <w:t>(μg/m</w:t>
            </w:r>
            <w:r>
              <w:rPr>
                <w:rFonts w:ascii="Times New Roman" w:hAnsi="Times New Roman"/>
                <w:b/>
                <w:bCs/>
                <w:szCs w:val="21"/>
                <w:vertAlign w:val="superscript"/>
              </w:rPr>
              <w:t>3</w:t>
            </w:r>
            <w:r>
              <w:rPr>
                <w:rFonts w:ascii="Times New Roman" w:hAnsi="Times New Roman"/>
                <w:b/>
                <w:bCs/>
                <w:szCs w:val="21"/>
              </w:rPr>
              <w:t>)</w:t>
            </w:r>
          </w:p>
        </w:tc>
        <w:tc>
          <w:tcPr>
            <w:tcW w:w="1666" w:type="dxa"/>
            <w:vAlign w:val="center"/>
          </w:tcPr>
          <w:p w14:paraId="2E494D25">
            <w:pPr>
              <w:jc w:val="center"/>
              <w:rPr>
                <w:rFonts w:ascii="Times New Roman" w:hAnsi="Times New Roman"/>
                <w:b/>
                <w:bCs/>
                <w:szCs w:val="21"/>
              </w:rPr>
            </w:pPr>
            <w:r>
              <w:rPr>
                <w:rFonts w:ascii="Times New Roman" w:hAnsi="Times New Roman"/>
                <w:b/>
                <w:bCs/>
                <w:szCs w:val="21"/>
              </w:rPr>
              <w:t>P</w:t>
            </w:r>
            <w:r>
              <w:rPr>
                <w:rFonts w:ascii="Times New Roman" w:hAnsi="Times New Roman"/>
                <w:b/>
                <w:bCs/>
                <w:szCs w:val="21"/>
                <w:vertAlign w:val="subscript"/>
              </w:rPr>
              <w:t>max</w:t>
            </w:r>
            <w:r>
              <w:rPr>
                <w:rFonts w:ascii="Times New Roman" w:hAnsi="Times New Roman"/>
                <w:b/>
                <w:bCs/>
                <w:szCs w:val="21"/>
              </w:rPr>
              <w:t>(%)</w:t>
            </w:r>
          </w:p>
        </w:tc>
      </w:tr>
      <w:tr w14:paraId="692B7F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281" w:type="dxa"/>
            <w:vMerge w:val="restart"/>
            <w:vAlign w:val="center"/>
          </w:tcPr>
          <w:p w14:paraId="103CAF18">
            <w:pPr>
              <w:jc w:val="center"/>
              <w:rPr>
                <w:rFonts w:ascii="Times New Roman" w:hAnsi="Times New Roman"/>
                <w:szCs w:val="21"/>
              </w:rPr>
            </w:pPr>
            <w:r>
              <w:rPr>
                <w:rFonts w:ascii="Times New Roman" w:hAnsi="Times New Roman"/>
                <w:szCs w:val="21"/>
              </w:rPr>
              <w:t>烘干炉排气筒</w:t>
            </w:r>
          </w:p>
        </w:tc>
        <w:tc>
          <w:tcPr>
            <w:tcW w:w="1356" w:type="dxa"/>
            <w:vAlign w:val="center"/>
          </w:tcPr>
          <w:p w14:paraId="0315F5AD">
            <w:pPr>
              <w:jc w:val="center"/>
              <w:rPr>
                <w:rFonts w:ascii="Times New Roman" w:hAnsi="Times New Roman"/>
                <w:szCs w:val="21"/>
              </w:rPr>
            </w:pPr>
            <w:r>
              <w:rPr>
                <w:rFonts w:ascii="Times New Roman" w:hAnsi="Times New Roman"/>
                <w:szCs w:val="21"/>
              </w:rPr>
              <w:t>PM</w:t>
            </w:r>
            <w:r>
              <w:rPr>
                <w:rFonts w:ascii="Times New Roman" w:hAnsi="Times New Roman"/>
                <w:szCs w:val="21"/>
                <w:vertAlign w:val="subscript"/>
              </w:rPr>
              <w:t>10</w:t>
            </w:r>
          </w:p>
        </w:tc>
        <w:tc>
          <w:tcPr>
            <w:tcW w:w="2154" w:type="dxa"/>
            <w:vAlign w:val="center"/>
          </w:tcPr>
          <w:p w14:paraId="7C7EAC09">
            <w:pPr>
              <w:jc w:val="center"/>
              <w:rPr>
                <w:rFonts w:ascii="Times New Roman" w:hAnsi="Times New Roman"/>
                <w:szCs w:val="21"/>
              </w:rPr>
            </w:pPr>
            <w:r>
              <w:rPr>
                <w:rFonts w:ascii="Times New Roman" w:hAnsi="Times New Roman"/>
                <w:szCs w:val="21"/>
              </w:rPr>
              <w:t>450</w:t>
            </w:r>
          </w:p>
        </w:tc>
        <w:tc>
          <w:tcPr>
            <w:tcW w:w="1829" w:type="dxa"/>
            <w:vAlign w:val="center"/>
          </w:tcPr>
          <w:p w14:paraId="229ACC56">
            <w:pPr>
              <w:jc w:val="center"/>
              <w:rPr>
                <w:rFonts w:ascii="Times New Roman" w:hAnsi="Times New Roman"/>
                <w:szCs w:val="21"/>
              </w:rPr>
            </w:pPr>
            <w:r>
              <w:rPr>
                <w:rFonts w:ascii="Times New Roman" w:hAnsi="Times New Roman" w:eastAsia="等线"/>
                <w:szCs w:val="21"/>
                <w:u w:val="single"/>
              </w:rPr>
              <w:t>0.5121</w:t>
            </w:r>
          </w:p>
        </w:tc>
        <w:tc>
          <w:tcPr>
            <w:tcW w:w="1666" w:type="dxa"/>
            <w:vAlign w:val="center"/>
          </w:tcPr>
          <w:p w14:paraId="279DBB69">
            <w:pPr>
              <w:jc w:val="center"/>
              <w:rPr>
                <w:rFonts w:ascii="Times New Roman" w:hAnsi="Times New Roman"/>
                <w:szCs w:val="21"/>
              </w:rPr>
            </w:pPr>
            <w:r>
              <w:rPr>
                <w:rFonts w:ascii="Times New Roman" w:hAnsi="Times New Roman" w:eastAsia="等线"/>
                <w:szCs w:val="21"/>
                <w:u w:val="single"/>
              </w:rPr>
              <w:t>0.1138</w:t>
            </w:r>
          </w:p>
        </w:tc>
      </w:tr>
      <w:tr w14:paraId="1B20F9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281" w:type="dxa"/>
            <w:vMerge w:val="continue"/>
            <w:vAlign w:val="center"/>
          </w:tcPr>
          <w:p w14:paraId="44C7B2A9">
            <w:pPr>
              <w:jc w:val="center"/>
              <w:rPr>
                <w:rFonts w:ascii="Times New Roman" w:hAnsi="Times New Roman"/>
                <w:szCs w:val="21"/>
              </w:rPr>
            </w:pPr>
          </w:p>
        </w:tc>
        <w:tc>
          <w:tcPr>
            <w:tcW w:w="1356" w:type="dxa"/>
            <w:vAlign w:val="center"/>
          </w:tcPr>
          <w:p w14:paraId="3C1DD0B7">
            <w:pPr>
              <w:jc w:val="center"/>
              <w:rPr>
                <w:rFonts w:ascii="Times New Roman" w:hAnsi="Times New Roman"/>
                <w:szCs w:val="21"/>
              </w:rPr>
            </w:pPr>
            <w:r>
              <w:rPr>
                <w:rFonts w:ascii="Times New Roman" w:hAnsi="Times New Roman"/>
                <w:spacing w:val="-2"/>
                <w:kern w:val="0"/>
                <w:szCs w:val="21"/>
              </w:rPr>
              <w:t>SO</w:t>
            </w:r>
            <w:r>
              <w:rPr>
                <w:rFonts w:ascii="Times New Roman" w:hAnsi="Times New Roman"/>
                <w:spacing w:val="-2"/>
                <w:kern w:val="0"/>
                <w:szCs w:val="21"/>
                <w:vertAlign w:val="subscript"/>
              </w:rPr>
              <w:t>2</w:t>
            </w:r>
          </w:p>
        </w:tc>
        <w:tc>
          <w:tcPr>
            <w:tcW w:w="2154" w:type="dxa"/>
            <w:vAlign w:val="center"/>
          </w:tcPr>
          <w:p w14:paraId="5EDCD5B8">
            <w:pPr>
              <w:jc w:val="center"/>
              <w:rPr>
                <w:rFonts w:ascii="Times New Roman" w:hAnsi="Times New Roman"/>
                <w:szCs w:val="21"/>
              </w:rPr>
            </w:pPr>
            <w:r>
              <w:rPr>
                <w:rFonts w:ascii="Times New Roman" w:hAnsi="Times New Roman"/>
                <w:szCs w:val="21"/>
              </w:rPr>
              <w:t>500</w:t>
            </w:r>
          </w:p>
        </w:tc>
        <w:tc>
          <w:tcPr>
            <w:tcW w:w="1829" w:type="dxa"/>
            <w:vAlign w:val="center"/>
          </w:tcPr>
          <w:p w14:paraId="58FFDA7F">
            <w:pPr>
              <w:jc w:val="center"/>
              <w:rPr>
                <w:rFonts w:ascii="Times New Roman" w:hAnsi="Times New Roman"/>
                <w:szCs w:val="21"/>
              </w:rPr>
            </w:pPr>
            <w:r>
              <w:rPr>
                <w:rFonts w:ascii="Times New Roman" w:hAnsi="Times New Roman" w:eastAsia="等线"/>
                <w:szCs w:val="21"/>
                <w:u w:val="single"/>
              </w:rPr>
              <w:t>2.6952</w:t>
            </w:r>
          </w:p>
        </w:tc>
        <w:tc>
          <w:tcPr>
            <w:tcW w:w="1666" w:type="dxa"/>
            <w:vAlign w:val="center"/>
          </w:tcPr>
          <w:p w14:paraId="6A6E0E21">
            <w:pPr>
              <w:jc w:val="center"/>
              <w:rPr>
                <w:rFonts w:ascii="Times New Roman" w:hAnsi="Times New Roman"/>
                <w:szCs w:val="21"/>
              </w:rPr>
            </w:pPr>
            <w:r>
              <w:rPr>
                <w:rFonts w:ascii="Times New Roman" w:hAnsi="Times New Roman" w:eastAsia="等线"/>
                <w:szCs w:val="21"/>
                <w:u w:val="single"/>
              </w:rPr>
              <w:t>0.5390</w:t>
            </w:r>
          </w:p>
        </w:tc>
      </w:tr>
      <w:tr w14:paraId="355B46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281" w:type="dxa"/>
            <w:vMerge w:val="continue"/>
            <w:vAlign w:val="center"/>
          </w:tcPr>
          <w:p w14:paraId="5B138AB1">
            <w:pPr>
              <w:jc w:val="center"/>
              <w:rPr>
                <w:rFonts w:ascii="Times New Roman" w:hAnsi="Times New Roman"/>
                <w:szCs w:val="21"/>
              </w:rPr>
            </w:pPr>
          </w:p>
        </w:tc>
        <w:tc>
          <w:tcPr>
            <w:tcW w:w="1356" w:type="dxa"/>
            <w:vAlign w:val="center"/>
          </w:tcPr>
          <w:p w14:paraId="17BC7FAC">
            <w:pPr>
              <w:jc w:val="center"/>
              <w:rPr>
                <w:rFonts w:ascii="Times New Roman" w:hAnsi="Times New Roman"/>
                <w:szCs w:val="21"/>
              </w:rPr>
            </w:pPr>
            <w:r>
              <w:rPr>
                <w:rFonts w:ascii="Times New Roman" w:hAnsi="Times New Roman"/>
                <w:szCs w:val="21"/>
              </w:rPr>
              <w:t>NO</w:t>
            </w:r>
            <w:r>
              <w:rPr>
                <w:rFonts w:ascii="Times New Roman" w:hAnsi="Times New Roman"/>
                <w:szCs w:val="21"/>
                <w:vertAlign w:val="subscript"/>
              </w:rPr>
              <w:t>X</w:t>
            </w:r>
          </w:p>
        </w:tc>
        <w:tc>
          <w:tcPr>
            <w:tcW w:w="2154" w:type="dxa"/>
            <w:vAlign w:val="center"/>
          </w:tcPr>
          <w:p w14:paraId="357A9505">
            <w:pPr>
              <w:jc w:val="center"/>
              <w:rPr>
                <w:rFonts w:ascii="Times New Roman" w:hAnsi="Times New Roman"/>
                <w:szCs w:val="21"/>
              </w:rPr>
            </w:pPr>
            <w:r>
              <w:rPr>
                <w:rFonts w:ascii="Times New Roman" w:hAnsi="Times New Roman"/>
                <w:szCs w:val="21"/>
              </w:rPr>
              <w:t>250</w:t>
            </w:r>
          </w:p>
        </w:tc>
        <w:tc>
          <w:tcPr>
            <w:tcW w:w="1829" w:type="dxa"/>
            <w:vAlign w:val="center"/>
          </w:tcPr>
          <w:p w14:paraId="3AB3A8C0">
            <w:pPr>
              <w:jc w:val="center"/>
              <w:rPr>
                <w:rFonts w:ascii="Times New Roman" w:hAnsi="Times New Roman"/>
                <w:szCs w:val="21"/>
              </w:rPr>
            </w:pPr>
            <w:r>
              <w:rPr>
                <w:rFonts w:ascii="Times New Roman" w:hAnsi="Times New Roman" w:eastAsia="等线"/>
                <w:szCs w:val="21"/>
                <w:u w:val="single"/>
              </w:rPr>
              <w:t>14.6317</w:t>
            </w:r>
          </w:p>
        </w:tc>
        <w:tc>
          <w:tcPr>
            <w:tcW w:w="1666" w:type="dxa"/>
            <w:vAlign w:val="center"/>
          </w:tcPr>
          <w:p w14:paraId="195D8F9D">
            <w:pPr>
              <w:jc w:val="center"/>
              <w:rPr>
                <w:rFonts w:ascii="Times New Roman" w:hAnsi="Times New Roman"/>
                <w:szCs w:val="21"/>
              </w:rPr>
            </w:pPr>
            <w:r>
              <w:rPr>
                <w:rFonts w:ascii="Times New Roman" w:hAnsi="Times New Roman" w:eastAsia="等线"/>
                <w:szCs w:val="21"/>
                <w:u w:val="single"/>
              </w:rPr>
              <w:t>5.8527</w:t>
            </w:r>
          </w:p>
        </w:tc>
      </w:tr>
      <w:tr w14:paraId="7C3E5E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281" w:type="dxa"/>
            <w:vAlign w:val="center"/>
          </w:tcPr>
          <w:p w14:paraId="09BC406D">
            <w:pPr>
              <w:jc w:val="center"/>
              <w:rPr>
                <w:rFonts w:ascii="Times New Roman" w:hAnsi="Times New Roman"/>
                <w:szCs w:val="21"/>
              </w:rPr>
            </w:pPr>
            <w:r>
              <w:rPr>
                <w:rFonts w:hint="eastAsia" w:ascii="Times New Roman" w:hAnsi="Times New Roman"/>
                <w:szCs w:val="21"/>
              </w:rPr>
              <w:t>1#</w:t>
            </w:r>
            <w:r>
              <w:rPr>
                <w:rFonts w:ascii="Times New Roman" w:hAnsi="Times New Roman"/>
                <w:szCs w:val="21"/>
              </w:rPr>
              <w:t>车间粉尘排气筒</w:t>
            </w:r>
          </w:p>
        </w:tc>
        <w:tc>
          <w:tcPr>
            <w:tcW w:w="1356" w:type="dxa"/>
            <w:vAlign w:val="center"/>
          </w:tcPr>
          <w:p w14:paraId="160038AB">
            <w:pPr>
              <w:jc w:val="center"/>
              <w:rPr>
                <w:rFonts w:ascii="Times New Roman" w:hAnsi="Times New Roman"/>
                <w:szCs w:val="21"/>
              </w:rPr>
            </w:pPr>
            <w:r>
              <w:rPr>
                <w:rFonts w:ascii="Times New Roman" w:hAnsi="Times New Roman"/>
                <w:szCs w:val="21"/>
              </w:rPr>
              <w:t>PM</w:t>
            </w:r>
            <w:r>
              <w:rPr>
                <w:rFonts w:ascii="Times New Roman" w:hAnsi="Times New Roman"/>
                <w:szCs w:val="21"/>
                <w:vertAlign w:val="subscript"/>
              </w:rPr>
              <w:t>10</w:t>
            </w:r>
          </w:p>
        </w:tc>
        <w:tc>
          <w:tcPr>
            <w:tcW w:w="2154" w:type="dxa"/>
            <w:vAlign w:val="center"/>
          </w:tcPr>
          <w:p w14:paraId="218AABE6">
            <w:pPr>
              <w:jc w:val="center"/>
              <w:rPr>
                <w:rFonts w:ascii="Times New Roman" w:hAnsi="Times New Roman"/>
                <w:szCs w:val="21"/>
              </w:rPr>
            </w:pPr>
            <w:r>
              <w:rPr>
                <w:rFonts w:ascii="Times New Roman" w:hAnsi="Times New Roman"/>
                <w:szCs w:val="21"/>
              </w:rPr>
              <w:t>450</w:t>
            </w:r>
          </w:p>
        </w:tc>
        <w:tc>
          <w:tcPr>
            <w:tcW w:w="1829" w:type="dxa"/>
            <w:vAlign w:val="center"/>
          </w:tcPr>
          <w:p w14:paraId="5FF15DBC">
            <w:pPr>
              <w:jc w:val="center"/>
              <w:rPr>
                <w:rFonts w:ascii="Times New Roman" w:hAnsi="Times New Roman"/>
                <w:szCs w:val="21"/>
              </w:rPr>
            </w:pPr>
            <w:r>
              <w:rPr>
                <w:rFonts w:ascii="Times New Roman" w:hAnsi="Times New Roman" w:eastAsia="等线"/>
                <w:szCs w:val="21"/>
                <w:u w:val="single"/>
              </w:rPr>
              <w:t>0.0953</w:t>
            </w:r>
          </w:p>
        </w:tc>
        <w:tc>
          <w:tcPr>
            <w:tcW w:w="1666" w:type="dxa"/>
            <w:vAlign w:val="center"/>
          </w:tcPr>
          <w:p w14:paraId="49A5E491">
            <w:pPr>
              <w:jc w:val="center"/>
              <w:rPr>
                <w:rFonts w:ascii="Times New Roman" w:hAnsi="Times New Roman"/>
                <w:szCs w:val="21"/>
              </w:rPr>
            </w:pPr>
            <w:r>
              <w:rPr>
                <w:rFonts w:ascii="Times New Roman" w:hAnsi="Times New Roman" w:eastAsia="等线"/>
                <w:szCs w:val="21"/>
                <w:u w:val="single"/>
              </w:rPr>
              <w:t>0.0212</w:t>
            </w:r>
          </w:p>
        </w:tc>
      </w:tr>
      <w:tr w14:paraId="21664F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281" w:type="dxa"/>
            <w:vAlign w:val="center"/>
          </w:tcPr>
          <w:p w14:paraId="7FB85315">
            <w:pPr>
              <w:jc w:val="center"/>
              <w:rPr>
                <w:rFonts w:ascii="Times New Roman" w:hAnsi="Times New Roman"/>
                <w:szCs w:val="21"/>
              </w:rPr>
            </w:pPr>
            <w:r>
              <w:rPr>
                <w:rFonts w:hint="eastAsia" w:ascii="Times New Roman" w:hAnsi="Times New Roman"/>
                <w:szCs w:val="21"/>
              </w:rPr>
              <w:t>2#</w:t>
            </w:r>
            <w:r>
              <w:rPr>
                <w:rFonts w:ascii="Times New Roman" w:hAnsi="Times New Roman"/>
                <w:szCs w:val="21"/>
              </w:rPr>
              <w:t>车间粉尘排气筒</w:t>
            </w:r>
          </w:p>
        </w:tc>
        <w:tc>
          <w:tcPr>
            <w:tcW w:w="1356" w:type="dxa"/>
            <w:vAlign w:val="center"/>
          </w:tcPr>
          <w:p w14:paraId="5D583959">
            <w:pPr>
              <w:jc w:val="center"/>
              <w:rPr>
                <w:rFonts w:ascii="Times New Roman" w:hAnsi="Times New Roman"/>
                <w:szCs w:val="21"/>
              </w:rPr>
            </w:pPr>
            <w:r>
              <w:rPr>
                <w:rFonts w:ascii="Times New Roman" w:hAnsi="Times New Roman"/>
                <w:szCs w:val="21"/>
              </w:rPr>
              <w:t>PM</w:t>
            </w:r>
            <w:r>
              <w:rPr>
                <w:rFonts w:ascii="Times New Roman" w:hAnsi="Times New Roman"/>
                <w:szCs w:val="21"/>
                <w:vertAlign w:val="subscript"/>
              </w:rPr>
              <w:t>10</w:t>
            </w:r>
          </w:p>
        </w:tc>
        <w:tc>
          <w:tcPr>
            <w:tcW w:w="2154" w:type="dxa"/>
            <w:vAlign w:val="center"/>
          </w:tcPr>
          <w:p w14:paraId="1C9CFAC1">
            <w:pPr>
              <w:jc w:val="center"/>
              <w:rPr>
                <w:rFonts w:ascii="Times New Roman" w:hAnsi="Times New Roman"/>
                <w:szCs w:val="21"/>
              </w:rPr>
            </w:pPr>
            <w:r>
              <w:rPr>
                <w:rFonts w:hint="eastAsia" w:ascii="Times New Roman" w:hAnsi="Times New Roman"/>
                <w:szCs w:val="21"/>
              </w:rPr>
              <w:t>450</w:t>
            </w:r>
          </w:p>
        </w:tc>
        <w:tc>
          <w:tcPr>
            <w:tcW w:w="1829" w:type="dxa"/>
            <w:vAlign w:val="center"/>
          </w:tcPr>
          <w:p w14:paraId="4D4C7569">
            <w:pPr>
              <w:jc w:val="center"/>
              <w:rPr>
                <w:rFonts w:ascii="Times New Roman" w:hAnsi="Times New Roman"/>
                <w:szCs w:val="21"/>
              </w:rPr>
            </w:pPr>
            <w:r>
              <w:rPr>
                <w:rFonts w:ascii="Times New Roman" w:hAnsi="Times New Roman" w:eastAsia="等线"/>
                <w:szCs w:val="21"/>
                <w:u w:val="single"/>
              </w:rPr>
              <w:t>0.1246</w:t>
            </w:r>
          </w:p>
        </w:tc>
        <w:tc>
          <w:tcPr>
            <w:tcW w:w="1666" w:type="dxa"/>
            <w:vAlign w:val="center"/>
          </w:tcPr>
          <w:p w14:paraId="094118EF">
            <w:pPr>
              <w:jc w:val="center"/>
              <w:rPr>
                <w:rFonts w:ascii="Times New Roman" w:hAnsi="Times New Roman"/>
                <w:szCs w:val="21"/>
              </w:rPr>
            </w:pPr>
            <w:r>
              <w:rPr>
                <w:rFonts w:ascii="Times New Roman" w:hAnsi="Times New Roman" w:eastAsia="等线"/>
                <w:szCs w:val="21"/>
                <w:u w:val="single"/>
              </w:rPr>
              <w:t>0.0277</w:t>
            </w:r>
          </w:p>
        </w:tc>
      </w:tr>
      <w:tr w14:paraId="20D56E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281" w:type="dxa"/>
            <w:vAlign w:val="center"/>
          </w:tcPr>
          <w:p w14:paraId="6D1265E3">
            <w:pPr>
              <w:adjustRightInd w:val="0"/>
              <w:snapToGrid w:val="0"/>
              <w:jc w:val="center"/>
              <w:rPr>
                <w:rFonts w:ascii="Times New Roman" w:hAnsi="Times New Roman"/>
                <w:spacing w:val="-2"/>
                <w:kern w:val="0"/>
                <w:szCs w:val="21"/>
              </w:rPr>
            </w:pPr>
            <w:r>
              <w:rPr>
                <w:rFonts w:ascii="Times New Roman" w:hAnsi="Times New Roman"/>
                <w:spacing w:val="-2"/>
                <w:kern w:val="0"/>
                <w:szCs w:val="21"/>
              </w:rPr>
              <w:t>车间粉尘无组织排放</w:t>
            </w:r>
          </w:p>
        </w:tc>
        <w:tc>
          <w:tcPr>
            <w:tcW w:w="1356" w:type="dxa"/>
            <w:vAlign w:val="center"/>
          </w:tcPr>
          <w:p w14:paraId="75DBB3CA">
            <w:pPr>
              <w:jc w:val="center"/>
              <w:rPr>
                <w:rFonts w:ascii="Times New Roman" w:hAnsi="Times New Roman"/>
                <w:szCs w:val="21"/>
              </w:rPr>
            </w:pPr>
            <w:r>
              <w:rPr>
                <w:rFonts w:ascii="Times New Roman" w:hAnsi="Times New Roman"/>
                <w:szCs w:val="21"/>
              </w:rPr>
              <w:t>TSP</w:t>
            </w:r>
          </w:p>
        </w:tc>
        <w:tc>
          <w:tcPr>
            <w:tcW w:w="2154" w:type="dxa"/>
            <w:vAlign w:val="center"/>
          </w:tcPr>
          <w:p w14:paraId="088D562E">
            <w:pPr>
              <w:jc w:val="center"/>
              <w:rPr>
                <w:rFonts w:ascii="Times New Roman" w:hAnsi="Times New Roman"/>
                <w:szCs w:val="21"/>
              </w:rPr>
            </w:pPr>
            <w:r>
              <w:rPr>
                <w:rFonts w:ascii="Times New Roman" w:hAnsi="Times New Roman"/>
                <w:szCs w:val="21"/>
              </w:rPr>
              <w:t>900</w:t>
            </w:r>
          </w:p>
        </w:tc>
        <w:tc>
          <w:tcPr>
            <w:tcW w:w="1829" w:type="dxa"/>
            <w:vAlign w:val="center"/>
          </w:tcPr>
          <w:p w14:paraId="312FD7B0">
            <w:pPr>
              <w:jc w:val="center"/>
              <w:rPr>
                <w:rFonts w:ascii="Times New Roman" w:hAnsi="Times New Roman"/>
                <w:szCs w:val="21"/>
              </w:rPr>
            </w:pPr>
            <w:r>
              <w:rPr>
                <w:rFonts w:ascii="Times New Roman" w:hAnsi="Times New Roman" w:eastAsia="等线"/>
                <w:szCs w:val="21"/>
                <w:u w:val="single"/>
              </w:rPr>
              <w:t>83.5240</w:t>
            </w:r>
          </w:p>
        </w:tc>
        <w:tc>
          <w:tcPr>
            <w:tcW w:w="1666" w:type="dxa"/>
            <w:vAlign w:val="center"/>
          </w:tcPr>
          <w:p w14:paraId="13723E87">
            <w:pPr>
              <w:jc w:val="center"/>
              <w:rPr>
                <w:rFonts w:ascii="Times New Roman" w:hAnsi="Times New Roman"/>
                <w:szCs w:val="21"/>
              </w:rPr>
            </w:pPr>
            <w:r>
              <w:rPr>
                <w:rFonts w:ascii="Times New Roman" w:hAnsi="Times New Roman" w:eastAsia="等线"/>
                <w:szCs w:val="21"/>
                <w:u w:val="single"/>
              </w:rPr>
              <w:t>9.2804</w:t>
            </w:r>
          </w:p>
        </w:tc>
      </w:tr>
      <w:tr w14:paraId="67CDCC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281" w:type="dxa"/>
            <w:vAlign w:val="center"/>
          </w:tcPr>
          <w:p w14:paraId="36F82E98">
            <w:pPr>
              <w:jc w:val="center"/>
              <w:rPr>
                <w:rFonts w:ascii="Times New Roman" w:hAnsi="Times New Roman"/>
                <w:spacing w:val="-2"/>
                <w:kern w:val="0"/>
                <w:szCs w:val="21"/>
              </w:rPr>
            </w:pPr>
            <w:r>
              <w:rPr>
                <w:rFonts w:ascii="Times New Roman" w:hAnsi="Times New Roman"/>
                <w:spacing w:val="-2"/>
                <w:kern w:val="0"/>
                <w:szCs w:val="21"/>
              </w:rPr>
              <w:t>运输扬尘无组织排放</w:t>
            </w:r>
          </w:p>
        </w:tc>
        <w:tc>
          <w:tcPr>
            <w:tcW w:w="1356" w:type="dxa"/>
            <w:vAlign w:val="center"/>
          </w:tcPr>
          <w:p w14:paraId="6A204F43">
            <w:pPr>
              <w:jc w:val="center"/>
              <w:rPr>
                <w:rFonts w:ascii="Times New Roman" w:hAnsi="Times New Roman"/>
                <w:szCs w:val="21"/>
              </w:rPr>
            </w:pPr>
            <w:r>
              <w:rPr>
                <w:rFonts w:ascii="Times New Roman" w:hAnsi="Times New Roman"/>
                <w:szCs w:val="21"/>
              </w:rPr>
              <w:t>TSP</w:t>
            </w:r>
          </w:p>
        </w:tc>
        <w:tc>
          <w:tcPr>
            <w:tcW w:w="2154" w:type="dxa"/>
            <w:vAlign w:val="center"/>
          </w:tcPr>
          <w:p w14:paraId="748DB991">
            <w:pPr>
              <w:jc w:val="center"/>
              <w:rPr>
                <w:rFonts w:ascii="Times New Roman" w:hAnsi="Times New Roman"/>
                <w:szCs w:val="21"/>
              </w:rPr>
            </w:pPr>
            <w:r>
              <w:rPr>
                <w:rFonts w:ascii="Times New Roman" w:hAnsi="Times New Roman"/>
                <w:szCs w:val="21"/>
              </w:rPr>
              <w:t>900</w:t>
            </w:r>
          </w:p>
        </w:tc>
        <w:tc>
          <w:tcPr>
            <w:tcW w:w="1829" w:type="dxa"/>
            <w:vAlign w:val="center"/>
          </w:tcPr>
          <w:p w14:paraId="7C14F605">
            <w:pPr>
              <w:jc w:val="center"/>
              <w:rPr>
                <w:rFonts w:ascii="Times New Roman" w:hAnsi="Times New Roman"/>
                <w:szCs w:val="21"/>
              </w:rPr>
            </w:pPr>
            <w:r>
              <w:rPr>
                <w:rFonts w:ascii="Times New Roman" w:hAnsi="Times New Roman" w:eastAsia="等线"/>
                <w:szCs w:val="21"/>
                <w:u w:val="single"/>
              </w:rPr>
              <w:t>27.4120</w:t>
            </w:r>
          </w:p>
        </w:tc>
        <w:tc>
          <w:tcPr>
            <w:tcW w:w="1666" w:type="dxa"/>
            <w:vAlign w:val="center"/>
          </w:tcPr>
          <w:p w14:paraId="4B2F11E1">
            <w:pPr>
              <w:jc w:val="center"/>
              <w:rPr>
                <w:rFonts w:ascii="Times New Roman" w:hAnsi="Times New Roman"/>
                <w:szCs w:val="21"/>
              </w:rPr>
            </w:pPr>
            <w:r>
              <w:rPr>
                <w:rFonts w:ascii="Times New Roman" w:hAnsi="Times New Roman" w:eastAsia="等线"/>
                <w:szCs w:val="21"/>
                <w:u w:val="single"/>
              </w:rPr>
              <w:t>3.0458</w:t>
            </w:r>
          </w:p>
        </w:tc>
      </w:tr>
    </w:tbl>
    <w:p w14:paraId="5D2BAD62">
      <w:pPr>
        <w:spacing w:line="360" w:lineRule="auto"/>
        <w:ind w:firstLine="472" w:firstLineChars="200"/>
        <w:rPr>
          <w:rFonts w:ascii="Times New Roman" w:hAnsi="Times New Roman"/>
          <w:spacing w:val="-2"/>
          <w:kern w:val="0"/>
          <w:sz w:val="24"/>
          <w:szCs w:val="24"/>
        </w:rPr>
      </w:pPr>
    </w:p>
    <w:p w14:paraId="6FA762BD">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由表4.2-7估算结果</w:t>
      </w:r>
      <w:r>
        <w:rPr>
          <w:rFonts w:hint="eastAsia" w:ascii="Times New Roman" w:hAnsi="Times New Roman"/>
          <w:spacing w:val="-2"/>
          <w:kern w:val="0"/>
          <w:sz w:val="24"/>
          <w:szCs w:val="24"/>
        </w:rPr>
        <w:t>可知</w:t>
      </w:r>
      <w:r>
        <w:rPr>
          <w:rFonts w:ascii="Times New Roman" w:hAnsi="Times New Roman"/>
          <w:spacing w:val="-2"/>
          <w:kern w:val="0"/>
          <w:sz w:val="24"/>
          <w:szCs w:val="24"/>
        </w:rPr>
        <w:t>，</w:t>
      </w:r>
      <w:r>
        <w:rPr>
          <w:rFonts w:ascii="Times New Roman" w:hAnsi="Times New Roman"/>
          <w:sz w:val="24"/>
          <w:szCs w:val="24"/>
          <w:u w:val="single"/>
        </w:rPr>
        <w:t>本项目P</w:t>
      </w:r>
      <w:r>
        <w:rPr>
          <w:rFonts w:ascii="Times New Roman" w:hAnsi="Times New Roman"/>
          <w:sz w:val="24"/>
          <w:szCs w:val="24"/>
          <w:u w:val="single"/>
          <w:vertAlign w:val="subscript"/>
        </w:rPr>
        <w:t>max</w:t>
      </w:r>
      <w:r>
        <w:rPr>
          <w:rFonts w:ascii="Times New Roman" w:hAnsi="Times New Roman"/>
          <w:sz w:val="24"/>
          <w:szCs w:val="24"/>
          <w:u w:val="single"/>
        </w:rPr>
        <w:t>最大值出现在</w:t>
      </w:r>
      <w:r>
        <w:rPr>
          <w:rFonts w:hint="eastAsia" w:ascii="Times New Roman" w:hAnsi="Times New Roman"/>
          <w:sz w:val="24"/>
          <w:szCs w:val="24"/>
          <w:u w:val="single"/>
        </w:rPr>
        <w:t>车间粉尘无组织排放</w:t>
      </w:r>
      <w:r>
        <w:rPr>
          <w:rFonts w:ascii="Times New Roman" w:hAnsi="Times New Roman"/>
          <w:sz w:val="24"/>
          <w:szCs w:val="24"/>
          <w:u w:val="single"/>
        </w:rPr>
        <w:t>的</w:t>
      </w:r>
      <w:r>
        <w:rPr>
          <w:rFonts w:hint="eastAsia" w:ascii="Times New Roman" w:hAnsi="Times New Roman"/>
          <w:sz w:val="24"/>
          <w:szCs w:val="24"/>
          <w:u w:val="single"/>
        </w:rPr>
        <w:t>TSP</w:t>
      </w:r>
      <w:r>
        <w:rPr>
          <w:rFonts w:ascii="Times New Roman" w:hAnsi="Times New Roman"/>
          <w:sz w:val="24"/>
          <w:szCs w:val="24"/>
          <w:u w:val="single"/>
        </w:rPr>
        <w:t>。项目大气污染物最大占标率P</w:t>
      </w:r>
      <w:r>
        <w:rPr>
          <w:rFonts w:ascii="Times New Roman" w:hAnsi="Times New Roman"/>
          <w:sz w:val="24"/>
          <w:szCs w:val="24"/>
          <w:u w:val="single"/>
          <w:vertAlign w:val="subscript"/>
        </w:rPr>
        <w:t>max</w:t>
      </w:r>
      <w:r>
        <w:rPr>
          <w:rFonts w:ascii="Times New Roman" w:hAnsi="Times New Roman"/>
          <w:sz w:val="24"/>
          <w:szCs w:val="24"/>
          <w:u w:val="single"/>
        </w:rPr>
        <w:t>为</w:t>
      </w:r>
      <w:r>
        <w:rPr>
          <w:rFonts w:hint="eastAsia" w:ascii="Times New Roman" w:hAnsi="Times New Roman"/>
          <w:sz w:val="24"/>
          <w:szCs w:val="24"/>
          <w:u w:val="single"/>
        </w:rPr>
        <w:t>9.2804</w:t>
      </w:r>
      <w:r>
        <w:rPr>
          <w:rFonts w:ascii="Times New Roman" w:hAnsi="Times New Roman"/>
          <w:sz w:val="24"/>
          <w:szCs w:val="24"/>
          <w:u w:val="single"/>
        </w:rPr>
        <w:t>%，</w:t>
      </w:r>
      <w:r>
        <w:rPr>
          <w:rFonts w:ascii="Times New Roman" w:hAnsi="Times New Roman"/>
          <w:spacing w:val="-2"/>
          <w:kern w:val="0"/>
          <w:sz w:val="24"/>
          <w:szCs w:val="24"/>
        </w:rPr>
        <w:t>根据《环境影响评价技术导则大气环境》（HJ2.2-2018）分级判据，确定本项目大气环境影响评价工作等级为二级，不再进行进一步预测与评价，只对污染物排放量进行核算。</w:t>
      </w:r>
    </w:p>
    <w:p w14:paraId="0383DA36">
      <w:pPr>
        <w:pStyle w:val="6"/>
        <w:numPr>
          <w:ilvl w:val="2"/>
          <w:numId w:val="3"/>
        </w:numPr>
        <w:rPr>
          <w:szCs w:val="24"/>
        </w:rPr>
      </w:pPr>
      <w:r>
        <w:rPr>
          <w:szCs w:val="24"/>
        </w:rPr>
        <w:t>污染物排放量核算</w:t>
      </w:r>
    </w:p>
    <w:p w14:paraId="7456EC4E">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（1）有组织排放量核算</w:t>
      </w:r>
    </w:p>
    <w:p w14:paraId="45B4705C">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根据《排污许可证申请与核发技术规范 总则》（HJ942-2018）相关规范要求，对项目污染物排放量进行核算，大气污染物有组织排放量核算见表4.2-8。</w:t>
      </w:r>
    </w:p>
    <w:p w14:paraId="3647555C">
      <w:pPr>
        <w:pStyle w:val="8"/>
        <w:numPr>
          <w:ilvl w:val="4"/>
          <w:numId w:val="3"/>
        </w:numPr>
        <w:ind w:firstLine="482" w:firstLineChars="200"/>
        <w:rPr>
          <w:sz w:val="24"/>
          <w:szCs w:val="24"/>
        </w:rPr>
      </w:pPr>
      <w:r>
        <w:rPr>
          <w:sz w:val="24"/>
          <w:szCs w:val="24"/>
        </w:rPr>
        <w:t>大气污染物有组织排放量核算表</w:t>
      </w:r>
    </w:p>
    <w:tbl>
      <w:tblPr>
        <w:tblStyle w:val="88"/>
        <w:tblW w:w="906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99"/>
        <w:gridCol w:w="1843"/>
        <w:gridCol w:w="1417"/>
        <w:gridCol w:w="1701"/>
        <w:gridCol w:w="1701"/>
        <w:gridCol w:w="1701"/>
      </w:tblGrid>
      <w:tr w14:paraId="62B298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699" w:type="dxa"/>
            <w:vAlign w:val="center"/>
          </w:tcPr>
          <w:p w14:paraId="69A27F63">
            <w:pPr>
              <w:jc w:val="center"/>
              <w:rPr>
                <w:rFonts w:ascii="Times New Roman" w:hAnsi="Times New Roman"/>
                <w:b/>
                <w:bCs/>
                <w:snapToGrid w:val="0"/>
                <w:lang w:val="zh-CN"/>
              </w:rPr>
            </w:pPr>
            <w:r>
              <w:rPr>
                <w:rFonts w:ascii="Times New Roman" w:hAnsi="Times New Roman"/>
                <w:b/>
                <w:bCs/>
                <w:snapToGrid w:val="0"/>
                <w:lang w:val="zh-CN"/>
              </w:rPr>
              <w:t>序号</w:t>
            </w:r>
          </w:p>
        </w:tc>
        <w:tc>
          <w:tcPr>
            <w:tcW w:w="1843" w:type="dxa"/>
            <w:vAlign w:val="center"/>
          </w:tcPr>
          <w:p w14:paraId="19FDF86C">
            <w:pPr>
              <w:jc w:val="center"/>
              <w:rPr>
                <w:rFonts w:ascii="Times New Roman" w:hAnsi="Times New Roman"/>
                <w:b/>
                <w:bCs/>
                <w:snapToGrid w:val="0"/>
                <w:lang w:val="zh-CN"/>
              </w:rPr>
            </w:pPr>
            <w:r>
              <w:rPr>
                <w:rFonts w:ascii="Times New Roman" w:hAnsi="Times New Roman"/>
                <w:b/>
                <w:bCs/>
                <w:snapToGrid w:val="0"/>
                <w:lang w:val="zh-CN"/>
              </w:rPr>
              <w:t>排放口编号</w:t>
            </w:r>
          </w:p>
        </w:tc>
        <w:tc>
          <w:tcPr>
            <w:tcW w:w="1417" w:type="dxa"/>
            <w:vAlign w:val="center"/>
          </w:tcPr>
          <w:p w14:paraId="3F2FF996">
            <w:pPr>
              <w:jc w:val="center"/>
              <w:rPr>
                <w:rFonts w:ascii="Times New Roman" w:hAnsi="Times New Roman"/>
                <w:b/>
                <w:bCs/>
                <w:snapToGrid w:val="0"/>
                <w:lang w:val="zh-CN"/>
              </w:rPr>
            </w:pPr>
            <w:r>
              <w:rPr>
                <w:rFonts w:ascii="Times New Roman" w:hAnsi="Times New Roman"/>
                <w:b/>
                <w:bCs/>
                <w:snapToGrid w:val="0"/>
                <w:lang w:val="zh-CN"/>
              </w:rPr>
              <w:t>污染物</w:t>
            </w:r>
          </w:p>
        </w:tc>
        <w:tc>
          <w:tcPr>
            <w:tcW w:w="1701" w:type="dxa"/>
            <w:vAlign w:val="center"/>
          </w:tcPr>
          <w:p w14:paraId="2E86CBBB">
            <w:pPr>
              <w:jc w:val="center"/>
              <w:rPr>
                <w:rFonts w:ascii="Times New Roman" w:hAnsi="Times New Roman"/>
                <w:b/>
                <w:bCs/>
                <w:snapToGrid w:val="0"/>
                <w:lang w:val="zh-CN"/>
              </w:rPr>
            </w:pPr>
            <w:r>
              <w:rPr>
                <w:rFonts w:ascii="Times New Roman" w:hAnsi="Times New Roman"/>
                <w:b/>
                <w:bCs/>
                <w:snapToGrid w:val="0"/>
                <w:lang w:val="zh-CN"/>
              </w:rPr>
              <w:t>核算排放浓度（mg/m</w:t>
            </w:r>
            <w:r>
              <w:rPr>
                <w:rFonts w:ascii="Times New Roman" w:hAnsi="Times New Roman"/>
                <w:b/>
                <w:bCs/>
                <w:snapToGrid w:val="0"/>
                <w:vertAlign w:val="superscript"/>
                <w:lang w:val="zh-CN"/>
              </w:rPr>
              <w:t>3</w:t>
            </w:r>
            <w:r>
              <w:rPr>
                <w:rFonts w:ascii="Times New Roman" w:hAnsi="Times New Roman"/>
                <w:b/>
                <w:bCs/>
                <w:snapToGrid w:val="0"/>
                <w:lang w:val="zh-CN"/>
              </w:rPr>
              <w:t>）</w:t>
            </w:r>
          </w:p>
        </w:tc>
        <w:tc>
          <w:tcPr>
            <w:tcW w:w="1701" w:type="dxa"/>
            <w:vAlign w:val="center"/>
          </w:tcPr>
          <w:p w14:paraId="04428F6B">
            <w:pPr>
              <w:jc w:val="center"/>
              <w:rPr>
                <w:rFonts w:ascii="Times New Roman" w:hAnsi="Times New Roman"/>
                <w:b/>
                <w:bCs/>
                <w:snapToGrid w:val="0"/>
                <w:lang w:val="zh-CN"/>
              </w:rPr>
            </w:pPr>
            <w:r>
              <w:rPr>
                <w:rFonts w:ascii="Times New Roman" w:hAnsi="Times New Roman"/>
                <w:b/>
                <w:bCs/>
                <w:snapToGrid w:val="0"/>
                <w:lang w:val="zh-CN"/>
              </w:rPr>
              <w:t>核算排放速率/（kg/h）</w:t>
            </w:r>
          </w:p>
        </w:tc>
        <w:tc>
          <w:tcPr>
            <w:tcW w:w="1701" w:type="dxa"/>
            <w:vAlign w:val="center"/>
          </w:tcPr>
          <w:p w14:paraId="08849E1E">
            <w:pPr>
              <w:jc w:val="center"/>
              <w:rPr>
                <w:rFonts w:ascii="Times New Roman" w:hAnsi="Times New Roman"/>
                <w:b/>
                <w:bCs/>
                <w:snapToGrid w:val="0"/>
                <w:lang w:val="zh-CN"/>
              </w:rPr>
            </w:pPr>
            <w:r>
              <w:rPr>
                <w:rFonts w:ascii="Times New Roman" w:hAnsi="Times New Roman"/>
                <w:b/>
                <w:bCs/>
                <w:snapToGrid w:val="0"/>
                <w:lang w:val="zh-CN"/>
              </w:rPr>
              <w:t>核算年排放量（t/a）</w:t>
            </w:r>
          </w:p>
        </w:tc>
      </w:tr>
      <w:tr w14:paraId="00BC10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99" w:type="dxa"/>
            <w:vMerge w:val="restart"/>
            <w:vAlign w:val="center"/>
          </w:tcPr>
          <w:p w14:paraId="789ACBE6">
            <w:pPr>
              <w:jc w:val="center"/>
              <w:rPr>
                <w:rFonts w:ascii="Times New Roman" w:hAnsi="Times New Roman"/>
                <w:snapToGrid w:val="0"/>
              </w:rPr>
            </w:pPr>
            <w:r>
              <w:rPr>
                <w:rFonts w:ascii="Times New Roman" w:hAnsi="Times New Roman"/>
                <w:snapToGrid w:val="0"/>
              </w:rPr>
              <w:t>1</w:t>
            </w:r>
          </w:p>
        </w:tc>
        <w:tc>
          <w:tcPr>
            <w:tcW w:w="1843" w:type="dxa"/>
            <w:vMerge w:val="restart"/>
            <w:vAlign w:val="center"/>
          </w:tcPr>
          <w:p w14:paraId="658D21B3">
            <w:pPr>
              <w:jc w:val="center"/>
              <w:rPr>
                <w:rFonts w:ascii="Times New Roman" w:hAnsi="Times New Roman"/>
                <w:snapToGrid w:val="0"/>
              </w:rPr>
            </w:pPr>
            <w:r>
              <w:rPr>
                <w:rFonts w:ascii="Times New Roman" w:hAnsi="Times New Roman"/>
                <w:snapToGrid w:val="0"/>
              </w:rPr>
              <w:t>DA001 烘干炉烟气排气筒</w:t>
            </w:r>
          </w:p>
        </w:tc>
        <w:tc>
          <w:tcPr>
            <w:tcW w:w="1417" w:type="dxa"/>
            <w:vAlign w:val="center"/>
          </w:tcPr>
          <w:p w14:paraId="7252C6A3">
            <w:pPr>
              <w:pStyle w:val="1480"/>
              <w:kinsoku w:val="0"/>
              <w:overflowPunct w:val="0"/>
              <w:jc w:val="center"/>
              <w:rPr>
                <w:rFonts w:ascii="Times New Roman" w:hAnsi="Times New Roman"/>
                <w:bCs/>
                <w:sz w:val="21"/>
                <w:szCs w:val="21"/>
                <w:lang w:val="zh-CN"/>
              </w:rPr>
            </w:pPr>
            <w:r>
              <w:rPr>
                <w:rFonts w:ascii="Times New Roman" w:hAnsi="Times New Roman"/>
                <w:bCs/>
                <w:sz w:val="21"/>
                <w:szCs w:val="21"/>
              </w:rPr>
              <w:t>颗粒物</w:t>
            </w:r>
          </w:p>
        </w:tc>
        <w:tc>
          <w:tcPr>
            <w:tcW w:w="1701" w:type="dxa"/>
            <w:vAlign w:val="center"/>
          </w:tcPr>
          <w:p w14:paraId="6C9B49A8">
            <w:pPr>
              <w:widowControl/>
              <w:jc w:val="center"/>
              <w:textAlignment w:val="center"/>
              <w:rPr>
                <w:rFonts w:ascii="Times New Roman" w:hAnsi="Times New Roman"/>
                <w:szCs w:val="21"/>
                <w:u w:val="single"/>
              </w:rPr>
            </w:pPr>
            <w:r>
              <w:rPr>
                <w:rFonts w:ascii="Times New Roman" w:hAnsi="Times New Roman" w:eastAsia="等线"/>
                <w:sz w:val="22"/>
                <w:u w:val="single"/>
              </w:rPr>
              <w:t>3.5</w:t>
            </w:r>
          </w:p>
        </w:tc>
        <w:tc>
          <w:tcPr>
            <w:tcW w:w="1701" w:type="dxa"/>
            <w:vAlign w:val="center"/>
          </w:tcPr>
          <w:p w14:paraId="1C65A858">
            <w:pPr>
              <w:widowControl/>
              <w:jc w:val="center"/>
              <w:textAlignment w:val="center"/>
              <w:rPr>
                <w:rFonts w:ascii="Times New Roman" w:hAnsi="Times New Roman"/>
                <w:szCs w:val="21"/>
                <w:u w:val="single"/>
              </w:rPr>
            </w:pPr>
            <w:r>
              <w:rPr>
                <w:rFonts w:ascii="Times New Roman" w:hAnsi="Times New Roman" w:eastAsia="等线"/>
                <w:sz w:val="22"/>
                <w:u w:val="single"/>
              </w:rPr>
              <w:t>0.0175</w:t>
            </w:r>
          </w:p>
        </w:tc>
        <w:tc>
          <w:tcPr>
            <w:tcW w:w="1701" w:type="dxa"/>
            <w:vAlign w:val="center"/>
          </w:tcPr>
          <w:p w14:paraId="02F80A9E">
            <w:pPr>
              <w:widowControl/>
              <w:jc w:val="center"/>
              <w:textAlignment w:val="center"/>
              <w:rPr>
                <w:rFonts w:ascii="Times New Roman" w:hAnsi="Times New Roman"/>
                <w:szCs w:val="21"/>
                <w:u w:val="single"/>
              </w:rPr>
            </w:pPr>
            <w:r>
              <w:rPr>
                <w:rFonts w:ascii="Times New Roman" w:hAnsi="Times New Roman" w:eastAsia="等线"/>
                <w:szCs w:val="21"/>
                <w:u w:val="single"/>
              </w:rPr>
              <w:t>0.0840</w:t>
            </w:r>
          </w:p>
        </w:tc>
      </w:tr>
      <w:tr w14:paraId="0D7F56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99" w:type="dxa"/>
            <w:vMerge w:val="continue"/>
            <w:vAlign w:val="center"/>
          </w:tcPr>
          <w:p w14:paraId="49C9A5E6">
            <w:pPr>
              <w:jc w:val="center"/>
              <w:rPr>
                <w:rFonts w:ascii="Times New Roman" w:hAnsi="Times New Roman"/>
                <w:snapToGrid w:val="0"/>
                <w:lang w:val="zh-CN"/>
              </w:rPr>
            </w:pPr>
          </w:p>
        </w:tc>
        <w:tc>
          <w:tcPr>
            <w:tcW w:w="1843" w:type="dxa"/>
            <w:vMerge w:val="continue"/>
            <w:vAlign w:val="center"/>
          </w:tcPr>
          <w:p w14:paraId="57EE502C">
            <w:pPr>
              <w:jc w:val="center"/>
              <w:rPr>
                <w:rFonts w:ascii="Times New Roman" w:hAnsi="Times New Roman"/>
                <w:snapToGrid w:val="0"/>
                <w:lang w:val="zh-CN"/>
              </w:rPr>
            </w:pPr>
          </w:p>
        </w:tc>
        <w:tc>
          <w:tcPr>
            <w:tcW w:w="1417" w:type="dxa"/>
            <w:vAlign w:val="center"/>
          </w:tcPr>
          <w:p w14:paraId="6C869D18">
            <w:pPr>
              <w:pStyle w:val="1480"/>
              <w:kinsoku w:val="0"/>
              <w:overflowPunct w:val="0"/>
              <w:jc w:val="center"/>
              <w:rPr>
                <w:rFonts w:ascii="Times New Roman" w:hAnsi="Times New Roman"/>
                <w:bCs/>
                <w:sz w:val="21"/>
                <w:szCs w:val="21"/>
                <w:lang w:val="zh-CN"/>
              </w:rPr>
            </w:pPr>
            <w:r>
              <w:rPr>
                <w:rFonts w:ascii="Times New Roman" w:hAnsi="Times New Roman"/>
                <w:bCs/>
                <w:sz w:val="21"/>
                <w:szCs w:val="21"/>
              </w:rPr>
              <w:t>SO</w:t>
            </w:r>
            <w:r>
              <w:rPr>
                <w:rFonts w:ascii="Times New Roman" w:hAnsi="Times New Roman"/>
                <w:bCs/>
                <w:sz w:val="21"/>
                <w:szCs w:val="21"/>
                <w:vertAlign w:val="subscript"/>
              </w:rPr>
              <w:t>2</w:t>
            </w:r>
          </w:p>
        </w:tc>
        <w:tc>
          <w:tcPr>
            <w:tcW w:w="1701" w:type="dxa"/>
            <w:vAlign w:val="center"/>
          </w:tcPr>
          <w:p w14:paraId="03459E41">
            <w:pPr>
              <w:widowControl/>
              <w:jc w:val="center"/>
              <w:textAlignment w:val="center"/>
              <w:rPr>
                <w:rFonts w:ascii="Times New Roman" w:hAnsi="Times New Roman"/>
                <w:szCs w:val="21"/>
                <w:u w:val="single"/>
              </w:rPr>
            </w:pPr>
            <w:r>
              <w:rPr>
                <w:rFonts w:ascii="Times New Roman" w:hAnsi="Times New Roman" w:eastAsia="等线"/>
                <w:sz w:val="22"/>
                <w:u w:val="single"/>
              </w:rPr>
              <w:t>18.42</w:t>
            </w:r>
          </w:p>
        </w:tc>
        <w:tc>
          <w:tcPr>
            <w:tcW w:w="1701" w:type="dxa"/>
            <w:vAlign w:val="center"/>
          </w:tcPr>
          <w:p w14:paraId="20D4D2E5">
            <w:pPr>
              <w:widowControl/>
              <w:jc w:val="center"/>
              <w:textAlignment w:val="center"/>
              <w:rPr>
                <w:rFonts w:ascii="Times New Roman" w:hAnsi="Times New Roman"/>
                <w:szCs w:val="21"/>
                <w:u w:val="single"/>
              </w:rPr>
            </w:pPr>
            <w:r>
              <w:rPr>
                <w:rFonts w:ascii="Times New Roman" w:hAnsi="Times New Roman" w:eastAsia="等线"/>
                <w:sz w:val="22"/>
                <w:u w:val="single"/>
              </w:rPr>
              <w:t>0.0921</w:t>
            </w:r>
          </w:p>
        </w:tc>
        <w:tc>
          <w:tcPr>
            <w:tcW w:w="1701" w:type="dxa"/>
            <w:vAlign w:val="center"/>
          </w:tcPr>
          <w:p w14:paraId="1FAB6646">
            <w:pPr>
              <w:widowControl/>
              <w:jc w:val="center"/>
              <w:textAlignment w:val="center"/>
              <w:rPr>
                <w:rFonts w:ascii="Times New Roman" w:hAnsi="Times New Roman"/>
                <w:szCs w:val="21"/>
                <w:u w:val="single"/>
              </w:rPr>
            </w:pPr>
            <w:r>
              <w:rPr>
                <w:rFonts w:ascii="Times New Roman" w:hAnsi="Times New Roman" w:eastAsia="等线"/>
                <w:szCs w:val="21"/>
                <w:u w:val="single"/>
              </w:rPr>
              <w:t>0.4420</w:t>
            </w:r>
          </w:p>
        </w:tc>
      </w:tr>
      <w:tr w14:paraId="7301F7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99" w:type="dxa"/>
            <w:vMerge w:val="continue"/>
            <w:vAlign w:val="center"/>
          </w:tcPr>
          <w:p w14:paraId="691553FD">
            <w:pPr>
              <w:jc w:val="center"/>
              <w:rPr>
                <w:rFonts w:ascii="Times New Roman" w:hAnsi="Times New Roman"/>
                <w:snapToGrid w:val="0"/>
                <w:lang w:val="zh-CN"/>
              </w:rPr>
            </w:pPr>
          </w:p>
        </w:tc>
        <w:tc>
          <w:tcPr>
            <w:tcW w:w="1843" w:type="dxa"/>
            <w:vMerge w:val="continue"/>
            <w:vAlign w:val="center"/>
          </w:tcPr>
          <w:p w14:paraId="7244093E">
            <w:pPr>
              <w:jc w:val="center"/>
              <w:rPr>
                <w:rFonts w:ascii="Times New Roman" w:hAnsi="Times New Roman"/>
                <w:snapToGrid w:val="0"/>
                <w:lang w:val="zh-CN"/>
              </w:rPr>
            </w:pPr>
          </w:p>
        </w:tc>
        <w:tc>
          <w:tcPr>
            <w:tcW w:w="1417" w:type="dxa"/>
            <w:vAlign w:val="center"/>
          </w:tcPr>
          <w:p w14:paraId="372384C9">
            <w:pPr>
              <w:pStyle w:val="1480"/>
              <w:kinsoku w:val="0"/>
              <w:overflowPunct w:val="0"/>
              <w:jc w:val="center"/>
              <w:rPr>
                <w:rFonts w:ascii="Times New Roman" w:hAnsi="Times New Roman"/>
                <w:bCs/>
                <w:sz w:val="21"/>
                <w:szCs w:val="21"/>
                <w:lang w:val="zh-CN"/>
              </w:rPr>
            </w:pPr>
            <w:r>
              <w:rPr>
                <w:rFonts w:ascii="Times New Roman" w:hAnsi="Times New Roman"/>
                <w:bCs/>
                <w:sz w:val="21"/>
                <w:szCs w:val="21"/>
              </w:rPr>
              <w:t>NO</w:t>
            </w:r>
            <w:r>
              <w:rPr>
                <w:rFonts w:ascii="Times New Roman" w:hAnsi="Times New Roman"/>
                <w:bCs/>
                <w:sz w:val="21"/>
                <w:szCs w:val="21"/>
                <w:vertAlign w:val="subscript"/>
              </w:rPr>
              <w:t>Χ</w:t>
            </w:r>
          </w:p>
        </w:tc>
        <w:tc>
          <w:tcPr>
            <w:tcW w:w="1701" w:type="dxa"/>
            <w:vAlign w:val="center"/>
          </w:tcPr>
          <w:p w14:paraId="68A9F732">
            <w:pPr>
              <w:widowControl/>
              <w:jc w:val="center"/>
              <w:textAlignment w:val="center"/>
              <w:rPr>
                <w:rFonts w:ascii="Times New Roman" w:hAnsi="Times New Roman"/>
                <w:szCs w:val="21"/>
                <w:u w:val="single"/>
              </w:rPr>
            </w:pPr>
            <w:r>
              <w:rPr>
                <w:rFonts w:ascii="Times New Roman" w:hAnsi="Times New Roman" w:eastAsia="等线"/>
                <w:sz w:val="22"/>
                <w:u w:val="single"/>
              </w:rPr>
              <w:t>100</w:t>
            </w:r>
          </w:p>
        </w:tc>
        <w:tc>
          <w:tcPr>
            <w:tcW w:w="1701" w:type="dxa"/>
            <w:vAlign w:val="center"/>
          </w:tcPr>
          <w:p w14:paraId="5B7D33BF">
            <w:pPr>
              <w:widowControl/>
              <w:jc w:val="center"/>
              <w:textAlignment w:val="center"/>
              <w:rPr>
                <w:rFonts w:ascii="Times New Roman" w:hAnsi="Times New Roman"/>
                <w:szCs w:val="21"/>
                <w:u w:val="single"/>
              </w:rPr>
            </w:pPr>
            <w:r>
              <w:rPr>
                <w:rFonts w:ascii="Times New Roman" w:hAnsi="Times New Roman" w:eastAsia="等线"/>
                <w:sz w:val="22"/>
                <w:u w:val="single"/>
              </w:rPr>
              <w:t>0.5000</w:t>
            </w:r>
          </w:p>
        </w:tc>
        <w:tc>
          <w:tcPr>
            <w:tcW w:w="1701" w:type="dxa"/>
            <w:vAlign w:val="center"/>
          </w:tcPr>
          <w:p w14:paraId="6D370684">
            <w:pPr>
              <w:widowControl/>
              <w:jc w:val="center"/>
              <w:textAlignment w:val="center"/>
              <w:rPr>
                <w:rFonts w:ascii="Times New Roman" w:hAnsi="Times New Roman"/>
                <w:szCs w:val="21"/>
                <w:u w:val="single"/>
              </w:rPr>
            </w:pPr>
            <w:r>
              <w:rPr>
                <w:rFonts w:ascii="Times New Roman" w:hAnsi="Times New Roman" w:eastAsia="等线"/>
                <w:szCs w:val="21"/>
                <w:u w:val="single"/>
              </w:rPr>
              <w:t>2.4000</w:t>
            </w:r>
          </w:p>
        </w:tc>
      </w:tr>
      <w:tr w14:paraId="63A663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99" w:type="dxa"/>
            <w:vAlign w:val="center"/>
          </w:tcPr>
          <w:p w14:paraId="2D8F4B61">
            <w:pPr>
              <w:jc w:val="center"/>
              <w:rPr>
                <w:rFonts w:ascii="Times New Roman" w:hAnsi="Times New Roman"/>
                <w:snapToGrid w:val="0"/>
                <w:lang w:val="zh-CN"/>
              </w:rPr>
            </w:pPr>
            <w:r>
              <w:rPr>
                <w:rFonts w:ascii="Times New Roman" w:hAnsi="Times New Roman"/>
                <w:snapToGrid w:val="0"/>
                <w:lang w:val="zh-CN"/>
              </w:rPr>
              <w:t>2</w:t>
            </w:r>
          </w:p>
        </w:tc>
        <w:tc>
          <w:tcPr>
            <w:tcW w:w="1843" w:type="dxa"/>
            <w:vAlign w:val="center"/>
          </w:tcPr>
          <w:p w14:paraId="6D4B9D94">
            <w:pPr>
              <w:jc w:val="center"/>
              <w:rPr>
                <w:rFonts w:ascii="Times New Roman" w:hAnsi="Times New Roman"/>
                <w:snapToGrid w:val="0"/>
                <w:lang w:val="zh-CN"/>
              </w:rPr>
            </w:pPr>
            <w:r>
              <w:rPr>
                <w:rFonts w:ascii="Times New Roman" w:hAnsi="Times New Roman"/>
                <w:snapToGrid w:val="0"/>
              </w:rPr>
              <w:t xml:space="preserve">DA002 </w:t>
            </w:r>
            <w:r>
              <w:rPr>
                <w:rFonts w:hint="eastAsia" w:ascii="Times New Roman" w:hAnsi="Times New Roman"/>
                <w:snapToGrid w:val="0"/>
              </w:rPr>
              <w:t>1#</w:t>
            </w:r>
            <w:r>
              <w:rPr>
                <w:rFonts w:ascii="Times New Roman" w:hAnsi="Times New Roman"/>
                <w:snapToGrid w:val="0"/>
              </w:rPr>
              <w:t>车间粉尘排气筒</w:t>
            </w:r>
          </w:p>
        </w:tc>
        <w:tc>
          <w:tcPr>
            <w:tcW w:w="1417" w:type="dxa"/>
            <w:vAlign w:val="center"/>
          </w:tcPr>
          <w:p w14:paraId="08E932B3">
            <w:pPr>
              <w:widowControl/>
              <w:jc w:val="center"/>
              <w:rPr>
                <w:rFonts w:ascii="Times New Roman" w:hAnsi="Times New Roman"/>
                <w:szCs w:val="21"/>
              </w:rPr>
            </w:pPr>
            <w:r>
              <w:rPr>
                <w:rFonts w:ascii="Times New Roman" w:hAnsi="Times New Roman"/>
                <w:bCs/>
                <w:szCs w:val="21"/>
              </w:rPr>
              <w:t>颗粒物</w:t>
            </w:r>
          </w:p>
        </w:tc>
        <w:tc>
          <w:tcPr>
            <w:tcW w:w="1701" w:type="dxa"/>
            <w:vAlign w:val="center"/>
          </w:tcPr>
          <w:p w14:paraId="754AC149">
            <w:pPr>
              <w:widowControl/>
              <w:jc w:val="center"/>
              <w:textAlignment w:val="center"/>
              <w:rPr>
                <w:rFonts w:ascii="Times New Roman" w:hAnsi="Times New Roman"/>
                <w:szCs w:val="21"/>
                <w:u w:val="single"/>
              </w:rPr>
            </w:pPr>
            <w:r>
              <w:rPr>
                <w:rFonts w:ascii="Times New Roman" w:hAnsi="Times New Roman" w:eastAsia="等线"/>
                <w:sz w:val="22"/>
                <w:u w:val="single"/>
              </w:rPr>
              <w:t>0.16</w:t>
            </w:r>
          </w:p>
        </w:tc>
        <w:tc>
          <w:tcPr>
            <w:tcW w:w="1701" w:type="dxa"/>
            <w:vAlign w:val="center"/>
          </w:tcPr>
          <w:p w14:paraId="4FE5F991">
            <w:pPr>
              <w:widowControl/>
              <w:jc w:val="center"/>
              <w:textAlignment w:val="center"/>
              <w:rPr>
                <w:rFonts w:ascii="Times New Roman" w:hAnsi="Times New Roman"/>
                <w:szCs w:val="21"/>
                <w:u w:val="single"/>
              </w:rPr>
            </w:pPr>
            <w:r>
              <w:rPr>
                <w:rFonts w:ascii="Times New Roman" w:hAnsi="Times New Roman" w:eastAsia="等线"/>
                <w:sz w:val="22"/>
                <w:u w:val="single"/>
              </w:rPr>
              <w:t>0.0013</w:t>
            </w:r>
          </w:p>
        </w:tc>
        <w:tc>
          <w:tcPr>
            <w:tcW w:w="1701" w:type="dxa"/>
            <w:vAlign w:val="center"/>
          </w:tcPr>
          <w:p w14:paraId="44A406D1">
            <w:pPr>
              <w:widowControl/>
              <w:jc w:val="center"/>
              <w:textAlignment w:val="center"/>
              <w:rPr>
                <w:rFonts w:ascii="Times New Roman" w:hAnsi="Times New Roman"/>
                <w:szCs w:val="21"/>
                <w:u w:val="single"/>
              </w:rPr>
            </w:pPr>
            <w:r>
              <w:rPr>
                <w:rFonts w:ascii="Times New Roman" w:hAnsi="Times New Roman" w:eastAsia="等线"/>
                <w:szCs w:val="21"/>
                <w:u w:val="single"/>
              </w:rPr>
              <w:t>0.0062</w:t>
            </w:r>
          </w:p>
        </w:tc>
      </w:tr>
      <w:tr w14:paraId="57ABBE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99" w:type="dxa"/>
            <w:vAlign w:val="center"/>
          </w:tcPr>
          <w:p w14:paraId="013B9574">
            <w:pPr>
              <w:jc w:val="center"/>
              <w:rPr>
                <w:rFonts w:ascii="Times New Roman" w:hAnsi="Times New Roman"/>
                <w:snapToGrid w:val="0"/>
                <w:lang w:val="zh-CN"/>
              </w:rPr>
            </w:pPr>
            <w:r>
              <w:rPr>
                <w:rFonts w:hint="eastAsia" w:ascii="Times New Roman" w:hAnsi="Times New Roman"/>
                <w:snapToGrid w:val="0"/>
                <w:lang w:val="zh-CN"/>
              </w:rPr>
              <w:t>3</w:t>
            </w:r>
          </w:p>
        </w:tc>
        <w:tc>
          <w:tcPr>
            <w:tcW w:w="1843" w:type="dxa"/>
            <w:vAlign w:val="center"/>
          </w:tcPr>
          <w:p w14:paraId="65E143E0">
            <w:pPr>
              <w:jc w:val="center"/>
              <w:rPr>
                <w:rFonts w:ascii="Times New Roman" w:hAnsi="Times New Roman"/>
                <w:snapToGrid w:val="0"/>
              </w:rPr>
            </w:pPr>
            <w:r>
              <w:rPr>
                <w:rFonts w:ascii="Times New Roman" w:hAnsi="Times New Roman"/>
                <w:snapToGrid w:val="0"/>
              </w:rPr>
              <w:t xml:space="preserve">DA002 </w:t>
            </w:r>
            <w:r>
              <w:rPr>
                <w:rFonts w:hint="eastAsia" w:ascii="Times New Roman" w:hAnsi="Times New Roman"/>
                <w:snapToGrid w:val="0"/>
              </w:rPr>
              <w:t>2#</w:t>
            </w:r>
            <w:r>
              <w:rPr>
                <w:rFonts w:ascii="Times New Roman" w:hAnsi="Times New Roman"/>
                <w:snapToGrid w:val="0"/>
              </w:rPr>
              <w:t>车间粉尘排气筒</w:t>
            </w:r>
          </w:p>
        </w:tc>
        <w:tc>
          <w:tcPr>
            <w:tcW w:w="1417" w:type="dxa"/>
            <w:vAlign w:val="center"/>
          </w:tcPr>
          <w:p w14:paraId="0DF5E62F">
            <w:pPr>
              <w:widowControl/>
              <w:jc w:val="center"/>
              <w:rPr>
                <w:rFonts w:ascii="Times New Roman" w:hAnsi="Times New Roman"/>
                <w:bCs/>
                <w:szCs w:val="21"/>
              </w:rPr>
            </w:pPr>
            <w:r>
              <w:rPr>
                <w:rFonts w:ascii="Times New Roman" w:hAnsi="Times New Roman"/>
                <w:bCs/>
                <w:szCs w:val="21"/>
              </w:rPr>
              <w:t>颗粒物</w:t>
            </w:r>
          </w:p>
        </w:tc>
        <w:tc>
          <w:tcPr>
            <w:tcW w:w="1701" w:type="dxa"/>
            <w:vAlign w:val="center"/>
          </w:tcPr>
          <w:p w14:paraId="2D8C570B">
            <w:pPr>
              <w:widowControl/>
              <w:jc w:val="center"/>
              <w:textAlignment w:val="center"/>
              <w:rPr>
                <w:rFonts w:ascii="Times New Roman" w:hAnsi="Times New Roman"/>
                <w:szCs w:val="21"/>
                <w:u w:val="single"/>
              </w:rPr>
            </w:pPr>
            <w:r>
              <w:rPr>
                <w:rFonts w:ascii="Times New Roman" w:hAnsi="Times New Roman" w:eastAsia="等线"/>
                <w:sz w:val="22"/>
                <w:u w:val="single"/>
              </w:rPr>
              <w:t>0.21</w:t>
            </w:r>
          </w:p>
        </w:tc>
        <w:tc>
          <w:tcPr>
            <w:tcW w:w="1701" w:type="dxa"/>
            <w:vAlign w:val="center"/>
          </w:tcPr>
          <w:p w14:paraId="7BF3FCC9">
            <w:pPr>
              <w:widowControl/>
              <w:jc w:val="center"/>
              <w:textAlignment w:val="center"/>
              <w:rPr>
                <w:rFonts w:ascii="Times New Roman" w:hAnsi="Times New Roman"/>
                <w:szCs w:val="21"/>
                <w:u w:val="single"/>
              </w:rPr>
            </w:pPr>
            <w:r>
              <w:rPr>
                <w:rFonts w:ascii="Times New Roman" w:hAnsi="Times New Roman" w:eastAsia="等线"/>
                <w:sz w:val="22"/>
                <w:u w:val="single"/>
              </w:rPr>
              <w:t>0.0017</w:t>
            </w:r>
          </w:p>
        </w:tc>
        <w:tc>
          <w:tcPr>
            <w:tcW w:w="1701" w:type="dxa"/>
            <w:vAlign w:val="center"/>
          </w:tcPr>
          <w:p w14:paraId="5A35A946">
            <w:pPr>
              <w:widowControl/>
              <w:jc w:val="center"/>
              <w:textAlignment w:val="center"/>
              <w:rPr>
                <w:rFonts w:ascii="Times New Roman" w:hAnsi="Times New Roman"/>
                <w:szCs w:val="21"/>
                <w:u w:val="single"/>
              </w:rPr>
            </w:pPr>
            <w:r>
              <w:rPr>
                <w:rFonts w:ascii="Times New Roman" w:hAnsi="Times New Roman" w:eastAsia="等线"/>
                <w:szCs w:val="21"/>
                <w:u w:val="single"/>
              </w:rPr>
              <w:t>0.0080</w:t>
            </w:r>
          </w:p>
        </w:tc>
      </w:tr>
      <w:tr w14:paraId="6B7F60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062" w:type="dxa"/>
            <w:gridSpan w:val="6"/>
            <w:vAlign w:val="center"/>
          </w:tcPr>
          <w:p w14:paraId="72C43057">
            <w:pPr>
              <w:widowControl/>
              <w:jc w:val="center"/>
              <w:rPr>
                <w:rFonts w:ascii="Times New Roman" w:hAnsi="Times New Roman"/>
                <w:kern w:val="0"/>
              </w:rPr>
            </w:pPr>
            <w:r>
              <w:rPr>
                <w:rFonts w:ascii="Times New Roman" w:hAnsi="Times New Roman"/>
                <w:kern w:val="0"/>
              </w:rPr>
              <w:t>有组织排放总计</w:t>
            </w:r>
          </w:p>
        </w:tc>
      </w:tr>
      <w:tr w14:paraId="5ABDBA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42" w:type="dxa"/>
            <w:gridSpan w:val="2"/>
            <w:vMerge w:val="restart"/>
            <w:vAlign w:val="center"/>
          </w:tcPr>
          <w:p w14:paraId="109F77EC">
            <w:pPr>
              <w:jc w:val="center"/>
              <w:rPr>
                <w:rFonts w:ascii="Times New Roman" w:hAnsi="Times New Roman"/>
                <w:snapToGrid w:val="0"/>
              </w:rPr>
            </w:pPr>
            <w:r>
              <w:rPr>
                <w:rFonts w:ascii="Times New Roman" w:hAnsi="Times New Roman"/>
                <w:snapToGrid w:val="0"/>
              </w:rPr>
              <w:t>有组织排放合计</w:t>
            </w:r>
          </w:p>
        </w:tc>
        <w:tc>
          <w:tcPr>
            <w:tcW w:w="4819" w:type="dxa"/>
            <w:gridSpan w:val="3"/>
            <w:vAlign w:val="center"/>
          </w:tcPr>
          <w:p w14:paraId="50C84085">
            <w:pPr>
              <w:pStyle w:val="1480"/>
              <w:kinsoku w:val="0"/>
              <w:overflowPunct w:val="0"/>
              <w:jc w:val="center"/>
              <w:rPr>
                <w:rFonts w:ascii="Times New Roman" w:hAnsi="Times New Roman"/>
                <w:sz w:val="21"/>
                <w:szCs w:val="21"/>
                <w:lang w:bidi="ar"/>
              </w:rPr>
            </w:pPr>
            <w:r>
              <w:rPr>
                <w:rFonts w:ascii="Times New Roman" w:hAnsi="Times New Roman"/>
                <w:bCs/>
                <w:sz w:val="21"/>
                <w:szCs w:val="21"/>
              </w:rPr>
              <w:t>颗粒物</w:t>
            </w:r>
          </w:p>
        </w:tc>
        <w:tc>
          <w:tcPr>
            <w:tcW w:w="1701" w:type="dxa"/>
            <w:vAlign w:val="center"/>
          </w:tcPr>
          <w:p w14:paraId="2D601977">
            <w:pPr>
              <w:widowControl/>
              <w:jc w:val="center"/>
              <w:textAlignment w:val="center"/>
              <w:rPr>
                <w:rFonts w:ascii="Times New Roman" w:hAnsi="Times New Roman"/>
                <w:szCs w:val="21"/>
                <w:u w:val="single"/>
              </w:rPr>
            </w:pPr>
            <w:r>
              <w:rPr>
                <w:rFonts w:ascii="Times New Roman" w:hAnsi="Times New Roman" w:eastAsia="等线"/>
                <w:szCs w:val="21"/>
                <w:u w:val="single"/>
              </w:rPr>
              <w:t>0.0982</w:t>
            </w:r>
          </w:p>
        </w:tc>
      </w:tr>
      <w:tr w14:paraId="6CB741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42" w:type="dxa"/>
            <w:gridSpan w:val="2"/>
            <w:vMerge w:val="continue"/>
            <w:vAlign w:val="center"/>
          </w:tcPr>
          <w:p w14:paraId="3BA20906">
            <w:pPr>
              <w:jc w:val="center"/>
              <w:rPr>
                <w:rFonts w:ascii="Times New Roman" w:hAnsi="Times New Roman"/>
                <w:snapToGrid w:val="0"/>
                <w:lang w:val="zh-CN"/>
              </w:rPr>
            </w:pPr>
          </w:p>
        </w:tc>
        <w:tc>
          <w:tcPr>
            <w:tcW w:w="4819" w:type="dxa"/>
            <w:gridSpan w:val="3"/>
            <w:vAlign w:val="center"/>
          </w:tcPr>
          <w:p w14:paraId="52410338">
            <w:pPr>
              <w:pStyle w:val="1480"/>
              <w:kinsoku w:val="0"/>
              <w:overflowPunct w:val="0"/>
              <w:jc w:val="center"/>
              <w:rPr>
                <w:rFonts w:ascii="Times New Roman" w:hAnsi="Times New Roman"/>
                <w:sz w:val="21"/>
                <w:szCs w:val="21"/>
                <w:lang w:bidi="ar"/>
              </w:rPr>
            </w:pPr>
            <w:r>
              <w:rPr>
                <w:rFonts w:ascii="Times New Roman" w:hAnsi="Times New Roman"/>
                <w:bCs/>
                <w:sz w:val="21"/>
                <w:szCs w:val="21"/>
              </w:rPr>
              <w:t>SO</w:t>
            </w:r>
            <w:r>
              <w:rPr>
                <w:rFonts w:ascii="Times New Roman" w:hAnsi="Times New Roman"/>
                <w:bCs/>
                <w:sz w:val="21"/>
                <w:szCs w:val="21"/>
                <w:vertAlign w:val="subscript"/>
              </w:rPr>
              <w:t>2</w:t>
            </w:r>
          </w:p>
        </w:tc>
        <w:tc>
          <w:tcPr>
            <w:tcW w:w="1701" w:type="dxa"/>
            <w:vAlign w:val="center"/>
          </w:tcPr>
          <w:p w14:paraId="23256598">
            <w:pPr>
              <w:widowControl/>
              <w:jc w:val="center"/>
              <w:textAlignment w:val="center"/>
              <w:rPr>
                <w:rFonts w:ascii="Times New Roman" w:hAnsi="Times New Roman"/>
                <w:szCs w:val="21"/>
                <w:u w:val="single"/>
              </w:rPr>
            </w:pPr>
            <w:r>
              <w:rPr>
                <w:rFonts w:ascii="Times New Roman" w:hAnsi="Times New Roman" w:eastAsia="等线"/>
                <w:szCs w:val="21"/>
                <w:u w:val="single"/>
              </w:rPr>
              <w:t>0.4420</w:t>
            </w:r>
          </w:p>
        </w:tc>
      </w:tr>
      <w:tr w14:paraId="15E792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42" w:type="dxa"/>
            <w:gridSpan w:val="2"/>
            <w:vMerge w:val="continue"/>
            <w:vAlign w:val="center"/>
          </w:tcPr>
          <w:p w14:paraId="4D55B7D5">
            <w:pPr>
              <w:jc w:val="center"/>
              <w:rPr>
                <w:rFonts w:ascii="Times New Roman" w:hAnsi="Times New Roman"/>
                <w:snapToGrid w:val="0"/>
                <w:lang w:val="zh-CN"/>
              </w:rPr>
            </w:pPr>
          </w:p>
        </w:tc>
        <w:tc>
          <w:tcPr>
            <w:tcW w:w="4819" w:type="dxa"/>
            <w:gridSpan w:val="3"/>
            <w:vAlign w:val="center"/>
          </w:tcPr>
          <w:p w14:paraId="6C7A39EC">
            <w:pPr>
              <w:pStyle w:val="1480"/>
              <w:kinsoku w:val="0"/>
              <w:overflowPunct w:val="0"/>
              <w:jc w:val="center"/>
              <w:rPr>
                <w:rFonts w:ascii="Times New Roman" w:hAnsi="Times New Roman"/>
                <w:sz w:val="21"/>
                <w:szCs w:val="21"/>
                <w:lang w:bidi="ar"/>
              </w:rPr>
            </w:pPr>
            <w:r>
              <w:rPr>
                <w:rFonts w:ascii="Times New Roman" w:hAnsi="Times New Roman"/>
                <w:bCs/>
                <w:sz w:val="21"/>
                <w:szCs w:val="21"/>
              </w:rPr>
              <w:t>NO</w:t>
            </w:r>
            <w:r>
              <w:rPr>
                <w:rFonts w:ascii="Times New Roman" w:hAnsi="Times New Roman"/>
                <w:bCs/>
                <w:sz w:val="21"/>
                <w:szCs w:val="21"/>
                <w:vertAlign w:val="subscript"/>
              </w:rPr>
              <w:t>Χ</w:t>
            </w:r>
          </w:p>
        </w:tc>
        <w:tc>
          <w:tcPr>
            <w:tcW w:w="1701" w:type="dxa"/>
            <w:vAlign w:val="center"/>
          </w:tcPr>
          <w:p w14:paraId="280D00E1">
            <w:pPr>
              <w:widowControl/>
              <w:jc w:val="center"/>
              <w:textAlignment w:val="center"/>
              <w:rPr>
                <w:rFonts w:ascii="Times New Roman" w:hAnsi="Times New Roman"/>
                <w:szCs w:val="21"/>
                <w:u w:val="single"/>
              </w:rPr>
            </w:pPr>
            <w:r>
              <w:rPr>
                <w:rFonts w:ascii="Times New Roman" w:hAnsi="Times New Roman" w:eastAsia="等线"/>
                <w:szCs w:val="21"/>
                <w:u w:val="single"/>
              </w:rPr>
              <w:t>2.4000</w:t>
            </w:r>
          </w:p>
        </w:tc>
      </w:tr>
    </w:tbl>
    <w:p w14:paraId="6FDFAB66">
      <w:pPr>
        <w:spacing w:line="360" w:lineRule="auto"/>
        <w:ind w:firstLine="480" w:firstLineChars="200"/>
        <w:rPr>
          <w:rFonts w:ascii="Times New Roman" w:hAnsi="Times New Roman"/>
          <w:sz w:val="24"/>
          <w:szCs w:val="24"/>
        </w:rPr>
      </w:pPr>
    </w:p>
    <w:p w14:paraId="72BF6D33">
      <w:pPr>
        <w:spacing w:line="360" w:lineRule="auto"/>
        <w:ind w:firstLine="480" w:firstLineChars="200"/>
        <w:rPr>
          <w:rFonts w:ascii="Times New Roman" w:hAnsi="Times New Roman"/>
          <w:sz w:val="24"/>
          <w:szCs w:val="24"/>
        </w:rPr>
      </w:pPr>
      <w:r>
        <w:rPr>
          <w:rFonts w:ascii="Times New Roman" w:hAnsi="Times New Roman"/>
          <w:sz w:val="24"/>
          <w:szCs w:val="24"/>
        </w:rPr>
        <w:t>（2）无组织排放量核算</w:t>
      </w:r>
    </w:p>
    <w:p w14:paraId="34CD3530">
      <w:pPr>
        <w:spacing w:line="360" w:lineRule="auto"/>
        <w:ind w:firstLine="480" w:firstLineChars="200"/>
        <w:rPr>
          <w:rFonts w:ascii="Times New Roman" w:hAnsi="Times New Roman"/>
          <w:sz w:val="24"/>
          <w:szCs w:val="24"/>
        </w:rPr>
      </w:pPr>
      <w:r>
        <w:rPr>
          <w:rFonts w:ascii="Times New Roman" w:hAnsi="Times New Roman"/>
          <w:sz w:val="24"/>
          <w:szCs w:val="24"/>
        </w:rPr>
        <w:t>大气污染物无组织排放量核算详见表4.2-9。</w:t>
      </w:r>
    </w:p>
    <w:p w14:paraId="3F7E4F6D">
      <w:pPr>
        <w:pStyle w:val="8"/>
        <w:numPr>
          <w:ilvl w:val="4"/>
          <w:numId w:val="3"/>
        </w:numPr>
        <w:ind w:firstLine="482" w:firstLineChars="200"/>
        <w:rPr>
          <w:sz w:val="24"/>
          <w:szCs w:val="24"/>
        </w:rPr>
      </w:pPr>
      <w:r>
        <w:rPr>
          <w:sz w:val="24"/>
          <w:szCs w:val="24"/>
        </w:rPr>
        <w:t>大气污染物无组织排放量核算表</w:t>
      </w:r>
    </w:p>
    <w:tbl>
      <w:tblPr>
        <w:tblStyle w:val="88"/>
        <w:tblW w:w="9057"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709"/>
        <w:gridCol w:w="851"/>
        <w:gridCol w:w="1134"/>
        <w:gridCol w:w="985"/>
        <w:gridCol w:w="1170"/>
        <w:gridCol w:w="1814"/>
        <w:gridCol w:w="1260"/>
        <w:gridCol w:w="1134"/>
      </w:tblGrid>
      <w:tr w14:paraId="45DEEC0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09" w:type="dxa"/>
            <w:vMerge w:val="restart"/>
            <w:vAlign w:val="center"/>
          </w:tcPr>
          <w:p w14:paraId="6BB9CC08">
            <w:pPr>
              <w:jc w:val="center"/>
              <w:rPr>
                <w:rFonts w:ascii="Times New Roman" w:hAnsi="Times New Roman"/>
                <w:b/>
                <w:bCs/>
                <w:spacing w:val="-2"/>
                <w:kern w:val="0"/>
                <w:szCs w:val="21"/>
              </w:rPr>
            </w:pPr>
            <w:r>
              <w:rPr>
                <w:rFonts w:ascii="Times New Roman" w:hAnsi="Times New Roman"/>
                <w:b/>
                <w:bCs/>
                <w:spacing w:val="-2"/>
                <w:kern w:val="0"/>
                <w:szCs w:val="21"/>
              </w:rPr>
              <w:t>序号</w:t>
            </w:r>
          </w:p>
        </w:tc>
        <w:tc>
          <w:tcPr>
            <w:tcW w:w="851" w:type="dxa"/>
            <w:vMerge w:val="restart"/>
            <w:vAlign w:val="center"/>
          </w:tcPr>
          <w:p w14:paraId="51D53B07">
            <w:pPr>
              <w:jc w:val="center"/>
              <w:rPr>
                <w:rFonts w:ascii="Times New Roman" w:hAnsi="Times New Roman"/>
                <w:b/>
                <w:bCs/>
                <w:spacing w:val="-2"/>
                <w:kern w:val="0"/>
                <w:szCs w:val="21"/>
              </w:rPr>
            </w:pPr>
            <w:r>
              <w:rPr>
                <w:rFonts w:ascii="Times New Roman" w:hAnsi="Times New Roman"/>
                <w:b/>
                <w:bCs/>
                <w:spacing w:val="-2"/>
                <w:kern w:val="0"/>
                <w:szCs w:val="21"/>
              </w:rPr>
              <w:t>排放口</w:t>
            </w:r>
          </w:p>
          <w:p w14:paraId="7C465993">
            <w:pPr>
              <w:jc w:val="center"/>
              <w:rPr>
                <w:rFonts w:ascii="Times New Roman" w:hAnsi="Times New Roman"/>
                <w:b/>
                <w:bCs/>
                <w:spacing w:val="-2"/>
                <w:kern w:val="0"/>
                <w:szCs w:val="21"/>
              </w:rPr>
            </w:pPr>
            <w:r>
              <w:rPr>
                <w:rFonts w:ascii="Times New Roman" w:hAnsi="Times New Roman"/>
                <w:b/>
                <w:bCs/>
                <w:spacing w:val="-2"/>
                <w:kern w:val="0"/>
                <w:szCs w:val="21"/>
              </w:rPr>
              <w:t>编号</w:t>
            </w:r>
          </w:p>
        </w:tc>
        <w:tc>
          <w:tcPr>
            <w:tcW w:w="1134" w:type="dxa"/>
            <w:vMerge w:val="restart"/>
            <w:vAlign w:val="center"/>
          </w:tcPr>
          <w:p w14:paraId="31E75B08">
            <w:pPr>
              <w:jc w:val="center"/>
              <w:rPr>
                <w:rFonts w:ascii="Times New Roman" w:hAnsi="Times New Roman"/>
                <w:b/>
                <w:bCs/>
                <w:spacing w:val="-2"/>
                <w:kern w:val="0"/>
                <w:szCs w:val="21"/>
              </w:rPr>
            </w:pPr>
            <w:r>
              <w:rPr>
                <w:rFonts w:ascii="Times New Roman" w:hAnsi="Times New Roman"/>
                <w:b/>
                <w:bCs/>
                <w:spacing w:val="-2"/>
                <w:kern w:val="0"/>
                <w:szCs w:val="21"/>
              </w:rPr>
              <w:t>产污环节</w:t>
            </w:r>
          </w:p>
        </w:tc>
        <w:tc>
          <w:tcPr>
            <w:tcW w:w="985" w:type="dxa"/>
            <w:vMerge w:val="restart"/>
            <w:vAlign w:val="center"/>
          </w:tcPr>
          <w:p w14:paraId="139C1AD9">
            <w:pPr>
              <w:jc w:val="center"/>
              <w:rPr>
                <w:rFonts w:ascii="Times New Roman" w:hAnsi="Times New Roman"/>
                <w:b/>
                <w:bCs/>
                <w:spacing w:val="-2"/>
                <w:kern w:val="0"/>
                <w:szCs w:val="21"/>
              </w:rPr>
            </w:pPr>
            <w:r>
              <w:rPr>
                <w:rFonts w:ascii="Times New Roman" w:hAnsi="Times New Roman"/>
                <w:b/>
                <w:bCs/>
                <w:spacing w:val="-2"/>
                <w:kern w:val="0"/>
                <w:szCs w:val="21"/>
              </w:rPr>
              <w:t>污染物</w:t>
            </w:r>
          </w:p>
        </w:tc>
        <w:tc>
          <w:tcPr>
            <w:tcW w:w="1170" w:type="dxa"/>
            <w:vMerge w:val="restart"/>
            <w:vAlign w:val="center"/>
          </w:tcPr>
          <w:p w14:paraId="66BEC19C">
            <w:pPr>
              <w:widowControl/>
              <w:jc w:val="center"/>
              <w:rPr>
                <w:rFonts w:ascii="Times New Roman" w:hAnsi="Times New Roman"/>
                <w:b/>
                <w:bCs/>
                <w:spacing w:val="-2"/>
                <w:kern w:val="0"/>
                <w:szCs w:val="21"/>
              </w:rPr>
            </w:pPr>
            <w:r>
              <w:rPr>
                <w:rFonts w:ascii="Times New Roman" w:hAnsi="Times New Roman"/>
                <w:b/>
                <w:bCs/>
                <w:spacing w:val="-2"/>
                <w:kern w:val="0"/>
                <w:szCs w:val="21"/>
              </w:rPr>
              <w:t>主要污染</w:t>
            </w:r>
          </w:p>
          <w:p w14:paraId="3F166227">
            <w:pPr>
              <w:widowControl/>
              <w:jc w:val="center"/>
              <w:rPr>
                <w:rFonts w:ascii="Times New Roman" w:hAnsi="Times New Roman"/>
                <w:b/>
                <w:bCs/>
                <w:spacing w:val="-2"/>
                <w:kern w:val="0"/>
                <w:szCs w:val="21"/>
              </w:rPr>
            </w:pPr>
            <w:r>
              <w:rPr>
                <w:rFonts w:ascii="Times New Roman" w:hAnsi="Times New Roman"/>
                <w:b/>
                <w:bCs/>
                <w:spacing w:val="-2"/>
                <w:kern w:val="0"/>
                <w:szCs w:val="21"/>
              </w:rPr>
              <w:t>防治措施</w:t>
            </w:r>
          </w:p>
        </w:tc>
        <w:tc>
          <w:tcPr>
            <w:tcW w:w="3074" w:type="dxa"/>
            <w:gridSpan w:val="2"/>
            <w:vAlign w:val="center"/>
          </w:tcPr>
          <w:p w14:paraId="58C03BE5">
            <w:pPr>
              <w:widowControl/>
              <w:jc w:val="center"/>
              <w:rPr>
                <w:rFonts w:ascii="Times New Roman" w:hAnsi="Times New Roman"/>
                <w:b/>
                <w:bCs/>
                <w:spacing w:val="-2"/>
                <w:kern w:val="0"/>
                <w:szCs w:val="21"/>
              </w:rPr>
            </w:pPr>
            <w:r>
              <w:rPr>
                <w:rFonts w:ascii="Times New Roman" w:hAnsi="Times New Roman"/>
                <w:b/>
                <w:bCs/>
                <w:spacing w:val="-2"/>
                <w:kern w:val="0"/>
                <w:szCs w:val="21"/>
              </w:rPr>
              <w:t>国家或地方污染物排放标准</w:t>
            </w:r>
          </w:p>
        </w:tc>
        <w:tc>
          <w:tcPr>
            <w:tcW w:w="1134" w:type="dxa"/>
            <w:vMerge w:val="restart"/>
            <w:vAlign w:val="center"/>
          </w:tcPr>
          <w:p w14:paraId="61C6B634">
            <w:pPr>
              <w:jc w:val="center"/>
              <w:rPr>
                <w:rFonts w:ascii="Times New Roman" w:hAnsi="Times New Roman"/>
                <w:b/>
                <w:bCs/>
                <w:spacing w:val="-2"/>
                <w:kern w:val="0"/>
                <w:szCs w:val="21"/>
              </w:rPr>
            </w:pPr>
            <w:r>
              <w:rPr>
                <w:rFonts w:ascii="Times New Roman" w:hAnsi="Times New Roman"/>
                <w:b/>
                <w:bCs/>
                <w:spacing w:val="-2"/>
                <w:kern w:val="0"/>
                <w:szCs w:val="21"/>
              </w:rPr>
              <w:t>年排放量</w:t>
            </w:r>
          </w:p>
          <w:p w14:paraId="1F48C5F4">
            <w:pPr>
              <w:jc w:val="center"/>
              <w:rPr>
                <w:rFonts w:ascii="Times New Roman" w:hAnsi="Times New Roman"/>
                <w:b/>
                <w:bCs/>
                <w:spacing w:val="-2"/>
                <w:kern w:val="0"/>
                <w:szCs w:val="21"/>
              </w:rPr>
            </w:pPr>
            <w:r>
              <w:rPr>
                <w:rFonts w:ascii="Times New Roman" w:hAnsi="Times New Roman"/>
                <w:b/>
                <w:bCs/>
                <w:spacing w:val="-2"/>
                <w:kern w:val="0"/>
                <w:szCs w:val="21"/>
              </w:rPr>
              <w:t>（t/a）</w:t>
            </w:r>
          </w:p>
        </w:tc>
      </w:tr>
      <w:tr w14:paraId="608771E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09" w:type="dxa"/>
            <w:vMerge w:val="continue"/>
            <w:vAlign w:val="center"/>
          </w:tcPr>
          <w:p w14:paraId="14124A00">
            <w:pPr>
              <w:widowControl/>
              <w:jc w:val="center"/>
              <w:rPr>
                <w:rFonts w:ascii="Times New Roman" w:hAnsi="Times New Roman"/>
                <w:b/>
                <w:bCs/>
                <w:spacing w:val="-2"/>
                <w:kern w:val="0"/>
                <w:szCs w:val="21"/>
              </w:rPr>
            </w:pPr>
          </w:p>
        </w:tc>
        <w:tc>
          <w:tcPr>
            <w:tcW w:w="851" w:type="dxa"/>
            <w:vMerge w:val="continue"/>
            <w:vAlign w:val="center"/>
          </w:tcPr>
          <w:p w14:paraId="1CAD99F9">
            <w:pPr>
              <w:widowControl/>
              <w:jc w:val="center"/>
              <w:rPr>
                <w:rFonts w:ascii="Times New Roman" w:hAnsi="Times New Roman"/>
                <w:b/>
                <w:bCs/>
                <w:spacing w:val="-2"/>
                <w:kern w:val="0"/>
                <w:szCs w:val="21"/>
              </w:rPr>
            </w:pPr>
          </w:p>
        </w:tc>
        <w:tc>
          <w:tcPr>
            <w:tcW w:w="1134" w:type="dxa"/>
            <w:vMerge w:val="continue"/>
            <w:vAlign w:val="center"/>
          </w:tcPr>
          <w:p w14:paraId="4AF8B33B">
            <w:pPr>
              <w:widowControl/>
              <w:jc w:val="center"/>
              <w:rPr>
                <w:rFonts w:ascii="Times New Roman" w:hAnsi="Times New Roman"/>
                <w:b/>
                <w:bCs/>
                <w:spacing w:val="-2"/>
                <w:kern w:val="0"/>
                <w:szCs w:val="21"/>
              </w:rPr>
            </w:pPr>
          </w:p>
        </w:tc>
        <w:tc>
          <w:tcPr>
            <w:tcW w:w="985" w:type="dxa"/>
            <w:vMerge w:val="continue"/>
            <w:vAlign w:val="center"/>
          </w:tcPr>
          <w:p w14:paraId="4200CD1A">
            <w:pPr>
              <w:widowControl/>
              <w:jc w:val="center"/>
              <w:rPr>
                <w:rFonts w:ascii="Times New Roman" w:hAnsi="Times New Roman"/>
                <w:b/>
                <w:bCs/>
                <w:spacing w:val="-2"/>
                <w:kern w:val="0"/>
                <w:szCs w:val="21"/>
              </w:rPr>
            </w:pPr>
          </w:p>
        </w:tc>
        <w:tc>
          <w:tcPr>
            <w:tcW w:w="1170" w:type="dxa"/>
            <w:vMerge w:val="continue"/>
            <w:vAlign w:val="center"/>
          </w:tcPr>
          <w:p w14:paraId="33C94326">
            <w:pPr>
              <w:widowControl/>
              <w:jc w:val="center"/>
              <w:rPr>
                <w:rFonts w:ascii="Times New Roman" w:hAnsi="Times New Roman"/>
                <w:b/>
                <w:bCs/>
                <w:spacing w:val="-2"/>
                <w:kern w:val="0"/>
                <w:szCs w:val="21"/>
              </w:rPr>
            </w:pPr>
          </w:p>
        </w:tc>
        <w:tc>
          <w:tcPr>
            <w:tcW w:w="1814" w:type="dxa"/>
            <w:vAlign w:val="center"/>
          </w:tcPr>
          <w:p w14:paraId="4B21E770">
            <w:pPr>
              <w:widowControl/>
              <w:jc w:val="center"/>
              <w:rPr>
                <w:rFonts w:ascii="Times New Roman" w:hAnsi="Times New Roman"/>
                <w:b/>
                <w:bCs/>
                <w:spacing w:val="-2"/>
                <w:kern w:val="0"/>
                <w:szCs w:val="21"/>
              </w:rPr>
            </w:pPr>
            <w:r>
              <w:rPr>
                <w:rFonts w:ascii="Times New Roman" w:hAnsi="Times New Roman"/>
                <w:b/>
                <w:bCs/>
                <w:spacing w:val="-2"/>
                <w:kern w:val="0"/>
                <w:szCs w:val="21"/>
              </w:rPr>
              <w:t>标准名称</w:t>
            </w:r>
          </w:p>
        </w:tc>
        <w:tc>
          <w:tcPr>
            <w:tcW w:w="1260" w:type="dxa"/>
            <w:vAlign w:val="center"/>
          </w:tcPr>
          <w:p w14:paraId="6EB89D55">
            <w:pPr>
              <w:widowControl/>
              <w:jc w:val="center"/>
              <w:rPr>
                <w:rFonts w:ascii="Times New Roman" w:hAnsi="Times New Roman"/>
                <w:b/>
                <w:bCs/>
                <w:spacing w:val="-2"/>
                <w:kern w:val="0"/>
                <w:szCs w:val="21"/>
              </w:rPr>
            </w:pPr>
            <w:r>
              <w:rPr>
                <w:rFonts w:ascii="Times New Roman" w:hAnsi="Times New Roman"/>
                <w:b/>
                <w:bCs/>
                <w:spacing w:val="-2"/>
                <w:kern w:val="0"/>
                <w:szCs w:val="21"/>
              </w:rPr>
              <w:t>浓度限值/</w:t>
            </w:r>
          </w:p>
          <w:p w14:paraId="3B78CA6D">
            <w:pPr>
              <w:widowControl/>
              <w:jc w:val="center"/>
              <w:rPr>
                <w:rFonts w:ascii="Times New Roman" w:hAnsi="Times New Roman"/>
                <w:b/>
                <w:bCs/>
                <w:spacing w:val="-2"/>
                <w:kern w:val="0"/>
                <w:szCs w:val="21"/>
              </w:rPr>
            </w:pPr>
            <w:r>
              <w:rPr>
                <w:rFonts w:ascii="Times New Roman" w:hAnsi="Times New Roman"/>
                <w:b/>
                <w:bCs/>
                <w:spacing w:val="-2"/>
                <w:kern w:val="0"/>
                <w:szCs w:val="21"/>
              </w:rPr>
              <w:t>（mg /m</w:t>
            </w:r>
            <w:r>
              <w:rPr>
                <w:rFonts w:ascii="Times New Roman" w:hAnsi="Times New Roman"/>
                <w:b/>
                <w:bCs/>
                <w:spacing w:val="-2"/>
                <w:kern w:val="0"/>
                <w:szCs w:val="21"/>
                <w:vertAlign w:val="superscript"/>
              </w:rPr>
              <w:t>3</w:t>
            </w:r>
            <w:r>
              <w:rPr>
                <w:rFonts w:ascii="Times New Roman" w:hAnsi="Times New Roman"/>
                <w:b/>
                <w:bCs/>
                <w:spacing w:val="-2"/>
                <w:kern w:val="0"/>
                <w:szCs w:val="21"/>
              </w:rPr>
              <w:t>）</w:t>
            </w:r>
          </w:p>
        </w:tc>
        <w:tc>
          <w:tcPr>
            <w:tcW w:w="1134" w:type="dxa"/>
            <w:vMerge w:val="continue"/>
            <w:vAlign w:val="center"/>
          </w:tcPr>
          <w:p w14:paraId="23FA9DE0">
            <w:pPr>
              <w:widowControl/>
              <w:jc w:val="center"/>
              <w:rPr>
                <w:rFonts w:ascii="Times New Roman" w:hAnsi="Times New Roman"/>
                <w:b/>
                <w:bCs/>
                <w:spacing w:val="-2"/>
                <w:kern w:val="0"/>
                <w:szCs w:val="21"/>
              </w:rPr>
            </w:pPr>
          </w:p>
        </w:tc>
      </w:tr>
      <w:tr w14:paraId="40C6270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09" w:type="dxa"/>
            <w:vAlign w:val="center"/>
          </w:tcPr>
          <w:p w14:paraId="472917A9">
            <w:pPr>
              <w:widowControl/>
              <w:jc w:val="center"/>
              <w:rPr>
                <w:rFonts w:ascii="Times New Roman" w:hAnsi="Times New Roman"/>
                <w:spacing w:val="-2"/>
                <w:kern w:val="0"/>
                <w:szCs w:val="21"/>
              </w:rPr>
            </w:pPr>
            <w:r>
              <w:rPr>
                <w:rFonts w:ascii="Times New Roman" w:hAnsi="Times New Roman"/>
                <w:spacing w:val="-2"/>
                <w:kern w:val="0"/>
                <w:szCs w:val="21"/>
              </w:rPr>
              <w:t>1</w:t>
            </w:r>
          </w:p>
        </w:tc>
        <w:tc>
          <w:tcPr>
            <w:tcW w:w="851" w:type="dxa"/>
            <w:vAlign w:val="center"/>
          </w:tcPr>
          <w:p w14:paraId="0E7D9473">
            <w:pPr>
              <w:widowControl/>
              <w:jc w:val="center"/>
              <w:rPr>
                <w:rFonts w:ascii="Times New Roman" w:hAnsi="Times New Roman"/>
                <w:spacing w:val="-2"/>
                <w:kern w:val="0"/>
                <w:szCs w:val="21"/>
              </w:rPr>
            </w:pPr>
            <w:r>
              <w:rPr>
                <w:rFonts w:ascii="Times New Roman" w:hAnsi="Times New Roman"/>
                <w:spacing w:val="-2"/>
                <w:kern w:val="0"/>
                <w:szCs w:val="21"/>
              </w:rPr>
              <w:t>1</w:t>
            </w:r>
          </w:p>
        </w:tc>
        <w:tc>
          <w:tcPr>
            <w:tcW w:w="1134" w:type="dxa"/>
            <w:vAlign w:val="center"/>
          </w:tcPr>
          <w:p w14:paraId="02B4C265">
            <w:pPr>
              <w:jc w:val="center"/>
              <w:rPr>
                <w:rFonts w:ascii="Times New Roman" w:hAnsi="Times New Roman"/>
                <w:spacing w:val="-2"/>
                <w:kern w:val="0"/>
                <w:szCs w:val="21"/>
              </w:rPr>
            </w:pPr>
            <w:r>
              <w:rPr>
                <w:rFonts w:ascii="Times New Roman" w:hAnsi="Times New Roman"/>
                <w:szCs w:val="21"/>
              </w:rPr>
              <w:t>生产车间</w:t>
            </w:r>
          </w:p>
        </w:tc>
        <w:tc>
          <w:tcPr>
            <w:tcW w:w="985" w:type="dxa"/>
            <w:vAlign w:val="center"/>
          </w:tcPr>
          <w:p w14:paraId="6B923C29">
            <w:pPr>
              <w:widowControl/>
              <w:jc w:val="center"/>
              <w:rPr>
                <w:rFonts w:ascii="Times New Roman" w:hAnsi="Times New Roman"/>
                <w:spacing w:val="-2"/>
                <w:kern w:val="0"/>
                <w:szCs w:val="21"/>
              </w:rPr>
            </w:pPr>
            <w:r>
              <w:rPr>
                <w:rFonts w:ascii="Times New Roman" w:hAnsi="Times New Roman"/>
                <w:szCs w:val="21"/>
              </w:rPr>
              <w:t>颗粒物</w:t>
            </w:r>
          </w:p>
        </w:tc>
        <w:tc>
          <w:tcPr>
            <w:tcW w:w="1170" w:type="dxa"/>
            <w:vAlign w:val="center"/>
          </w:tcPr>
          <w:p w14:paraId="641AD5D3">
            <w:pPr>
              <w:widowControl/>
              <w:jc w:val="center"/>
              <w:rPr>
                <w:rFonts w:ascii="Times New Roman" w:hAnsi="Times New Roman"/>
                <w:spacing w:val="-2"/>
                <w:kern w:val="0"/>
                <w:szCs w:val="21"/>
              </w:rPr>
            </w:pPr>
            <w:r>
              <w:rPr>
                <w:rFonts w:ascii="Times New Roman" w:hAnsi="Times New Roman"/>
                <w:szCs w:val="21"/>
              </w:rPr>
              <w:t>封闭车间</w:t>
            </w:r>
          </w:p>
        </w:tc>
        <w:tc>
          <w:tcPr>
            <w:tcW w:w="1814" w:type="dxa"/>
            <w:vMerge w:val="restart"/>
            <w:vAlign w:val="center"/>
          </w:tcPr>
          <w:p w14:paraId="7489E3D4">
            <w:pPr>
              <w:widowControl/>
              <w:jc w:val="center"/>
              <w:rPr>
                <w:rFonts w:ascii="Times New Roman" w:hAnsi="Times New Roman"/>
                <w:spacing w:val="-2"/>
                <w:kern w:val="0"/>
                <w:szCs w:val="21"/>
                <w:u w:val="single"/>
              </w:rPr>
            </w:pPr>
            <w:r>
              <w:rPr>
                <w:rFonts w:hint="eastAsia" w:ascii="Times New Roman" w:hAnsi="Times New Roman"/>
                <w:spacing w:val="-2"/>
                <w:kern w:val="0"/>
                <w:szCs w:val="21"/>
                <w:u w:val="single"/>
              </w:rPr>
              <w:t>《大气污染物综合排放标准》（GB16297-1996）</w:t>
            </w:r>
          </w:p>
        </w:tc>
        <w:tc>
          <w:tcPr>
            <w:tcW w:w="1260" w:type="dxa"/>
            <w:vMerge w:val="restart"/>
            <w:vAlign w:val="center"/>
          </w:tcPr>
          <w:p w14:paraId="68F63699">
            <w:pPr>
              <w:jc w:val="center"/>
              <w:rPr>
                <w:rFonts w:ascii="Times New Roman" w:hAnsi="Times New Roman"/>
                <w:spacing w:val="-2"/>
                <w:kern w:val="0"/>
                <w:szCs w:val="21"/>
              </w:rPr>
            </w:pPr>
            <w:r>
              <w:rPr>
                <w:rFonts w:ascii="Times New Roman" w:hAnsi="Times New Roman"/>
                <w:spacing w:val="-2"/>
                <w:kern w:val="0"/>
                <w:szCs w:val="21"/>
              </w:rPr>
              <w:t>1.0</w:t>
            </w:r>
          </w:p>
        </w:tc>
        <w:tc>
          <w:tcPr>
            <w:tcW w:w="1134" w:type="dxa"/>
            <w:vAlign w:val="center"/>
          </w:tcPr>
          <w:p w14:paraId="48996BB7">
            <w:pPr>
              <w:adjustRightInd w:val="0"/>
              <w:snapToGrid w:val="0"/>
              <w:jc w:val="center"/>
              <w:rPr>
                <w:rFonts w:ascii="Times New Roman" w:hAnsi="Times New Roman"/>
                <w:kern w:val="0"/>
                <w:szCs w:val="21"/>
                <w:u w:val="single"/>
              </w:rPr>
            </w:pPr>
            <w:r>
              <w:rPr>
                <w:rFonts w:ascii="Times New Roman" w:hAnsi="Times New Roman" w:eastAsia="等线"/>
                <w:sz w:val="22"/>
                <w:u w:val="single"/>
              </w:rPr>
              <w:t>0.5061</w:t>
            </w:r>
          </w:p>
        </w:tc>
      </w:tr>
      <w:tr w14:paraId="07CC9CA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09" w:type="dxa"/>
            <w:vAlign w:val="center"/>
          </w:tcPr>
          <w:p w14:paraId="0CD4A97D">
            <w:pPr>
              <w:widowControl/>
              <w:jc w:val="center"/>
              <w:rPr>
                <w:rFonts w:ascii="Times New Roman" w:hAnsi="Times New Roman"/>
                <w:spacing w:val="-2"/>
                <w:kern w:val="0"/>
                <w:szCs w:val="21"/>
              </w:rPr>
            </w:pPr>
            <w:r>
              <w:rPr>
                <w:rFonts w:ascii="Times New Roman" w:hAnsi="Times New Roman"/>
                <w:spacing w:val="-2"/>
                <w:kern w:val="0"/>
                <w:szCs w:val="21"/>
              </w:rPr>
              <w:t>2</w:t>
            </w:r>
          </w:p>
        </w:tc>
        <w:tc>
          <w:tcPr>
            <w:tcW w:w="851" w:type="dxa"/>
            <w:vAlign w:val="center"/>
          </w:tcPr>
          <w:p w14:paraId="5576E7BE">
            <w:pPr>
              <w:widowControl/>
              <w:jc w:val="center"/>
              <w:rPr>
                <w:rFonts w:ascii="Times New Roman" w:hAnsi="Times New Roman"/>
                <w:spacing w:val="-2"/>
                <w:kern w:val="0"/>
                <w:szCs w:val="21"/>
              </w:rPr>
            </w:pPr>
            <w:r>
              <w:rPr>
                <w:rFonts w:ascii="Times New Roman" w:hAnsi="Times New Roman"/>
                <w:spacing w:val="-2"/>
                <w:kern w:val="0"/>
                <w:szCs w:val="21"/>
              </w:rPr>
              <w:t>1</w:t>
            </w:r>
          </w:p>
        </w:tc>
        <w:tc>
          <w:tcPr>
            <w:tcW w:w="1134" w:type="dxa"/>
            <w:vAlign w:val="center"/>
          </w:tcPr>
          <w:p w14:paraId="4DA53ADD">
            <w:pPr>
              <w:jc w:val="center"/>
              <w:rPr>
                <w:rFonts w:ascii="Times New Roman" w:hAnsi="Times New Roman"/>
                <w:spacing w:val="-2"/>
                <w:kern w:val="0"/>
                <w:szCs w:val="21"/>
              </w:rPr>
            </w:pPr>
            <w:r>
              <w:rPr>
                <w:rFonts w:ascii="Times New Roman" w:hAnsi="Times New Roman"/>
                <w:szCs w:val="21"/>
              </w:rPr>
              <w:t>物料运输</w:t>
            </w:r>
          </w:p>
        </w:tc>
        <w:tc>
          <w:tcPr>
            <w:tcW w:w="985" w:type="dxa"/>
            <w:vAlign w:val="center"/>
          </w:tcPr>
          <w:p w14:paraId="56D01E21">
            <w:pPr>
              <w:widowControl/>
              <w:jc w:val="center"/>
              <w:rPr>
                <w:rFonts w:ascii="Times New Roman" w:hAnsi="Times New Roman"/>
                <w:spacing w:val="-2"/>
                <w:kern w:val="0"/>
                <w:szCs w:val="21"/>
              </w:rPr>
            </w:pPr>
            <w:r>
              <w:rPr>
                <w:rFonts w:ascii="Times New Roman" w:hAnsi="Times New Roman"/>
                <w:szCs w:val="21"/>
              </w:rPr>
              <w:t>颗粒物</w:t>
            </w:r>
          </w:p>
        </w:tc>
        <w:tc>
          <w:tcPr>
            <w:tcW w:w="1170" w:type="dxa"/>
            <w:vAlign w:val="center"/>
          </w:tcPr>
          <w:p w14:paraId="0920BCC5">
            <w:pPr>
              <w:widowControl/>
              <w:jc w:val="center"/>
              <w:rPr>
                <w:rFonts w:ascii="Times New Roman" w:hAnsi="Times New Roman"/>
                <w:spacing w:val="-2"/>
                <w:kern w:val="0"/>
                <w:szCs w:val="21"/>
              </w:rPr>
            </w:pPr>
            <w:r>
              <w:rPr>
                <w:rFonts w:hint="eastAsia" w:ascii="Times New Roman" w:hAnsi="Times New Roman"/>
                <w:szCs w:val="21"/>
              </w:rPr>
              <w:t>篷布覆盖、</w:t>
            </w:r>
            <w:r>
              <w:rPr>
                <w:rFonts w:ascii="Times New Roman" w:hAnsi="Times New Roman"/>
                <w:szCs w:val="21"/>
              </w:rPr>
              <w:t>定期洒水，运输期间每天2次</w:t>
            </w:r>
          </w:p>
        </w:tc>
        <w:tc>
          <w:tcPr>
            <w:tcW w:w="1814" w:type="dxa"/>
            <w:vMerge w:val="continue"/>
            <w:vAlign w:val="center"/>
          </w:tcPr>
          <w:p w14:paraId="47F690CE">
            <w:pPr>
              <w:widowControl/>
              <w:jc w:val="center"/>
              <w:rPr>
                <w:rFonts w:ascii="Times New Roman" w:hAnsi="Times New Roman"/>
                <w:spacing w:val="-2"/>
                <w:kern w:val="0"/>
                <w:szCs w:val="21"/>
              </w:rPr>
            </w:pPr>
          </w:p>
        </w:tc>
        <w:tc>
          <w:tcPr>
            <w:tcW w:w="1260" w:type="dxa"/>
            <w:vMerge w:val="continue"/>
            <w:vAlign w:val="center"/>
          </w:tcPr>
          <w:p w14:paraId="591E145D">
            <w:pPr>
              <w:jc w:val="center"/>
              <w:rPr>
                <w:rFonts w:ascii="Times New Roman" w:hAnsi="Times New Roman"/>
                <w:spacing w:val="-2"/>
                <w:kern w:val="0"/>
                <w:szCs w:val="21"/>
              </w:rPr>
            </w:pPr>
          </w:p>
        </w:tc>
        <w:tc>
          <w:tcPr>
            <w:tcW w:w="1134" w:type="dxa"/>
            <w:vAlign w:val="center"/>
          </w:tcPr>
          <w:p w14:paraId="72001258">
            <w:pPr>
              <w:adjustRightInd w:val="0"/>
              <w:snapToGrid w:val="0"/>
              <w:jc w:val="center"/>
              <w:rPr>
                <w:rFonts w:ascii="Times New Roman" w:hAnsi="Times New Roman"/>
                <w:kern w:val="0"/>
                <w:szCs w:val="21"/>
                <w:u w:val="single"/>
              </w:rPr>
            </w:pPr>
            <w:r>
              <w:rPr>
                <w:rFonts w:ascii="Times New Roman" w:hAnsi="Times New Roman" w:eastAsia="等线"/>
                <w:sz w:val="22"/>
                <w:u w:val="single"/>
              </w:rPr>
              <w:t>0.1435</w:t>
            </w:r>
          </w:p>
        </w:tc>
      </w:tr>
      <w:tr w14:paraId="28A0D97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694" w:type="dxa"/>
            <w:gridSpan w:val="3"/>
            <w:vAlign w:val="center"/>
          </w:tcPr>
          <w:p w14:paraId="4FA26EAF">
            <w:pPr>
              <w:jc w:val="center"/>
              <w:rPr>
                <w:rFonts w:ascii="Times New Roman" w:hAnsi="Times New Roman"/>
                <w:spacing w:val="-2"/>
                <w:kern w:val="0"/>
                <w:szCs w:val="21"/>
              </w:rPr>
            </w:pPr>
            <w:r>
              <w:rPr>
                <w:rFonts w:ascii="Times New Roman" w:hAnsi="Times New Roman"/>
                <w:snapToGrid w:val="0"/>
                <w:kern w:val="0"/>
                <w:szCs w:val="21"/>
              </w:rPr>
              <w:t>无组织排放总计</w:t>
            </w:r>
          </w:p>
        </w:tc>
        <w:tc>
          <w:tcPr>
            <w:tcW w:w="5229" w:type="dxa"/>
            <w:gridSpan w:val="4"/>
            <w:vAlign w:val="center"/>
          </w:tcPr>
          <w:p w14:paraId="257D1C5F">
            <w:pPr>
              <w:jc w:val="center"/>
              <w:rPr>
                <w:rFonts w:ascii="Times New Roman" w:hAnsi="Times New Roman"/>
                <w:spacing w:val="-2"/>
                <w:kern w:val="0"/>
                <w:szCs w:val="21"/>
              </w:rPr>
            </w:pPr>
            <w:r>
              <w:rPr>
                <w:rFonts w:ascii="Times New Roman" w:hAnsi="Times New Roman"/>
                <w:szCs w:val="21"/>
              </w:rPr>
              <w:t>颗粒物</w:t>
            </w:r>
          </w:p>
        </w:tc>
        <w:tc>
          <w:tcPr>
            <w:tcW w:w="1134" w:type="dxa"/>
            <w:vAlign w:val="center"/>
          </w:tcPr>
          <w:p w14:paraId="4BB63876">
            <w:pPr>
              <w:adjustRightInd w:val="0"/>
              <w:snapToGrid w:val="0"/>
              <w:jc w:val="center"/>
              <w:rPr>
                <w:rFonts w:ascii="Times New Roman" w:hAnsi="Times New Roman"/>
                <w:kern w:val="0"/>
                <w:szCs w:val="21"/>
                <w:u w:val="single"/>
              </w:rPr>
            </w:pPr>
            <w:r>
              <w:rPr>
                <w:rFonts w:ascii="Times New Roman" w:hAnsi="Times New Roman"/>
                <w:kern w:val="0"/>
                <w:szCs w:val="21"/>
                <w:u w:val="single"/>
              </w:rPr>
              <w:t>0.</w:t>
            </w:r>
            <w:r>
              <w:rPr>
                <w:rFonts w:hint="eastAsia" w:ascii="Times New Roman" w:hAnsi="Times New Roman"/>
                <w:kern w:val="0"/>
                <w:szCs w:val="21"/>
                <w:u w:val="single"/>
              </w:rPr>
              <w:t>3984</w:t>
            </w:r>
          </w:p>
        </w:tc>
      </w:tr>
    </w:tbl>
    <w:p w14:paraId="3DC27DF9">
      <w:pPr>
        <w:spacing w:line="360" w:lineRule="auto"/>
        <w:ind w:firstLine="472" w:firstLineChars="200"/>
        <w:rPr>
          <w:rFonts w:ascii="Times New Roman" w:hAnsi="Times New Roman"/>
          <w:spacing w:val="-2"/>
          <w:kern w:val="0"/>
          <w:sz w:val="24"/>
          <w:szCs w:val="24"/>
        </w:rPr>
      </w:pPr>
    </w:p>
    <w:p w14:paraId="69677C97">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（3）项目大气污染物年排放量核算</w:t>
      </w:r>
    </w:p>
    <w:p w14:paraId="4223A378">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项目大气污染物年排放量核算详见表4.2-10。</w:t>
      </w:r>
    </w:p>
    <w:p w14:paraId="6C42FAAC">
      <w:pPr>
        <w:pStyle w:val="8"/>
        <w:numPr>
          <w:ilvl w:val="4"/>
          <w:numId w:val="3"/>
        </w:numPr>
        <w:rPr>
          <w:sz w:val="24"/>
          <w:szCs w:val="24"/>
        </w:rPr>
      </w:pPr>
      <w:r>
        <w:rPr>
          <w:sz w:val="24"/>
          <w:szCs w:val="24"/>
        </w:rPr>
        <w:t>大气污染物年排放量核算表</w:t>
      </w:r>
    </w:p>
    <w:tbl>
      <w:tblPr>
        <w:tblStyle w:val="88"/>
        <w:tblW w:w="907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91"/>
        <w:gridCol w:w="3880"/>
        <w:gridCol w:w="3601"/>
      </w:tblGrid>
      <w:tr w14:paraId="75D125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591" w:type="dxa"/>
            <w:vAlign w:val="center"/>
          </w:tcPr>
          <w:p w14:paraId="60978EA5">
            <w:pPr>
              <w:widowControl/>
              <w:jc w:val="center"/>
              <w:rPr>
                <w:rFonts w:ascii="Times New Roman" w:hAnsi="Times New Roman"/>
                <w:b/>
                <w:bCs/>
                <w:spacing w:val="-2"/>
                <w:kern w:val="0"/>
                <w:szCs w:val="21"/>
              </w:rPr>
            </w:pPr>
            <w:r>
              <w:rPr>
                <w:rFonts w:ascii="Times New Roman" w:hAnsi="Times New Roman"/>
                <w:b/>
                <w:bCs/>
                <w:spacing w:val="-2"/>
                <w:kern w:val="0"/>
                <w:szCs w:val="21"/>
              </w:rPr>
              <w:t>序号</w:t>
            </w:r>
          </w:p>
        </w:tc>
        <w:tc>
          <w:tcPr>
            <w:tcW w:w="3880" w:type="dxa"/>
            <w:vAlign w:val="center"/>
          </w:tcPr>
          <w:p w14:paraId="31483B04">
            <w:pPr>
              <w:widowControl/>
              <w:jc w:val="center"/>
              <w:rPr>
                <w:rFonts w:ascii="Times New Roman" w:hAnsi="Times New Roman"/>
                <w:b/>
                <w:bCs/>
                <w:spacing w:val="-2"/>
                <w:kern w:val="0"/>
                <w:szCs w:val="21"/>
              </w:rPr>
            </w:pPr>
            <w:r>
              <w:rPr>
                <w:rFonts w:ascii="Times New Roman" w:hAnsi="Times New Roman"/>
                <w:b/>
                <w:bCs/>
                <w:spacing w:val="-2"/>
                <w:kern w:val="0"/>
                <w:szCs w:val="21"/>
              </w:rPr>
              <w:t>污染物</w:t>
            </w:r>
          </w:p>
        </w:tc>
        <w:tc>
          <w:tcPr>
            <w:tcW w:w="3601" w:type="dxa"/>
            <w:vAlign w:val="center"/>
          </w:tcPr>
          <w:p w14:paraId="3B0CD195">
            <w:pPr>
              <w:widowControl/>
              <w:jc w:val="center"/>
              <w:rPr>
                <w:rFonts w:ascii="Times New Roman" w:hAnsi="Times New Roman"/>
                <w:b/>
                <w:bCs/>
                <w:spacing w:val="-2"/>
                <w:kern w:val="0"/>
                <w:szCs w:val="21"/>
              </w:rPr>
            </w:pPr>
            <w:r>
              <w:rPr>
                <w:rFonts w:ascii="Times New Roman" w:hAnsi="Times New Roman"/>
                <w:b/>
                <w:bCs/>
                <w:spacing w:val="-2"/>
                <w:kern w:val="0"/>
                <w:szCs w:val="21"/>
              </w:rPr>
              <w:t>年排放量/（t/a）</w:t>
            </w:r>
          </w:p>
        </w:tc>
      </w:tr>
      <w:tr w14:paraId="23EDF3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591" w:type="dxa"/>
            <w:vAlign w:val="center"/>
          </w:tcPr>
          <w:p w14:paraId="73A25B24">
            <w:pPr>
              <w:widowControl/>
              <w:jc w:val="center"/>
              <w:rPr>
                <w:rFonts w:ascii="Times New Roman" w:hAnsi="Times New Roman"/>
                <w:spacing w:val="-2"/>
                <w:kern w:val="0"/>
                <w:szCs w:val="21"/>
              </w:rPr>
            </w:pPr>
            <w:r>
              <w:rPr>
                <w:rFonts w:ascii="Times New Roman" w:hAnsi="Times New Roman"/>
                <w:spacing w:val="-2"/>
                <w:kern w:val="0"/>
                <w:szCs w:val="21"/>
              </w:rPr>
              <w:t>1</w:t>
            </w:r>
          </w:p>
        </w:tc>
        <w:tc>
          <w:tcPr>
            <w:tcW w:w="3880" w:type="dxa"/>
            <w:vAlign w:val="center"/>
          </w:tcPr>
          <w:p w14:paraId="368F6200">
            <w:pPr>
              <w:jc w:val="center"/>
              <w:rPr>
                <w:rFonts w:ascii="Times New Roman" w:hAnsi="Times New Roman"/>
                <w:spacing w:val="-2"/>
                <w:szCs w:val="21"/>
              </w:rPr>
            </w:pPr>
            <w:r>
              <w:rPr>
                <w:rFonts w:ascii="Times New Roman" w:hAnsi="Times New Roman"/>
                <w:spacing w:val="-2"/>
                <w:kern w:val="0"/>
                <w:szCs w:val="21"/>
              </w:rPr>
              <w:t>颗粒物</w:t>
            </w:r>
          </w:p>
        </w:tc>
        <w:tc>
          <w:tcPr>
            <w:tcW w:w="3601" w:type="dxa"/>
            <w:vAlign w:val="center"/>
          </w:tcPr>
          <w:p w14:paraId="35AF5F76">
            <w:pPr>
              <w:widowControl/>
              <w:jc w:val="center"/>
              <w:rPr>
                <w:rFonts w:ascii="Times New Roman" w:hAnsi="Times New Roman"/>
                <w:kern w:val="0"/>
                <w:szCs w:val="21"/>
                <w:u w:val="single"/>
              </w:rPr>
            </w:pPr>
            <w:r>
              <w:rPr>
                <w:rFonts w:ascii="Times New Roman" w:hAnsi="Times New Roman" w:eastAsia="等线"/>
                <w:sz w:val="22"/>
                <w:u w:val="single"/>
              </w:rPr>
              <w:t xml:space="preserve">0.7478 </w:t>
            </w:r>
          </w:p>
        </w:tc>
      </w:tr>
      <w:tr w14:paraId="505700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591" w:type="dxa"/>
            <w:vAlign w:val="center"/>
          </w:tcPr>
          <w:p w14:paraId="7AB4B96B">
            <w:pPr>
              <w:widowControl/>
              <w:jc w:val="center"/>
              <w:rPr>
                <w:rFonts w:ascii="Times New Roman" w:hAnsi="Times New Roman"/>
                <w:spacing w:val="-2"/>
                <w:kern w:val="0"/>
                <w:szCs w:val="21"/>
              </w:rPr>
            </w:pPr>
            <w:r>
              <w:rPr>
                <w:rFonts w:ascii="Times New Roman" w:hAnsi="Times New Roman"/>
                <w:spacing w:val="-2"/>
                <w:kern w:val="0"/>
                <w:szCs w:val="21"/>
              </w:rPr>
              <w:t>2</w:t>
            </w:r>
          </w:p>
        </w:tc>
        <w:tc>
          <w:tcPr>
            <w:tcW w:w="3880" w:type="dxa"/>
            <w:vAlign w:val="center"/>
          </w:tcPr>
          <w:p w14:paraId="023A3FA7">
            <w:pPr>
              <w:jc w:val="center"/>
              <w:rPr>
                <w:rFonts w:ascii="Times New Roman" w:hAnsi="Times New Roman"/>
                <w:spacing w:val="-2"/>
                <w:kern w:val="0"/>
                <w:szCs w:val="21"/>
              </w:rPr>
            </w:pPr>
            <w:r>
              <w:rPr>
                <w:rFonts w:ascii="Times New Roman" w:hAnsi="Times New Roman"/>
                <w:spacing w:val="-2"/>
                <w:kern w:val="0"/>
                <w:szCs w:val="21"/>
              </w:rPr>
              <w:t>SO</w:t>
            </w:r>
            <w:r>
              <w:rPr>
                <w:rFonts w:ascii="Times New Roman" w:hAnsi="Times New Roman"/>
                <w:spacing w:val="-2"/>
                <w:kern w:val="0"/>
                <w:szCs w:val="21"/>
                <w:vertAlign w:val="subscript"/>
              </w:rPr>
              <w:t>2</w:t>
            </w:r>
          </w:p>
        </w:tc>
        <w:tc>
          <w:tcPr>
            <w:tcW w:w="3601" w:type="dxa"/>
            <w:vAlign w:val="center"/>
          </w:tcPr>
          <w:p w14:paraId="0FA88DDD">
            <w:pPr>
              <w:widowControl/>
              <w:jc w:val="center"/>
              <w:rPr>
                <w:rFonts w:ascii="Times New Roman" w:hAnsi="Times New Roman"/>
                <w:kern w:val="0"/>
                <w:szCs w:val="21"/>
                <w:u w:val="single"/>
              </w:rPr>
            </w:pPr>
            <w:r>
              <w:rPr>
                <w:rFonts w:ascii="Times New Roman" w:hAnsi="Times New Roman" w:eastAsia="等线"/>
                <w:sz w:val="22"/>
                <w:u w:val="single"/>
              </w:rPr>
              <w:t>0.4420</w:t>
            </w:r>
          </w:p>
        </w:tc>
      </w:tr>
      <w:tr w14:paraId="270979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591" w:type="dxa"/>
            <w:vAlign w:val="center"/>
          </w:tcPr>
          <w:p w14:paraId="34BAF53C">
            <w:pPr>
              <w:widowControl/>
              <w:jc w:val="center"/>
              <w:rPr>
                <w:rFonts w:ascii="Times New Roman" w:hAnsi="Times New Roman"/>
                <w:spacing w:val="-2"/>
                <w:kern w:val="0"/>
                <w:szCs w:val="21"/>
              </w:rPr>
            </w:pPr>
            <w:r>
              <w:rPr>
                <w:rFonts w:ascii="Times New Roman" w:hAnsi="Times New Roman"/>
                <w:spacing w:val="-2"/>
                <w:kern w:val="0"/>
                <w:szCs w:val="21"/>
              </w:rPr>
              <w:t>3</w:t>
            </w:r>
          </w:p>
        </w:tc>
        <w:tc>
          <w:tcPr>
            <w:tcW w:w="3880" w:type="dxa"/>
            <w:vAlign w:val="center"/>
          </w:tcPr>
          <w:p w14:paraId="035EC442">
            <w:pPr>
              <w:jc w:val="center"/>
              <w:rPr>
                <w:rFonts w:ascii="Times New Roman" w:hAnsi="Times New Roman"/>
                <w:spacing w:val="-2"/>
                <w:kern w:val="0"/>
                <w:szCs w:val="21"/>
              </w:rPr>
            </w:pPr>
            <w:r>
              <w:rPr>
                <w:rFonts w:ascii="Times New Roman" w:hAnsi="Times New Roman"/>
                <w:spacing w:val="-2"/>
                <w:kern w:val="0"/>
                <w:szCs w:val="21"/>
              </w:rPr>
              <w:t>NO</w:t>
            </w:r>
            <w:r>
              <w:rPr>
                <w:rFonts w:ascii="Times New Roman" w:hAnsi="Times New Roman"/>
                <w:spacing w:val="-2"/>
                <w:kern w:val="0"/>
                <w:szCs w:val="21"/>
                <w:vertAlign w:val="subscript"/>
              </w:rPr>
              <w:t>X</w:t>
            </w:r>
          </w:p>
        </w:tc>
        <w:tc>
          <w:tcPr>
            <w:tcW w:w="3601" w:type="dxa"/>
            <w:vAlign w:val="center"/>
          </w:tcPr>
          <w:p w14:paraId="659BDA10">
            <w:pPr>
              <w:widowControl/>
              <w:jc w:val="center"/>
              <w:rPr>
                <w:rFonts w:ascii="Times New Roman" w:hAnsi="Times New Roman"/>
                <w:kern w:val="0"/>
                <w:szCs w:val="21"/>
                <w:u w:val="single"/>
              </w:rPr>
            </w:pPr>
            <w:r>
              <w:rPr>
                <w:rFonts w:ascii="Times New Roman" w:hAnsi="Times New Roman" w:eastAsia="等线"/>
                <w:sz w:val="22"/>
                <w:u w:val="single"/>
              </w:rPr>
              <w:t>2.4000</w:t>
            </w:r>
          </w:p>
        </w:tc>
      </w:tr>
    </w:tbl>
    <w:p w14:paraId="318A97A2">
      <w:pPr>
        <w:spacing w:line="360" w:lineRule="auto"/>
        <w:ind w:firstLine="420" w:firstLineChars="200"/>
        <w:rPr>
          <w:rFonts w:ascii="Times New Roman" w:hAnsi="Times New Roman"/>
        </w:rPr>
      </w:pPr>
    </w:p>
    <w:p w14:paraId="2CE7EC68">
      <w:pPr>
        <w:pStyle w:val="6"/>
        <w:numPr>
          <w:ilvl w:val="2"/>
          <w:numId w:val="3"/>
        </w:numPr>
      </w:pPr>
      <w:r>
        <w:t>大气环境影响分析</w:t>
      </w:r>
    </w:p>
    <w:p w14:paraId="5865215B">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采用《环境影响评价技术导则 大气环境》（HJ2.2-2018）附录A推荐模型中的AERSCREEN模式，结合项目工程分析结果，估算出项目大气污染物的贡献浓度的下风向分布。</w:t>
      </w:r>
    </w:p>
    <w:p w14:paraId="3ABD7627">
      <w:pPr>
        <w:spacing w:line="360" w:lineRule="auto"/>
        <w:ind w:firstLine="474" w:firstLineChars="200"/>
        <w:rPr>
          <w:rFonts w:ascii="Times New Roman" w:hAnsi="Times New Roman"/>
          <w:b/>
          <w:bCs/>
          <w:spacing w:val="-2"/>
          <w:kern w:val="0"/>
          <w:sz w:val="24"/>
          <w:szCs w:val="24"/>
        </w:rPr>
      </w:pPr>
      <w:r>
        <w:rPr>
          <w:rFonts w:ascii="Times New Roman" w:hAnsi="Times New Roman"/>
          <w:b/>
          <w:bCs/>
          <w:spacing w:val="-2"/>
          <w:kern w:val="0"/>
          <w:sz w:val="24"/>
          <w:szCs w:val="24"/>
        </w:rPr>
        <w:t>（1）烘干炉烟气有组织排放污染物浓度分布</w:t>
      </w:r>
    </w:p>
    <w:p w14:paraId="116A84B2">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烘干炉烟气有组织排放的颗粒物、SO</w:t>
      </w:r>
      <w:r>
        <w:rPr>
          <w:rFonts w:ascii="Times New Roman" w:hAnsi="Times New Roman"/>
          <w:spacing w:val="-2"/>
          <w:kern w:val="0"/>
          <w:sz w:val="24"/>
          <w:szCs w:val="24"/>
          <w:vertAlign w:val="subscript"/>
        </w:rPr>
        <w:t>2</w:t>
      </w:r>
      <w:r>
        <w:rPr>
          <w:rFonts w:ascii="Times New Roman" w:hAnsi="Times New Roman"/>
          <w:spacing w:val="-2"/>
          <w:kern w:val="0"/>
          <w:sz w:val="24"/>
          <w:szCs w:val="24"/>
        </w:rPr>
        <w:t>、NO</w:t>
      </w:r>
      <w:r>
        <w:rPr>
          <w:rFonts w:ascii="Times New Roman" w:hAnsi="Times New Roman"/>
          <w:spacing w:val="-2"/>
          <w:kern w:val="0"/>
          <w:sz w:val="24"/>
          <w:szCs w:val="24"/>
          <w:vertAlign w:val="subscript"/>
        </w:rPr>
        <w:t>X</w:t>
      </w:r>
      <w:r>
        <w:rPr>
          <w:rFonts w:ascii="Times New Roman" w:hAnsi="Times New Roman"/>
          <w:spacing w:val="-2"/>
          <w:kern w:val="0"/>
          <w:sz w:val="24"/>
          <w:szCs w:val="24"/>
        </w:rPr>
        <w:t>等污染物的浓度分布见表4.2-11。</w:t>
      </w:r>
    </w:p>
    <w:p w14:paraId="3E7161ED">
      <w:pPr>
        <w:pStyle w:val="8"/>
        <w:numPr>
          <w:ilvl w:val="4"/>
          <w:numId w:val="3"/>
        </w:numPr>
        <w:rPr>
          <w:sz w:val="24"/>
          <w:szCs w:val="24"/>
        </w:rPr>
      </w:pPr>
      <w:r>
        <w:rPr>
          <w:sz w:val="24"/>
          <w:szCs w:val="24"/>
        </w:rPr>
        <w:t>烘干炉烟气有组织排放污染物浓度分布一览表</w:t>
      </w:r>
    </w:p>
    <w:tbl>
      <w:tblPr>
        <w:tblStyle w:val="88"/>
        <w:tblW w:w="904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84"/>
        <w:gridCol w:w="1242"/>
        <w:gridCol w:w="1242"/>
        <w:gridCol w:w="1242"/>
        <w:gridCol w:w="1242"/>
        <w:gridCol w:w="1242"/>
        <w:gridCol w:w="1246"/>
      </w:tblGrid>
      <w:tr w14:paraId="00A5A5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1584" w:type="dxa"/>
            <w:vMerge w:val="restart"/>
            <w:shd w:val="clear" w:color="auto" w:fill="auto"/>
            <w:vAlign w:val="center"/>
          </w:tcPr>
          <w:p w14:paraId="1EC6A2F5">
            <w:pPr>
              <w:widowControl/>
              <w:jc w:val="center"/>
              <w:rPr>
                <w:rFonts w:ascii="Times New Roman" w:hAnsi="Times New Roman"/>
                <w:b/>
                <w:bCs/>
                <w:kern w:val="0"/>
                <w:szCs w:val="21"/>
              </w:rPr>
            </w:pPr>
            <w:r>
              <w:rPr>
                <w:rFonts w:ascii="Times New Roman" w:hAnsi="Times New Roman"/>
                <w:b/>
                <w:bCs/>
                <w:kern w:val="0"/>
                <w:szCs w:val="21"/>
              </w:rPr>
              <w:t>下风向距离</w:t>
            </w:r>
            <w:r>
              <w:rPr>
                <w:rFonts w:hint="eastAsia" w:ascii="Times New Roman" w:hAnsi="Times New Roman"/>
                <w:b/>
                <w:bCs/>
                <w:kern w:val="0"/>
                <w:szCs w:val="21"/>
              </w:rPr>
              <w:t>(m)</w:t>
            </w:r>
          </w:p>
        </w:tc>
        <w:tc>
          <w:tcPr>
            <w:tcW w:w="7456" w:type="dxa"/>
            <w:gridSpan w:val="6"/>
            <w:shd w:val="clear" w:color="auto" w:fill="auto"/>
            <w:vAlign w:val="center"/>
          </w:tcPr>
          <w:p w14:paraId="45664D05">
            <w:pPr>
              <w:widowControl/>
              <w:jc w:val="center"/>
              <w:rPr>
                <w:rFonts w:ascii="Times New Roman" w:hAnsi="Times New Roman"/>
                <w:b/>
                <w:bCs/>
                <w:kern w:val="0"/>
                <w:szCs w:val="21"/>
              </w:rPr>
            </w:pPr>
            <w:r>
              <w:rPr>
                <w:rFonts w:ascii="Times New Roman" w:hAnsi="Times New Roman"/>
                <w:b/>
                <w:bCs/>
                <w:kern w:val="0"/>
                <w:szCs w:val="21"/>
              </w:rPr>
              <w:t>烘干炉排气筒(DA001)</w:t>
            </w:r>
          </w:p>
        </w:tc>
      </w:tr>
      <w:tr w14:paraId="7FA51A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1584" w:type="dxa"/>
            <w:vMerge w:val="continue"/>
            <w:shd w:val="clear" w:color="auto" w:fill="auto"/>
            <w:vAlign w:val="center"/>
          </w:tcPr>
          <w:p w14:paraId="6DCF47FB">
            <w:pPr>
              <w:widowControl/>
              <w:jc w:val="left"/>
              <w:rPr>
                <w:rFonts w:ascii="Times New Roman" w:hAnsi="Times New Roman"/>
                <w:b/>
                <w:bCs/>
                <w:kern w:val="0"/>
                <w:szCs w:val="21"/>
              </w:rPr>
            </w:pPr>
          </w:p>
        </w:tc>
        <w:tc>
          <w:tcPr>
            <w:tcW w:w="1242" w:type="dxa"/>
            <w:shd w:val="clear" w:color="auto" w:fill="auto"/>
            <w:vAlign w:val="center"/>
          </w:tcPr>
          <w:p w14:paraId="4409611E">
            <w:pPr>
              <w:widowControl/>
              <w:jc w:val="center"/>
              <w:rPr>
                <w:rFonts w:ascii="Times New Roman" w:hAnsi="Times New Roman"/>
                <w:b/>
                <w:bCs/>
                <w:kern w:val="0"/>
                <w:szCs w:val="21"/>
              </w:rPr>
            </w:pPr>
            <w:r>
              <w:rPr>
                <w:rFonts w:ascii="Times New Roman" w:hAnsi="Times New Roman"/>
                <w:b/>
                <w:bCs/>
                <w:kern w:val="0"/>
                <w:szCs w:val="21"/>
              </w:rPr>
              <w:t>PM</w:t>
            </w:r>
            <w:r>
              <w:rPr>
                <w:rFonts w:ascii="Times New Roman" w:hAnsi="Times New Roman"/>
                <w:b/>
                <w:bCs/>
                <w:kern w:val="0"/>
                <w:szCs w:val="21"/>
                <w:vertAlign w:val="subscript"/>
              </w:rPr>
              <w:t>10</w:t>
            </w:r>
            <w:r>
              <w:rPr>
                <w:rFonts w:ascii="Times New Roman" w:hAnsi="Times New Roman"/>
                <w:b/>
                <w:bCs/>
                <w:kern w:val="0"/>
                <w:szCs w:val="21"/>
              </w:rPr>
              <w:t>浓度(μg/m³)</w:t>
            </w:r>
          </w:p>
        </w:tc>
        <w:tc>
          <w:tcPr>
            <w:tcW w:w="1242" w:type="dxa"/>
            <w:shd w:val="clear" w:color="auto" w:fill="auto"/>
            <w:vAlign w:val="center"/>
          </w:tcPr>
          <w:p w14:paraId="36DFA7B9">
            <w:pPr>
              <w:widowControl/>
              <w:jc w:val="center"/>
              <w:rPr>
                <w:rFonts w:ascii="Times New Roman" w:hAnsi="Times New Roman"/>
                <w:b/>
                <w:bCs/>
                <w:kern w:val="0"/>
                <w:szCs w:val="21"/>
              </w:rPr>
            </w:pPr>
            <w:r>
              <w:rPr>
                <w:rFonts w:ascii="Times New Roman" w:hAnsi="Times New Roman"/>
                <w:b/>
                <w:bCs/>
                <w:kern w:val="0"/>
                <w:szCs w:val="21"/>
              </w:rPr>
              <w:t>PM</w:t>
            </w:r>
            <w:r>
              <w:rPr>
                <w:rFonts w:ascii="Times New Roman" w:hAnsi="Times New Roman"/>
                <w:b/>
                <w:bCs/>
                <w:kern w:val="0"/>
                <w:szCs w:val="21"/>
                <w:vertAlign w:val="subscript"/>
              </w:rPr>
              <w:t>10</w:t>
            </w:r>
            <w:r>
              <w:rPr>
                <w:rFonts w:ascii="Times New Roman" w:hAnsi="Times New Roman"/>
                <w:b/>
                <w:bCs/>
                <w:kern w:val="0"/>
                <w:szCs w:val="21"/>
              </w:rPr>
              <w:t>占标率(%)</w:t>
            </w:r>
          </w:p>
        </w:tc>
        <w:tc>
          <w:tcPr>
            <w:tcW w:w="1242" w:type="dxa"/>
            <w:shd w:val="clear" w:color="auto" w:fill="auto"/>
            <w:vAlign w:val="center"/>
          </w:tcPr>
          <w:p w14:paraId="3D32264B">
            <w:pPr>
              <w:widowControl/>
              <w:jc w:val="center"/>
              <w:rPr>
                <w:rFonts w:ascii="Times New Roman" w:hAnsi="Times New Roman"/>
                <w:b/>
                <w:bCs/>
                <w:kern w:val="0"/>
                <w:szCs w:val="21"/>
              </w:rPr>
            </w:pPr>
            <w:r>
              <w:rPr>
                <w:rFonts w:ascii="Times New Roman" w:hAnsi="Times New Roman"/>
                <w:b/>
                <w:bCs/>
                <w:kern w:val="0"/>
                <w:szCs w:val="21"/>
              </w:rPr>
              <w:t>SO</w:t>
            </w:r>
            <w:r>
              <w:rPr>
                <w:rFonts w:ascii="Times New Roman" w:hAnsi="Times New Roman"/>
                <w:b/>
                <w:bCs/>
                <w:kern w:val="0"/>
                <w:szCs w:val="21"/>
                <w:vertAlign w:val="subscript"/>
              </w:rPr>
              <w:t>2</w:t>
            </w:r>
            <w:r>
              <w:rPr>
                <w:rFonts w:ascii="Times New Roman" w:hAnsi="Times New Roman"/>
                <w:b/>
                <w:bCs/>
                <w:kern w:val="0"/>
                <w:szCs w:val="21"/>
              </w:rPr>
              <w:t>浓度(μg/m³)</w:t>
            </w:r>
          </w:p>
        </w:tc>
        <w:tc>
          <w:tcPr>
            <w:tcW w:w="1242" w:type="dxa"/>
            <w:shd w:val="clear" w:color="auto" w:fill="auto"/>
            <w:vAlign w:val="center"/>
          </w:tcPr>
          <w:p w14:paraId="47F3ED07">
            <w:pPr>
              <w:widowControl/>
              <w:jc w:val="center"/>
              <w:rPr>
                <w:rFonts w:ascii="Times New Roman" w:hAnsi="Times New Roman"/>
                <w:b/>
                <w:bCs/>
                <w:kern w:val="0"/>
                <w:szCs w:val="21"/>
              </w:rPr>
            </w:pPr>
            <w:r>
              <w:rPr>
                <w:rFonts w:ascii="Times New Roman" w:hAnsi="Times New Roman"/>
                <w:b/>
                <w:bCs/>
                <w:kern w:val="0"/>
                <w:szCs w:val="21"/>
              </w:rPr>
              <w:t>SO</w:t>
            </w:r>
            <w:r>
              <w:rPr>
                <w:rFonts w:ascii="Times New Roman" w:hAnsi="Times New Roman"/>
                <w:b/>
                <w:bCs/>
                <w:kern w:val="0"/>
                <w:szCs w:val="21"/>
                <w:vertAlign w:val="subscript"/>
              </w:rPr>
              <w:t>2</w:t>
            </w:r>
            <w:r>
              <w:rPr>
                <w:rFonts w:ascii="Times New Roman" w:hAnsi="Times New Roman"/>
                <w:b/>
                <w:bCs/>
                <w:kern w:val="0"/>
                <w:szCs w:val="21"/>
              </w:rPr>
              <w:t>占标率(%)</w:t>
            </w:r>
          </w:p>
        </w:tc>
        <w:tc>
          <w:tcPr>
            <w:tcW w:w="1242" w:type="dxa"/>
            <w:shd w:val="clear" w:color="auto" w:fill="auto"/>
            <w:vAlign w:val="center"/>
          </w:tcPr>
          <w:p w14:paraId="73D900F4">
            <w:pPr>
              <w:widowControl/>
              <w:jc w:val="center"/>
              <w:rPr>
                <w:rFonts w:ascii="Times New Roman" w:hAnsi="Times New Roman"/>
                <w:b/>
                <w:bCs/>
                <w:kern w:val="0"/>
                <w:szCs w:val="21"/>
              </w:rPr>
            </w:pPr>
            <w:r>
              <w:rPr>
                <w:rFonts w:ascii="Times New Roman" w:hAnsi="Times New Roman"/>
                <w:b/>
                <w:bCs/>
                <w:kern w:val="0"/>
                <w:szCs w:val="21"/>
              </w:rPr>
              <w:t>NO</w:t>
            </w:r>
            <w:r>
              <w:rPr>
                <w:rFonts w:ascii="Times New Roman" w:hAnsi="Times New Roman"/>
                <w:b/>
                <w:bCs/>
                <w:kern w:val="0"/>
                <w:szCs w:val="21"/>
                <w:vertAlign w:val="subscript"/>
              </w:rPr>
              <w:t>X</w:t>
            </w:r>
            <w:r>
              <w:rPr>
                <w:rFonts w:ascii="Times New Roman" w:hAnsi="Times New Roman"/>
                <w:b/>
                <w:bCs/>
                <w:kern w:val="0"/>
                <w:szCs w:val="21"/>
              </w:rPr>
              <w:t>浓度(μg/m³)</w:t>
            </w:r>
          </w:p>
        </w:tc>
        <w:tc>
          <w:tcPr>
            <w:tcW w:w="1246" w:type="dxa"/>
            <w:shd w:val="clear" w:color="auto" w:fill="auto"/>
            <w:vAlign w:val="center"/>
          </w:tcPr>
          <w:p w14:paraId="6706818E">
            <w:pPr>
              <w:widowControl/>
              <w:jc w:val="center"/>
              <w:rPr>
                <w:rFonts w:ascii="Times New Roman" w:hAnsi="Times New Roman"/>
                <w:b/>
                <w:bCs/>
                <w:kern w:val="0"/>
                <w:szCs w:val="21"/>
              </w:rPr>
            </w:pPr>
            <w:r>
              <w:rPr>
                <w:rFonts w:ascii="Times New Roman" w:hAnsi="Times New Roman"/>
                <w:b/>
                <w:bCs/>
                <w:kern w:val="0"/>
                <w:szCs w:val="21"/>
              </w:rPr>
              <w:t>NO</w:t>
            </w:r>
            <w:r>
              <w:rPr>
                <w:rFonts w:ascii="Times New Roman" w:hAnsi="Times New Roman"/>
                <w:b/>
                <w:bCs/>
                <w:kern w:val="0"/>
                <w:szCs w:val="21"/>
                <w:vertAlign w:val="subscript"/>
              </w:rPr>
              <w:t>X</w:t>
            </w:r>
            <w:r>
              <w:rPr>
                <w:rFonts w:ascii="Times New Roman" w:hAnsi="Times New Roman"/>
                <w:b/>
                <w:bCs/>
                <w:kern w:val="0"/>
                <w:szCs w:val="21"/>
              </w:rPr>
              <w:t>占标率(%)</w:t>
            </w:r>
          </w:p>
        </w:tc>
      </w:tr>
      <w:tr w14:paraId="196106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584" w:type="dxa"/>
            <w:shd w:val="clear" w:color="auto" w:fill="auto"/>
            <w:vAlign w:val="center"/>
          </w:tcPr>
          <w:p w14:paraId="7BFA3CA4">
            <w:pPr>
              <w:widowControl/>
              <w:jc w:val="center"/>
              <w:rPr>
                <w:rFonts w:ascii="Times New Roman" w:hAnsi="Times New Roman"/>
                <w:kern w:val="0"/>
                <w:szCs w:val="21"/>
              </w:rPr>
            </w:pPr>
            <w:r>
              <w:rPr>
                <w:rFonts w:ascii="Times New Roman" w:hAnsi="Times New Roman"/>
                <w:kern w:val="0"/>
                <w:szCs w:val="21"/>
              </w:rPr>
              <w:t>50</w:t>
            </w:r>
          </w:p>
        </w:tc>
        <w:tc>
          <w:tcPr>
            <w:tcW w:w="1242" w:type="dxa"/>
            <w:shd w:val="clear" w:color="auto" w:fill="auto"/>
            <w:vAlign w:val="center"/>
          </w:tcPr>
          <w:p w14:paraId="49F5507F">
            <w:pPr>
              <w:widowControl/>
              <w:jc w:val="center"/>
              <w:rPr>
                <w:rFonts w:ascii="Times New Roman" w:hAnsi="Times New Roman"/>
                <w:kern w:val="0"/>
                <w:szCs w:val="21"/>
                <w:u w:val="single"/>
              </w:rPr>
            </w:pPr>
            <w:r>
              <w:rPr>
                <w:rFonts w:ascii="Times New Roman" w:hAnsi="Times New Roman" w:eastAsia="等线"/>
                <w:szCs w:val="21"/>
                <w:u w:val="single"/>
              </w:rPr>
              <w:t>0.3838</w:t>
            </w:r>
          </w:p>
        </w:tc>
        <w:tc>
          <w:tcPr>
            <w:tcW w:w="1242" w:type="dxa"/>
            <w:shd w:val="clear" w:color="auto" w:fill="auto"/>
            <w:vAlign w:val="center"/>
          </w:tcPr>
          <w:p w14:paraId="631DE7C9">
            <w:pPr>
              <w:widowControl/>
              <w:jc w:val="center"/>
              <w:rPr>
                <w:rFonts w:ascii="Times New Roman" w:hAnsi="Times New Roman"/>
                <w:kern w:val="0"/>
                <w:szCs w:val="21"/>
                <w:u w:val="single"/>
              </w:rPr>
            </w:pPr>
            <w:r>
              <w:rPr>
                <w:rFonts w:ascii="Times New Roman" w:hAnsi="Times New Roman" w:eastAsia="等线"/>
                <w:szCs w:val="21"/>
                <w:u w:val="single"/>
              </w:rPr>
              <w:t>0.0853</w:t>
            </w:r>
          </w:p>
        </w:tc>
        <w:tc>
          <w:tcPr>
            <w:tcW w:w="1242" w:type="dxa"/>
            <w:shd w:val="clear" w:color="auto" w:fill="auto"/>
            <w:vAlign w:val="center"/>
          </w:tcPr>
          <w:p w14:paraId="0D51E715">
            <w:pPr>
              <w:widowControl/>
              <w:jc w:val="center"/>
              <w:rPr>
                <w:rFonts w:ascii="Times New Roman" w:hAnsi="Times New Roman"/>
                <w:kern w:val="0"/>
                <w:szCs w:val="21"/>
                <w:u w:val="single"/>
              </w:rPr>
            </w:pPr>
            <w:r>
              <w:rPr>
                <w:rFonts w:ascii="Times New Roman" w:hAnsi="Times New Roman" w:eastAsia="等线"/>
                <w:szCs w:val="21"/>
                <w:u w:val="single"/>
              </w:rPr>
              <w:t>2.0200</w:t>
            </w:r>
          </w:p>
        </w:tc>
        <w:tc>
          <w:tcPr>
            <w:tcW w:w="1242" w:type="dxa"/>
            <w:shd w:val="clear" w:color="auto" w:fill="auto"/>
            <w:vAlign w:val="center"/>
          </w:tcPr>
          <w:p w14:paraId="1A1ADB09">
            <w:pPr>
              <w:widowControl/>
              <w:jc w:val="center"/>
              <w:rPr>
                <w:rFonts w:ascii="Times New Roman" w:hAnsi="Times New Roman"/>
                <w:kern w:val="0"/>
                <w:szCs w:val="21"/>
                <w:u w:val="single"/>
              </w:rPr>
            </w:pPr>
            <w:r>
              <w:rPr>
                <w:rFonts w:ascii="Times New Roman" w:hAnsi="Times New Roman" w:eastAsia="等线"/>
                <w:szCs w:val="21"/>
                <w:u w:val="single"/>
              </w:rPr>
              <w:t>0.4040</w:t>
            </w:r>
          </w:p>
        </w:tc>
        <w:tc>
          <w:tcPr>
            <w:tcW w:w="1242" w:type="dxa"/>
            <w:shd w:val="clear" w:color="auto" w:fill="auto"/>
            <w:vAlign w:val="center"/>
          </w:tcPr>
          <w:p w14:paraId="1351A9E9">
            <w:pPr>
              <w:widowControl/>
              <w:jc w:val="center"/>
              <w:rPr>
                <w:rFonts w:ascii="Times New Roman" w:hAnsi="Times New Roman"/>
                <w:kern w:val="0"/>
                <w:szCs w:val="21"/>
                <w:u w:val="single"/>
              </w:rPr>
            </w:pPr>
            <w:r>
              <w:rPr>
                <w:rFonts w:ascii="Times New Roman" w:hAnsi="Times New Roman" w:eastAsia="等线"/>
                <w:szCs w:val="21"/>
                <w:u w:val="single"/>
              </w:rPr>
              <w:t>10.9663</w:t>
            </w:r>
          </w:p>
        </w:tc>
        <w:tc>
          <w:tcPr>
            <w:tcW w:w="1246" w:type="dxa"/>
            <w:shd w:val="clear" w:color="auto" w:fill="auto"/>
            <w:vAlign w:val="center"/>
          </w:tcPr>
          <w:p w14:paraId="3EF0079E">
            <w:pPr>
              <w:widowControl/>
              <w:jc w:val="center"/>
              <w:rPr>
                <w:rFonts w:ascii="Times New Roman" w:hAnsi="Times New Roman"/>
                <w:kern w:val="0"/>
                <w:szCs w:val="21"/>
                <w:u w:val="single"/>
              </w:rPr>
            </w:pPr>
            <w:r>
              <w:rPr>
                <w:rFonts w:ascii="Times New Roman" w:hAnsi="Times New Roman" w:eastAsia="等线"/>
                <w:szCs w:val="21"/>
                <w:u w:val="single"/>
              </w:rPr>
              <w:t>4.3865</w:t>
            </w:r>
          </w:p>
        </w:tc>
      </w:tr>
      <w:tr w14:paraId="39E18F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584" w:type="dxa"/>
            <w:shd w:val="clear" w:color="auto" w:fill="auto"/>
            <w:vAlign w:val="center"/>
          </w:tcPr>
          <w:p w14:paraId="3A36B4A7">
            <w:pPr>
              <w:widowControl/>
              <w:jc w:val="center"/>
              <w:rPr>
                <w:rFonts w:ascii="Times New Roman" w:hAnsi="Times New Roman"/>
                <w:kern w:val="0"/>
                <w:szCs w:val="21"/>
              </w:rPr>
            </w:pPr>
            <w:r>
              <w:rPr>
                <w:rFonts w:ascii="Times New Roman" w:hAnsi="Times New Roman"/>
                <w:kern w:val="0"/>
                <w:szCs w:val="21"/>
              </w:rPr>
              <w:t>100</w:t>
            </w:r>
          </w:p>
        </w:tc>
        <w:tc>
          <w:tcPr>
            <w:tcW w:w="1242" w:type="dxa"/>
            <w:shd w:val="clear" w:color="auto" w:fill="auto"/>
            <w:vAlign w:val="center"/>
          </w:tcPr>
          <w:p w14:paraId="5FBD4F5F">
            <w:pPr>
              <w:widowControl/>
              <w:jc w:val="center"/>
              <w:rPr>
                <w:rFonts w:ascii="Times New Roman" w:hAnsi="Times New Roman"/>
                <w:kern w:val="0"/>
                <w:szCs w:val="21"/>
                <w:u w:val="single"/>
              </w:rPr>
            </w:pPr>
            <w:r>
              <w:rPr>
                <w:rFonts w:ascii="Times New Roman" w:hAnsi="Times New Roman" w:eastAsia="等线"/>
                <w:szCs w:val="21"/>
                <w:u w:val="single"/>
              </w:rPr>
              <w:t>0.3106</w:t>
            </w:r>
          </w:p>
        </w:tc>
        <w:tc>
          <w:tcPr>
            <w:tcW w:w="1242" w:type="dxa"/>
            <w:shd w:val="clear" w:color="auto" w:fill="auto"/>
            <w:vAlign w:val="center"/>
          </w:tcPr>
          <w:p w14:paraId="7C9ACE25">
            <w:pPr>
              <w:widowControl/>
              <w:jc w:val="center"/>
              <w:rPr>
                <w:rFonts w:ascii="Times New Roman" w:hAnsi="Times New Roman"/>
                <w:kern w:val="0"/>
                <w:szCs w:val="21"/>
                <w:u w:val="single"/>
              </w:rPr>
            </w:pPr>
            <w:r>
              <w:rPr>
                <w:rFonts w:ascii="Times New Roman" w:hAnsi="Times New Roman" w:eastAsia="等线"/>
                <w:szCs w:val="21"/>
                <w:u w:val="single"/>
              </w:rPr>
              <w:t>0.0690</w:t>
            </w:r>
          </w:p>
        </w:tc>
        <w:tc>
          <w:tcPr>
            <w:tcW w:w="1242" w:type="dxa"/>
            <w:shd w:val="clear" w:color="auto" w:fill="auto"/>
            <w:vAlign w:val="center"/>
          </w:tcPr>
          <w:p w14:paraId="59E34B17">
            <w:pPr>
              <w:widowControl/>
              <w:jc w:val="center"/>
              <w:rPr>
                <w:rFonts w:ascii="Times New Roman" w:hAnsi="Times New Roman"/>
                <w:kern w:val="0"/>
                <w:szCs w:val="21"/>
                <w:u w:val="single"/>
              </w:rPr>
            </w:pPr>
            <w:r>
              <w:rPr>
                <w:rFonts w:ascii="Times New Roman" w:hAnsi="Times New Roman" w:eastAsia="等线"/>
                <w:szCs w:val="21"/>
                <w:u w:val="single"/>
              </w:rPr>
              <w:t>1.6347</w:t>
            </w:r>
          </w:p>
        </w:tc>
        <w:tc>
          <w:tcPr>
            <w:tcW w:w="1242" w:type="dxa"/>
            <w:shd w:val="clear" w:color="auto" w:fill="auto"/>
            <w:vAlign w:val="center"/>
          </w:tcPr>
          <w:p w14:paraId="7FC48FB0">
            <w:pPr>
              <w:widowControl/>
              <w:jc w:val="center"/>
              <w:rPr>
                <w:rFonts w:ascii="Times New Roman" w:hAnsi="Times New Roman"/>
                <w:kern w:val="0"/>
                <w:szCs w:val="21"/>
                <w:u w:val="single"/>
              </w:rPr>
            </w:pPr>
            <w:r>
              <w:rPr>
                <w:rFonts w:ascii="Times New Roman" w:hAnsi="Times New Roman" w:eastAsia="等线"/>
                <w:szCs w:val="21"/>
                <w:u w:val="single"/>
              </w:rPr>
              <w:t>0.3269</w:t>
            </w:r>
          </w:p>
        </w:tc>
        <w:tc>
          <w:tcPr>
            <w:tcW w:w="1242" w:type="dxa"/>
            <w:shd w:val="clear" w:color="auto" w:fill="auto"/>
            <w:vAlign w:val="center"/>
          </w:tcPr>
          <w:p w14:paraId="32C94714">
            <w:pPr>
              <w:widowControl/>
              <w:jc w:val="center"/>
              <w:rPr>
                <w:rFonts w:ascii="Times New Roman" w:hAnsi="Times New Roman"/>
                <w:kern w:val="0"/>
                <w:szCs w:val="21"/>
                <w:u w:val="single"/>
              </w:rPr>
            </w:pPr>
            <w:r>
              <w:rPr>
                <w:rFonts w:ascii="Times New Roman" w:hAnsi="Times New Roman" w:eastAsia="等线"/>
                <w:szCs w:val="21"/>
                <w:u w:val="single"/>
              </w:rPr>
              <w:t>8.8746</w:t>
            </w:r>
          </w:p>
        </w:tc>
        <w:tc>
          <w:tcPr>
            <w:tcW w:w="1246" w:type="dxa"/>
            <w:shd w:val="clear" w:color="auto" w:fill="auto"/>
            <w:vAlign w:val="center"/>
          </w:tcPr>
          <w:p w14:paraId="6EB892B8">
            <w:pPr>
              <w:widowControl/>
              <w:jc w:val="center"/>
              <w:rPr>
                <w:rFonts w:ascii="Times New Roman" w:hAnsi="Times New Roman"/>
                <w:kern w:val="0"/>
                <w:szCs w:val="21"/>
                <w:u w:val="single"/>
              </w:rPr>
            </w:pPr>
            <w:r>
              <w:rPr>
                <w:rFonts w:ascii="Times New Roman" w:hAnsi="Times New Roman" w:eastAsia="等线"/>
                <w:szCs w:val="21"/>
                <w:u w:val="single"/>
              </w:rPr>
              <w:t>3.5498</w:t>
            </w:r>
          </w:p>
        </w:tc>
      </w:tr>
      <w:tr w14:paraId="1B0D89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584" w:type="dxa"/>
            <w:shd w:val="clear" w:color="auto" w:fill="auto"/>
            <w:vAlign w:val="center"/>
          </w:tcPr>
          <w:p w14:paraId="1D4A5E97">
            <w:pPr>
              <w:widowControl/>
              <w:jc w:val="center"/>
              <w:rPr>
                <w:rFonts w:ascii="Times New Roman" w:hAnsi="Times New Roman"/>
                <w:kern w:val="0"/>
                <w:szCs w:val="21"/>
              </w:rPr>
            </w:pPr>
            <w:r>
              <w:rPr>
                <w:rFonts w:ascii="Times New Roman" w:hAnsi="Times New Roman"/>
                <w:kern w:val="0"/>
                <w:szCs w:val="21"/>
              </w:rPr>
              <w:t>200</w:t>
            </w:r>
          </w:p>
        </w:tc>
        <w:tc>
          <w:tcPr>
            <w:tcW w:w="1242" w:type="dxa"/>
            <w:shd w:val="clear" w:color="auto" w:fill="auto"/>
            <w:vAlign w:val="center"/>
          </w:tcPr>
          <w:p w14:paraId="491B98D4">
            <w:pPr>
              <w:widowControl/>
              <w:jc w:val="center"/>
              <w:rPr>
                <w:rFonts w:ascii="Times New Roman" w:hAnsi="Times New Roman"/>
                <w:kern w:val="0"/>
                <w:szCs w:val="21"/>
                <w:u w:val="single"/>
              </w:rPr>
            </w:pPr>
            <w:r>
              <w:rPr>
                <w:rFonts w:ascii="Times New Roman" w:hAnsi="Times New Roman" w:eastAsia="等线"/>
                <w:szCs w:val="21"/>
                <w:u w:val="single"/>
              </w:rPr>
              <w:t>0.2880</w:t>
            </w:r>
          </w:p>
        </w:tc>
        <w:tc>
          <w:tcPr>
            <w:tcW w:w="1242" w:type="dxa"/>
            <w:shd w:val="clear" w:color="auto" w:fill="auto"/>
            <w:vAlign w:val="center"/>
          </w:tcPr>
          <w:p w14:paraId="42C2CBEA">
            <w:pPr>
              <w:widowControl/>
              <w:jc w:val="center"/>
              <w:rPr>
                <w:rFonts w:ascii="Times New Roman" w:hAnsi="Times New Roman"/>
                <w:kern w:val="0"/>
                <w:szCs w:val="21"/>
                <w:u w:val="single"/>
              </w:rPr>
            </w:pPr>
            <w:r>
              <w:rPr>
                <w:rFonts w:ascii="Times New Roman" w:hAnsi="Times New Roman" w:eastAsia="等线"/>
                <w:szCs w:val="21"/>
                <w:u w:val="single"/>
              </w:rPr>
              <w:t>0.0640</w:t>
            </w:r>
          </w:p>
        </w:tc>
        <w:tc>
          <w:tcPr>
            <w:tcW w:w="1242" w:type="dxa"/>
            <w:shd w:val="clear" w:color="auto" w:fill="auto"/>
            <w:vAlign w:val="center"/>
          </w:tcPr>
          <w:p w14:paraId="4615B41D">
            <w:pPr>
              <w:widowControl/>
              <w:jc w:val="center"/>
              <w:rPr>
                <w:rFonts w:ascii="Times New Roman" w:hAnsi="Times New Roman"/>
                <w:kern w:val="0"/>
                <w:szCs w:val="21"/>
                <w:u w:val="single"/>
              </w:rPr>
            </w:pPr>
            <w:r>
              <w:rPr>
                <w:rFonts w:ascii="Times New Roman" w:hAnsi="Times New Roman" w:eastAsia="等线"/>
                <w:szCs w:val="21"/>
                <w:u w:val="single"/>
              </w:rPr>
              <w:t>1.5157</w:t>
            </w:r>
          </w:p>
        </w:tc>
        <w:tc>
          <w:tcPr>
            <w:tcW w:w="1242" w:type="dxa"/>
            <w:shd w:val="clear" w:color="auto" w:fill="auto"/>
            <w:vAlign w:val="center"/>
          </w:tcPr>
          <w:p w14:paraId="49AB89C9">
            <w:pPr>
              <w:widowControl/>
              <w:jc w:val="center"/>
              <w:rPr>
                <w:rFonts w:ascii="Times New Roman" w:hAnsi="Times New Roman"/>
                <w:kern w:val="0"/>
                <w:szCs w:val="21"/>
                <w:u w:val="single"/>
              </w:rPr>
            </w:pPr>
            <w:r>
              <w:rPr>
                <w:rFonts w:ascii="Times New Roman" w:hAnsi="Times New Roman" w:eastAsia="等线"/>
                <w:szCs w:val="21"/>
                <w:u w:val="single"/>
              </w:rPr>
              <w:t>0.3031</w:t>
            </w:r>
          </w:p>
        </w:tc>
        <w:tc>
          <w:tcPr>
            <w:tcW w:w="1242" w:type="dxa"/>
            <w:shd w:val="clear" w:color="auto" w:fill="auto"/>
            <w:vAlign w:val="center"/>
          </w:tcPr>
          <w:p w14:paraId="54D1C846">
            <w:pPr>
              <w:widowControl/>
              <w:jc w:val="center"/>
              <w:rPr>
                <w:rFonts w:ascii="Times New Roman" w:hAnsi="Times New Roman"/>
                <w:kern w:val="0"/>
                <w:szCs w:val="21"/>
                <w:u w:val="single"/>
              </w:rPr>
            </w:pPr>
            <w:r>
              <w:rPr>
                <w:rFonts w:ascii="Times New Roman" w:hAnsi="Times New Roman" w:eastAsia="等线"/>
                <w:szCs w:val="21"/>
                <w:u w:val="single"/>
              </w:rPr>
              <w:t>8.2286</w:t>
            </w:r>
          </w:p>
        </w:tc>
        <w:tc>
          <w:tcPr>
            <w:tcW w:w="1246" w:type="dxa"/>
            <w:shd w:val="clear" w:color="auto" w:fill="auto"/>
            <w:vAlign w:val="center"/>
          </w:tcPr>
          <w:p w14:paraId="0EFD009F">
            <w:pPr>
              <w:widowControl/>
              <w:jc w:val="center"/>
              <w:rPr>
                <w:rFonts w:ascii="Times New Roman" w:hAnsi="Times New Roman"/>
                <w:kern w:val="0"/>
                <w:szCs w:val="21"/>
                <w:u w:val="single"/>
              </w:rPr>
            </w:pPr>
            <w:r>
              <w:rPr>
                <w:rFonts w:ascii="Times New Roman" w:hAnsi="Times New Roman" w:eastAsia="等线"/>
                <w:szCs w:val="21"/>
                <w:u w:val="single"/>
              </w:rPr>
              <w:t>3.2914</w:t>
            </w:r>
          </w:p>
        </w:tc>
      </w:tr>
      <w:tr w14:paraId="162FD7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584" w:type="dxa"/>
            <w:shd w:val="clear" w:color="auto" w:fill="auto"/>
            <w:vAlign w:val="center"/>
          </w:tcPr>
          <w:p w14:paraId="715D5D14">
            <w:pPr>
              <w:widowControl/>
              <w:jc w:val="center"/>
              <w:rPr>
                <w:rFonts w:ascii="Times New Roman" w:hAnsi="Times New Roman"/>
                <w:kern w:val="0"/>
                <w:szCs w:val="21"/>
              </w:rPr>
            </w:pPr>
            <w:r>
              <w:rPr>
                <w:rFonts w:ascii="Times New Roman" w:hAnsi="Times New Roman"/>
                <w:kern w:val="0"/>
                <w:szCs w:val="21"/>
              </w:rPr>
              <w:t>300</w:t>
            </w:r>
          </w:p>
        </w:tc>
        <w:tc>
          <w:tcPr>
            <w:tcW w:w="1242" w:type="dxa"/>
            <w:shd w:val="clear" w:color="auto" w:fill="auto"/>
            <w:vAlign w:val="center"/>
          </w:tcPr>
          <w:p w14:paraId="25C8C399">
            <w:pPr>
              <w:widowControl/>
              <w:jc w:val="center"/>
              <w:rPr>
                <w:rFonts w:ascii="Times New Roman" w:hAnsi="Times New Roman"/>
                <w:kern w:val="0"/>
                <w:szCs w:val="21"/>
                <w:u w:val="single"/>
              </w:rPr>
            </w:pPr>
            <w:r>
              <w:rPr>
                <w:rFonts w:ascii="Times New Roman" w:hAnsi="Times New Roman" w:eastAsia="等线"/>
                <w:szCs w:val="21"/>
                <w:u w:val="single"/>
              </w:rPr>
              <w:t>0.3220</w:t>
            </w:r>
          </w:p>
        </w:tc>
        <w:tc>
          <w:tcPr>
            <w:tcW w:w="1242" w:type="dxa"/>
            <w:shd w:val="clear" w:color="auto" w:fill="auto"/>
            <w:vAlign w:val="center"/>
          </w:tcPr>
          <w:p w14:paraId="22049DD3">
            <w:pPr>
              <w:widowControl/>
              <w:jc w:val="center"/>
              <w:rPr>
                <w:rFonts w:ascii="Times New Roman" w:hAnsi="Times New Roman"/>
                <w:kern w:val="0"/>
                <w:szCs w:val="21"/>
                <w:u w:val="single"/>
              </w:rPr>
            </w:pPr>
            <w:r>
              <w:rPr>
                <w:rFonts w:ascii="Times New Roman" w:hAnsi="Times New Roman" w:eastAsia="等线"/>
                <w:szCs w:val="21"/>
                <w:u w:val="single"/>
              </w:rPr>
              <w:t>0.0716</w:t>
            </w:r>
          </w:p>
        </w:tc>
        <w:tc>
          <w:tcPr>
            <w:tcW w:w="1242" w:type="dxa"/>
            <w:shd w:val="clear" w:color="auto" w:fill="auto"/>
            <w:vAlign w:val="center"/>
          </w:tcPr>
          <w:p w14:paraId="262767F1">
            <w:pPr>
              <w:widowControl/>
              <w:jc w:val="center"/>
              <w:rPr>
                <w:rFonts w:ascii="Times New Roman" w:hAnsi="Times New Roman"/>
                <w:kern w:val="0"/>
                <w:szCs w:val="21"/>
                <w:u w:val="single"/>
              </w:rPr>
            </w:pPr>
            <w:r>
              <w:rPr>
                <w:rFonts w:ascii="Times New Roman" w:hAnsi="Times New Roman" w:eastAsia="等线"/>
                <w:szCs w:val="21"/>
                <w:u w:val="single"/>
              </w:rPr>
              <w:t>1.6946</w:t>
            </w:r>
          </w:p>
        </w:tc>
        <w:tc>
          <w:tcPr>
            <w:tcW w:w="1242" w:type="dxa"/>
            <w:shd w:val="clear" w:color="auto" w:fill="auto"/>
            <w:vAlign w:val="center"/>
          </w:tcPr>
          <w:p w14:paraId="50CB5C8B">
            <w:pPr>
              <w:widowControl/>
              <w:jc w:val="center"/>
              <w:rPr>
                <w:rFonts w:ascii="Times New Roman" w:hAnsi="Times New Roman"/>
                <w:kern w:val="0"/>
                <w:szCs w:val="21"/>
                <w:u w:val="single"/>
              </w:rPr>
            </w:pPr>
            <w:r>
              <w:rPr>
                <w:rFonts w:ascii="Times New Roman" w:hAnsi="Times New Roman" w:eastAsia="等线"/>
                <w:szCs w:val="21"/>
                <w:u w:val="single"/>
              </w:rPr>
              <w:t>0.3389</w:t>
            </w:r>
          </w:p>
        </w:tc>
        <w:tc>
          <w:tcPr>
            <w:tcW w:w="1242" w:type="dxa"/>
            <w:shd w:val="clear" w:color="auto" w:fill="auto"/>
            <w:vAlign w:val="center"/>
          </w:tcPr>
          <w:p w14:paraId="24AA3217">
            <w:pPr>
              <w:widowControl/>
              <w:jc w:val="center"/>
              <w:rPr>
                <w:rFonts w:ascii="Times New Roman" w:hAnsi="Times New Roman"/>
                <w:kern w:val="0"/>
                <w:szCs w:val="21"/>
                <w:u w:val="single"/>
              </w:rPr>
            </w:pPr>
            <w:r>
              <w:rPr>
                <w:rFonts w:ascii="Times New Roman" w:hAnsi="Times New Roman" w:eastAsia="等线"/>
                <w:szCs w:val="21"/>
                <w:u w:val="single"/>
              </w:rPr>
              <w:t>9.1997</w:t>
            </w:r>
          </w:p>
        </w:tc>
        <w:tc>
          <w:tcPr>
            <w:tcW w:w="1246" w:type="dxa"/>
            <w:shd w:val="clear" w:color="auto" w:fill="auto"/>
            <w:vAlign w:val="center"/>
          </w:tcPr>
          <w:p w14:paraId="30505DEB">
            <w:pPr>
              <w:widowControl/>
              <w:jc w:val="center"/>
              <w:rPr>
                <w:rFonts w:ascii="Times New Roman" w:hAnsi="Times New Roman"/>
                <w:kern w:val="0"/>
                <w:szCs w:val="21"/>
                <w:u w:val="single"/>
              </w:rPr>
            </w:pPr>
            <w:r>
              <w:rPr>
                <w:rFonts w:ascii="Times New Roman" w:hAnsi="Times New Roman" w:eastAsia="等线"/>
                <w:szCs w:val="21"/>
                <w:u w:val="single"/>
              </w:rPr>
              <w:t>3.6799</w:t>
            </w:r>
          </w:p>
        </w:tc>
      </w:tr>
      <w:tr w14:paraId="050CF1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584" w:type="dxa"/>
            <w:shd w:val="clear" w:color="auto" w:fill="auto"/>
            <w:vAlign w:val="center"/>
          </w:tcPr>
          <w:p w14:paraId="44743F8F">
            <w:pPr>
              <w:widowControl/>
              <w:jc w:val="center"/>
              <w:rPr>
                <w:rFonts w:ascii="Times New Roman" w:hAnsi="Times New Roman"/>
                <w:kern w:val="0"/>
                <w:szCs w:val="21"/>
              </w:rPr>
            </w:pPr>
            <w:r>
              <w:rPr>
                <w:rFonts w:ascii="Times New Roman" w:hAnsi="Times New Roman"/>
                <w:kern w:val="0"/>
                <w:szCs w:val="21"/>
              </w:rPr>
              <w:t>400</w:t>
            </w:r>
          </w:p>
        </w:tc>
        <w:tc>
          <w:tcPr>
            <w:tcW w:w="1242" w:type="dxa"/>
            <w:shd w:val="clear" w:color="auto" w:fill="auto"/>
            <w:vAlign w:val="center"/>
          </w:tcPr>
          <w:p w14:paraId="3AB718E2">
            <w:pPr>
              <w:widowControl/>
              <w:jc w:val="center"/>
              <w:rPr>
                <w:rFonts w:ascii="Times New Roman" w:hAnsi="Times New Roman"/>
                <w:kern w:val="0"/>
                <w:szCs w:val="21"/>
                <w:u w:val="single"/>
              </w:rPr>
            </w:pPr>
            <w:r>
              <w:rPr>
                <w:rFonts w:ascii="Times New Roman" w:hAnsi="Times New Roman" w:eastAsia="等线"/>
                <w:szCs w:val="21"/>
                <w:u w:val="single"/>
              </w:rPr>
              <w:t>0.2940</w:t>
            </w:r>
          </w:p>
        </w:tc>
        <w:tc>
          <w:tcPr>
            <w:tcW w:w="1242" w:type="dxa"/>
            <w:shd w:val="clear" w:color="auto" w:fill="auto"/>
            <w:vAlign w:val="center"/>
          </w:tcPr>
          <w:p w14:paraId="1D4257F7">
            <w:pPr>
              <w:widowControl/>
              <w:jc w:val="center"/>
              <w:rPr>
                <w:rFonts w:ascii="Times New Roman" w:hAnsi="Times New Roman"/>
                <w:kern w:val="0"/>
                <w:szCs w:val="21"/>
                <w:u w:val="single"/>
              </w:rPr>
            </w:pPr>
            <w:r>
              <w:rPr>
                <w:rFonts w:ascii="Times New Roman" w:hAnsi="Times New Roman" w:eastAsia="等线"/>
                <w:szCs w:val="21"/>
                <w:u w:val="single"/>
              </w:rPr>
              <w:t>0.0653</w:t>
            </w:r>
          </w:p>
        </w:tc>
        <w:tc>
          <w:tcPr>
            <w:tcW w:w="1242" w:type="dxa"/>
            <w:shd w:val="clear" w:color="auto" w:fill="auto"/>
            <w:vAlign w:val="center"/>
          </w:tcPr>
          <w:p w14:paraId="15356B9C">
            <w:pPr>
              <w:widowControl/>
              <w:jc w:val="center"/>
              <w:rPr>
                <w:rFonts w:ascii="Times New Roman" w:hAnsi="Times New Roman"/>
                <w:kern w:val="0"/>
                <w:szCs w:val="21"/>
                <w:u w:val="single"/>
              </w:rPr>
            </w:pPr>
            <w:r>
              <w:rPr>
                <w:rFonts w:ascii="Times New Roman" w:hAnsi="Times New Roman" w:eastAsia="等线"/>
                <w:szCs w:val="21"/>
                <w:u w:val="single"/>
              </w:rPr>
              <w:t>1.5471</w:t>
            </w:r>
          </w:p>
        </w:tc>
        <w:tc>
          <w:tcPr>
            <w:tcW w:w="1242" w:type="dxa"/>
            <w:shd w:val="clear" w:color="auto" w:fill="auto"/>
            <w:vAlign w:val="center"/>
          </w:tcPr>
          <w:p w14:paraId="3D6E0116">
            <w:pPr>
              <w:widowControl/>
              <w:jc w:val="center"/>
              <w:rPr>
                <w:rFonts w:ascii="Times New Roman" w:hAnsi="Times New Roman"/>
                <w:kern w:val="0"/>
                <w:szCs w:val="21"/>
                <w:u w:val="single"/>
              </w:rPr>
            </w:pPr>
            <w:r>
              <w:rPr>
                <w:rFonts w:ascii="Times New Roman" w:hAnsi="Times New Roman" w:eastAsia="等线"/>
                <w:szCs w:val="21"/>
                <w:u w:val="single"/>
              </w:rPr>
              <w:t>0.3094</w:t>
            </w:r>
          </w:p>
        </w:tc>
        <w:tc>
          <w:tcPr>
            <w:tcW w:w="1242" w:type="dxa"/>
            <w:shd w:val="clear" w:color="auto" w:fill="auto"/>
            <w:vAlign w:val="center"/>
          </w:tcPr>
          <w:p w14:paraId="402C726C">
            <w:pPr>
              <w:widowControl/>
              <w:jc w:val="center"/>
              <w:rPr>
                <w:rFonts w:ascii="Times New Roman" w:hAnsi="Times New Roman"/>
                <w:kern w:val="0"/>
                <w:szCs w:val="21"/>
                <w:u w:val="single"/>
              </w:rPr>
            </w:pPr>
            <w:r>
              <w:rPr>
                <w:rFonts w:ascii="Times New Roman" w:hAnsi="Times New Roman" w:eastAsia="等线"/>
                <w:szCs w:val="21"/>
                <w:u w:val="single"/>
              </w:rPr>
              <w:t>8.3989</w:t>
            </w:r>
          </w:p>
        </w:tc>
        <w:tc>
          <w:tcPr>
            <w:tcW w:w="1246" w:type="dxa"/>
            <w:shd w:val="clear" w:color="auto" w:fill="auto"/>
            <w:vAlign w:val="center"/>
          </w:tcPr>
          <w:p w14:paraId="042E7361">
            <w:pPr>
              <w:widowControl/>
              <w:jc w:val="center"/>
              <w:rPr>
                <w:rFonts w:ascii="Times New Roman" w:hAnsi="Times New Roman"/>
                <w:kern w:val="0"/>
                <w:szCs w:val="21"/>
                <w:u w:val="single"/>
              </w:rPr>
            </w:pPr>
            <w:r>
              <w:rPr>
                <w:rFonts w:ascii="Times New Roman" w:hAnsi="Times New Roman" w:eastAsia="等线"/>
                <w:szCs w:val="21"/>
                <w:u w:val="single"/>
              </w:rPr>
              <w:t>3.3595</w:t>
            </w:r>
          </w:p>
        </w:tc>
      </w:tr>
      <w:tr w14:paraId="5E40D6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584" w:type="dxa"/>
            <w:shd w:val="clear" w:color="auto" w:fill="auto"/>
            <w:vAlign w:val="center"/>
          </w:tcPr>
          <w:p w14:paraId="5C88955A">
            <w:pPr>
              <w:widowControl/>
              <w:jc w:val="center"/>
              <w:rPr>
                <w:rFonts w:ascii="Times New Roman" w:hAnsi="Times New Roman"/>
                <w:kern w:val="0"/>
                <w:szCs w:val="21"/>
              </w:rPr>
            </w:pPr>
            <w:r>
              <w:rPr>
                <w:rFonts w:ascii="Times New Roman" w:hAnsi="Times New Roman"/>
                <w:kern w:val="0"/>
                <w:szCs w:val="21"/>
              </w:rPr>
              <w:t>500</w:t>
            </w:r>
          </w:p>
        </w:tc>
        <w:tc>
          <w:tcPr>
            <w:tcW w:w="1242" w:type="dxa"/>
            <w:shd w:val="clear" w:color="auto" w:fill="auto"/>
            <w:vAlign w:val="center"/>
          </w:tcPr>
          <w:p w14:paraId="7ED693C7">
            <w:pPr>
              <w:widowControl/>
              <w:jc w:val="center"/>
              <w:rPr>
                <w:rFonts w:ascii="Times New Roman" w:hAnsi="Times New Roman"/>
                <w:kern w:val="0"/>
                <w:szCs w:val="21"/>
                <w:u w:val="single"/>
              </w:rPr>
            </w:pPr>
            <w:r>
              <w:rPr>
                <w:rFonts w:ascii="Times New Roman" w:hAnsi="Times New Roman" w:eastAsia="等线"/>
                <w:szCs w:val="21"/>
                <w:u w:val="single"/>
              </w:rPr>
              <w:t>0.2567</w:t>
            </w:r>
          </w:p>
        </w:tc>
        <w:tc>
          <w:tcPr>
            <w:tcW w:w="1242" w:type="dxa"/>
            <w:shd w:val="clear" w:color="auto" w:fill="auto"/>
            <w:vAlign w:val="center"/>
          </w:tcPr>
          <w:p w14:paraId="08F043B0">
            <w:pPr>
              <w:widowControl/>
              <w:jc w:val="center"/>
              <w:rPr>
                <w:rFonts w:ascii="Times New Roman" w:hAnsi="Times New Roman"/>
                <w:kern w:val="0"/>
                <w:szCs w:val="21"/>
                <w:u w:val="single"/>
              </w:rPr>
            </w:pPr>
            <w:r>
              <w:rPr>
                <w:rFonts w:ascii="Times New Roman" w:hAnsi="Times New Roman" w:eastAsia="等线"/>
                <w:szCs w:val="21"/>
                <w:u w:val="single"/>
              </w:rPr>
              <w:t>0.0570</w:t>
            </w:r>
          </w:p>
        </w:tc>
        <w:tc>
          <w:tcPr>
            <w:tcW w:w="1242" w:type="dxa"/>
            <w:shd w:val="clear" w:color="auto" w:fill="auto"/>
            <w:vAlign w:val="center"/>
          </w:tcPr>
          <w:p w14:paraId="04617D4D">
            <w:pPr>
              <w:widowControl/>
              <w:jc w:val="center"/>
              <w:rPr>
                <w:rFonts w:ascii="Times New Roman" w:hAnsi="Times New Roman"/>
                <w:kern w:val="0"/>
                <w:szCs w:val="21"/>
                <w:u w:val="single"/>
              </w:rPr>
            </w:pPr>
            <w:r>
              <w:rPr>
                <w:rFonts w:ascii="Times New Roman" w:hAnsi="Times New Roman" w:eastAsia="等线"/>
                <w:szCs w:val="21"/>
                <w:u w:val="single"/>
              </w:rPr>
              <w:t>1.3509</w:t>
            </w:r>
          </w:p>
        </w:tc>
        <w:tc>
          <w:tcPr>
            <w:tcW w:w="1242" w:type="dxa"/>
            <w:shd w:val="clear" w:color="auto" w:fill="auto"/>
            <w:vAlign w:val="center"/>
          </w:tcPr>
          <w:p w14:paraId="2B109597">
            <w:pPr>
              <w:widowControl/>
              <w:jc w:val="center"/>
              <w:rPr>
                <w:rFonts w:ascii="Times New Roman" w:hAnsi="Times New Roman"/>
                <w:kern w:val="0"/>
                <w:szCs w:val="21"/>
                <w:u w:val="single"/>
              </w:rPr>
            </w:pPr>
            <w:r>
              <w:rPr>
                <w:rFonts w:ascii="Times New Roman" w:hAnsi="Times New Roman" w:eastAsia="等线"/>
                <w:szCs w:val="21"/>
                <w:u w:val="single"/>
              </w:rPr>
              <w:t>0.2702</w:t>
            </w:r>
          </w:p>
        </w:tc>
        <w:tc>
          <w:tcPr>
            <w:tcW w:w="1242" w:type="dxa"/>
            <w:shd w:val="clear" w:color="auto" w:fill="auto"/>
            <w:vAlign w:val="center"/>
          </w:tcPr>
          <w:p w14:paraId="3647988C">
            <w:pPr>
              <w:widowControl/>
              <w:jc w:val="center"/>
              <w:rPr>
                <w:rFonts w:ascii="Times New Roman" w:hAnsi="Times New Roman"/>
                <w:kern w:val="0"/>
                <w:szCs w:val="21"/>
                <w:u w:val="single"/>
              </w:rPr>
            </w:pPr>
            <w:r>
              <w:rPr>
                <w:rFonts w:ascii="Times New Roman" w:hAnsi="Times New Roman" w:eastAsia="等线"/>
                <w:szCs w:val="21"/>
                <w:u w:val="single"/>
              </w:rPr>
              <w:t>7.3340</w:t>
            </w:r>
          </w:p>
        </w:tc>
        <w:tc>
          <w:tcPr>
            <w:tcW w:w="1246" w:type="dxa"/>
            <w:shd w:val="clear" w:color="auto" w:fill="auto"/>
            <w:vAlign w:val="center"/>
          </w:tcPr>
          <w:p w14:paraId="73B412C4">
            <w:pPr>
              <w:widowControl/>
              <w:jc w:val="center"/>
              <w:rPr>
                <w:rFonts w:ascii="Times New Roman" w:hAnsi="Times New Roman"/>
                <w:kern w:val="0"/>
                <w:szCs w:val="21"/>
                <w:u w:val="single"/>
              </w:rPr>
            </w:pPr>
            <w:r>
              <w:rPr>
                <w:rFonts w:ascii="Times New Roman" w:hAnsi="Times New Roman" w:eastAsia="等线"/>
                <w:szCs w:val="21"/>
                <w:u w:val="single"/>
              </w:rPr>
              <w:t>2.9336</w:t>
            </w:r>
          </w:p>
        </w:tc>
      </w:tr>
      <w:tr w14:paraId="35EBB5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584" w:type="dxa"/>
            <w:shd w:val="clear" w:color="auto" w:fill="auto"/>
            <w:vAlign w:val="center"/>
          </w:tcPr>
          <w:p w14:paraId="78672DA2">
            <w:pPr>
              <w:widowControl/>
              <w:jc w:val="center"/>
              <w:rPr>
                <w:rFonts w:ascii="Times New Roman" w:hAnsi="Times New Roman"/>
                <w:kern w:val="0"/>
                <w:szCs w:val="21"/>
              </w:rPr>
            </w:pPr>
            <w:r>
              <w:rPr>
                <w:rFonts w:ascii="Times New Roman" w:hAnsi="Times New Roman"/>
                <w:kern w:val="0"/>
                <w:szCs w:val="21"/>
              </w:rPr>
              <w:t>600</w:t>
            </w:r>
          </w:p>
        </w:tc>
        <w:tc>
          <w:tcPr>
            <w:tcW w:w="1242" w:type="dxa"/>
            <w:shd w:val="clear" w:color="auto" w:fill="auto"/>
            <w:vAlign w:val="center"/>
          </w:tcPr>
          <w:p w14:paraId="294E9365">
            <w:pPr>
              <w:widowControl/>
              <w:jc w:val="center"/>
              <w:rPr>
                <w:rFonts w:ascii="Times New Roman" w:hAnsi="Times New Roman"/>
                <w:kern w:val="0"/>
                <w:szCs w:val="21"/>
                <w:u w:val="single"/>
              </w:rPr>
            </w:pPr>
            <w:r>
              <w:rPr>
                <w:rFonts w:ascii="Times New Roman" w:hAnsi="Times New Roman" w:eastAsia="等线"/>
                <w:szCs w:val="21"/>
                <w:u w:val="single"/>
              </w:rPr>
              <w:t>0.2227</w:t>
            </w:r>
          </w:p>
        </w:tc>
        <w:tc>
          <w:tcPr>
            <w:tcW w:w="1242" w:type="dxa"/>
            <w:shd w:val="clear" w:color="auto" w:fill="auto"/>
            <w:vAlign w:val="center"/>
          </w:tcPr>
          <w:p w14:paraId="467940C3">
            <w:pPr>
              <w:widowControl/>
              <w:jc w:val="center"/>
              <w:rPr>
                <w:rFonts w:ascii="Times New Roman" w:hAnsi="Times New Roman"/>
                <w:kern w:val="0"/>
                <w:szCs w:val="21"/>
                <w:u w:val="single"/>
              </w:rPr>
            </w:pPr>
            <w:r>
              <w:rPr>
                <w:rFonts w:ascii="Times New Roman" w:hAnsi="Times New Roman" w:eastAsia="等线"/>
                <w:szCs w:val="21"/>
                <w:u w:val="single"/>
              </w:rPr>
              <w:t>0.0495</w:t>
            </w:r>
          </w:p>
        </w:tc>
        <w:tc>
          <w:tcPr>
            <w:tcW w:w="1242" w:type="dxa"/>
            <w:shd w:val="clear" w:color="auto" w:fill="auto"/>
            <w:vAlign w:val="center"/>
          </w:tcPr>
          <w:p w14:paraId="34B66616">
            <w:pPr>
              <w:widowControl/>
              <w:jc w:val="center"/>
              <w:rPr>
                <w:rFonts w:ascii="Times New Roman" w:hAnsi="Times New Roman"/>
                <w:kern w:val="0"/>
                <w:szCs w:val="21"/>
                <w:u w:val="single"/>
              </w:rPr>
            </w:pPr>
            <w:r>
              <w:rPr>
                <w:rFonts w:ascii="Times New Roman" w:hAnsi="Times New Roman" w:eastAsia="等线"/>
                <w:szCs w:val="21"/>
                <w:u w:val="single"/>
              </w:rPr>
              <w:t>1.1720</w:t>
            </w:r>
          </w:p>
        </w:tc>
        <w:tc>
          <w:tcPr>
            <w:tcW w:w="1242" w:type="dxa"/>
            <w:shd w:val="clear" w:color="auto" w:fill="auto"/>
            <w:vAlign w:val="center"/>
          </w:tcPr>
          <w:p w14:paraId="54772D63">
            <w:pPr>
              <w:widowControl/>
              <w:jc w:val="center"/>
              <w:rPr>
                <w:rFonts w:ascii="Times New Roman" w:hAnsi="Times New Roman"/>
                <w:kern w:val="0"/>
                <w:szCs w:val="21"/>
                <w:u w:val="single"/>
              </w:rPr>
            </w:pPr>
            <w:r>
              <w:rPr>
                <w:rFonts w:ascii="Times New Roman" w:hAnsi="Times New Roman" w:eastAsia="等线"/>
                <w:szCs w:val="21"/>
                <w:u w:val="single"/>
              </w:rPr>
              <w:t>0.2344</w:t>
            </w:r>
          </w:p>
        </w:tc>
        <w:tc>
          <w:tcPr>
            <w:tcW w:w="1242" w:type="dxa"/>
            <w:shd w:val="clear" w:color="auto" w:fill="auto"/>
            <w:vAlign w:val="center"/>
          </w:tcPr>
          <w:p w14:paraId="7B150F2B">
            <w:pPr>
              <w:widowControl/>
              <w:jc w:val="center"/>
              <w:rPr>
                <w:rFonts w:ascii="Times New Roman" w:hAnsi="Times New Roman"/>
                <w:kern w:val="0"/>
                <w:szCs w:val="21"/>
                <w:u w:val="single"/>
              </w:rPr>
            </w:pPr>
            <w:r>
              <w:rPr>
                <w:rFonts w:ascii="Times New Roman" w:hAnsi="Times New Roman" w:eastAsia="等线"/>
                <w:szCs w:val="21"/>
                <w:u w:val="single"/>
              </w:rPr>
              <w:t>6.3629</w:t>
            </w:r>
          </w:p>
        </w:tc>
        <w:tc>
          <w:tcPr>
            <w:tcW w:w="1246" w:type="dxa"/>
            <w:shd w:val="clear" w:color="auto" w:fill="auto"/>
            <w:vAlign w:val="center"/>
          </w:tcPr>
          <w:p w14:paraId="71F3ED83">
            <w:pPr>
              <w:widowControl/>
              <w:jc w:val="center"/>
              <w:rPr>
                <w:rFonts w:ascii="Times New Roman" w:hAnsi="Times New Roman"/>
                <w:kern w:val="0"/>
                <w:szCs w:val="21"/>
                <w:u w:val="single"/>
              </w:rPr>
            </w:pPr>
            <w:r>
              <w:rPr>
                <w:rFonts w:ascii="Times New Roman" w:hAnsi="Times New Roman" w:eastAsia="等线"/>
                <w:szCs w:val="21"/>
                <w:u w:val="single"/>
              </w:rPr>
              <w:t>2.5451</w:t>
            </w:r>
          </w:p>
        </w:tc>
      </w:tr>
      <w:tr w14:paraId="21AEFB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584" w:type="dxa"/>
            <w:shd w:val="clear" w:color="auto" w:fill="auto"/>
            <w:vAlign w:val="center"/>
          </w:tcPr>
          <w:p w14:paraId="2E9AD8CE">
            <w:pPr>
              <w:widowControl/>
              <w:jc w:val="center"/>
              <w:rPr>
                <w:rFonts w:ascii="Times New Roman" w:hAnsi="Times New Roman"/>
                <w:kern w:val="0"/>
                <w:szCs w:val="21"/>
              </w:rPr>
            </w:pPr>
            <w:r>
              <w:rPr>
                <w:rFonts w:ascii="Times New Roman" w:hAnsi="Times New Roman"/>
                <w:kern w:val="0"/>
                <w:szCs w:val="21"/>
              </w:rPr>
              <w:t>700</w:t>
            </w:r>
          </w:p>
        </w:tc>
        <w:tc>
          <w:tcPr>
            <w:tcW w:w="1242" w:type="dxa"/>
            <w:shd w:val="clear" w:color="auto" w:fill="auto"/>
            <w:vAlign w:val="center"/>
          </w:tcPr>
          <w:p w14:paraId="057C2D02">
            <w:pPr>
              <w:widowControl/>
              <w:jc w:val="center"/>
              <w:rPr>
                <w:rFonts w:ascii="Times New Roman" w:hAnsi="Times New Roman"/>
                <w:kern w:val="0"/>
                <w:szCs w:val="21"/>
                <w:u w:val="single"/>
              </w:rPr>
            </w:pPr>
            <w:r>
              <w:rPr>
                <w:rFonts w:ascii="Times New Roman" w:hAnsi="Times New Roman" w:eastAsia="等线"/>
                <w:szCs w:val="21"/>
                <w:u w:val="single"/>
              </w:rPr>
              <w:t>0.1941</w:t>
            </w:r>
          </w:p>
        </w:tc>
        <w:tc>
          <w:tcPr>
            <w:tcW w:w="1242" w:type="dxa"/>
            <w:shd w:val="clear" w:color="auto" w:fill="auto"/>
            <w:vAlign w:val="center"/>
          </w:tcPr>
          <w:p w14:paraId="07D754DC">
            <w:pPr>
              <w:widowControl/>
              <w:jc w:val="center"/>
              <w:rPr>
                <w:rFonts w:ascii="Times New Roman" w:hAnsi="Times New Roman"/>
                <w:kern w:val="0"/>
                <w:szCs w:val="21"/>
                <w:u w:val="single"/>
              </w:rPr>
            </w:pPr>
            <w:r>
              <w:rPr>
                <w:rFonts w:ascii="Times New Roman" w:hAnsi="Times New Roman" w:eastAsia="等线"/>
                <w:szCs w:val="21"/>
                <w:u w:val="single"/>
              </w:rPr>
              <w:t>0.0431</w:t>
            </w:r>
          </w:p>
        </w:tc>
        <w:tc>
          <w:tcPr>
            <w:tcW w:w="1242" w:type="dxa"/>
            <w:shd w:val="clear" w:color="auto" w:fill="auto"/>
            <w:vAlign w:val="center"/>
          </w:tcPr>
          <w:p w14:paraId="6ADF3910">
            <w:pPr>
              <w:widowControl/>
              <w:jc w:val="center"/>
              <w:rPr>
                <w:rFonts w:ascii="Times New Roman" w:hAnsi="Times New Roman"/>
                <w:kern w:val="0"/>
                <w:szCs w:val="21"/>
                <w:u w:val="single"/>
              </w:rPr>
            </w:pPr>
            <w:r>
              <w:rPr>
                <w:rFonts w:ascii="Times New Roman" w:hAnsi="Times New Roman" w:eastAsia="等线"/>
                <w:szCs w:val="21"/>
                <w:u w:val="single"/>
              </w:rPr>
              <w:t>1.0216</w:t>
            </w:r>
          </w:p>
        </w:tc>
        <w:tc>
          <w:tcPr>
            <w:tcW w:w="1242" w:type="dxa"/>
            <w:shd w:val="clear" w:color="auto" w:fill="auto"/>
            <w:vAlign w:val="center"/>
          </w:tcPr>
          <w:p w14:paraId="109CFD0C">
            <w:pPr>
              <w:widowControl/>
              <w:jc w:val="center"/>
              <w:rPr>
                <w:rFonts w:ascii="Times New Roman" w:hAnsi="Times New Roman"/>
                <w:kern w:val="0"/>
                <w:szCs w:val="21"/>
                <w:u w:val="single"/>
              </w:rPr>
            </w:pPr>
            <w:r>
              <w:rPr>
                <w:rFonts w:ascii="Times New Roman" w:hAnsi="Times New Roman" w:eastAsia="等线"/>
                <w:szCs w:val="21"/>
                <w:u w:val="single"/>
              </w:rPr>
              <w:t>0.2043</w:t>
            </w:r>
          </w:p>
        </w:tc>
        <w:tc>
          <w:tcPr>
            <w:tcW w:w="1242" w:type="dxa"/>
            <w:shd w:val="clear" w:color="auto" w:fill="auto"/>
            <w:vAlign w:val="center"/>
          </w:tcPr>
          <w:p w14:paraId="71A46DED">
            <w:pPr>
              <w:widowControl/>
              <w:jc w:val="center"/>
              <w:rPr>
                <w:rFonts w:ascii="Times New Roman" w:hAnsi="Times New Roman"/>
                <w:kern w:val="0"/>
                <w:szCs w:val="21"/>
                <w:u w:val="single"/>
              </w:rPr>
            </w:pPr>
            <w:r>
              <w:rPr>
                <w:rFonts w:ascii="Times New Roman" w:hAnsi="Times New Roman" w:eastAsia="等线"/>
                <w:szCs w:val="21"/>
                <w:u w:val="single"/>
              </w:rPr>
              <w:t>5.5463</w:t>
            </w:r>
          </w:p>
        </w:tc>
        <w:tc>
          <w:tcPr>
            <w:tcW w:w="1246" w:type="dxa"/>
            <w:shd w:val="clear" w:color="auto" w:fill="auto"/>
            <w:vAlign w:val="center"/>
          </w:tcPr>
          <w:p w14:paraId="4C1A229F">
            <w:pPr>
              <w:widowControl/>
              <w:jc w:val="center"/>
              <w:rPr>
                <w:rFonts w:ascii="Times New Roman" w:hAnsi="Times New Roman"/>
                <w:kern w:val="0"/>
                <w:szCs w:val="21"/>
                <w:u w:val="single"/>
              </w:rPr>
            </w:pPr>
            <w:r>
              <w:rPr>
                <w:rFonts w:ascii="Times New Roman" w:hAnsi="Times New Roman" w:eastAsia="等线"/>
                <w:szCs w:val="21"/>
                <w:u w:val="single"/>
              </w:rPr>
              <w:t>2.2185</w:t>
            </w:r>
          </w:p>
        </w:tc>
      </w:tr>
      <w:tr w14:paraId="5C02DC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584" w:type="dxa"/>
            <w:shd w:val="clear" w:color="auto" w:fill="auto"/>
            <w:vAlign w:val="center"/>
          </w:tcPr>
          <w:p w14:paraId="50F7854F">
            <w:pPr>
              <w:widowControl/>
              <w:jc w:val="center"/>
              <w:rPr>
                <w:rFonts w:ascii="Times New Roman" w:hAnsi="Times New Roman"/>
                <w:kern w:val="0"/>
                <w:szCs w:val="21"/>
              </w:rPr>
            </w:pPr>
            <w:r>
              <w:rPr>
                <w:rFonts w:ascii="Times New Roman" w:hAnsi="Times New Roman"/>
                <w:kern w:val="0"/>
                <w:szCs w:val="21"/>
              </w:rPr>
              <w:t>800</w:t>
            </w:r>
          </w:p>
        </w:tc>
        <w:tc>
          <w:tcPr>
            <w:tcW w:w="1242" w:type="dxa"/>
            <w:shd w:val="clear" w:color="auto" w:fill="auto"/>
            <w:vAlign w:val="center"/>
          </w:tcPr>
          <w:p w14:paraId="42C20848">
            <w:pPr>
              <w:widowControl/>
              <w:jc w:val="center"/>
              <w:rPr>
                <w:rFonts w:ascii="Times New Roman" w:hAnsi="Times New Roman"/>
                <w:kern w:val="0"/>
                <w:szCs w:val="21"/>
                <w:u w:val="single"/>
              </w:rPr>
            </w:pPr>
            <w:r>
              <w:rPr>
                <w:rFonts w:ascii="Times New Roman" w:hAnsi="Times New Roman" w:eastAsia="等线"/>
                <w:szCs w:val="21"/>
                <w:u w:val="single"/>
              </w:rPr>
              <w:t>0.1705</w:t>
            </w:r>
          </w:p>
        </w:tc>
        <w:tc>
          <w:tcPr>
            <w:tcW w:w="1242" w:type="dxa"/>
            <w:shd w:val="clear" w:color="auto" w:fill="auto"/>
            <w:vAlign w:val="center"/>
          </w:tcPr>
          <w:p w14:paraId="28C4912B">
            <w:pPr>
              <w:widowControl/>
              <w:jc w:val="center"/>
              <w:rPr>
                <w:rFonts w:ascii="Times New Roman" w:hAnsi="Times New Roman"/>
                <w:kern w:val="0"/>
                <w:szCs w:val="21"/>
                <w:u w:val="single"/>
              </w:rPr>
            </w:pPr>
            <w:r>
              <w:rPr>
                <w:rFonts w:ascii="Times New Roman" w:hAnsi="Times New Roman" w:eastAsia="等线"/>
                <w:szCs w:val="21"/>
                <w:u w:val="single"/>
              </w:rPr>
              <w:t>0.0379</w:t>
            </w:r>
          </w:p>
        </w:tc>
        <w:tc>
          <w:tcPr>
            <w:tcW w:w="1242" w:type="dxa"/>
            <w:shd w:val="clear" w:color="auto" w:fill="auto"/>
            <w:vAlign w:val="center"/>
          </w:tcPr>
          <w:p w14:paraId="1801DE63">
            <w:pPr>
              <w:widowControl/>
              <w:jc w:val="center"/>
              <w:rPr>
                <w:rFonts w:ascii="Times New Roman" w:hAnsi="Times New Roman"/>
                <w:kern w:val="0"/>
                <w:szCs w:val="21"/>
                <w:u w:val="single"/>
              </w:rPr>
            </w:pPr>
            <w:r>
              <w:rPr>
                <w:rFonts w:ascii="Times New Roman" w:hAnsi="Times New Roman" w:eastAsia="等线"/>
                <w:szCs w:val="21"/>
                <w:u w:val="single"/>
              </w:rPr>
              <w:t>0.8975</w:t>
            </w:r>
          </w:p>
        </w:tc>
        <w:tc>
          <w:tcPr>
            <w:tcW w:w="1242" w:type="dxa"/>
            <w:shd w:val="clear" w:color="auto" w:fill="auto"/>
            <w:vAlign w:val="center"/>
          </w:tcPr>
          <w:p w14:paraId="1ABD458C">
            <w:pPr>
              <w:widowControl/>
              <w:jc w:val="center"/>
              <w:rPr>
                <w:rFonts w:ascii="Times New Roman" w:hAnsi="Times New Roman"/>
                <w:kern w:val="0"/>
                <w:szCs w:val="21"/>
                <w:u w:val="single"/>
              </w:rPr>
            </w:pPr>
            <w:r>
              <w:rPr>
                <w:rFonts w:ascii="Times New Roman" w:hAnsi="Times New Roman" w:eastAsia="等线"/>
                <w:szCs w:val="21"/>
                <w:u w:val="single"/>
              </w:rPr>
              <w:t>0.1795</w:t>
            </w:r>
          </w:p>
        </w:tc>
        <w:tc>
          <w:tcPr>
            <w:tcW w:w="1242" w:type="dxa"/>
            <w:shd w:val="clear" w:color="auto" w:fill="auto"/>
            <w:vAlign w:val="center"/>
          </w:tcPr>
          <w:p w14:paraId="6A21CD92">
            <w:pPr>
              <w:widowControl/>
              <w:jc w:val="center"/>
              <w:rPr>
                <w:rFonts w:ascii="Times New Roman" w:hAnsi="Times New Roman"/>
                <w:kern w:val="0"/>
                <w:szCs w:val="21"/>
                <w:u w:val="single"/>
              </w:rPr>
            </w:pPr>
            <w:r>
              <w:rPr>
                <w:rFonts w:ascii="Times New Roman" w:hAnsi="Times New Roman" w:eastAsia="等线"/>
                <w:szCs w:val="21"/>
                <w:u w:val="single"/>
              </w:rPr>
              <w:t>4.8726</w:t>
            </w:r>
          </w:p>
        </w:tc>
        <w:tc>
          <w:tcPr>
            <w:tcW w:w="1246" w:type="dxa"/>
            <w:shd w:val="clear" w:color="auto" w:fill="auto"/>
            <w:vAlign w:val="center"/>
          </w:tcPr>
          <w:p w14:paraId="2DD83F58">
            <w:pPr>
              <w:widowControl/>
              <w:jc w:val="center"/>
              <w:rPr>
                <w:rFonts w:ascii="Times New Roman" w:hAnsi="Times New Roman"/>
                <w:kern w:val="0"/>
                <w:szCs w:val="21"/>
                <w:u w:val="single"/>
              </w:rPr>
            </w:pPr>
            <w:r>
              <w:rPr>
                <w:rFonts w:ascii="Times New Roman" w:hAnsi="Times New Roman" w:eastAsia="等线"/>
                <w:szCs w:val="21"/>
                <w:u w:val="single"/>
              </w:rPr>
              <w:t>1.9490</w:t>
            </w:r>
          </w:p>
        </w:tc>
      </w:tr>
      <w:tr w14:paraId="694C90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584" w:type="dxa"/>
            <w:shd w:val="clear" w:color="auto" w:fill="auto"/>
            <w:vAlign w:val="center"/>
          </w:tcPr>
          <w:p w14:paraId="74D6AECD">
            <w:pPr>
              <w:widowControl/>
              <w:jc w:val="center"/>
              <w:rPr>
                <w:rFonts w:ascii="Times New Roman" w:hAnsi="Times New Roman"/>
                <w:kern w:val="0"/>
                <w:szCs w:val="21"/>
              </w:rPr>
            </w:pPr>
            <w:r>
              <w:rPr>
                <w:rFonts w:ascii="Times New Roman" w:hAnsi="Times New Roman"/>
                <w:kern w:val="0"/>
                <w:szCs w:val="21"/>
              </w:rPr>
              <w:t>900</w:t>
            </w:r>
          </w:p>
        </w:tc>
        <w:tc>
          <w:tcPr>
            <w:tcW w:w="1242" w:type="dxa"/>
            <w:shd w:val="clear" w:color="auto" w:fill="auto"/>
            <w:vAlign w:val="center"/>
          </w:tcPr>
          <w:p w14:paraId="6AFCF604">
            <w:pPr>
              <w:widowControl/>
              <w:jc w:val="center"/>
              <w:rPr>
                <w:rFonts w:ascii="Times New Roman" w:hAnsi="Times New Roman"/>
                <w:kern w:val="0"/>
                <w:szCs w:val="21"/>
                <w:u w:val="single"/>
              </w:rPr>
            </w:pPr>
            <w:r>
              <w:rPr>
                <w:rFonts w:ascii="Times New Roman" w:hAnsi="Times New Roman" w:eastAsia="等线"/>
                <w:szCs w:val="21"/>
                <w:u w:val="single"/>
              </w:rPr>
              <w:t>0.1511</w:t>
            </w:r>
          </w:p>
        </w:tc>
        <w:tc>
          <w:tcPr>
            <w:tcW w:w="1242" w:type="dxa"/>
            <w:shd w:val="clear" w:color="auto" w:fill="auto"/>
            <w:vAlign w:val="center"/>
          </w:tcPr>
          <w:p w14:paraId="0576E7ED">
            <w:pPr>
              <w:widowControl/>
              <w:jc w:val="center"/>
              <w:rPr>
                <w:rFonts w:ascii="Times New Roman" w:hAnsi="Times New Roman"/>
                <w:kern w:val="0"/>
                <w:szCs w:val="21"/>
                <w:u w:val="single"/>
              </w:rPr>
            </w:pPr>
            <w:r>
              <w:rPr>
                <w:rFonts w:ascii="Times New Roman" w:hAnsi="Times New Roman" w:eastAsia="等线"/>
                <w:szCs w:val="21"/>
                <w:u w:val="single"/>
              </w:rPr>
              <w:t>0.0336</w:t>
            </w:r>
          </w:p>
        </w:tc>
        <w:tc>
          <w:tcPr>
            <w:tcW w:w="1242" w:type="dxa"/>
            <w:shd w:val="clear" w:color="auto" w:fill="auto"/>
            <w:vAlign w:val="center"/>
          </w:tcPr>
          <w:p w14:paraId="3DAC14F0">
            <w:pPr>
              <w:widowControl/>
              <w:jc w:val="center"/>
              <w:rPr>
                <w:rFonts w:ascii="Times New Roman" w:hAnsi="Times New Roman"/>
                <w:kern w:val="0"/>
                <w:szCs w:val="21"/>
                <w:u w:val="single"/>
              </w:rPr>
            </w:pPr>
            <w:r>
              <w:rPr>
                <w:rFonts w:ascii="Times New Roman" w:hAnsi="Times New Roman" w:eastAsia="等线"/>
                <w:szCs w:val="21"/>
                <w:u w:val="single"/>
              </w:rPr>
              <w:t>0.7952</w:t>
            </w:r>
          </w:p>
        </w:tc>
        <w:tc>
          <w:tcPr>
            <w:tcW w:w="1242" w:type="dxa"/>
            <w:shd w:val="clear" w:color="auto" w:fill="auto"/>
            <w:vAlign w:val="center"/>
          </w:tcPr>
          <w:p w14:paraId="0DAC0A9D">
            <w:pPr>
              <w:widowControl/>
              <w:jc w:val="center"/>
              <w:rPr>
                <w:rFonts w:ascii="Times New Roman" w:hAnsi="Times New Roman"/>
                <w:kern w:val="0"/>
                <w:szCs w:val="21"/>
                <w:u w:val="single"/>
              </w:rPr>
            </w:pPr>
            <w:r>
              <w:rPr>
                <w:rFonts w:ascii="Times New Roman" w:hAnsi="Times New Roman" w:eastAsia="等线"/>
                <w:szCs w:val="21"/>
                <w:u w:val="single"/>
              </w:rPr>
              <w:t>0.1590</w:t>
            </w:r>
          </w:p>
        </w:tc>
        <w:tc>
          <w:tcPr>
            <w:tcW w:w="1242" w:type="dxa"/>
            <w:shd w:val="clear" w:color="auto" w:fill="auto"/>
            <w:vAlign w:val="center"/>
          </w:tcPr>
          <w:p w14:paraId="1C1FF132">
            <w:pPr>
              <w:widowControl/>
              <w:jc w:val="center"/>
              <w:rPr>
                <w:rFonts w:ascii="Times New Roman" w:hAnsi="Times New Roman"/>
                <w:kern w:val="0"/>
                <w:szCs w:val="21"/>
                <w:u w:val="single"/>
              </w:rPr>
            </w:pPr>
            <w:r>
              <w:rPr>
                <w:rFonts w:ascii="Times New Roman" w:hAnsi="Times New Roman" w:eastAsia="等线"/>
                <w:szCs w:val="21"/>
                <w:u w:val="single"/>
              </w:rPr>
              <w:t>4.3171</w:t>
            </w:r>
          </w:p>
        </w:tc>
        <w:tc>
          <w:tcPr>
            <w:tcW w:w="1246" w:type="dxa"/>
            <w:shd w:val="clear" w:color="auto" w:fill="auto"/>
            <w:vAlign w:val="center"/>
          </w:tcPr>
          <w:p w14:paraId="1074BB92">
            <w:pPr>
              <w:widowControl/>
              <w:jc w:val="center"/>
              <w:rPr>
                <w:rFonts w:ascii="Times New Roman" w:hAnsi="Times New Roman"/>
                <w:kern w:val="0"/>
                <w:szCs w:val="21"/>
                <w:u w:val="single"/>
              </w:rPr>
            </w:pPr>
            <w:r>
              <w:rPr>
                <w:rFonts w:ascii="Times New Roman" w:hAnsi="Times New Roman" w:eastAsia="等线"/>
                <w:szCs w:val="21"/>
                <w:u w:val="single"/>
              </w:rPr>
              <w:t>1.7269</w:t>
            </w:r>
          </w:p>
        </w:tc>
      </w:tr>
      <w:tr w14:paraId="6BBBC5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584" w:type="dxa"/>
            <w:shd w:val="clear" w:color="auto" w:fill="auto"/>
            <w:vAlign w:val="center"/>
          </w:tcPr>
          <w:p w14:paraId="39525A1F">
            <w:pPr>
              <w:widowControl/>
              <w:jc w:val="center"/>
              <w:rPr>
                <w:rFonts w:ascii="Times New Roman" w:hAnsi="Times New Roman"/>
                <w:kern w:val="0"/>
                <w:szCs w:val="21"/>
              </w:rPr>
            </w:pPr>
            <w:r>
              <w:rPr>
                <w:rFonts w:ascii="Times New Roman" w:hAnsi="Times New Roman"/>
                <w:kern w:val="0"/>
                <w:szCs w:val="21"/>
              </w:rPr>
              <w:t>1000</w:t>
            </w:r>
          </w:p>
        </w:tc>
        <w:tc>
          <w:tcPr>
            <w:tcW w:w="1242" w:type="dxa"/>
            <w:shd w:val="clear" w:color="auto" w:fill="auto"/>
            <w:vAlign w:val="center"/>
          </w:tcPr>
          <w:p w14:paraId="27583C7E">
            <w:pPr>
              <w:widowControl/>
              <w:jc w:val="center"/>
              <w:rPr>
                <w:rFonts w:ascii="Times New Roman" w:hAnsi="Times New Roman"/>
                <w:kern w:val="0"/>
                <w:szCs w:val="21"/>
                <w:u w:val="single"/>
              </w:rPr>
            </w:pPr>
            <w:r>
              <w:rPr>
                <w:rFonts w:ascii="Times New Roman" w:hAnsi="Times New Roman" w:eastAsia="等线"/>
                <w:szCs w:val="21"/>
                <w:u w:val="single"/>
              </w:rPr>
              <w:t>0.1350</w:t>
            </w:r>
          </w:p>
        </w:tc>
        <w:tc>
          <w:tcPr>
            <w:tcW w:w="1242" w:type="dxa"/>
            <w:shd w:val="clear" w:color="auto" w:fill="auto"/>
            <w:vAlign w:val="center"/>
          </w:tcPr>
          <w:p w14:paraId="7F157075">
            <w:pPr>
              <w:widowControl/>
              <w:jc w:val="center"/>
              <w:rPr>
                <w:rFonts w:ascii="Times New Roman" w:hAnsi="Times New Roman"/>
                <w:kern w:val="0"/>
                <w:szCs w:val="21"/>
                <w:u w:val="single"/>
              </w:rPr>
            </w:pPr>
            <w:r>
              <w:rPr>
                <w:rFonts w:ascii="Times New Roman" w:hAnsi="Times New Roman" w:eastAsia="等线"/>
                <w:szCs w:val="21"/>
                <w:u w:val="single"/>
              </w:rPr>
              <w:t>0.0300</w:t>
            </w:r>
          </w:p>
        </w:tc>
        <w:tc>
          <w:tcPr>
            <w:tcW w:w="1242" w:type="dxa"/>
            <w:shd w:val="clear" w:color="auto" w:fill="auto"/>
            <w:vAlign w:val="center"/>
          </w:tcPr>
          <w:p w14:paraId="74882BAA">
            <w:pPr>
              <w:widowControl/>
              <w:jc w:val="center"/>
              <w:rPr>
                <w:rFonts w:ascii="Times New Roman" w:hAnsi="Times New Roman"/>
                <w:kern w:val="0"/>
                <w:szCs w:val="21"/>
                <w:u w:val="single"/>
              </w:rPr>
            </w:pPr>
            <w:r>
              <w:rPr>
                <w:rFonts w:ascii="Times New Roman" w:hAnsi="Times New Roman" w:eastAsia="等线"/>
                <w:szCs w:val="21"/>
                <w:u w:val="single"/>
              </w:rPr>
              <w:t>0.7103</w:t>
            </w:r>
          </w:p>
        </w:tc>
        <w:tc>
          <w:tcPr>
            <w:tcW w:w="1242" w:type="dxa"/>
            <w:shd w:val="clear" w:color="auto" w:fill="auto"/>
            <w:vAlign w:val="center"/>
          </w:tcPr>
          <w:p w14:paraId="27002001">
            <w:pPr>
              <w:widowControl/>
              <w:jc w:val="center"/>
              <w:rPr>
                <w:rFonts w:ascii="Times New Roman" w:hAnsi="Times New Roman"/>
                <w:kern w:val="0"/>
                <w:szCs w:val="21"/>
                <w:u w:val="single"/>
              </w:rPr>
            </w:pPr>
            <w:r>
              <w:rPr>
                <w:rFonts w:ascii="Times New Roman" w:hAnsi="Times New Roman" w:eastAsia="等线"/>
                <w:szCs w:val="21"/>
                <w:u w:val="single"/>
              </w:rPr>
              <w:t>0.1421</w:t>
            </w:r>
          </w:p>
        </w:tc>
        <w:tc>
          <w:tcPr>
            <w:tcW w:w="1242" w:type="dxa"/>
            <w:shd w:val="clear" w:color="auto" w:fill="auto"/>
            <w:vAlign w:val="center"/>
          </w:tcPr>
          <w:p w14:paraId="4AD89AF5">
            <w:pPr>
              <w:widowControl/>
              <w:jc w:val="center"/>
              <w:rPr>
                <w:rFonts w:ascii="Times New Roman" w:hAnsi="Times New Roman"/>
                <w:kern w:val="0"/>
                <w:szCs w:val="21"/>
                <w:u w:val="single"/>
              </w:rPr>
            </w:pPr>
            <w:r>
              <w:rPr>
                <w:rFonts w:ascii="Times New Roman" w:hAnsi="Times New Roman" w:eastAsia="等线"/>
                <w:szCs w:val="21"/>
                <w:u w:val="single"/>
              </w:rPr>
              <w:t>3.8563</w:t>
            </w:r>
          </w:p>
        </w:tc>
        <w:tc>
          <w:tcPr>
            <w:tcW w:w="1246" w:type="dxa"/>
            <w:shd w:val="clear" w:color="auto" w:fill="auto"/>
            <w:vAlign w:val="center"/>
          </w:tcPr>
          <w:p w14:paraId="72BD859D">
            <w:pPr>
              <w:widowControl/>
              <w:jc w:val="center"/>
              <w:rPr>
                <w:rFonts w:ascii="Times New Roman" w:hAnsi="Times New Roman"/>
                <w:kern w:val="0"/>
                <w:szCs w:val="21"/>
                <w:u w:val="single"/>
              </w:rPr>
            </w:pPr>
            <w:r>
              <w:rPr>
                <w:rFonts w:ascii="Times New Roman" w:hAnsi="Times New Roman" w:eastAsia="等线"/>
                <w:szCs w:val="21"/>
                <w:u w:val="single"/>
              </w:rPr>
              <w:t>1.5425</w:t>
            </w:r>
          </w:p>
        </w:tc>
      </w:tr>
      <w:tr w14:paraId="7A1B2C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584" w:type="dxa"/>
            <w:shd w:val="clear" w:color="auto" w:fill="auto"/>
            <w:vAlign w:val="center"/>
          </w:tcPr>
          <w:p w14:paraId="1D8F0E80">
            <w:pPr>
              <w:widowControl/>
              <w:jc w:val="center"/>
              <w:rPr>
                <w:rFonts w:ascii="Times New Roman" w:hAnsi="Times New Roman"/>
                <w:kern w:val="0"/>
                <w:szCs w:val="21"/>
              </w:rPr>
            </w:pPr>
            <w:r>
              <w:rPr>
                <w:rFonts w:ascii="Times New Roman" w:hAnsi="Times New Roman"/>
                <w:kern w:val="0"/>
                <w:szCs w:val="21"/>
              </w:rPr>
              <w:t>1200</w:t>
            </w:r>
          </w:p>
        </w:tc>
        <w:tc>
          <w:tcPr>
            <w:tcW w:w="1242" w:type="dxa"/>
            <w:shd w:val="clear" w:color="auto" w:fill="auto"/>
            <w:vAlign w:val="center"/>
          </w:tcPr>
          <w:p w14:paraId="142C0145">
            <w:pPr>
              <w:widowControl/>
              <w:jc w:val="center"/>
              <w:rPr>
                <w:rFonts w:ascii="Times New Roman" w:hAnsi="Times New Roman"/>
                <w:kern w:val="0"/>
                <w:szCs w:val="21"/>
                <w:u w:val="single"/>
              </w:rPr>
            </w:pPr>
            <w:r>
              <w:rPr>
                <w:rFonts w:ascii="Times New Roman" w:hAnsi="Times New Roman" w:eastAsia="等线"/>
                <w:szCs w:val="21"/>
                <w:u w:val="single"/>
              </w:rPr>
              <w:t>0.1100</w:t>
            </w:r>
          </w:p>
        </w:tc>
        <w:tc>
          <w:tcPr>
            <w:tcW w:w="1242" w:type="dxa"/>
            <w:shd w:val="clear" w:color="auto" w:fill="auto"/>
            <w:vAlign w:val="center"/>
          </w:tcPr>
          <w:p w14:paraId="77397374">
            <w:pPr>
              <w:widowControl/>
              <w:jc w:val="center"/>
              <w:rPr>
                <w:rFonts w:ascii="Times New Roman" w:hAnsi="Times New Roman"/>
                <w:kern w:val="0"/>
                <w:szCs w:val="21"/>
                <w:u w:val="single"/>
              </w:rPr>
            </w:pPr>
            <w:r>
              <w:rPr>
                <w:rFonts w:ascii="Times New Roman" w:hAnsi="Times New Roman" w:eastAsia="等线"/>
                <w:szCs w:val="21"/>
                <w:u w:val="single"/>
              </w:rPr>
              <w:t>0.0244</w:t>
            </w:r>
          </w:p>
        </w:tc>
        <w:tc>
          <w:tcPr>
            <w:tcW w:w="1242" w:type="dxa"/>
            <w:shd w:val="clear" w:color="auto" w:fill="auto"/>
            <w:vAlign w:val="center"/>
          </w:tcPr>
          <w:p w14:paraId="720F1C9A">
            <w:pPr>
              <w:widowControl/>
              <w:jc w:val="center"/>
              <w:rPr>
                <w:rFonts w:ascii="Times New Roman" w:hAnsi="Times New Roman"/>
                <w:kern w:val="0"/>
                <w:szCs w:val="21"/>
                <w:u w:val="single"/>
              </w:rPr>
            </w:pPr>
            <w:r>
              <w:rPr>
                <w:rFonts w:ascii="Times New Roman" w:hAnsi="Times New Roman" w:eastAsia="等线"/>
                <w:szCs w:val="21"/>
                <w:u w:val="single"/>
              </w:rPr>
              <w:t>0.5790</w:t>
            </w:r>
          </w:p>
        </w:tc>
        <w:tc>
          <w:tcPr>
            <w:tcW w:w="1242" w:type="dxa"/>
            <w:shd w:val="clear" w:color="auto" w:fill="auto"/>
            <w:vAlign w:val="center"/>
          </w:tcPr>
          <w:p w14:paraId="48C93CB3">
            <w:pPr>
              <w:widowControl/>
              <w:jc w:val="center"/>
              <w:rPr>
                <w:rFonts w:ascii="Times New Roman" w:hAnsi="Times New Roman"/>
                <w:kern w:val="0"/>
                <w:szCs w:val="21"/>
                <w:u w:val="single"/>
              </w:rPr>
            </w:pPr>
            <w:r>
              <w:rPr>
                <w:rFonts w:ascii="Times New Roman" w:hAnsi="Times New Roman" w:eastAsia="等线"/>
                <w:szCs w:val="21"/>
                <w:u w:val="single"/>
              </w:rPr>
              <w:t>0.1158</w:t>
            </w:r>
          </w:p>
        </w:tc>
        <w:tc>
          <w:tcPr>
            <w:tcW w:w="1242" w:type="dxa"/>
            <w:shd w:val="clear" w:color="auto" w:fill="auto"/>
            <w:vAlign w:val="center"/>
          </w:tcPr>
          <w:p w14:paraId="6B2A8980">
            <w:pPr>
              <w:widowControl/>
              <w:jc w:val="center"/>
              <w:rPr>
                <w:rFonts w:ascii="Times New Roman" w:hAnsi="Times New Roman"/>
                <w:kern w:val="0"/>
                <w:szCs w:val="21"/>
                <w:u w:val="single"/>
              </w:rPr>
            </w:pPr>
            <w:r>
              <w:rPr>
                <w:rFonts w:ascii="Times New Roman" w:hAnsi="Times New Roman" w:eastAsia="等线"/>
                <w:szCs w:val="21"/>
                <w:u w:val="single"/>
              </w:rPr>
              <w:t>3.1434</w:t>
            </w:r>
          </w:p>
        </w:tc>
        <w:tc>
          <w:tcPr>
            <w:tcW w:w="1246" w:type="dxa"/>
            <w:shd w:val="clear" w:color="auto" w:fill="auto"/>
            <w:vAlign w:val="center"/>
          </w:tcPr>
          <w:p w14:paraId="59E9D19C">
            <w:pPr>
              <w:widowControl/>
              <w:jc w:val="center"/>
              <w:rPr>
                <w:rFonts w:ascii="Times New Roman" w:hAnsi="Times New Roman"/>
                <w:kern w:val="0"/>
                <w:szCs w:val="21"/>
                <w:u w:val="single"/>
              </w:rPr>
            </w:pPr>
            <w:r>
              <w:rPr>
                <w:rFonts w:ascii="Times New Roman" w:hAnsi="Times New Roman" w:eastAsia="等线"/>
                <w:szCs w:val="21"/>
                <w:u w:val="single"/>
              </w:rPr>
              <w:t>1.2574</w:t>
            </w:r>
          </w:p>
        </w:tc>
      </w:tr>
      <w:tr w14:paraId="42F6F4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584" w:type="dxa"/>
            <w:shd w:val="clear" w:color="auto" w:fill="auto"/>
            <w:vAlign w:val="center"/>
          </w:tcPr>
          <w:p w14:paraId="7F9694F2">
            <w:pPr>
              <w:widowControl/>
              <w:jc w:val="center"/>
              <w:rPr>
                <w:rFonts w:ascii="Times New Roman" w:hAnsi="Times New Roman"/>
                <w:kern w:val="0"/>
                <w:szCs w:val="21"/>
              </w:rPr>
            </w:pPr>
            <w:r>
              <w:rPr>
                <w:rFonts w:ascii="Times New Roman" w:hAnsi="Times New Roman"/>
                <w:kern w:val="0"/>
                <w:szCs w:val="21"/>
              </w:rPr>
              <w:t>1400</w:t>
            </w:r>
          </w:p>
        </w:tc>
        <w:tc>
          <w:tcPr>
            <w:tcW w:w="1242" w:type="dxa"/>
            <w:shd w:val="clear" w:color="auto" w:fill="auto"/>
            <w:vAlign w:val="center"/>
          </w:tcPr>
          <w:p w14:paraId="4EDD1202">
            <w:pPr>
              <w:widowControl/>
              <w:jc w:val="center"/>
              <w:rPr>
                <w:rFonts w:ascii="Times New Roman" w:hAnsi="Times New Roman"/>
                <w:kern w:val="0"/>
                <w:szCs w:val="21"/>
                <w:u w:val="single"/>
              </w:rPr>
            </w:pPr>
            <w:r>
              <w:rPr>
                <w:rFonts w:ascii="Times New Roman" w:hAnsi="Times New Roman" w:eastAsia="等线"/>
                <w:szCs w:val="21"/>
                <w:u w:val="single"/>
              </w:rPr>
              <w:t>0.0919</w:t>
            </w:r>
          </w:p>
        </w:tc>
        <w:tc>
          <w:tcPr>
            <w:tcW w:w="1242" w:type="dxa"/>
            <w:shd w:val="clear" w:color="auto" w:fill="auto"/>
            <w:vAlign w:val="center"/>
          </w:tcPr>
          <w:p w14:paraId="1208A794">
            <w:pPr>
              <w:widowControl/>
              <w:jc w:val="center"/>
              <w:rPr>
                <w:rFonts w:ascii="Times New Roman" w:hAnsi="Times New Roman"/>
                <w:kern w:val="0"/>
                <w:szCs w:val="21"/>
                <w:u w:val="single"/>
              </w:rPr>
            </w:pPr>
            <w:r>
              <w:rPr>
                <w:rFonts w:ascii="Times New Roman" w:hAnsi="Times New Roman" w:eastAsia="等线"/>
                <w:szCs w:val="21"/>
                <w:u w:val="single"/>
              </w:rPr>
              <w:t>0.0204</w:t>
            </w:r>
          </w:p>
        </w:tc>
        <w:tc>
          <w:tcPr>
            <w:tcW w:w="1242" w:type="dxa"/>
            <w:shd w:val="clear" w:color="auto" w:fill="auto"/>
            <w:vAlign w:val="center"/>
          </w:tcPr>
          <w:p w14:paraId="71118BDD">
            <w:pPr>
              <w:widowControl/>
              <w:jc w:val="center"/>
              <w:rPr>
                <w:rFonts w:ascii="Times New Roman" w:hAnsi="Times New Roman"/>
                <w:kern w:val="0"/>
                <w:szCs w:val="21"/>
                <w:u w:val="single"/>
              </w:rPr>
            </w:pPr>
            <w:r>
              <w:rPr>
                <w:rFonts w:ascii="Times New Roman" w:hAnsi="Times New Roman" w:eastAsia="等线"/>
                <w:szCs w:val="21"/>
                <w:u w:val="single"/>
              </w:rPr>
              <w:t>0.4835</w:t>
            </w:r>
          </w:p>
        </w:tc>
        <w:tc>
          <w:tcPr>
            <w:tcW w:w="1242" w:type="dxa"/>
            <w:shd w:val="clear" w:color="auto" w:fill="auto"/>
            <w:vAlign w:val="center"/>
          </w:tcPr>
          <w:p w14:paraId="492F98D7">
            <w:pPr>
              <w:widowControl/>
              <w:jc w:val="center"/>
              <w:rPr>
                <w:rFonts w:ascii="Times New Roman" w:hAnsi="Times New Roman"/>
                <w:kern w:val="0"/>
                <w:szCs w:val="21"/>
                <w:u w:val="single"/>
              </w:rPr>
            </w:pPr>
            <w:r>
              <w:rPr>
                <w:rFonts w:ascii="Times New Roman" w:hAnsi="Times New Roman" w:eastAsia="等线"/>
                <w:szCs w:val="21"/>
                <w:u w:val="single"/>
              </w:rPr>
              <w:t>0.0967</w:t>
            </w:r>
          </w:p>
        </w:tc>
        <w:tc>
          <w:tcPr>
            <w:tcW w:w="1242" w:type="dxa"/>
            <w:shd w:val="clear" w:color="auto" w:fill="auto"/>
            <w:vAlign w:val="center"/>
          </w:tcPr>
          <w:p w14:paraId="42075E2D">
            <w:pPr>
              <w:widowControl/>
              <w:jc w:val="center"/>
              <w:rPr>
                <w:rFonts w:ascii="Times New Roman" w:hAnsi="Times New Roman"/>
                <w:kern w:val="0"/>
                <w:szCs w:val="21"/>
                <w:u w:val="single"/>
              </w:rPr>
            </w:pPr>
            <w:r>
              <w:rPr>
                <w:rFonts w:ascii="Times New Roman" w:hAnsi="Times New Roman" w:eastAsia="等线"/>
                <w:szCs w:val="21"/>
                <w:u w:val="single"/>
              </w:rPr>
              <w:t>2.6250</w:t>
            </w:r>
          </w:p>
        </w:tc>
        <w:tc>
          <w:tcPr>
            <w:tcW w:w="1246" w:type="dxa"/>
            <w:shd w:val="clear" w:color="auto" w:fill="auto"/>
            <w:vAlign w:val="center"/>
          </w:tcPr>
          <w:p w14:paraId="2FB4B7AB">
            <w:pPr>
              <w:widowControl/>
              <w:jc w:val="center"/>
              <w:rPr>
                <w:rFonts w:ascii="Times New Roman" w:hAnsi="Times New Roman"/>
                <w:kern w:val="0"/>
                <w:szCs w:val="21"/>
                <w:u w:val="single"/>
              </w:rPr>
            </w:pPr>
            <w:r>
              <w:rPr>
                <w:rFonts w:ascii="Times New Roman" w:hAnsi="Times New Roman" w:eastAsia="等线"/>
                <w:szCs w:val="21"/>
                <w:u w:val="single"/>
              </w:rPr>
              <w:t>1.0500</w:t>
            </w:r>
          </w:p>
        </w:tc>
      </w:tr>
      <w:tr w14:paraId="1AA934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584" w:type="dxa"/>
            <w:shd w:val="clear" w:color="auto" w:fill="auto"/>
            <w:vAlign w:val="center"/>
          </w:tcPr>
          <w:p w14:paraId="17095414">
            <w:pPr>
              <w:widowControl/>
              <w:jc w:val="center"/>
              <w:rPr>
                <w:rFonts w:ascii="Times New Roman" w:hAnsi="Times New Roman"/>
                <w:kern w:val="0"/>
                <w:szCs w:val="21"/>
              </w:rPr>
            </w:pPr>
            <w:r>
              <w:rPr>
                <w:rFonts w:ascii="Times New Roman" w:hAnsi="Times New Roman"/>
                <w:kern w:val="0"/>
                <w:szCs w:val="21"/>
              </w:rPr>
              <w:t>1600</w:t>
            </w:r>
          </w:p>
        </w:tc>
        <w:tc>
          <w:tcPr>
            <w:tcW w:w="1242" w:type="dxa"/>
            <w:shd w:val="clear" w:color="auto" w:fill="auto"/>
            <w:vAlign w:val="center"/>
          </w:tcPr>
          <w:p w14:paraId="5BEB30E5">
            <w:pPr>
              <w:widowControl/>
              <w:jc w:val="center"/>
              <w:rPr>
                <w:rFonts w:ascii="Times New Roman" w:hAnsi="Times New Roman"/>
                <w:kern w:val="0"/>
                <w:szCs w:val="21"/>
                <w:u w:val="single"/>
              </w:rPr>
            </w:pPr>
            <w:r>
              <w:rPr>
                <w:rFonts w:ascii="Times New Roman" w:hAnsi="Times New Roman" w:eastAsia="等线"/>
                <w:szCs w:val="21"/>
                <w:u w:val="single"/>
              </w:rPr>
              <w:t>0.0782</w:t>
            </w:r>
          </w:p>
        </w:tc>
        <w:tc>
          <w:tcPr>
            <w:tcW w:w="1242" w:type="dxa"/>
            <w:shd w:val="clear" w:color="auto" w:fill="auto"/>
            <w:vAlign w:val="center"/>
          </w:tcPr>
          <w:p w14:paraId="68BFB2C8">
            <w:pPr>
              <w:widowControl/>
              <w:jc w:val="center"/>
              <w:rPr>
                <w:rFonts w:ascii="Times New Roman" w:hAnsi="Times New Roman"/>
                <w:kern w:val="0"/>
                <w:szCs w:val="21"/>
                <w:u w:val="single"/>
              </w:rPr>
            </w:pPr>
            <w:r>
              <w:rPr>
                <w:rFonts w:ascii="Times New Roman" w:hAnsi="Times New Roman" w:eastAsia="等线"/>
                <w:szCs w:val="21"/>
                <w:u w:val="single"/>
              </w:rPr>
              <w:t>0.0174</w:t>
            </w:r>
          </w:p>
        </w:tc>
        <w:tc>
          <w:tcPr>
            <w:tcW w:w="1242" w:type="dxa"/>
            <w:shd w:val="clear" w:color="auto" w:fill="auto"/>
            <w:vAlign w:val="center"/>
          </w:tcPr>
          <w:p w14:paraId="1D3A8A96">
            <w:pPr>
              <w:widowControl/>
              <w:jc w:val="center"/>
              <w:rPr>
                <w:rFonts w:ascii="Times New Roman" w:hAnsi="Times New Roman"/>
                <w:kern w:val="0"/>
                <w:szCs w:val="21"/>
                <w:u w:val="single"/>
              </w:rPr>
            </w:pPr>
            <w:r>
              <w:rPr>
                <w:rFonts w:ascii="Times New Roman" w:hAnsi="Times New Roman" w:eastAsia="等线"/>
                <w:szCs w:val="21"/>
                <w:u w:val="single"/>
              </w:rPr>
              <w:t>0.4117</w:t>
            </w:r>
          </w:p>
        </w:tc>
        <w:tc>
          <w:tcPr>
            <w:tcW w:w="1242" w:type="dxa"/>
            <w:shd w:val="clear" w:color="auto" w:fill="auto"/>
            <w:vAlign w:val="center"/>
          </w:tcPr>
          <w:p w14:paraId="69E34D7E">
            <w:pPr>
              <w:widowControl/>
              <w:jc w:val="center"/>
              <w:rPr>
                <w:rFonts w:ascii="Times New Roman" w:hAnsi="Times New Roman"/>
                <w:kern w:val="0"/>
                <w:szCs w:val="21"/>
                <w:u w:val="single"/>
              </w:rPr>
            </w:pPr>
            <w:r>
              <w:rPr>
                <w:rFonts w:ascii="Times New Roman" w:hAnsi="Times New Roman" w:eastAsia="等线"/>
                <w:szCs w:val="21"/>
                <w:u w:val="single"/>
              </w:rPr>
              <w:t>0.0823</w:t>
            </w:r>
          </w:p>
        </w:tc>
        <w:tc>
          <w:tcPr>
            <w:tcW w:w="1242" w:type="dxa"/>
            <w:shd w:val="clear" w:color="auto" w:fill="auto"/>
            <w:vAlign w:val="center"/>
          </w:tcPr>
          <w:p w14:paraId="5020D308">
            <w:pPr>
              <w:widowControl/>
              <w:jc w:val="center"/>
              <w:rPr>
                <w:rFonts w:ascii="Times New Roman" w:hAnsi="Times New Roman"/>
                <w:kern w:val="0"/>
                <w:szCs w:val="21"/>
                <w:u w:val="single"/>
              </w:rPr>
            </w:pPr>
            <w:r>
              <w:rPr>
                <w:rFonts w:ascii="Times New Roman" w:hAnsi="Times New Roman" w:eastAsia="等线"/>
                <w:szCs w:val="21"/>
                <w:u w:val="single"/>
              </w:rPr>
              <w:t>2.2351</w:t>
            </w:r>
          </w:p>
        </w:tc>
        <w:tc>
          <w:tcPr>
            <w:tcW w:w="1246" w:type="dxa"/>
            <w:shd w:val="clear" w:color="auto" w:fill="auto"/>
            <w:vAlign w:val="center"/>
          </w:tcPr>
          <w:p w14:paraId="164CC834">
            <w:pPr>
              <w:widowControl/>
              <w:jc w:val="center"/>
              <w:rPr>
                <w:rFonts w:ascii="Times New Roman" w:hAnsi="Times New Roman"/>
                <w:kern w:val="0"/>
                <w:szCs w:val="21"/>
                <w:u w:val="single"/>
              </w:rPr>
            </w:pPr>
            <w:r>
              <w:rPr>
                <w:rFonts w:ascii="Times New Roman" w:hAnsi="Times New Roman" w:eastAsia="等线"/>
                <w:szCs w:val="21"/>
                <w:u w:val="single"/>
              </w:rPr>
              <w:t>0.8941</w:t>
            </w:r>
          </w:p>
        </w:tc>
      </w:tr>
      <w:tr w14:paraId="2796A2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584" w:type="dxa"/>
            <w:shd w:val="clear" w:color="auto" w:fill="auto"/>
            <w:vAlign w:val="center"/>
          </w:tcPr>
          <w:p w14:paraId="68599CFD">
            <w:pPr>
              <w:widowControl/>
              <w:jc w:val="center"/>
              <w:rPr>
                <w:rFonts w:ascii="Times New Roman" w:hAnsi="Times New Roman"/>
                <w:kern w:val="0"/>
                <w:szCs w:val="21"/>
              </w:rPr>
            </w:pPr>
            <w:r>
              <w:rPr>
                <w:rFonts w:ascii="Times New Roman" w:hAnsi="Times New Roman"/>
                <w:kern w:val="0"/>
                <w:szCs w:val="21"/>
              </w:rPr>
              <w:t>1800</w:t>
            </w:r>
          </w:p>
        </w:tc>
        <w:tc>
          <w:tcPr>
            <w:tcW w:w="1242" w:type="dxa"/>
            <w:shd w:val="clear" w:color="auto" w:fill="auto"/>
            <w:vAlign w:val="center"/>
          </w:tcPr>
          <w:p w14:paraId="50E87DAF">
            <w:pPr>
              <w:widowControl/>
              <w:jc w:val="center"/>
              <w:rPr>
                <w:rFonts w:ascii="Times New Roman" w:hAnsi="Times New Roman"/>
                <w:kern w:val="0"/>
                <w:szCs w:val="21"/>
                <w:u w:val="single"/>
              </w:rPr>
            </w:pPr>
            <w:r>
              <w:rPr>
                <w:rFonts w:ascii="Times New Roman" w:hAnsi="Times New Roman" w:eastAsia="等线"/>
                <w:szCs w:val="21"/>
                <w:u w:val="single"/>
              </w:rPr>
              <w:t>0.0677</w:t>
            </w:r>
          </w:p>
        </w:tc>
        <w:tc>
          <w:tcPr>
            <w:tcW w:w="1242" w:type="dxa"/>
            <w:shd w:val="clear" w:color="auto" w:fill="auto"/>
            <w:vAlign w:val="center"/>
          </w:tcPr>
          <w:p w14:paraId="022A925F">
            <w:pPr>
              <w:widowControl/>
              <w:jc w:val="center"/>
              <w:rPr>
                <w:rFonts w:ascii="Times New Roman" w:hAnsi="Times New Roman"/>
                <w:kern w:val="0"/>
                <w:szCs w:val="21"/>
                <w:u w:val="single"/>
              </w:rPr>
            </w:pPr>
            <w:r>
              <w:rPr>
                <w:rFonts w:ascii="Times New Roman" w:hAnsi="Times New Roman" w:eastAsia="等线"/>
                <w:szCs w:val="21"/>
                <w:u w:val="single"/>
              </w:rPr>
              <w:t>0.0150</w:t>
            </w:r>
          </w:p>
        </w:tc>
        <w:tc>
          <w:tcPr>
            <w:tcW w:w="1242" w:type="dxa"/>
            <w:shd w:val="clear" w:color="auto" w:fill="auto"/>
            <w:vAlign w:val="center"/>
          </w:tcPr>
          <w:p w14:paraId="363DFA4A">
            <w:pPr>
              <w:widowControl/>
              <w:jc w:val="center"/>
              <w:rPr>
                <w:rFonts w:ascii="Times New Roman" w:hAnsi="Times New Roman"/>
                <w:kern w:val="0"/>
                <w:szCs w:val="21"/>
                <w:u w:val="single"/>
              </w:rPr>
            </w:pPr>
            <w:r>
              <w:rPr>
                <w:rFonts w:ascii="Times New Roman" w:hAnsi="Times New Roman" w:eastAsia="等线"/>
                <w:szCs w:val="21"/>
                <w:u w:val="single"/>
              </w:rPr>
              <w:t>0.3562</w:t>
            </w:r>
          </w:p>
        </w:tc>
        <w:tc>
          <w:tcPr>
            <w:tcW w:w="1242" w:type="dxa"/>
            <w:shd w:val="clear" w:color="auto" w:fill="auto"/>
            <w:vAlign w:val="center"/>
          </w:tcPr>
          <w:p w14:paraId="02B7B012">
            <w:pPr>
              <w:widowControl/>
              <w:jc w:val="center"/>
              <w:rPr>
                <w:rFonts w:ascii="Times New Roman" w:hAnsi="Times New Roman"/>
                <w:kern w:val="0"/>
                <w:szCs w:val="21"/>
                <w:u w:val="single"/>
              </w:rPr>
            </w:pPr>
            <w:r>
              <w:rPr>
                <w:rFonts w:ascii="Times New Roman" w:hAnsi="Times New Roman" w:eastAsia="等线"/>
                <w:szCs w:val="21"/>
                <w:u w:val="single"/>
              </w:rPr>
              <w:t>0.0712</w:t>
            </w:r>
          </w:p>
        </w:tc>
        <w:tc>
          <w:tcPr>
            <w:tcW w:w="1242" w:type="dxa"/>
            <w:shd w:val="clear" w:color="auto" w:fill="auto"/>
            <w:vAlign w:val="center"/>
          </w:tcPr>
          <w:p w14:paraId="5BEA5C15">
            <w:pPr>
              <w:widowControl/>
              <w:jc w:val="center"/>
              <w:rPr>
                <w:rFonts w:ascii="Times New Roman" w:hAnsi="Times New Roman"/>
                <w:kern w:val="0"/>
                <w:szCs w:val="21"/>
                <w:u w:val="single"/>
              </w:rPr>
            </w:pPr>
            <w:r>
              <w:rPr>
                <w:rFonts w:ascii="Times New Roman" w:hAnsi="Times New Roman" w:eastAsia="等线"/>
                <w:szCs w:val="21"/>
                <w:u w:val="single"/>
              </w:rPr>
              <w:t>1.9336</w:t>
            </w:r>
          </w:p>
        </w:tc>
        <w:tc>
          <w:tcPr>
            <w:tcW w:w="1246" w:type="dxa"/>
            <w:shd w:val="clear" w:color="auto" w:fill="auto"/>
            <w:vAlign w:val="center"/>
          </w:tcPr>
          <w:p w14:paraId="48DB7EA7">
            <w:pPr>
              <w:widowControl/>
              <w:jc w:val="center"/>
              <w:rPr>
                <w:rFonts w:ascii="Times New Roman" w:hAnsi="Times New Roman"/>
                <w:kern w:val="0"/>
                <w:szCs w:val="21"/>
                <w:u w:val="single"/>
              </w:rPr>
            </w:pPr>
            <w:r>
              <w:rPr>
                <w:rFonts w:ascii="Times New Roman" w:hAnsi="Times New Roman" w:eastAsia="等线"/>
                <w:szCs w:val="21"/>
                <w:u w:val="single"/>
              </w:rPr>
              <w:t>0.7735</w:t>
            </w:r>
          </w:p>
        </w:tc>
      </w:tr>
      <w:tr w14:paraId="19B1AA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584" w:type="dxa"/>
            <w:shd w:val="clear" w:color="auto" w:fill="auto"/>
            <w:vAlign w:val="center"/>
          </w:tcPr>
          <w:p w14:paraId="58D7E266">
            <w:pPr>
              <w:widowControl/>
              <w:jc w:val="center"/>
              <w:rPr>
                <w:rFonts w:ascii="Times New Roman" w:hAnsi="Times New Roman"/>
                <w:kern w:val="0"/>
                <w:szCs w:val="21"/>
              </w:rPr>
            </w:pPr>
            <w:r>
              <w:rPr>
                <w:rFonts w:ascii="Times New Roman" w:hAnsi="Times New Roman"/>
                <w:kern w:val="0"/>
                <w:szCs w:val="21"/>
              </w:rPr>
              <w:t>2000</w:t>
            </w:r>
          </w:p>
        </w:tc>
        <w:tc>
          <w:tcPr>
            <w:tcW w:w="1242" w:type="dxa"/>
            <w:shd w:val="clear" w:color="auto" w:fill="auto"/>
            <w:vAlign w:val="center"/>
          </w:tcPr>
          <w:p w14:paraId="6D154549">
            <w:pPr>
              <w:widowControl/>
              <w:jc w:val="center"/>
              <w:rPr>
                <w:rFonts w:ascii="Times New Roman" w:hAnsi="Times New Roman"/>
                <w:kern w:val="0"/>
                <w:szCs w:val="21"/>
                <w:u w:val="single"/>
              </w:rPr>
            </w:pPr>
            <w:r>
              <w:rPr>
                <w:rFonts w:ascii="Times New Roman" w:hAnsi="Times New Roman" w:eastAsia="等线"/>
                <w:szCs w:val="21"/>
                <w:u w:val="single"/>
              </w:rPr>
              <w:t>0.0594</w:t>
            </w:r>
          </w:p>
        </w:tc>
        <w:tc>
          <w:tcPr>
            <w:tcW w:w="1242" w:type="dxa"/>
            <w:shd w:val="clear" w:color="auto" w:fill="auto"/>
            <w:vAlign w:val="center"/>
          </w:tcPr>
          <w:p w14:paraId="640FE060">
            <w:pPr>
              <w:widowControl/>
              <w:jc w:val="center"/>
              <w:rPr>
                <w:rFonts w:ascii="Times New Roman" w:hAnsi="Times New Roman"/>
                <w:kern w:val="0"/>
                <w:szCs w:val="21"/>
                <w:u w:val="single"/>
              </w:rPr>
            </w:pPr>
            <w:r>
              <w:rPr>
                <w:rFonts w:ascii="Times New Roman" w:hAnsi="Times New Roman" w:eastAsia="等线"/>
                <w:szCs w:val="21"/>
                <w:u w:val="single"/>
              </w:rPr>
              <w:t>0.0132</w:t>
            </w:r>
          </w:p>
        </w:tc>
        <w:tc>
          <w:tcPr>
            <w:tcW w:w="1242" w:type="dxa"/>
            <w:shd w:val="clear" w:color="auto" w:fill="auto"/>
            <w:vAlign w:val="center"/>
          </w:tcPr>
          <w:p w14:paraId="501FC194">
            <w:pPr>
              <w:widowControl/>
              <w:jc w:val="center"/>
              <w:rPr>
                <w:rFonts w:ascii="Times New Roman" w:hAnsi="Times New Roman"/>
                <w:kern w:val="0"/>
                <w:szCs w:val="21"/>
                <w:u w:val="single"/>
              </w:rPr>
            </w:pPr>
            <w:r>
              <w:rPr>
                <w:rFonts w:ascii="Times New Roman" w:hAnsi="Times New Roman" w:eastAsia="等线"/>
                <w:szCs w:val="21"/>
                <w:u w:val="single"/>
              </w:rPr>
              <w:t>0.3127</w:t>
            </w:r>
          </w:p>
        </w:tc>
        <w:tc>
          <w:tcPr>
            <w:tcW w:w="1242" w:type="dxa"/>
            <w:shd w:val="clear" w:color="auto" w:fill="auto"/>
            <w:vAlign w:val="center"/>
          </w:tcPr>
          <w:p w14:paraId="6D522A86">
            <w:pPr>
              <w:widowControl/>
              <w:jc w:val="center"/>
              <w:rPr>
                <w:rFonts w:ascii="Times New Roman" w:hAnsi="Times New Roman"/>
                <w:kern w:val="0"/>
                <w:szCs w:val="21"/>
                <w:u w:val="single"/>
              </w:rPr>
            </w:pPr>
            <w:r>
              <w:rPr>
                <w:rFonts w:ascii="Times New Roman" w:hAnsi="Times New Roman" w:eastAsia="等线"/>
                <w:szCs w:val="21"/>
                <w:u w:val="single"/>
              </w:rPr>
              <w:t>0.0625</w:t>
            </w:r>
          </w:p>
        </w:tc>
        <w:tc>
          <w:tcPr>
            <w:tcW w:w="1242" w:type="dxa"/>
            <w:shd w:val="clear" w:color="auto" w:fill="auto"/>
            <w:vAlign w:val="center"/>
          </w:tcPr>
          <w:p w14:paraId="043635C5">
            <w:pPr>
              <w:widowControl/>
              <w:jc w:val="center"/>
              <w:rPr>
                <w:rFonts w:ascii="Times New Roman" w:hAnsi="Times New Roman"/>
                <w:kern w:val="0"/>
                <w:szCs w:val="21"/>
                <w:u w:val="single"/>
              </w:rPr>
            </w:pPr>
            <w:r>
              <w:rPr>
                <w:rFonts w:ascii="Times New Roman" w:hAnsi="Times New Roman" w:eastAsia="等线"/>
                <w:szCs w:val="21"/>
                <w:u w:val="single"/>
              </w:rPr>
              <w:t>1.6978</w:t>
            </w:r>
          </w:p>
        </w:tc>
        <w:tc>
          <w:tcPr>
            <w:tcW w:w="1246" w:type="dxa"/>
            <w:shd w:val="clear" w:color="auto" w:fill="auto"/>
            <w:vAlign w:val="center"/>
          </w:tcPr>
          <w:p w14:paraId="2EB96703">
            <w:pPr>
              <w:widowControl/>
              <w:jc w:val="center"/>
              <w:rPr>
                <w:rFonts w:ascii="Times New Roman" w:hAnsi="Times New Roman"/>
                <w:kern w:val="0"/>
                <w:szCs w:val="21"/>
                <w:u w:val="single"/>
              </w:rPr>
            </w:pPr>
            <w:r>
              <w:rPr>
                <w:rFonts w:ascii="Times New Roman" w:hAnsi="Times New Roman" w:eastAsia="等线"/>
                <w:szCs w:val="21"/>
                <w:u w:val="single"/>
              </w:rPr>
              <w:t>0.6791</w:t>
            </w:r>
          </w:p>
        </w:tc>
      </w:tr>
      <w:tr w14:paraId="4B6D4A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584" w:type="dxa"/>
            <w:shd w:val="clear" w:color="auto" w:fill="auto"/>
            <w:vAlign w:val="center"/>
          </w:tcPr>
          <w:p w14:paraId="4FE76E48">
            <w:pPr>
              <w:widowControl/>
              <w:jc w:val="center"/>
              <w:rPr>
                <w:rFonts w:ascii="Times New Roman" w:hAnsi="Times New Roman"/>
                <w:kern w:val="0"/>
                <w:szCs w:val="21"/>
              </w:rPr>
            </w:pPr>
            <w:r>
              <w:rPr>
                <w:rFonts w:ascii="Times New Roman" w:hAnsi="Times New Roman"/>
                <w:kern w:val="0"/>
                <w:szCs w:val="21"/>
              </w:rPr>
              <w:t>2500</w:t>
            </w:r>
          </w:p>
        </w:tc>
        <w:tc>
          <w:tcPr>
            <w:tcW w:w="1242" w:type="dxa"/>
            <w:shd w:val="clear" w:color="auto" w:fill="auto"/>
            <w:vAlign w:val="center"/>
          </w:tcPr>
          <w:p w14:paraId="7C7EA24F">
            <w:pPr>
              <w:widowControl/>
              <w:jc w:val="center"/>
              <w:rPr>
                <w:rFonts w:ascii="Times New Roman" w:hAnsi="Times New Roman"/>
                <w:kern w:val="0"/>
                <w:szCs w:val="21"/>
                <w:u w:val="single"/>
              </w:rPr>
            </w:pPr>
            <w:r>
              <w:rPr>
                <w:rFonts w:ascii="Times New Roman" w:hAnsi="Times New Roman" w:eastAsia="等线"/>
                <w:szCs w:val="21"/>
                <w:u w:val="single"/>
              </w:rPr>
              <w:t>0.0450</w:t>
            </w:r>
          </w:p>
        </w:tc>
        <w:tc>
          <w:tcPr>
            <w:tcW w:w="1242" w:type="dxa"/>
            <w:shd w:val="clear" w:color="auto" w:fill="auto"/>
            <w:vAlign w:val="center"/>
          </w:tcPr>
          <w:p w14:paraId="2125AEF5">
            <w:pPr>
              <w:widowControl/>
              <w:jc w:val="center"/>
              <w:rPr>
                <w:rFonts w:ascii="Times New Roman" w:hAnsi="Times New Roman"/>
                <w:kern w:val="0"/>
                <w:szCs w:val="21"/>
                <w:u w:val="single"/>
              </w:rPr>
            </w:pPr>
            <w:r>
              <w:rPr>
                <w:rFonts w:ascii="Times New Roman" w:hAnsi="Times New Roman" w:eastAsia="等线"/>
                <w:szCs w:val="21"/>
                <w:u w:val="single"/>
              </w:rPr>
              <w:t>0.0100</w:t>
            </w:r>
          </w:p>
        </w:tc>
        <w:tc>
          <w:tcPr>
            <w:tcW w:w="1242" w:type="dxa"/>
            <w:shd w:val="clear" w:color="auto" w:fill="auto"/>
            <w:vAlign w:val="center"/>
          </w:tcPr>
          <w:p w14:paraId="3DB5A307">
            <w:pPr>
              <w:widowControl/>
              <w:jc w:val="center"/>
              <w:rPr>
                <w:rFonts w:ascii="Times New Roman" w:hAnsi="Times New Roman"/>
                <w:kern w:val="0"/>
                <w:szCs w:val="21"/>
                <w:u w:val="single"/>
              </w:rPr>
            </w:pPr>
            <w:r>
              <w:rPr>
                <w:rFonts w:ascii="Times New Roman" w:hAnsi="Times New Roman" w:eastAsia="等线"/>
                <w:szCs w:val="21"/>
                <w:u w:val="single"/>
              </w:rPr>
              <w:t>0.2368</w:t>
            </w:r>
          </w:p>
        </w:tc>
        <w:tc>
          <w:tcPr>
            <w:tcW w:w="1242" w:type="dxa"/>
            <w:shd w:val="clear" w:color="auto" w:fill="auto"/>
            <w:vAlign w:val="center"/>
          </w:tcPr>
          <w:p w14:paraId="7C3C1BF4">
            <w:pPr>
              <w:widowControl/>
              <w:jc w:val="center"/>
              <w:rPr>
                <w:rFonts w:ascii="Times New Roman" w:hAnsi="Times New Roman"/>
                <w:kern w:val="0"/>
                <w:szCs w:val="21"/>
                <w:u w:val="single"/>
              </w:rPr>
            </w:pPr>
            <w:r>
              <w:rPr>
                <w:rFonts w:ascii="Times New Roman" w:hAnsi="Times New Roman" w:eastAsia="等线"/>
                <w:szCs w:val="21"/>
                <w:u w:val="single"/>
              </w:rPr>
              <w:t>0.0474</w:t>
            </w:r>
          </w:p>
        </w:tc>
        <w:tc>
          <w:tcPr>
            <w:tcW w:w="1242" w:type="dxa"/>
            <w:shd w:val="clear" w:color="auto" w:fill="auto"/>
            <w:vAlign w:val="center"/>
          </w:tcPr>
          <w:p w14:paraId="29096CBB">
            <w:pPr>
              <w:widowControl/>
              <w:jc w:val="center"/>
              <w:rPr>
                <w:rFonts w:ascii="Times New Roman" w:hAnsi="Times New Roman"/>
                <w:kern w:val="0"/>
                <w:szCs w:val="21"/>
                <w:u w:val="single"/>
              </w:rPr>
            </w:pPr>
            <w:r>
              <w:rPr>
                <w:rFonts w:ascii="Times New Roman" w:hAnsi="Times New Roman" w:eastAsia="等线"/>
                <w:szCs w:val="21"/>
                <w:u w:val="single"/>
              </w:rPr>
              <w:t>1.2857</w:t>
            </w:r>
          </w:p>
        </w:tc>
        <w:tc>
          <w:tcPr>
            <w:tcW w:w="1246" w:type="dxa"/>
            <w:shd w:val="clear" w:color="auto" w:fill="auto"/>
            <w:vAlign w:val="center"/>
          </w:tcPr>
          <w:p w14:paraId="699D1CF8">
            <w:pPr>
              <w:widowControl/>
              <w:jc w:val="center"/>
              <w:rPr>
                <w:rFonts w:ascii="Times New Roman" w:hAnsi="Times New Roman"/>
                <w:kern w:val="0"/>
                <w:szCs w:val="21"/>
                <w:u w:val="single"/>
              </w:rPr>
            </w:pPr>
            <w:r>
              <w:rPr>
                <w:rFonts w:ascii="Times New Roman" w:hAnsi="Times New Roman" w:eastAsia="等线"/>
                <w:szCs w:val="21"/>
                <w:u w:val="single"/>
              </w:rPr>
              <w:t>0.5143</w:t>
            </w:r>
          </w:p>
        </w:tc>
      </w:tr>
      <w:tr w14:paraId="62113B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584" w:type="dxa"/>
            <w:shd w:val="clear" w:color="auto" w:fill="auto"/>
            <w:vAlign w:val="center"/>
          </w:tcPr>
          <w:p w14:paraId="3AD12796">
            <w:pPr>
              <w:widowControl/>
              <w:jc w:val="center"/>
              <w:rPr>
                <w:rFonts w:ascii="Times New Roman" w:hAnsi="Times New Roman"/>
                <w:kern w:val="0"/>
                <w:szCs w:val="21"/>
              </w:rPr>
            </w:pPr>
            <w:r>
              <w:rPr>
                <w:rFonts w:ascii="Times New Roman" w:hAnsi="Times New Roman"/>
                <w:kern w:val="0"/>
                <w:szCs w:val="21"/>
              </w:rPr>
              <w:t>3000</w:t>
            </w:r>
          </w:p>
        </w:tc>
        <w:tc>
          <w:tcPr>
            <w:tcW w:w="1242" w:type="dxa"/>
            <w:shd w:val="clear" w:color="auto" w:fill="auto"/>
            <w:vAlign w:val="center"/>
          </w:tcPr>
          <w:p w14:paraId="04E879B7">
            <w:pPr>
              <w:widowControl/>
              <w:jc w:val="center"/>
              <w:rPr>
                <w:rFonts w:ascii="Times New Roman" w:hAnsi="Times New Roman"/>
                <w:kern w:val="0"/>
                <w:szCs w:val="21"/>
                <w:u w:val="single"/>
              </w:rPr>
            </w:pPr>
            <w:r>
              <w:rPr>
                <w:rFonts w:ascii="Times New Roman" w:hAnsi="Times New Roman" w:eastAsia="等线"/>
                <w:szCs w:val="21"/>
                <w:u w:val="single"/>
              </w:rPr>
              <w:t>0.0358</w:t>
            </w:r>
          </w:p>
        </w:tc>
        <w:tc>
          <w:tcPr>
            <w:tcW w:w="1242" w:type="dxa"/>
            <w:shd w:val="clear" w:color="auto" w:fill="auto"/>
            <w:vAlign w:val="center"/>
          </w:tcPr>
          <w:p w14:paraId="65921B40">
            <w:pPr>
              <w:widowControl/>
              <w:jc w:val="center"/>
              <w:rPr>
                <w:rFonts w:ascii="Times New Roman" w:hAnsi="Times New Roman"/>
                <w:kern w:val="0"/>
                <w:szCs w:val="21"/>
                <w:u w:val="single"/>
              </w:rPr>
            </w:pPr>
            <w:r>
              <w:rPr>
                <w:rFonts w:ascii="Times New Roman" w:hAnsi="Times New Roman" w:eastAsia="等线"/>
                <w:szCs w:val="21"/>
                <w:u w:val="single"/>
              </w:rPr>
              <w:t>0.0079</w:t>
            </w:r>
          </w:p>
        </w:tc>
        <w:tc>
          <w:tcPr>
            <w:tcW w:w="1242" w:type="dxa"/>
            <w:shd w:val="clear" w:color="auto" w:fill="auto"/>
            <w:vAlign w:val="center"/>
          </w:tcPr>
          <w:p w14:paraId="312C41D0">
            <w:pPr>
              <w:widowControl/>
              <w:jc w:val="center"/>
              <w:rPr>
                <w:rFonts w:ascii="Times New Roman" w:hAnsi="Times New Roman"/>
                <w:kern w:val="0"/>
                <w:szCs w:val="21"/>
                <w:u w:val="single"/>
              </w:rPr>
            </w:pPr>
            <w:r>
              <w:rPr>
                <w:rFonts w:ascii="Times New Roman" w:hAnsi="Times New Roman" w:eastAsia="等线"/>
                <w:szCs w:val="21"/>
                <w:u w:val="single"/>
              </w:rPr>
              <w:t>0.1882</w:t>
            </w:r>
          </w:p>
        </w:tc>
        <w:tc>
          <w:tcPr>
            <w:tcW w:w="1242" w:type="dxa"/>
            <w:shd w:val="clear" w:color="auto" w:fill="auto"/>
            <w:vAlign w:val="center"/>
          </w:tcPr>
          <w:p w14:paraId="09E5A10E">
            <w:pPr>
              <w:widowControl/>
              <w:jc w:val="center"/>
              <w:rPr>
                <w:rFonts w:ascii="Times New Roman" w:hAnsi="Times New Roman"/>
                <w:kern w:val="0"/>
                <w:szCs w:val="21"/>
                <w:u w:val="single"/>
              </w:rPr>
            </w:pPr>
            <w:r>
              <w:rPr>
                <w:rFonts w:ascii="Times New Roman" w:hAnsi="Times New Roman" w:eastAsia="等线"/>
                <w:szCs w:val="21"/>
                <w:u w:val="single"/>
              </w:rPr>
              <w:t>0.0376</w:t>
            </w:r>
          </w:p>
        </w:tc>
        <w:tc>
          <w:tcPr>
            <w:tcW w:w="1242" w:type="dxa"/>
            <w:shd w:val="clear" w:color="auto" w:fill="auto"/>
            <w:vAlign w:val="center"/>
          </w:tcPr>
          <w:p w14:paraId="49605D6B">
            <w:pPr>
              <w:widowControl/>
              <w:jc w:val="center"/>
              <w:rPr>
                <w:rFonts w:ascii="Times New Roman" w:hAnsi="Times New Roman"/>
                <w:kern w:val="0"/>
                <w:szCs w:val="21"/>
                <w:u w:val="single"/>
              </w:rPr>
            </w:pPr>
            <w:r>
              <w:rPr>
                <w:rFonts w:ascii="Times New Roman" w:hAnsi="Times New Roman" w:eastAsia="等线"/>
                <w:szCs w:val="21"/>
                <w:u w:val="single"/>
              </w:rPr>
              <w:t>1.0215</w:t>
            </w:r>
          </w:p>
        </w:tc>
        <w:tc>
          <w:tcPr>
            <w:tcW w:w="1246" w:type="dxa"/>
            <w:shd w:val="clear" w:color="auto" w:fill="auto"/>
            <w:vAlign w:val="center"/>
          </w:tcPr>
          <w:p w14:paraId="10ECA8B7">
            <w:pPr>
              <w:widowControl/>
              <w:jc w:val="center"/>
              <w:rPr>
                <w:rFonts w:ascii="Times New Roman" w:hAnsi="Times New Roman"/>
                <w:kern w:val="0"/>
                <w:szCs w:val="21"/>
                <w:u w:val="single"/>
              </w:rPr>
            </w:pPr>
            <w:r>
              <w:rPr>
                <w:rFonts w:ascii="Times New Roman" w:hAnsi="Times New Roman" w:eastAsia="等线"/>
                <w:szCs w:val="21"/>
                <w:u w:val="single"/>
              </w:rPr>
              <w:t>0.4086</w:t>
            </w:r>
          </w:p>
        </w:tc>
      </w:tr>
      <w:tr w14:paraId="4B0D45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584" w:type="dxa"/>
            <w:shd w:val="clear" w:color="auto" w:fill="auto"/>
            <w:vAlign w:val="center"/>
          </w:tcPr>
          <w:p w14:paraId="4A363125">
            <w:pPr>
              <w:widowControl/>
              <w:jc w:val="center"/>
              <w:rPr>
                <w:rFonts w:ascii="Times New Roman" w:hAnsi="Times New Roman"/>
                <w:kern w:val="0"/>
                <w:szCs w:val="21"/>
              </w:rPr>
            </w:pPr>
            <w:r>
              <w:rPr>
                <w:rFonts w:ascii="Times New Roman" w:hAnsi="Times New Roman"/>
                <w:kern w:val="0"/>
                <w:szCs w:val="21"/>
              </w:rPr>
              <w:t>3500</w:t>
            </w:r>
          </w:p>
        </w:tc>
        <w:tc>
          <w:tcPr>
            <w:tcW w:w="1242" w:type="dxa"/>
            <w:shd w:val="clear" w:color="auto" w:fill="auto"/>
            <w:vAlign w:val="center"/>
          </w:tcPr>
          <w:p w14:paraId="1C083E0C">
            <w:pPr>
              <w:widowControl/>
              <w:jc w:val="center"/>
              <w:rPr>
                <w:rFonts w:ascii="Times New Roman" w:hAnsi="Times New Roman"/>
                <w:kern w:val="0"/>
                <w:szCs w:val="21"/>
                <w:u w:val="single"/>
              </w:rPr>
            </w:pPr>
            <w:r>
              <w:rPr>
                <w:rFonts w:ascii="Times New Roman" w:hAnsi="Times New Roman" w:eastAsia="等线"/>
                <w:szCs w:val="21"/>
                <w:u w:val="single"/>
              </w:rPr>
              <w:t>0.0365</w:t>
            </w:r>
          </w:p>
        </w:tc>
        <w:tc>
          <w:tcPr>
            <w:tcW w:w="1242" w:type="dxa"/>
            <w:shd w:val="clear" w:color="auto" w:fill="auto"/>
            <w:vAlign w:val="center"/>
          </w:tcPr>
          <w:p w14:paraId="03411187">
            <w:pPr>
              <w:widowControl/>
              <w:jc w:val="center"/>
              <w:rPr>
                <w:rFonts w:ascii="Times New Roman" w:hAnsi="Times New Roman"/>
                <w:kern w:val="0"/>
                <w:szCs w:val="21"/>
                <w:u w:val="single"/>
              </w:rPr>
            </w:pPr>
            <w:r>
              <w:rPr>
                <w:rFonts w:ascii="Times New Roman" w:hAnsi="Times New Roman" w:eastAsia="等线"/>
                <w:szCs w:val="21"/>
                <w:u w:val="single"/>
              </w:rPr>
              <w:t>0.0081</w:t>
            </w:r>
          </w:p>
        </w:tc>
        <w:tc>
          <w:tcPr>
            <w:tcW w:w="1242" w:type="dxa"/>
            <w:shd w:val="clear" w:color="auto" w:fill="auto"/>
            <w:vAlign w:val="center"/>
          </w:tcPr>
          <w:p w14:paraId="724A203D">
            <w:pPr>
              <w:widowControl/>
              <w:jc w:val="center"/>
              <w:rPr>
                <w:rFonts w:ascii="Times New Roman" w:hAnsi="Times New Roman"/>
                <w:kern w:val="0"/>
                <w:szCs w:val="21"/>
                <w:u w:val="single"/>
              </w:rPr>
            </w:pPr>
            <w:r>
              <w:rPr>
                <w:rFonts w:ascii="Times New Roman" w:hAnsi="Times New Roman" w:eastAsia="等线"/>
                <w:szCs w:val="21"/>
                <w:u w:val="single"/>
              </w:rPr>
              <w:t>0.1924</w:t>
            </w:r>
          </w:p>
        </w:tc>
        <w:tc>
          <w:tcPr>
            <w:tcW w:w="1242" w:type="dxa"/>
            <w:shd w:val="clear" w:color="auto" w:fill="auto"/>
            <w:vAlign w:val="center"/>
          </w:tcPr>
          <w:p w14:paraId="20C3A6D8">
            <w:pPr>
              <w:widowControl/>
              <w:jc w:val="center"/>
              <w:rPr>
                <w:rFonts w:ascii="Times New Roman" w:hAnsi="Times New Roman"/>
                <w:kern w:val="0"/>
                <w:szCs w:val="21"/>
                <w:u w:val="single"/>
              </w:rPr>
            </w:pPr>
            <w:r>
              <w:rPr>
                <w:rFonts w:ascii="Times New Roman" w:hAnsi="Times New Roman" w:eastAsia="等线"/>
                <w:szCs w:val="21"/>
                <w:u w:val="single"/>
              </w:rPr>
              <w:t>0.0385</w:t>
            </w:r>
          </w:p>
        </w:tc>
        <w:tc>
          <w:tcPr>
            <w:tcW w:w="1242" w:type="dxa"/>
            <w:shd w:val="clear" w:color="auto" w:fill="auto"/>
            <w:vAlign w:val="center"/>
          </w:tcPr>
          <w:p w14:paraId="0CE47F6B">
            <w:pPr>
              <w:widowControl/>
              <w:jc w:val="center"/>
              <w:rPr>
                <w:rFonts w:ascii="Times New Roman" w:hAnsi="Times New Roman"/>
                <w:kern w:val="0"/>
                <w:szCs w:val="21"/>
                <w:u w:val="single"/>
              </w:rPr>
            </w:pPr>
            <w:r>
              <w:rPr>
                <w:rFonts w:ascii="Times New Roman" w:hAnsi="Times New Roman" w:eastAsia="等线"/>
                <w:szCs w:val="21"/>
                <w:u w:val="single"/>
              </w:rPr>
              <w:t>1.0443</w:t>
            </w:r>
          </w:p>
        </w:tc>
        <w:tc>
          <w:tcPr>
            <w:tcW w:w="1246" w:type="dxa"/>
            <w:shd w:val="clear" w:color="auto" w:fill="auto"/>
            <w:vAlign w:val="center"/>
          </w:tcPr>
          <w:p w14:paraId="34F8E245">
            <w:pPr>
              <w:widowControl/>
              <w:jc w:val="center"/>
              <w:rPr>
                <w:rFonts w:ascii="Times New Roman" w:hAnsi="Times New Roman"/>
                <w:kern w:val="0"/>
                <w:szCs w:val="21"/>
                <w:u w:val="single"/>
              </w:rPr>
            </w:pPr>
            <w:r>
              <w:rPr>
                <w:rFonts w:ascii="Times New Roman" w:hAnsi="Times New Roman" w:eastAsia="等线"/>
                <w:szCs w:val="21"/>
                <w:u w:val="single"/>
              </w:rPr>
              <w:t>0.4177</w:t>
            </w:r>
          </w:p>
        </w:tc>
      </w:tr>
      <w:tr w14:paraId="369BB1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584" w:type="dxa"/>
            <w:shd w:val="clear" w:color="auto" w:fill="auto"/>
            <w:vAlign w:val="center"/>
          </w:tcPr>
          <w:p w14:paraId="5741C07D">
            <w:pPr>
              <w:widowControl/>
              <w:jc w:val="center"/>
              <w:rPr>
                <w:rFonts w:ascii="Times New Roman" w:hAnsi="Times New Roman"/>
                <w:kern w:val="0"/>
                <w:szCs w:val="21"/>
              </w:rPr>
            </w:pPr>
            <w:r>
              <w:rPr>
                <w:rFonts w:ascii="Times New Roman" w:hAnsi="Times New Roman"/>
                <w:kern w:val="0"/>
                <w:szCs w:val="21"/>
              </w:rPr>
              <w:t>4000</w:t>
            </w:r>
          </w:p>
        </w:tc>
        <w:tc>
          <w:tcPr>
            <w:tcW w:w="1242" w:type="dxa"/>
            <w:shd w:val="clear" w:color="auto" w:fill="auto"/>
            <w:vAlign w:val="center"/>
          </w:tcPr>
          <w:p w14:paraId="10825840">
            <w:pPr>
              <w:widowControl/>
              <w:jc w:val="center"/>
              <w:rPr>
                <w:rFonts w:ascii="Times New Roman" w:hAnsi="Times New Roman"/>
                <w:kern w:val="0"/>
                <w:szCs w:val="21"/>
                <w:u w:val="single"/>
              </w:rPr>
            </w:pPr>
            <w:r>
              <w:rPr>
                <w:rFonts w:ascii="Times New Roman" w:hAnsi="Times New Roman" w:eastAsia="等线"/>
                <w:szCs w:val="21"/>
                <w:u w:val="single"/>
              </w:rPr>
              <w:t>0.0288</w:t>
            </w:r>
          </w:p>
        </w:tc>
        <w:tc>
          <w:tcPr>
            <w:tcW w:w="1242" w:type="dxa"/>
            <w:shd w:val="clear" w:color="auto" w:fill="auto"/>
            <w:vAlign w:val="center"/>
          </w:tcPr>
          <w:p w14:paraId="738044BF">
            <w:pPr>
              <w:widowControl/>
              <w:jc w:val="center"/>
              <w:rPr>
                <w:rFonts w:ascii="Times New Roman" w:hAnsi="Times New Roman"/>
                <w:kern w:val="0"/>
                <w:szCs w:val="21"/>
                <w:u w:val="single"/>
              </w:rPr>
            </w:pPr>
            <w:r>
              <w:rPr>
                <w:rFonts w:ascii="Times New Roman" w:hAnsi="Times New Roman" w:eastAsia="等线"/>
                <w:szCs w:val="21"/>
                <w:u w:val="single"/>
              </w:rPr>
              <w:t>0.0064</w:t>
            </w:r>
          </w:p>
        </w:tc>
        <w:tc>
          <w:tcPr>
            <w:tcW w:w="1242" w:type="dxa"/>
            <w:shd w:val="clear" w:color="auto" w:fill="auto"/>
            <w:vAlign w:val="center"/>
          </w:tcPr>
          <w:p w14:paraId="1ADA47C1">
            <w:pPr>
              <w:widowControl/>
              <w:jc w:val="center"/>
              <w:rPr>
                <w:rFonts w:ascii="Times New Roman" w:hAnsi="Times New Roman"/>
                <w:kern w:val="0"/>
                <w:szCs w:val="21"/>
                <w:u w:val="single"/>
              </w:rPr>
            </w:pPr>
            <w:r>
              <w:rPr>
                <w:rFonts w:ascii="Times New Roman" w:hAnsi="Times New Roman" w:eastAsia="等线"/>
                <w:szCs w:val="21"/>
                <w:u w:val="single"/>
              </w:rPr>
              <w:t>0.1516</w:t>
            </w:r>
          </w:p>
        </w:tc>
        <w:tc>
          <w:tcPr>
            <w:tcW w:w="1242" w:type="dxa"/>
            <w:shd w:val="clear" w:color="auto" w:fill="auto"/>
            <w:vAlign w:val="center"/>
          </w:tcPr>
          <w:p w14:paraId="42FF6E09">
            <w:pPr>
              <w:widowControl/>
              <w:jc w:val="center"/>
              <w:rPr>
                <w:rFonts w:ascii="Times New Roman" w:hAnsi="Times New Roman"/>
                <w:kern w:val="0"/>
                <w:szCs w:val="21"/>
                <w:u w:val="single"/>
              </w:rPr>
            </w:pPr>
            <w:r>
              <w:rPr>
                <w:rFonts w:ascii="Times New Roman" w:hAnsi="Times New Roman" w:eastAsia="等线"/>
                <w:szCs w:val="21"/>
                <w:u w:val="single"/>
              </w:rPr>
              <w:t>0.0303</w:t>
            </w:r>
          </w:p>
        </w:tc>
        <w:tc>
          <w:tcPr>
            <w:tcW w:w="1242" w:type="dxa"/>
            <w:shd w:val="clear" w:color="auto" w:fill="auto"/>
            <w:vAlign w:val="center"/>
          </w:tcPr>
          <w:p w14:paraId="5C2D2E94">
            <w:pPr>
              <w:widowControl/>
              <w:jc w:val="center"/>
              <w:rPr>
                <w:rFonts w:ascii="Times New Roman" w:hAnsi="Times New Roman"/>
                <w:kern w:val="0"/>
                <w:szCs w:val="21"/>
                <w:u w:val="single"/>
              </w:rPr>
            </w:pPr>
            <w:r>
              <w:rPr>
                <w:rFonts w:ascii="Times New Roman" w:hAnsi="Times New Roman" w:eastAsia="等线"/>
                <w:szCs w:val="21"/>
                <w:u w:val="single"/>
              </w:rPr>
              <w:t>0.8231</w:t>
            </w:r>
          </w:p>
        </w:tc>
        <w:tc>
          <w:tcPr>
            <w:tcW w:w="1246" w:type="dxa"/>
            <w:shd w:val="clear" w:color="auto" w:fill="auto"/>
            <w:vAlign w:val="center"/>
          </w:tcPr>
          <w:p w14:paraId="4C60BF67">
            <w:pPr>
              <w:widowControl/>
              <w:jc w:val="center"/>
              <w:rPr>
                <w:rFonts w:ascii="Times New Roman" w:hAnsi="Times New Roman"/>
                <w:kern w:val="0"/>
                <w:szCs w:val="21"/>
                <w:u w:val="single"/>
              </w:rPr>
            </w:pPr>
            <w:r>
              <w:rPr>
                <w:rFonts w:ascii="Times New Roman" w:hAnsi="Times New Roman" w:eastAsia="等线"/>
                <w:szCs w:val="21"/>
                <w:u w:val="single"/>
              </w:rPr>
              <w:t>0.3293</w:t>
            </w:r>
          </w:p>
        </w:tc>
      </w:tr>
      <w:tr w14:paraId="23731C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584" w:type="dxa"/>
            <w:shd w:val="clear" w:color="auto" w:fill="auto"/>
            <w:vAlign w:val="center"/>
          </w:tcPr>
          <w:p w14:paraId="0E03C7F4">
            <w:pPr>
              <w:widowControl/>
              <w:jc w:val="center"/>
              <w:rPr>
                <w:rFonts w:ascii="Times New Roman" w:hAnsi="Times New Roman"/>
                <w:kern w:val="0"/>
                <w:szCs w:val="21"/>
              </w:rPr>
            </w:pPr>
            <w:r>
              <w:rPr>
                <w:rFonts w:ascii="Times New Roman" w:hAnsi="Times New Roman"/>
                <w:kern w:val="0"/>
                <w:szCs w:val="21"/>
              </w:rPr>
              <w:t>4500</w:t>
            </w:r>
          </w:p>
        </w:tc>
        <w:tc>
          <w:tcPr>
            <w:tcW w:w="1242" w:type="dxa"/>
            <w:shd w:val="clear" w:color="auto" w:fill="auto"/>
            <w:vAlign w:val="center"/>
          </w:tcPr>
          <w:p w14:paraId="421A8C7E">
            <w:pPr>
              <w:widowControl/>
              <w:jc w:val="center"/>
              <w:rPr>
                <w:rFonts w:ascii="Times New Roman" w:hAnsi="Times New Roman"/>
                <w:kern w:val="0"/>
                <w:szCs w:val="21"/>
                <w:u w:val="single"/>
              </w:rPr>
            </w:pPr>
            <w:r>
              <w:rPr>
                <w:rFonts w:ascii="Times New Roman" w:hAnsi="Times New Roman" w:eastAsia="等线"/>
                <w:szCs w:val="21"/>
                <w:u w:val="single"/>
              </w:rPr>
              <w:t>0.0270</w:t>
            </w:r>
          </w:p>
        </w:tc>
        <w:tc>
          <w:tcPr>
            <w:tcW w:w="1242" w:type="dxa"/>
            <w:shd w:val="clear" w:color="auto" w:fill="auto"/>
            <w:vAlign w:val="center"/>
          </w:tcPr>
          <w:p w14:paraId="0F8CA81A">
            <w:pPr>
              <w:widowControl/>
              <w:jc w:val="center"/>
              <w:rPr>
                <w:rFonts w:ascii="Times New Roman" w:hAnsi="Times New Roman"/>
                <w:kern w:val="0"/>
                <w:szCs w:val="21"/>
                <w:u w:val="single"/>
              </w:rPr>
            </w:pPr>
            <w:r>
              <w:rPr>
                <w:rFonts w:ascii="Times New Roman" w:hAnsi="Times New Roman" w:eastAsia="等线"/>
                <w:szCs w:val="21"/>
                <w:u w:val="single"/>
              </w:rPr>
              <w:t>0.0060</w:t>
            </w:r>
          </w:p>
        </w:tc>
        <w:tc>
          <w:tcPr>
            <w:tcW w:w="1242" w:type="dxa"/>
            <w:shd w:val="clear" w:color="auto" w:fill="auto"/>
            <w:vAlign w:val="center"/>
          </w:tcPr>
          <w:p w14:paraId="22199742">
            <w:pPr>
              <w:widowControl/>
              <w:jc w:val="center"/>
              <w:rPr>
                <w:rFonts w:ascii="Times New Roman" w:hAnsi="Times New Roman"/>
                <w:kern w:val="0"/>
                <w:szCs w:val="21"/>
                <w:u w:val="single"/>
              </w:rPr>
            </w:pPr>
            <w:r>
              <w:rPr>
                <w:rFonts w:ascii="Times New Roman" w:hAnsi="Times New Roman" w:eastAsia="等线"/>
                <w:szCs w:val="21"/>
                <w:u w:val="single"/>
              </w:rPr>
              <w:t>0.1423</w:t>
            </w:r>
          </w:p>
        </w:tc>
        <w:tc>
          <w:tcPr>
            <w:tcW w:w="1242" w:type="dxa"/>
            <w:shd w:val="clear" w:color="auto" w:fill="auto"/>
            <w:vAlign w:val="center"/>
          </w:tcPr>
          <w:p w14:paraId="4ACC8017">
            <w:pPr>
              <w:widowControl/>
              <w:jc w:val="center"/>
              <w:rPr>
                <w:rFonts w:ascii="Times New Roman" w:hAnsi="Times New Roman"/>
                <w:kern w:val="0"/>
                <w:szCs w:val="21"/>
                <w:u w:val="single"/>
              </w:rPr>
            </w:pPr>
            <w:r>
              <w:rPr>
                <w:rFonts w:ascii="Times New Roman" w:hAnsi="Times New Roman" w:eastAsia="等线"/>
                <w:szCs w:val="21"/>
                <w:u w:val="single"/>
              </w:rPr>
              <w:t>0.0285</w:t>
            </w:r>
          </w:p>
        </w:tc>
        <w:tc>
          <w:tcPr>
            <w:tcW w:w="1242" w:type="dxa"/>
            <w:shd w:val="clear" w:color="auto" w:fill="auto"/>
            <w:vAlign w:val="center"/>
          </w:tcPr>
          <w:p w14:paraId="225AC647">
            <w:pPr>
              <w:widowControl/>
              <w:jc w:val="center"/>
              <w:rPr>
                <w:rFonts w:ascii="Times New Roman" w:hAnsi="Times New Roman"/>
                <w:kern w:val="0"/>
                <w:szCs w:val="21"/>
                <w:u w:val="single"/>
              </w:rPr>
            </w:pPr>
            <w:r>
              <w:rPr>
                <w:rFonts w:ascii="Times New Roman" w:hAnsi="Times New Roman" w:eastAsia="等线"/>
                <w:szCs w:val="21"/>
                <w:u w:val="single"/>
              </w:rPr>
              <w:t>0.7725</w:t>
            </w:r>
          </w:p>
        </w:tc>
        <w:tc>
          <w:tcPr>
            <w:tcW w:w="1246" w:type="dxa"/>
            <w:shd w:val="clear" w:color="auto" w:fill="auto"/>
            <w:vAlign w:val="center"/>
          </w:tcPr>
          <w:p w14:paraId="0F75560E">
            <w:pPr>
              <w:widowControl/>
              <w:jc w:val="center"/>
              <w:rPr>
                <w:rFonts w:ascii="Times New Roman" w:hAnsi="Times New Roman"/>
                <w:kern w:val="0"/>
                <w:szCs w:val="21"/>
                <w:u w:val="single"/>
              </w:rPr>
            </w:pPr>
            <w:r>
              <w:rPr>
                <w:rFonts w:ascii="Times New Roman" w:hAnsi="Times New Roman" w:eastAsia="等线"/>
                <w:szCs w:val="21"/>
                <w:u w:val="single"/>
              </w:rPr>
              <w:t>0.3090</w:t>
            </w:r>
          </w:p>
        </w:tc>
      </w:tr>
      <w:tr w14:paraId="107931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584" w:type="dxa"/>
            <w:shd w:val="clear" w:color="auto" w:fill="auto"/>
            <w:vAlign w:val="center"/>
          </w:tcPr>
          <w:p w14:paraId="12238890">
            <w:pPr>
              <w:widowControl/>
              <w:jc w:val="center"/>
              <w:rPr>
                <w:rFonts w:ascii="Times New Roman" w:hAnsi="Times New Roman"/>
                <w:kern w:val="0"/>
                <w:szCs w:val="21"/>
              </w:rPr>
            </w:pPr>
            <w:r>
              <w:rPr>
                <w:rFonts w:ascii="Times New Roman" w:hAnsi="Times New Roman"/>
                <w:kern w:val="0"/>
                <w:szCs w:val="21"/>
              </w:rPr>
              <w:t>5000</w:t>
            </w:r>
          </w:p>
        </w:tc>
        <w:tc>
          <w:tcPr>
            <w:tcW w:w="1242" w:type="dxa"/>
            <w:shd w:val="clear" w:color="auto" w:fill="auto"/>
            <w:vAlign w:val="center"/>
          </w:tcPr>
          <w:p w14:paraId="783AAB5D">
            <w:pPr>
              <w:widowControl/>
              <w:jc w:val="center"/>
              <w:rPr>
                <w:rFonts w:ascii="Times New Roman" w:hAnsi="Times New Roman"/>
                <w:kern w:val="0"/>
                <w:szCs w:val="21"/>
                <w:u w:val="single"/>
              </w:rPr>
            </w:pPr>
            <w:r>
              <w:rPr>
                <w:rFonts w:ascii="Times New Roman" w:hAnsi="Times New Roman" w:eastAsia="等线"/>
                <w:szCs w:val="21"/>
                <w:u w:val="single"/>
              </w:rPr>
              <w:t>0.0233</w:t>
            </w:r>
          </w:p>
        </w:tc>
        <w:tc>
          <w:tcPr>
            <w:tcW w:w="1242" w:type="dxa"/>
            <w:shd w:val="clear" w:color="auto" w:fill="auto"/>
            <w:vAlign w:val="center"/>
          </w:tcPr>
          <w:p w14:paraId="7DCD11AE">
            <w:pPr>
              <w:widowControl/>
              <w:jc w:val="center"/>
              <w:rPr>
                <w:rFonts w:ascii="Times New Roman" w:hAnsi="Times New Roman"/>
                <w:kern w:val="0"/>
                <w:szCs w:val="21"/>
                <w:u w:val="single"/>
              </w:rPr>
            </w:pPr>
            <w:r>
              <w:rPr>
                <w:rFonts w:ascii="Times New Roman" w:hAnsi="Times New Roman" w:eastAsia="等线"/>
                <w:szCs w:val="21"/>
                <w:u w:val="single"/>
              </w:rPr>
              <w:t>0.0052</w:t>
            </w:r>
          </w:p>
        </w:tc>
        <w:tc>
          <w:tcPr>
            <w:tcW w:w="1242" w:type="dxa"/>
            <w:shd w:val="clear" w:color="auto" w:fill="auto"/>
            <w:vAlign w:val="center"/>
          </w:tcPr>
          <w:p w14:paraId="3F2C4D00">
            <w:pPr>
              <w:widowControl/>
              <w:jc w:val="center"/>
              <w:rPr>
                <w:rFonts w:ascii="Times New Roman" w:hAnsi="Times New Roman"/>
                <w:kern w:val="0"/>
                <w:szCs w:val="21"/>
                <w:u w:val="single"/>
              </w:rPr>
            </w:pPr>
            <w:r>
              <w:rPr>
                <w:rFonts w:ascii="Times New Roman" w:hAnsi="Times New Roman" w:eastAsia="等线"/>
                <w:szCs w:val="21"/>
                <w:u w:val="single"/>
              </w:rPr>
              <w:t>0.1225</w:t>
            </w:r>
          </w:p>
        </w:tc>
        <w:tc>
          <w:tcPr>
            <w:tcW w:w="1242" w:type="dxa"/>
            <w:shd w:val="clear" w:color="auto" w:fill="auto"/>
            <w:vAlign w:val="center"/>
          </w:tcPr>
          <w:p w14:paraId="2192DE88">
            <w:pPr>
              <w:widowControl/>
              <w:jc w:val="center"/>
              <w:rPr>
                <w:rFonts w:ascii="Times New Roman" w:hAnsi="Times New Roman"/>
                <w:kern w:val="0"/>
                <w:szCs w:val="21"/>
                <w:u w:val="single"/>
              </w:rPr>
            </w:pPr>
            <w:r>
              <w:rPr>
                <w:rFonts w:ascii="Times New Roman" w:hAnsi="Times New Roman" w:eastAsia="等线"/>
                <w:szCs w:val="21"/>
                <w:u w:val="single"/>
              </w:rPr>
              <w:t>0.0245</w:t>
            </w:r>
          </w:p>
        </w:tc>
        <w:tc>
          <w:tcPr>
            <w:tcW w:w="1242" w:type="dxa"/>
            <w:shd w:val="clear" w:color="auto" w:fill="auto"/>
            <w:vAlign w:val="center"/>
          </w:tcPr>
          <w:p w14:paraId="1A6FBF9B">
            <w:pPr>
              <w:widowControl/>
              <w:jc w:val="center"/>
              <w:rPr>
                <w:rFonts w:ascii="Times New Roman" w:hAnsi="Times New Roman"/>
                <w:kern w:val="0"/>
                <w:szCs w:val="21"/>
                <w:u w:val="single"/>
              </w:rPr>
            </w:pPr>
            <w:r>
              <w:rPr>
                <w:rFonts w:ascii="Times New Roman" w:hAnsi="Times New Roman" w:eastAsia="等线"/>
                <w:szCs w:val="21"/>
                <w:u w:val="single"/>
              </w:rPr>
              <w:t>0.6652</w:t>
            </w:r>
          </w:p>
        </w:tc>
        <w:tc>
          <w:tcPr>
            <w:tcW w:w="1246" w:type="dxa"/>
            <w:shd w:val="clear" w:color="auto" w:fill="auto"/>
            <w:vAlign w:val="center"/>
          </w:tcPr>
          <w:p w14:paraId="4C1659A0">
            <w:pPr>
              <w:widowControl/>
              <w:jc w:val="center"/>
              <w:rPr>
                <w:rFonts w:ascii="Times New Roman" w:hAnsi="Times New Roman"/>
                <w:kern w:val="0"/>
                <w:szCs w:val="21"/>
                <w:u w:val="single"/>
              </w:rPr>
            </w:pPr>
            <w:r>
              <w:rPr>
                <w:rFonts w:ascii="Times New Roman" w:hAnsi="Times New Roman" w:eastAsia="等线"/>
                <w:szCs w:val="21"/>
                <w:u w:val="single"/>
              </w:rPr>
              <w:t>0.2661</w:t>
            </w:r>
          </w:p>
        </w:tc>
      </w:tr>
      <w:tr w14:paraId="7020D7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584" w:type="dxa"/>
            <w:shd w:val="clear" w:color="auto" w:fill="auto"/>
            <w:vAlign w:val="center"/>
          </w:tcPr>
          <w:p w14:paraId="146A2ECB">
            <w:pPr>
              <w:widowControl/>
              <w:jc w:val="center"/>
              <w:rPr>
                <w:rFonts w:ascii="Times New Roman" w:hAnsi="Times New Roman"/>
                <w:kern w:val="0"/>
                <w:szCs w:val="21"/>
              </w:rPr>
            </w:pPr>
            <w:r>
              <w:rPr>
                <w:rFonts w:ascii="Times New Roman" w:hAnsi="Times New Roman"/>
                <w:kern w:val="0"/>
                <w:szCs w:val="21"/>
              </w:rPr>
              <w:t>10000</w:t>
            </w:r>
          </w:p>
        </w:tc>
        <w:tc>
          <w:tcPr>
            <w:tcW w:w="1242" w:type="dxa"/>
            <w:shd w:val="clear" w:color="auto" w:fill="auto"/>
            <w:vAlign w:val="center"/>
          </w:tcPr>
          <w:p w14:paraId="4891CF74">
            <w:pPr>
              <w:widowControl/>
              <w:jc w:val="center"/>
              <w:rPr>
                <w:rFonts w:ascii="Times New Roman" w:hAnsi="Times New Roman"/>
                <w:kern w:val="0"/>
                <w:szCs w:val="21"/>
                <w:u w:val="single"/>
              </w:rPr>
            </w:pPr>
            <w:r>
              <w:rPr>
                <w:rFonts w:ascii="Times New Roman" w:hAnsi="Times New Roman" w:eastAsia="等线"/>
                <w:szCs w:val="21"/>
                <w:u w:val="single"/>
              </w:rPr>
              <w:t>0.0112</w:t>
            </w:r>
          </w:p>
        </w:tc>
        <w:tc>
          <w:tcPr>
            <w:tcW w:w="1242" w:type="dxa"/>
            <w:shd w:val="clear" w:color="auto" w:fill="auto"/>
            <w:vAlign w:val="center"/>
          </w:tcPr>
          <w:p w14:paraId="1CD06757">
            <w:pPr>
              <w:widowControl/>
              <w:jc w:val="center"/>
              <w:rPr>
                <w:rFonts w:ascii="Times New Roman" w:hAnsi="Times New Roman"/>
                <w:kern w:val="0"/>
                <w:szCs w:val="21"/>
                <w:u w:val="single"/>
              </w:rPr>
            </w:pPr>
            <w:r>
              <w:rPr>
                <w:rFonts w:ascii="Times New Roman" w:hAnsi="Times New Roman" w:eastAsia="等线"/>
                <w:szCs w:val="21"/>
                <w:u w:val="single"/>
              </w:rPr>
              <w:t>0.0025</w:t>
            </w:r>
          </w:p>
        </w:tc>
        <w:tc>
          <w:tcPr>
            <w:tcW w:w="1242" w:type="dxa"/>
            <w:shd w:val="clear" w:color="auto" w:fill="auto"/>
            <w:vAlign w:val="center"/>
          </w:tcPr>
          <w:p w14:paraId="0219320D">
            <w:pPr>
              <w:widowControl/>
              <w:jc w:val="center"/>
              <w:rPr>
                <w:rFonts w:ascii="Times New Roman" w:hAnsi="Times New Roman"/>
                <w:kern w:val="0"/>
                <w:szCs w:val="21"/>
                <w:u w:val="single"/>
              </w:rPr>
            </w:pPr>
            <w:r>
              <w:rPr>
                <w:rFonts w:ascii="Times New Roman" w:hAnsi="Times New Roman" w:eastAsia="等线"/>
                <w:szCs w:val="21"/>
                <w:u w:val="single"/>
              </w:rPr>
              <w:t>0.0589</w:t>
            </w:r>
          </w:p>
        </w:tc>
        <w:tc>
          <w:tcPr>
            <w:tcW w:w="1242" w:type="dxa"/>
            <w:shd w:val="clear" w:color="auto" w:fill="auto"/>
            <w:vAlign w:val="center"/>
          </w:tcPr>
          <w:p w14:paraId="1BA1CE1A">
            <w:pPr>
              <w:widowControl/>
              <w:jc w:val="center"/>
              <w:rPr>
                <w:rFonts w:ascii="Times New Roman" w:hAnsi="Times New Roman"/>
                <w:kern w:val="0"/>
                <w:szCs w:val="21"/>
                <w:u w:val="single"/>
              </w:rPr>
            </w:pPr>
            <w:r>
              <w:rPr>
                <w:rFonts w:ascii="Times New Roman" w:hAnsi="Times New Roman" w:eastAsia="等线"/>
                <w:szCs w:val="21"/>
                <w:u w:val="single"/>
              </w:rPr>
              <w:t>0.0118</w:t>
            </w:r>
          </w:p>
        </w:tc>
        <w:tc>
          <w:tcPr>
            <w:tcW w:w="1242" w:type="dxa"/>
            <w:shd w:val="clear" w:color="auto" w:fill="auto"/>
            <w:vAlign w:val="center"/>
          </w:tcPr>
          <w:p w14:paraId="296C89D3">
            <w:pPr>
              <w:widowControl/>
              <w:jc w:val="center"/>
              <w:rPr>
                <w:rFonts w:ascii="Times New Roman" w:hAnsi="Times New Roman"/>
                <w:kern w:val="0"/>
                <w:szCs w:val="21"/>
                <w:u w:val="single"/>
              </w:rPr>
            </w:pPr>
            <w:r>
              <w:rPr>
                <w:rFonts w:ascii="Times New Roman" w:hAnsi="Times New Roman" w:eastAsia="等线"/>
                <w:szCs w:val="21"/>
                <w:u w:val="single"/>
              </w:rPr>
              <w:t>0.3199</w:t>
            </w:r>
          </w:p>
        </w:tc>
        <w:tc>
          <w:tcPr>
            <w:tcW w:w="1246" w:type="dxa"/>
            <w:shd w:val="clear" w:color="auto" w:fill="auto"/>
            <w:vAlign w:val="center"/>
          </w:tcPr>
          <w:p w14:paraId="43F02DFB">
            <w:pPr>
              <w:widowControl/>
              <w:jc w:val="center"/>
              <w:rPr>
                <w:rFonts w:ascii="Times New Roman" w:hAnsi="Times New Roman"/>
                <w:kern w:val="0"/>
                <w:szCs w:val="21"/>
                <w:u w:val="single"/>
              </w:rPr>
            </w:pPr>
            <w:r>
              <w:rPr>
                <w:rFonts w:ascii="Times New Roman" w:hAnsi="Times New Roman" w:eastAsia="等线"/>
                <w:szCs w:val="21"/>
                <w:u w:val="single"/>
              </w:rPr>
              <w:t>0.1279</w:t>
            </w:r>
          </w:p>
        </w:tc>
      </w:tr>
      <w:tr w14:paraId="474855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584" w:type="dxa"/>
            <w:shd w:val="clear" w:color="auto" w:fill="auto"/>
            <w:vAlign w:val="center"/>
          </w:tcPr>
          <w:p w14:paraId="36ED3B70">
            <w:pPr>
              <w:widowControl/>
              <w:jc w:val="center"/>
              <w:rPr>
                <w:rFonts w:ascii="Times New Roman" w:hAnsi="Times New Roman"/>
                <w:kern w:val="0"/>
                <w:szCs w:val="21"/>
              </w:rPr>
            </w:pPr>
            <w:r>
              <w:rPr>
                <w:rFonts w:ascii="Times New Roman" w:hAnsi="Times New Roman"/>
                <w:kern w:val="0"/>
                <w:szCs w:val="21"/>
              </w:rPr>
              <w:t>15000</w:t>
            </w:r>
          </w:p>
        </w:tc>
        <w:tc>
          <w:tcPr>
            <w:tcW w:w="1242" w:type="dxa"/>
            <w:shd w:val="clear" w:color="auto" w:fill="auto"/>
            <w:vAlign w:val="center"/>
          </w:tcPr>
          <w:p w14:paraId="460E053D">
            <w:pPr>
              <w:widowControl/>
              <w:jc w:val="center"/>
              <w:rPr>
                <w:rFonts w:ascii="Times New Roman" w:hAnsi="Times New Roman"/>
                <w:kern w:val="0"/>
                <w:szCs w:val="21"/>
                <w:u w:val="single"/>
              </w:rPr>
            </w:pPr>
            <w:r>
              <w:rPr>
                <w:rFonts w:ascii="Times New Roman" w:hAnsi="Times New Roman" w:eastAsia="等线"/>
                <w:szCs w:val="21"/>
                <w:u w:val="single"/>
              </w:rPr>
              <w:t>0.0064</w:t>
            </w:r>
          </w:p>
        </w:tc>
        <w:tc>
          <w:tcPr>
            <w:tcW w:w="1242" w:type="dxa"/>
            <w:shd w:val="clear" w:color="auto" w:fill="auto"/>
            <w:vAlign w:val="center"/>
          </w:tcPr>
          <w:p w14:paraId="22EBCEED">
            <w:pPr>
              <w:widowControl/>
              <w:jc w:val="center"/>
              <w:rPr>
                <w:rFonts w:ascii="Times New Roman" w:hAnsi="Times New Roman"/>
                <w:kern w:val="0"/>
                <w:szCs w:val="21"/>
                <w:u w:val="single"/>
              </w:rPr>
            </w:pPr>
            <w:r>
              <w:rPr>
                <w:rFonts w:ascii="Times New Roman" w:hAnsi="Times New Roman" w:eastAsia="等线"/>
                <w:szCs w:val="21"/>
                <w:u w:val="single"/>
              </w:rPr>
              <w:t>0.0014</w:t>
            </w:r>
          </w:p>
        </w:tc>
        <w:tc>
          <w:tcPr>
            <w:tcW w:w="1242" w:type="dxa"/>
            <w:shd w:val="clear" w:color="auto" w:fill="auto"/>
            <w:vAlign w:val="center"/>
          </w:tcPr>
          <w:p w14:paraId="4B6E24CD">
            <w:pPr>
              <w:widowControl/>
              <w:jc w:val="center"/>
              <w:rPr>
                <w:rFonts w:ascii="Times New Roman" w:hAnsi="Times New Roman"/>
                <w:kern w:val="0"/>
                <w:szCs w:val="21"/>
                <w:u w:val="single"/>
              </w:rPr>
            </w:pPr>
            <w:r>
              <w:rPr>
                <w:rFonts w:ascii="Times New Roman" w:hAnsi="Times New Roman" w:eastAsia="等线"/>
                <w:szCs w:val="21"/>
                <w:u w:val="single"/>
              </w:rPr>
              <w:t>0.0339</w:t>
            </w:r>
          </w:p>
        </w:tc>
        <w:tc>
          <w:tcPr>
            <w:tcW w:w="1242" w:type="dxa"/>
            <w:shd w:val="clear" w:color="auto" w:fill="auto"/>
            <w:vAlign w:val="center"/>
          </w:tcPr>
          <w:p w14:paraId="5B86A9FB">
            <w:pPr>
              <w:widowControl/>
              <w:jc w:val="center"/>
              <w:rPr>
                <w:rFonts w:ascii="Times New Roman" w:hAnsi="Times New Roman"/>
                <w:kern w:val="0"/>
                <w:szCs w:val="21"/>
                <w:u w:val="single"/>
              </w:rPr>
            </w:pPr>
            <w:r>
              <w:rPr>
                <w:rFonts w:ascii="Times New Roman" w:hAnsi="Times New Roman" w:eastAsia="等线"/>
                <w:szCs w:val="21"/>
                <w:u w:val="single"/>
              </w:rPr>
              <w:t>0.0068</w:t>
            </w:r>
          </w:p>
        </w:tc>
        <w:tc>
          <w:tcPr>
            <w:tcW w:w="1242" w:type="dxa"/>
            <w:shd w:val="clear" w:color="auto" w:fill="auto"/>
            <w:vAlign w:val="center"/>
          </w:tcPr>
          <w:p w14:paraId="5833F665">
            <w:pPr>
              <w:widowControl/>
              <w:jc w:val="center"/>
              <w:rPr>
                <w:rFonts w:ascii="Times New Roman" w:hAnsi="Times New Roman"/>
                <w:kern w:val="0"/>
                <w:szCs w:val="21"/>
                <w:u w:val="single"/>
              </w:rPr>
            </w:pPr>
            <w:r>
              <w:rPr>
                <w:rFonts w:ascii="Times New Roman" w:hAnsi="Times New Roman" w:eastAsia="等线"/>
                <w:szCs w:val="21"/>
                <w:u w:val="single"/>
              </w:rPr>
              <w:t>0.1842</w:t>
            </w:r>
          </w:p>
        </w:tc>
        <w:tc>
          <w:tcPr>
            <w:tcW w:w="1246" w:type="dxa"/>
            <w:shd w:val="clear" w:color="auto" w:fill="auto"/>
            <w:vAlign w:val="center"/>
          </w:tcPr>
          <w:p w14:paraId="5C807654">
            <w:pPr>
              <w:widowControl/>
              <w:jc w:val="center"/>
              <w:rPr>
                <w:rFonts w:ascii="Times New Roman" w:hAnsi="Times New Roman"/>
                <w:kern w:val="0"/>
                <w:szCs w:val="21"/>
                <w:u w:val="single"/>
              </w:rPr>
            </w:pPr>
            <w:r>
              <w:rPr>
                <w:rFonts w:ascii="Times New Roman" w:hAnsi="Times New Roman" w:eastAsia="等线"/>
                <w:szCs w:val="21"/>
                <w:u w:val="single"/>
              </w:rPr>
              <w:t>0.0737</w:t>
            </w:r>
          </w:p>
        </w:tc>
      </w:tr>
      <w:tr w14:paraId="17EC9D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584" w:type="dxa"/>
            <w:shd w:val="clear" w:color="auto" w:fill="auto"/>
            <w:vAlign w:val="center"/>
          </w:tcPr>
          <w:p w14:paraId="3CF57F17">
            <w:pPr>
              <w:widowControl/>
              <w:jc w:val="center"/>
              <w:rPr>
                <w:rFonts w:ascii="Times New Roman" w:hAnsi="Times New Roman"/>
                <w:kern w:val="0"/>
                <w:szCs w:val="21"/>
              </w:rPr>
            </w:pPr>
            <w:r>
              <w:rPr>
                <w:rFonts w:ascii="Times New Roman" w:hAnsi="Times New Roman"/>
                <w:kern w:val="0"/>
                <w:szCs w:val="21"/>
              </w:rPr>
              <w:t>20000</w:t>
            </w:r>
          </w:p>
        </w:tc>
        <w:tc>
          <w:tcPr>
            <w:tcW w:w="1242" w:type="dxa"/>
            <w:shd w:val="clear" w:color="auto" w:fill="auto"/>
            <w:vAlign w:val="center"/>
          </w:tcPr>
          <w:p w14:paraId="31197B7C">
            <w:pPr>
              <w:widowControl/>
              <w:jc w:val="center"/>
              <w:rPr>
                <w:rFonts w:ascii="Times New Roman" w:hAnsi="Times New Roman"/>
                <w:kern w:val="0"/>
                <w:szCs w:val="21"/>
                <w:u w:val="single"/>
              </w:rPr>
            </w:pPr>
            <w:r>
              <w:rPr>
                <w:rFonts w:ascii="Times New Roman" w:hAnsi="Times New Roman" w:eastAsia="等线"/>
                <w:szCs w:val="21"/>
                <w:u w:val="single"/>
              </w:rPr>
              <w:t>0.0041</w:t>
            </w:r>
          </w:p>
        </w:tc>
        <w:tc>
          <w:tcPr>
            <w:tcW w:w="1242" w:type="dxa"/>
            <w:shd w:val="clear" w:color="auto" w:fill="auto"/>
            <w:vAlign w:val="center"/>
          </w:tcPr>
          <w:p w14:paraId="39A30DA1">
            <w:pPr>
              <w:widowControl/>
              <w:jc w:val="center"/>
              <w:rPr>
                <w:rFonts w:ascii="Times New Roman" w:hAnsi="Times New Roman"/>
                <w:kern w:val="0"/>
                <w:szCs w:val="21"/>
                <w:u w:val="single"/>
              </w:rPr>
            </w:pPr>
            <w:r>
              <w:rPr>
                <w:rFonts w:ascii="Times New Roman" w:hAnsi="Times New Roman" w:eastAsia="等线"/>
                <w:szCs w:val="21"/>
                <w:u w:val="single"/>
              </w:rPr>
              <w:t>0.0009</w:t>
            </w:r>
          </w:p>
        </w:tc>
        <w:tc>
          <w:tcPr>
            <w:tcW w:w="1242" w:type="dxa"/>
            <w:shd w:val="clear" w:color="auto" w:fill="auto"/>
            <w:vAlign w:val="center"/>
          </w:tcPr>
          <w:p w14:paraId="3F4E9B33">
            <w:pPr>
              <w:widowControl/>
              <w:jc w:val="center"/>
              <w:rPr>
                <w:rFonts w:ascii="Times New Roman" w:hAnsi="Times New Roman"/>
                <w:kern w:val="0"/>
                <w:szCs w:val="21"/>
                <w:u w:val="single"/>
              </w:rPr>
            </w:pPr>
            <w:r>
              <w:rPr>
                <w:rFonts w:ascii="Times New Roman" w:hAnsi="Times New Roman" w:eastAsia="等线"/>
                <w:szCs w:val="21"/>
                <w:u w:val="single"/>
              </w:rPr>
              <w:t>0.0213</w:t>
            </w:r>
          </w:p>
        </w:tc>
        <w:tc>
          <w:tcPr>
            <w:tcW w:w="1242" w:type="dxa"/>
            <w:shd w:val="clear" w:color="auto" w:fill="auto"/>
            <w:vAlign w:val="center"/>
          </w:tcPr>
          <w:p w14:paraId="45A4D8D5">
            <w:pPr>
              <w:widowControl/>
              <w:jc w:val="center"/>
              <w:rPr>
                <w:rFonts w:ascii="Times New Roman" w:hAnsi="Times New Roman"/>
                <w:kern w:val="0"/>
                <w:szCs w:val="21"/>
                <w:u w:val="single"/>
              </w:rPr>
            </w:pPr>
            <w:r>
              <w:rPr>
                <w:rFonts w:ascii="Times New Roman" w:hAnsi="Times New Roman" w:eastAsia="等线"/>
                <w:szCs w:val="21"/>
                <w:u w:val="single"/>
              </w:rPr>
              <w:t>0.0043</w:t>
            </w:r>
          </w:p>
        </w:tc>
        <w:tc>
          <w:tcPr>
            <w:tcW w:w="1242" w:type="dxa"/>
            <w:shd w:val="clear" w:color="auto" w:fill="auto"/>
            <w:vAlign w:val="center"/>
          </w:tcPr>
          <w:p w14:paraId="601F2D08">
            <w:pPr>
              <w:widowControl/>
              <w:jc w:val="center"/>
              <w:rPr>
                <w:rFonts w:ascii="Times New Roman" w:hAnsi="Times New Roman"/>
                <w:kern w:val="0"/>
                <w:szCs w:val="21"/>
                <w:u w:val="single"/>
              </w:rPr>
            </w:pPr>
            <w:r>
              <w:rPr>
                <w:rFonts w:ascii="Times New Roman" w:hAnsi="Times New Roman" w:eastAsia="等线"/>
                <w:szCs w:val="21"/>
                <w:u w:val="single"/>
              </w:rPr>
              <w:t>0.1157</w:t>
            </w:r>
          </w:p>
        </w:tc>
        <w:tc>
          <w:tcPr>
            <w:tcW w:w="1246" w:type="dxa"/>
            <w:shd w:val="clear" w:color="auto" w:fill="auto"/>
            <w:vAlign w:val="center"/>
          </w:tcPr>
          <w:p w14:paraId="270F7AF4">
            <w:pPr>
              <w:widowControl/>
              <w:jc w:val="center"/>
              <w:rPr>
                <w:rFonts w:ascii="Times New Roman" w:hAnsi="Times New Roman"/>
                <w:kern w:val="0"/>
                <w:szCs w:val="21"/>
                <w:u w:val="single"/>
              </w:rPr>
            </w:pPr>
            <w:r>
              <w:rPr>
                <w:rFonts w:ascii="Times New Roman" w:hAnsi="Times New Roman" w:eastAsia="等线"/>
                <w:szCs w:val="21"/>
                <w:u w:val="single"/>
              </w:rPr>
              <w:t>0.0463</w:t>
            </w:r>
          </w:p>
        </w:tc>
      </w:tr>
      <w:tr w14:paraId="06E2B8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584" w:type="dxa"/>
            <w:shd w:val="clear" w:color="auto" w:fill="auto"/>
            <w:vAlign w:val="center"/>
          </w:tcPr>
          <w:p w14:paraId="6B6181E5">
            <w:pPr>
              <w:widowControl/>
              <w:jc w:val="center"/>
              <w:rPr>
                <w:rFonts w:ascii="Times New Roman" w:hAnsi="Times New Roman"/>
                <w:kern w:val="0"/>
                <w:szCs w:val="21"/>
              </w:rPr>
            </w:pPr>
            <w:r>
              <w:rPr>
                <w:rFonts w:ascii="Times New Roman" w:hAnsi="Times New Roman"/>
                <w:kern w:val="0"/>
                <w:szCs w:val="21"/>
              </w:rPr>
              <w:t>25000</w:t>
            </w:r>
          </w:p>
        </w:tc>
        <w:tc>
          <w:tcPr>
            <w:tcW w:w="1242" w:type="dxa"/>
            <w:shd w:val="clear" w:color="auto" w:fill="auto"/>
            <w:vAlign w:val="center"/>
          </w:tcPr>
          <w:p w14:paraId="16C119B7">
            <w:pPr>
              <w:widowControl/>
              <w:jc w:val="center"/>
              <w:rPr>
                <w:rFonts w:ascii="Times New Roman" w:hAnsi="Times New Roman"/>
                <w:kern w:val="0"/>
                <w:szCs w:val="21"/>
                <w:u w:val="single"/>
              </w:rPr>
            </w:pPr>
            <w:r>
              <w:rPr>
                <w:rFonts w:ascii="Times New Roman" w:hAnsi="Times New Roman" w:eastAsia="等线"/>
                <w:szCs w:val="21"/>
                <w:u w:val="single"/>
              </w:rPr>
              <w:t>0.0034</w:t>
            </w:r>
          </w:p>
        </w:tc>
        <w:tc>
          <w:tcPr>
            <w:tcW w:w="1242" w:type="dxa"/>
            <w:shd w:val="clear" w:color="auto" w:fill="auto"/>
            <w:vAlign w:val="center"/>
          </w:tcPr>
          <w:p w14:paraId="09044E23">
            <w:pPr>
              <w:widowControl/>
              <w:jc w:val="center"/>
              <w:rPr>
                <w:rFonts w:ascii="Times New Roman" w:hAnsi="Times New Roman"/>
                <w:kern w:val="0"/>
                <w:szCs w:val="21"/>
                <w:u w:val="single"/>
              </w:rPr>
            </w:pPr>
            <w:r>
              <w:rPr>
                <w:rFonts w:ascii="Times New Roman" w:hAnsi="Times New Roman" w:eastAsia="等线"/>
                <w:szCs w:val="21"/>
                <w:u w:val="single"/>
              </w:rPr>
              <w:t>0.0008</w:t>
            </w:r>
          </w:p>
        </w:tc>
        <w:tc>
          <w:tcPr>
            <w:tcW w:w="1242" w:type="dxa"/>
            <w:shd w:val="clear" w:color="auto" w:fill="auto"/>
            <w:vAlign w:val="center"/>
          </w:tcPr>
          <w:p w14:paraId="0536413A">
            <w:pPr>
              <w:widowControl/>
              <w:jc w:val="center"/>
              <w:rPr>
                <w:rFonts w:ascii="Times New Roman" w:hAnsi="Times New Roman"/>
                <w:kern w:val="0"/>
                <w:szCs w:val="21"/>
                <w:u w:val="single"/>
              </w:rPr>
            </w:pPr>
            <w:r>
              <w:rPr>
                <w:rFonts w:ascii="Times New Roman" w:hAnsi="Times New Roman" w:eastAsia="等线"/>
                <w:szCs w:val="21"/>
                <w:u w:val="single"/>
              </w:rPr>
              <w:t>0.0180</w:t>
            </w:r>
          </w:p>
        </w:tc>
        <w:tc>
          <w:tcPr>
            <w:tcW w:w="1242" w:type="dxa"/>
            <w:shd w:val="clear" w:color="auto" w:fill="auto"/>
            <w:vAlign w:val="center"/>
          </w:tcPr>
          <w:p w14:paraId="0D70FD81">
            <w:pPr>
              <w:widowControl/>
              <w:jc w:val="center"/>
              <w:rPr>
                <w:rFonts w:ascii="Times New Roman" w:hAnsi="Times New Roman"/>
                <w:kern w:val="0"/>
                <w:szCs w:val="21"/>
                <w:u w:val="single"/>
              </w:rPr>
            </w:pPr>
            <w:r>
              <w:rPr>
                <w:rFonts w:ascii="Times New Roman" w:hAnsi="Times New Roman" w:eastAsia="等线"/>
                <w:szCs w:val="21"/>
                <w:u w:val="single"/>
              </w:rPr>
              <w:t>0.0036</w:t>
            </w:r>
          </w:p>
        </w:tc>
        <w:tc>
          <w:tcPr>
            <w:tcW w:w="1242" w:type="dxa"/>
            <w:shd w:val="clear" w:color="auto" w:fill="auto"/>
            <w:vAlign w:val="center"/>
          </w:tcPr>
          <w:p w14:paraId="42B9F084">
            <w:pPr>
              <w:widowControl/>
              <w:jc w:val="center"/>
              <w:rPr>
                <w:rFonts w:ascii="Times New Roman" w:hAnsi="Times New Roman"/>
                <w:kern w:val="0"/>
                <w:szCs w:val="21"/>
                <w:u w:val="single"/>
              </w:rPr>
            </w:pPr>
            <w:r>
              <w:rPr>
                <w:rFonts w:ascii="Times New Roman" w:hAnsi="Times New Roman" w:eastAsia="等线"/>
                <w:szCs w:val="21"/>
                <w:u w:val="single"/>
              </w:rPr>
              <w:t>0.0978</w:t>
            </w:r>
          </w:p>
        </w:tc>
        <w:tc>
          <w:tcPr>
            <w:tcW w:w="1246" w:type="dxa"/>
            <w:shd w:val="clear" w:color="auto" w:fill="auto"/>
            <w:vAlign w:val="center"/>
          </w:tcPr>
          <w:p w14:paraId="724CC9B2">
            <w:pPr>
              <w:widowControl/>
              <w:jc w:val="center"/>
              <w:rPr>
                <w:rFonts w:ascii="Times New Roman" w:hAnsi="Times New Roman"/>
                <w:kern w:val="0"/>
                <w:szCs w:val="21"/>
                <w:u w:val="single"/>
              </w:rPr>
            </w:pPr>
            <w:r>
              <w:rPr>
                <w:rFonts w:ascii="Times New Roman" w:hAnsi="Times New Roman" w:eastAsia="等线"/>
                <w:szCs w:val="21"/>
                <w:u w:val="single"/>
              </w:rPr>
              <w:t>0.0391</w:t>
            </w:r>
          </w:p>
        </w:tc>
      </w:tr>
      <w:tr w14:paraId="1E8F63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584" w:type="dxa"/>
            <w:shd w:val="clear" w:color="auto" w:fill="auto"/>
            <w:vAlign w:val="center"/>
          </w:tcPr>
          <w:p w14:paraId="42C87838">
            <w:pPr>
              <w:widowControl/>
              <w:jc w:val="center"/>
              <w:rPr>
                <w:rFonts w:ascii="Times New Roman" w:hAnsi="Times New Roman"/>
                <w:kern w:val="0"/>
                <w:szCs w:val="21"/>
              </w:rPr>
            </w:pPr>
            <w:r>
              <w:rPr>
                <w:rFonts w:ascii="Times New Roman" w:hAnsi="Times New Roman"/>
                <w:kern w:val="0"/>
                <w:szCs w:val="21"/>
              </w:rPr>
              <w:t>下风向最大浓度</w:t>
            </w:r>
          </w:p>
        </w:tc>
        <w:tc>
          <w:tcPr>
            <w:tcW w:w="1242" w:type="dxa"/>
            <w:shd w:val="clear" w:color="auto" w:fill="auto"/>
            <w:vAlign w:val="center"/>
          </w:tcPr>
          <w:p w14:paraId="1FB8D669">
            <w:pPr>
              <w:widowControl/>
              <w:jc w:val="center"/>
              <w:rPr>
                <w:rFonts w:ascii="Times New Roman" w:hAnsi="Times New Roman"/>
                <w:kern w:val="0"/>
                <w:szCs w:val="21"/>
                <w:u w:val="single"/>
              </w:rPr>
            </w:pPr>
            <w:r>
              <w:rPr>
                <w:rFonts w:ascii="Times New Roman" w:hAnsi="Times New Roman" w:eastAsia="等线"/>
                <w:szCs w:val="21"/>
                <w:u w:val="single"/>
              </w:rPr>
              <w:t>0.5121</w:t>
            </w:r>
          </w:p>
        </w:tc>
        <w:tc>
          <w:tcPr>
            <w:tcW w:w="1242" w:type="dxa"/>
            <w:shd w:val="clear" w:color="auto" w:fill="auto"/>
            <w:vAlign w:val="center"/>
          </w:tcPr>
          <w:p w14:paraId="11063A5C">
            <w:pPr>
              <w:widowControl/>
              <w:jc w:val="center"/>
              <w:rPr>
                <w:rFonts w:ascii="Times New Roman" w:hAnsi="Times New Roman"/>
                <w:kern w:val="0"/>
                <w:szCs w:val="21"/>
                <w:u w:val="single"/>
              </w:rPr>
            </w:pPr>
            <w:r>
              <w:rPr>
                <w:rFonts w:ascii="Times New Roman" w:hAnsi="Times New Roman" w:eastAsia="等线"/>
                <w:szCs w:val="21"/>
                <w:u w:val="single"/>
              </w:rPr>
              <w:t>0.1138</w:t>
            </w:r>
          </w:p>
        </w:tc>
        <w:tc>
          <w:tcPr>
            <w:tcW w:w="1242" w:type="dxa"/>
            <w:shd w:val="clear" w:color="auto" w:fill="auto"/>
            <w:vAlign w:val="center"/>
          </w:tcPr>
          <w:p w14:paraId="36F9A873">
            <w:pPr>
              <w:widowControl/>
              <w:jc w:val="center"/>
              <w:rPr>
                <w:rFonts w:ascii="Times New Roman" w:hAnsi="Times New Roman"/>
                <w:kern w:val="0"/>
                <w:szCs w:val="21"/>
                <w:u w:val="single"/>
              </w:rPr>
            </w:pPr>
            <w:r>
              <w:rPr>
                <w:rFonts w:ascii="Times New Roman" w:hAnsi="Times New Roman" w:eastAsia="等线"/>
                <w:szCs w:val="21"/>
                <w:u w:val="single"/>
              </w:rPr>
              <w:t>2.6952</w:t>
            </w:r>
          </w:p>
        </w:tc>
        <w:tc>
          <w:tcPr>
            <w:tcW w:w="1242" w:type="dxa"/>
            <w:shd w:val="clear" w:color="auto" w:fill="auto"/>
            <w:vAlign w:val="center"/>
          </w:tcPr>
          <w:p w14:paraId="22C01321">
            <w:pPr>
              <w:widowControl/>
              <w:jc w:val="center"/>
              <w:rPr>
                <w:rFonts w:ascii="Times New Roman" w:hAnsi="Times New Roman"/>
                <w:kern w:val="0"/>
                <w:szCs w:val="21"/>
                <w:u w:val="single"/>
              </w:rPr>
            </w:pPr>
            <w:r>
              <w:rPr>
                <w:rFonts w:ascii="Times New Roman" w:hAnsi="Times New Roman" w:eastAsia="等线"/>
                <w:szCs w:val="21"/>
                <w:u w:val="single"/>
              </w:rPr>
              <w:t>0.5390</w:t>
            </w:r>
          </w:p>
        </w:tc>
        <w:tc>
          <w:tcPr>
            <w:tcW w:w="1242" w:type="dxa"/>
            <w:shd w:val="clear" w:color="auto" w:fill="auto"/>
            <w:vAlign w:val="center"/>
          </w:tcPr>
          <w:p w14:paraId="3DAA9A2D">
            <w:pPr>
              <w:widowControl/>
              <w:jc w:val="center"/>
              <w:rPr>
                <w:rFonts w:ascii="Times New Roman" w:hAnsi="Times New Roman"/>
                <w:kern w:val="0"/>
                <w:szCs w:val="21"/>
                <w:u w:val="single"/>
              </w:rPr>
            </w:pPr>
            <w:r>
              <w:rPr>
                <w:rFonts w:ascii="Times New Roman" w:hAnsi="Times New Roman" w:eastAsia="等线"/>
                <w:szCs w:val="21"/>
                <w:u w:val="single"/>
              </w:rPr>
              <w:t>14.6317</w:t>
            </w:r>
          </w:p>
        </w:tc>
        <w:tc>
          <w:tcPr>
            <w:tcW w:w="1246" w:type="dxa"/>
            <w:shd w:val="clear" w:color="auto" w:fill="auto"/>
            <w:vAlign w:val="center"/>
          </w:tcPr>
          <w:p w14:paraId="54E98B3C">
            <w:pPr>
              <w:widowControl/>
              <w:jc w:val="center"/>
              <w:rPr>
                <w:rFonts w:ascii="Times New Roman" w:hAnsi="Times New Roman"/>
                <w:kern w:val="0"/>
                <w:szCs w:val="21"/>
                <w:u w:val="single"/>
              </w:rPr>
            </w:pPr>
            <w:r>
              <w:rPr>
                <w:rFonts w:ascii="Times New Roman" w:hAnsi="Times New Roman" w:eastAsia="等线"/>
                <w:szCs w:val="21"/>
                <w:u w:val="single"/>
              </w:rPr>
              <w:t>5.8527</w:t>
            </w:r>
          </w:p>
        </w:tc>
      </w:tr>
      <w:tr w14:paraId="191502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584" w:type="dxa"/>
            <w:shd w:val="clear" w:color="auto" w:fill="auto"/>
            <w:vAlign w:val="center"/>
          </w:tcPr>
          <w:p w14:paraId="7DE14707">
            <w:pPr>
              <w:widowControl/>
              <w:jc w:val="center"/>
              <w:rPr>
                <w:rFonts w:ascii="Times New Roman" w:hAnsi="Times New Roman"/>
                <w:kern w:val="0"/>
                <w:szCs w:val="21"/>
              </w:rPr>
            </w:pPr>
            <w:r>
              <w:rPr>
                <w:rFonts w:ascii="Times New Roman" w:hAnsi="Times New Roman"/>
                <w:kern w:val="0"/>
                <w:szCs w:val="21"/>
              </w:rPr>
              <w:t>下风向最大浓度出现距离</w:t>
            </w:r>
          </w:p>
        </w:tc>
        <w:tc>
          <w:tcPr>
            <w:tcW w:w="1242" w:type="dxa"/>
            <w:shd w:val="clear" w:color="auto" w:fill="auto"/>
            <w:vAlign w:val="center"/>
          </w:tcPr>
          <w:p w14:paraId="466ED160">
            <w:pPr>
              <w:widowControl/>
              <w:jc w:val="center"/>
              <w:rPr>
                <w:rFonts w:ascii="Times New Roman" w:hAnsi="Times New Roman"/>
                <w:kern w:val="0"/>
                <w:szCs w:val="21"/>
                <w:u w:val="single"/>
              </w:rPr>
            </w:pPr>
            <w:r>
              <w:rPr>
                <w:rFonts w:ascii="Times New Roman" w:hAnsi="Times New Roman" w:eastAsia="等线"/>
                <w:szCs w:val="21"/>
                <w:u w:val="single"/>
              </w:rPr>
              <w:t>28</w:t>
            </w:r>
          </w:p>
        </w:tc>
        <w:tc>
          <w:tcPr>
            <w:tcW w:w="1242" w:type="dxa"/>
            <w:shd w:val="clear" w:color="auto" w:fill="auto"/>
            <w:vAlign w:val="center"/>
          </w:tcPr>
          <w:p w14:paraId="24633734">
            <w:pPr>
              <w:widowControl/>
              <w:jc w:val="center"/>
              <w:rPr>
                <w:rFonts w:ascii="Times New Roman" w:hAnsi="Times New Roman"/>
                <w:kern w:val="0"/>
                <w:szCs w:val="21"/>
                <w:u w:val="single"/>
              </w:rPr>
            </w:pPr>
            <w:r>
              <w:rPr>
                <w:rFonts w:ascii="Times New Roman" w:hAnsi="Times New Roman" w:eastAsia="等线"/>
                <w:szCs w:val="21"/>
                <w:u w:val="single"/>
              </w:rPr>
              <w:t>28</w:t>
            </w:r>
          </w:p>
        </w:tc>
        <w:tc>
          <w:tcPr>
            <w:tcW w:w="1242" w:type="dxa"/>
            <w:shd w:val="clear" w:color="auto" w:fill="auto"/>
            <w:vAlign w:val="center"/>
          </w:tcPr>
          <w:p w14:paraId="0D498BE1">
            <w:pPr>
              <w:widowControl/>
              <w:jc w:val="center"/>
              <w:rPr>
                <w:rFonts w:ascii="Times New Roman" w:hAnsi="Times New Roman"/>
                <w:kern w:val="0"/>
                <w:szCs w:val="21"/>
                <w:u w:val="single"/>
              </w:rPr>
            </w:pPr>
            <w:r>
              <w:rPr>
                <w:rFonts w:ascii="Times New Roman" w:hAnsi="Times New Roman" w:eastAsia="等线"/>
                <w:szCs w:val="21"/>
                <w:u w:val="single"/>
              </w:rPr>
              <w:t>28</w:t>
            </w:r>
          </w:p>
        </w:tc>
        <w:tc>
          <w:tcPr>
            <w:tcW w:w="1242" w:type="dxa"/>
            <w:shd w:val="clear" w:color="auto" w:fill="auto"/>
            <w:vAlign w:val="center"/>
          </w:tcPr>
          <w:p w14:paraId="5987DCE0">
            <w:pPr>
              <w:widowControl/>
              <w:jc w:val="center"/>
              <w:rPr>
                <w:rFonts w:ascii="Times New Roman" w:hAnsi="Times New Roman"/>
                <w:kern w:val="0"/>
                <w:szCs w:val="21"/>
                <w:u w:val="single"/>
              </w:rPr>
            </w:pPr>
            <w:r>
              <w:rPr>
                <w:rFonts w:ascii="Times New Roman" w:hAnsi="Times New Roman" w:eastAsia="等线"/>
                <w:szCs w:val="21"/>
                <w:u w:val="single"/>
              </w:rPr>
              <w:t>28</w:t>
            </w:r>
          </w:p>
        </w:tc>
        <w:tc>
          <w:tcPr>
            <w:tcW w:w="1242" w:type="dxa"/>
            <w:shd w:val="clear" w:color="auto" w:fill="auto"/>
            <w:vAlign w:val="center"/>
          </w:tcPr>
          <w:p w14:paraId="4C3168AC">
            <w:pPr>
              <w:widowControl/>
              <w:jc w:val="center"/>
              <w:rPr>
                <w:rFonts w:ascii="Times New Roman" w:hAnsi="Times New Roman"/>
                <w:kern w:val="0"/>
                <w:szCs w:val="21"/>
                <w:u w:val="single"/>
              </w:rPr>
            </w:pPr>
            <w:r>
              <w:rPr>
                <w:rFonts w:ascii="Times New Roman" w:hAnsi="Times New Roman" w:eastAsia="等线"/>
                <w:szCs w:val="21"/>
                <w:u w:val="single"/>
              </w:rPr>
              <w:t>28</w:t>
            </w:r>
          </w:p>
        </w:tc>
        <w:tc>
          <w:tcPr>
            <w:tcW w:w="1246" w:type="dxa"/>
            <w:shd w:val="clear" w:color="auto" w:fill="auto"/>
            <w:vAlign w:val="center"/>
          </w:tcPr>
          <w:p w14:paraId="1E896C86">
            <w:pPr>
              <w:widowControl/>
              <w:jc w:val="center"/>
              <w:rPr>
                <w:rFonts w:ascii="Times New Roman" w:hAnsi="Times New Roman"/>
                <w:kern w:val="0"/>
                <w:szCs w:val="21"/>
                <w:u w:val="single"/>
              </w:rPr>
            </w:pPr>
            <w:r>
              <w:rPr>
                <w:rFonts w:ascii="Times New Roman" w:hAnsi="Times New Roman" w:eastAsia="等线"/>
                <w:szCs w:val="21"/>
                <w:u w:val="single"/>
              </w:rPr>
              <w:t>28</w:t>
            </w:r>
          </w:p>
        </w:tc>
      </w:tr>
      <w:tr w14:paraId="3A0D47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584" w:type="dxa"/>
            <w:shd w:val="clear" w:color="auto" w:fill="auto"/>
            <w:vAlign w:val="center"/>
          </w:tcPr>
          <w:p w14:paraId="5610E6EB">
            <w:pPr>
              <w:widowControl/>
              <w:jc w:val="center"/>
              <w:rPr>
                <w:rFonts w:ascii="Times New Roman" w:hAnsi="Times New Roman"/>
                <w:kern w:val="0"/>
                <w:szCs w:val="21"/>
              </w:rPr>
            </w:pPr>
            <w:r>
              <w:rPr>
                <w:rFonts w:ascii="Times New Roman" w:hAnsi="Times New Roman"/>
                <w:kern w:val="0"/>
                <w:szCs w:val="21"/>
              </w:rPr>
              <w:t>D10%最远距离 </w:t>
            </w:r>
          </w:p>
        </w:tc>
        <w:tc>
          <w:tcPr>
            <w:tcW w:w="1242" w:type="dxa"/>
            <w:shd w:val="clear" w:color="auto" w:fill="auto"/>
            <w:vAlign w:val="center"/>
          </w:tcPr>
          <w:p w14:paraId="6177A893">
            <w:pPr>
              <w:widowControl/>
              <w:jc w:val="center"/>
              <w:rPr>
                <w:rFonts w:ascii="Times New Roman" w:hAnsi="Times New Roman"/>
                <w:kern w:val="0"/>
                <w:szCs w:val="21"/>
              </w:rPr>
            </w:pPr>
            <w:r>
              <w:rPr>
                <w:rFonts w:ascii="Times New Roman" w:hAnsi="Times New Roman" w:eastAsia="等线"/>
                <w:szCs w:val="21"/>
              </w:rPr>
              <w:t>/</w:t>
            </w:r>
          </w:p>
        </w:tc>
        <w:tc>
          <w:tcPr>
            <w:tcW w:w="1242" w:type="dxa"/>
            <w:shd w:val="clear" w:color="auto" w:fill="auto"/>
            <w:vAlign w:val="center"/>
          </w:tcPr>
          <w:p w14:paraId="468AFC20">
            <w:pPr>
              <w:widowControl/>
              <w:jc w:val="center"/>
              <w:rPr>
                <w:rFonts w:ascii="Times New Roman" w:hAnsi="Times New Roman"/>
                <w:kern w:val="0"/>
                <w:szCs w:val="21"/>
              </w:rPr>
            </w:pPr>
            <w:r>
              <w:rPr>
                <w:rFonts w:ascii="Times New Roman" w:hAnsi="Times New Roman" w:eastAsia="等线"/>
                <w:szCs w:val="21"/>
              </w:rPr>
              <w:t>/</w:t>
            </w:r>
          </w:p>
        </w:tc>
        <w:tc>
          <w:tcPr>
            <w:tcW w:w="1242" w:type="dxa"/>
            <w:shd w:val="clear" w:color="auto" w:fill="auto"/>
            <w:vAlign w:val="center"/>
          </w:tcPr>
          <w:p w14:paraId="5CF7209B">
            <w:pPr>
              <w:widowControl/>
              <w:jc w:val="center"/>
              <w:rPr>
                <w:rFonts w:ascii="Times New Roman" w:hAnsi="Times New Roman"/>
                <w:kern w:val="0"/>
                <w:szCs w:val="21"/>
              </w:rPr>
            </w:pPr>
            <w:r>
              <w:rPr>
                <w:rFonts w:ascii="Times New Roman" w:hAnsi="Times New Roman" w:eastAsia="等线"/>
                <w:szCs w:val="21"/>
              </w:rPr>
              <w:t>/</w:t>
            </w:r>
          </w:p>
        </w:tc>
        <w:tc>
          <w:tcPr>
            <w:tcW w:w="1242" w:type="dxa"/>
            <w:shd w:val="clear" w:color="auto" w:fill="auto"/>
            <w:vAlign w:val="center"/>
          </w:tcPr>
          <w:p w14:paraId="0FAAB101">
            <w:pPr>
              <w:widowControl/>
              <w:jc w:val="center"/>
              <w:rPr>
                <w:rFonts w:ascii="Times New Roman" w:hAnsi="Times New Roman"/>
                <w:kern w:val="0"/>
                <w:szCs w:val="21"/>
              </w:rPr>
            </w:pPr>
            <w:r>
              <w:rPr>
                <w:rFonts w:ascii="Times New Roman" w:hAnsi="Times New Roman" w:eastAsia="等线"/>
                <w:szCs w:val="21"/>
              </w:rPr>
              <w:t>/</w:t>
            </w:r>
          </w:p>
        </w:tc>
        <w:tc>
          <w:tcPr>
            <w:tcW w:w="1242" w:type="dxa"/>
            <w:shd w:val="clear" w:color="auto" w:fill="auto"/>
            <w:vAlign w:val="center"/>
          </w:tcPr>
          <w:p w14:paraId="22552CE9">
            <w:pPr>
              <w:widowControl/>
              <w:jc w:val="center"/>
              <w:rPr>
                <w:rFonts w:ascii="Times New Roman" w:hAnsi="Times New Roman"/>
                <w:kern w:val="0"/>
                <w:szCs w:val="21"/>
              </w:rPr>
            </w:pPr>
            <w:r>
              <w:rPr>
                <w:rFonts w:ascii="Times New Roman" w:hAnsi="Times New Roman" w:eastAsia="等线"/>
                <w:szCs w:val="21"/>
              </w:rPr>
              <w:t>/</w:t>
            </w:r>
          </w:p>
        </w:tc>
        <w:tc>
          <w:tcPr>
            <w:tcW w:w="1246" w:type="dxa"/>
            <w:shd w:val="clear" w:color="auto" w:fill="auto"/>
            <w:vAlign w:val="center"/>
          </w:tcPr>
          <w:p w14:paraId="38A8AD4D">
            <w:pPr>
              <w:widowControl/>
              <w:jc w:val="center"/>
              <w:rPr>
                <w:rFonts w:ascii="Times New Roman" w:hAnsi="Times New Roman"/>
                <w:kern w:val="0"/>
                <w:szCs w:val="21"/>
              </w:rPr>
            </w:pPr>
            <w:r>
              <w:rPr>
                <w:rFonts w:ascii="Times New Roman" w:hAnsi="Times New Roman" w:eastAsia="等线"/>
                <w:szCs w:val="21"/>
              </w:rPr>
              <w:t>/</w:t>
            </w:r>
          </w:p>
        </w:tc>
      </w:tr>
    </w:tbl>
    <w:p w14:paraId="2A89563A">
      <w:pPr>
        <w:spacing w:line="360" w:lineRule="auto"/>
        <w:ind w:firstLine="420" w:firstLineChars="200"/>
        <w:rPr>
          <w:rFonts w:ascii="Times New Roman" w:hAnsi="Times New Roman"/>
        </w:rPr>
      </w:pPr>
    </w:p>
    <w:p w14:paraId="71BDAA1C">
      <w:pPr>
        <w:spacing w:line="360" w:lineRule="auto"/>
        <w:ind w:firstLine="474" w:firstLineChars="200"/>
        <w:rPr>
          <w:rFonts w:ascii="Times New Roman" w:hAnsi="Times New Roman"/>
          <w:b/>
          <w:bCs/>
          <w:spacing w:val="-2"/>
          <w:kern w:val="0"/>
          <w:sz w:val="24"/>
          <w:szCs w:val="24"/>
        </w:rPr>
      </w:pPr>
      <w:r>
        <w:rPr>
          <w:rFonts w:ascii="Times New Roman" w:hAnsi="Times New Roman"/>
          <w:b/>
          <w:bCs/>
          <w:spacing w:val="-2"/>
          <w:kern w:val="0"/>
          <w:sz w:val="24"/>
          <w:szCs w:val="24"/>
        </w:rPr>
        <w:t>（2）生产车间粉尘有组织排放污染物浓度分布</w:t>
      </w:r>
    </w:p>
    <w:p w14:paraId="1433F979">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生产车间粉尘有组织排放的颗粒物的浓度分布见表4.2-12。</w:t>
      </w:r>
    </w:p>
    <w:p w14:paraId="28F64FD4">
      <w:pPr>
        <w:pStyle w:val="8"/>
        <w:numPr>
          <w:ilvl w:val="4"/>
          <w:numId w:val="3"/>
        </w:numPr>
        <w:rPr>
          <w:sz w:val="24"/>
          <w:szCs w:val="24"/>
        </w:rPr>
      </w:pPr>
      <w:r>
        <w:rPr>
          <w:sz w:val="24"/>
          <w:szCs w:val="24"/>
        </w:rPr>
        <w:t>生产车间粉尘有组织排放污染物浓度分布一览表</w:t>
      </w:r>
    </w:p>
    <w:tbl>
      <w:tblPr>
        <w:tblStyle w:val="88"/>
        <w:tblW w:w="904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8"/>
        <w:gridCol w:w="1808"/>
        <w:gridCol w:w="1808"/>
        <w:gridCol w:w="1808"/>
        <w:gridCol w:w="1808"/>
      </w:tblGrid>
      <w:tr w14:paraId="4B3D33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1808" w:type="dxa"/>
            <w:vMerge w:val="restart"/>
            <w:shd w:val="clear" w:color="auto" w:fill="auto"/>
            <w:vAlign w:val="center"/>
          </w:tcPr>
          <w:p w14:paraId="0C614CB0">
            <w:pPr>
              <w:widowControl/>
              <w:jc w:val="center"/>
              <w:rPr>
                <w:rFonts w:ascii="Times New Roman" w:hAnsi="Times New Roman"/>
                <w:b/>
                <w:bCs/>
                <w:kern w:val="0"/>
                <w:szCs w:val="21"/>
              </w:rPr>
            </w:pPr>
            <w:r>
              <w:rPr>
                <w:rFonts w:ascii="Times New Roman" w:hAnsi="Times New Roman"/>
                <w:b/>
                <w:bCs/>
                <w:kern w:val="0"/>
                <w:szCs w:val="21"/>
              </w:rPr>
              <w:t>下风向距离</w:t>
            </w:r>
          </w:p>
          <w:p w14:paraId="0BC7B928">
            <w:pPr>
              <w:widowControl/>
              <w:jc w:val="center"/>
              <w:rPr>
                <w:rFonts w:ascii="Times New Roman" w:hAnsi="Times New Roman"/>
                <w:b/>
                <w:bCs/>
                <w:kern w:val="0"/>
                <w:szCs w:val="21"/>
              </w:rPr>
            </w:pPr>
            <w:r>
              <w:rPr>
                <w:rFonts w:hint="eastAsia" w:ascii="Times New Roman" w:hAnsi="Times New Roman"/>
                <w:b/>
                <w:bCs/>
                <w:kern w:val="0"/>
                <w:szCs w:val="21"/>
              </w:rPr>
              <w:t>(m)</w:t>
            </w:r>
          </w:p>
        </w:tc>
        <w:tc>
          <w:tcPr>
            <w:tcW w:w="3616" w:type="dxa"/>
            <w:gridSpan w:val="2"/>
            <w:shd w:val="clear" w:color="auto" w:fill="auto"/>
            <w:vAlign w:val="center"/>
          </w:tcPr>
          <w:p w14:paraId="0816F65F">
            <w:pPr>
              <w:widowControl/>
              <w:jc w:val="center"/>
              <w:rPr>
                <w:rFonts w:ascii="Times New Roman" w:hAnsi="Times New Roman"/>
                <w:b/>
                <w:bCs/>
                <w:kern w:val="0"/>
                <w:szCs w:val="21"/>
              </w:rPr>
            </w:pPr>
            <w:r>
              <w:rPr>
                <w:rFonts w:hint="eastAsia" w:ascii="Times New Roman" w:hAnsi="Times New Roman"/>
                <w:b/>
                <w:bCs/>
                <w:kern w:val="0"/>
                <w:szCs w:val="21"/>
              </w:rPr>
              <w:t>1#</w:t>
            </w:r>
            <w:r>
              <w:rPr>
                <w:rFonts w:ascii="Times New Roman" w:hAnsi="Times New Roman"/>
                <w:b/>
                <w:bCs/>
                <w:kern w:val="0"/>
                <w:szCs w:val="21"/>
              </w:rPr>
              <w:t>车间粉尘排气筒(DA002)</w:t>
            </w:r>
          </w:p>
        </w:tc>
        <w:tc>
          <w:tcPr>
            <w:tcW w:w="3616" w:type="dxa"/>
            <w:gridSpan w:val="2"/>
            <w:shd w:val="clear" w:color="auto" w:fill="auto"/>
            <w:vAlign w:val="center"/>
          </w:tcPr>
          <w:p w14:paraId="73F64EE2">
            <w:pPr>
              <w:widowControl/>
              <w:jc w:val="center"/>
              <w:rPr>
                <w:rFonts w:ascii="Times New Roman" w:hAnsi="Times New Roman"/>
                <w:b/>
                <w:bCs/>
                <w:kern w:val="0"/>
                <w:szCs w:val="21"/>
              </w:rPr>
            </w:pPr>
            <w:r>
              <w:rPr>
                <w:rFonts w:hint="eastAsia" w:ascii="Times New Roman" w:hAnsi="Times New Roman"/>
                <w:b/>
                <w:bCs/>
                <w:kern w:val="0"/>
                <w:szCs w:val="21"/>
              </w:rPr>
              <w:t>2#</w:t>
            </w:r>
            <w:r>
              <w:rPr>
                <w:rFonts w:ascii="Times New Roman" w:hAnsi="Times New Roman"/>
                <w:b/>
                <w:bCs/>
                <w:kern w:val="0"/>
                <w:szCs w:val="21"/>
              </w:rPr>
              <w:t>车间粉尘排气筒(DA00</w:t>
            </w:r>
            <w:r>
              <w:rPr>
                <w:rFonts w:hint="eastAsia" w:ascii="Times New Roman" w:hAnsi="Times New Roman"/>
                <w:b/>
                <w:bCs/>
                <w:kern w:val="0"/>
                <w:szCs w:val="21"/>
              </w:rPr>
              <w:t>3</w:t>
            </w:r>
            <w:r>
              <w:rPr>
                <w:rFonts w:ascii="Times New Roman" w:hAnsi="Times New Roman"/>
                <w:b/>
                <w:bCs/>
                <w:kern w:val="0"/>
                <w:szCs w:val="21"/>
              </w:rPr>
              <w:t>)</w:t>
            </w:r>
          </w:p>
        </w:tc>
      </w:tr>
      <w:tr w14:paraId="783E47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1808" w:type="dxa"/>
            <w:vMerge w:val="continue"/>
            <w:shd w:val="clear" w:color="auto" w:fill="auto"/>
            <w:vAlign w:val="center"/>
          </w:tcPr>
          <w:p w14:paraId="05DB885C">
            <w:pPr>
              <w:widowControl/>
              <w:jc w:val="left"/>
              <w:rPr>
                <w:rFonts w:ascii="Times New Roman" w:hAnsi="Times New Roman"/>
                <w:b/>
                <w:bCs/>
                <w:kern w:val="0"/>
                <w:szCs w:val="21"/>
              </w:rPr>
            </w:pPr>
          </w:p>
        </w:tc>
        <w:tc>
          <w:tcPr>
            <w:tcW w:w="1808" w:type="dxa"/>
            <w:shd w:val="clear" w:color="auto" w:fill="auto"/>
            <w:vAlign w:val="center"/>
          </w:tcPr>
          <w:p w14:paraId="520AEBB7">
            <w:pPr>
              <w:widowControl/>
              <w:jc w:val="center"/>
              <w:rPr>
                <w:rFonts w:ascii="Times New Roman" w:hAnsi="Times New Roman"/>
                <w:b/>
                <w:bCs/>
                <w:kern w:val="0"/>
                <w:szCs w:val="21"/>
              </w:rPr>
            </w:pPr>
            <w:r>
              <w:rPr>
                <w:rFonts w:ascii="Times New Roman" w:hAnsi="Times New Roman"/>
                <w:b/>
                <w:bCs/>
                <w:kern w:val="0"/>
                <w:szCs w:val="21"/>
              </w:rPr>
              <w:t>PM</w:t>
            </w:r>
            <w:r>
              <w:rPr>
                <w:rFonts w:ascii="Times New Roman" w:hAnsi="Times New Roman"/>
                <w:b/>
                <w:bCs/>
                <w:kern w:val="0"/>
                <w:szCs w:val="21"/>
                <w:vertAlign w:val="subscript"/>
              </w:rPr>
              <w:t>10</w:t>
            </w:r>
            <w:r>
              <w:rPr>
                <w:rFonts w:ascii="Times New Roman" w:hAnsi="Times New Roman"/>
                <w:b/>
                <w:bCs/>
                <w:kern w:val="0"/>
                <w:szCs w:val="21"/>
              </w:rPr>
              <w:t>浓度(μg/m³)</w:t>
            </w:r>
          </w:p>
        </w:tc>
        <w:tc>
          <w:tcPr>
            <w:tcW w:w="1808" w:type="dxa"/>
            <w:shd w:val="clear" w:color="auto" w:fill="auto"/>
            <w:vAlign w:val="center"/>
          </w:tcPr>
          <w:p w14:paraId="0801B176">
            <w:pPr>
              <w:widowControl/>
              <w:jc w:val="center"/>
              <w:rPr>
                <w:rFonts w:ascii="Times New Roman" w:hAnsi="Times New Roman"/>
                <w:b/>
                <w:bCs/>
                <w:kern w:val="0"/>
                <w:szCs w:val="21"/>
              </w:rPr>
            </w:pPr>
            <w:r>
              <w:rPr>
                <w:rFonts w:ascii="Times New Roman" w:hAnsi="Times New Roman"/>
                <w:b/>
                <w:bCs/>
                <w:kern w:val="0"/>
                <w:szCs w:val="21"/>
              </w:rPr>
              <w:t>PM</w:t>
            </w:r>
            <w:r>
              <w:rPr>
                <w:rFonts w:ascii="Times New Roman" w:hAnsi="Times New Roman"/>
                <w:b/>
                <w:bCs/>
                <w:kern w:val="0"/>
                <w:szCs w:val="21"/>
                <w:vertAlign w:val="subscript"/>
              </w:rPr>
              <w:t>10</w:t>
            </w:r>
            <w:r>
              <w:rPr>
                <w:rFonts w:ascii="Times New Roman" w:hAnsi="Times New Roman"/>
                <w:b/>
                <w:bCs/>
                <w:kern w:val="0"/>
                <w:szCs w:val="21"/>
              </w:rPr>
              <w:t>占标率(%)</w:t>
            </w:r>
          </w:p>
        </w:tc>
        <w:tc>
          <w:tcPr>
            <w:tcW w:w="1808" w:type="dxa"/>
            <w:shd w:val="clear" w:color="auto" w:fill="auto"/>
            <w:vAlign w:val="center"/>
          </w:tcPr>
          <w:p w14:paraId="4401B783">
            <w:pPr>
              <w:widowControl/>
              <w:jc w:val="center"/>
              <w:rPr>
                <w:rFonts w:ascii="Times New Roman" w:hAnsi="Times New Roman"/>
                <w:b/>
                <w:bCs/>
                <w:kern w:val="0"/>
                <w:szCs w:val="21"/>
              </w:rPr>
            </w:pPr>
            <w:r>
              <w:rPr>
                <w:rFonts w:ascii="Times New Roman" w:hAnsi="Times New Roman"/>
                <w:b/>
                <w:bCs/>
                <w:kern w:val="0"/>
                <w:szCs w:val="21"/>
              </w:rPr>
              <w:t>TSP浓度(μg/m³)</w:t>
            </w:r>
          </w:p>
        </w:tc>
        <w:tc>
          <w:tcPr>
            <w:tcW w:w="1808" w:type="dxa"/>
            <w:shd w:val="clear" w:color="auto" w:fill="auto"/>
            <w:vAlign w:val="center"/>
          </w:tcPr>
          <w:p w14:paraId="10E9E68C">
            <w:pPr>
              <w:widowControl/>
              <w:jc w:val="center"/>
              <w:rPr>
                <w:rFonts w:ascii="Times New Roman" w:hAnsi="Times New Roman"/>
                <w:b/>
                <w:bCs/>
                <w:kern w:val="0"/>
                <w:szCs w:val="21"/>
              </w:rPr>
            </w:pPr>
            <w:r>
              <w:rPr>
                <w:rFonts w:ascii="Times New Roman" w:hAnsi="Times New Roman"/>
                <w:b/>
                <w:bCs/>
                <w:kern w:val="0"/>
                <w:szCs w:val="21"/>
              </w:rPr>
              <w:t>TSP占标率(%)</w:t>
            </w:r>
          </w:p>
        </w:tc>
      </w:tr>
      <w:tr w14:paraId="22D2FA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08388E6D">
            <w:pPr>
              <w:widowControl/>
              <w:jc w:val="center"/>
              <w:rPr>
                <w:rFonts w:ascii="Times New Roman" w:hAnsi="Times New Roman"/>
                <w:kern w:val="0"/>
                <w:szCs w:val="21"/>
              </w:rPr>
            </w:pPr>
            <w:r>
              <w:rPr>
                <w:rFonts w:ascii="Times New Roman" w:hAnsi="Times New Roman"/>
                <w:kern w:val="0"/>
                <w:szCs w:val="21"/>
              </w:rPr>
              <w:t>50</w:t>
            </w:r>
          </w:p>
        </w:tc>
        <w:tc>
          <w:tcPr>
            <w:tcW w:w="1808" w:type="dxa"/>
            <w:shd w:val="clear" w:color="auto" w:fill="auto"/>
            <w:vAlign w:val="center"/>
          </w:tcPr>
          <w:p w14:paraId="7CBC90D5">
            <w:pPr>
              <w:widowControl/>
              <w:jc w:val="center"/>
              <w:rPr>
                <w:rFonts w:ascii="Times New Roman" w:hAnsi="Times New Roman"/>
                <w:kern w:val="0"/>
                <w:szCs w:val="21"/>
                <w:u w:val="single"/>
              </w:rPr>
            </w:pPr>
            <w:r>
              <w:rPr>
                <w:rFonts w:ascii="Times New Roman" w:hAnsi="Times New Roman" w:eastAsia="等线"/>
                <w:szCs w:val="21"/>
                <w:u w:val="single"/>
              </w:rPr>
              <w:t>0.0353</w:t>
            </w:r>
          </w:p>
        </w:tc>
        <w:tc>
          <w:tcPr>
            <w:tcW w:w="1808" w:type="dxa"/>
            <w:shd w:val="clear" w:color="auto" w:fill="auto"/>
            <w:vAlign w:val="center"/>
          </w:tcPr>
          <w:p w14:paraId="690D4625">
            <w:pPr>
              <w:widowControl/>
              <w:jc w:val="center"/>
              <w:rPr>
                <w:rFonts w:ascii="Times New Roman" w:hAnsi="Times New Roman"/>
                <w:kern w:val="0"/>
                <w:szCs w:val="21"/>
                <w:u w:val="single"/>
              </w:rPr>
            </w:pPr>
            <w:r>
              <w:rPr>
                <w:rFonts w:ascii="Times New Roman" w:hAnsi="Times New Roman" w:eastAsia="等线"/>
                <w:szCs w:val="21"/>
                <w:u w:val="single"/>
              </w:rPr>
              <w:t>0.0078</w:t>
            </w:r>
          </w:p>
        </w:tc>
        <w:tc>
          <w:tcPr>
            <w:tcW w:w="1808" w:type="dxa"/>
            <w:shd w:val="clear" w:color="auto" w:fill="auto"/>
            <w:vAlign w:val="center"/>
          </w:tcPr>
          <w:p w14:paraId="3D48E291">
            <w:pPr>
              <w:widowControl/>
              <w:jc w:val="center"/>
              <w:rPr>
                <w:rFonts w:ascii="Times New Roman" w:hAnsi="Times New Roman"/>
                <w:kern w:val="0"/>
                <w:szCs w:val="21"/>
                <w:u w:val="single"/>
              </w:rPr>
            </w:pPr>
            <w:r>
              <w:rPr>
                <w:rFonts w:ascii="Times New Roman" w:hAnsi="Times New Roman" w:eastAsia="等线"/>
                <w:szCs w:val="21"/>
                <w:u w:val="single"/>
              </w:rPr>
              <w:t>0.0461</w:t>
            </w:r>
          </w:p>
        </w:tc>
        <w:tc>
          <w:tcPr>
            <w:tcW w:w="1808" w:type="dxa"/>
            <w:shd w:val="clear" w:color="auto" w:fill="auto"/>
            <w:vAlign w:val="center"/>
          </w:tcPr>
          <w:p w14:paraId="3028A872">
            <w:pPr>
              <w:widowControl/>
              <w:jc w:val="center"/>
              <w:rPr>
                <w:rFonts w:ascii="Times New Roman" w:hAnsi="Times New Roman"/>
                <w:kern w:val="0"/>
                <w:szCs w:val="21"/>
                <w:u w:val="single"/>
              </w:rPr>
            </w:pPr>
            <w:r>
              <w:rPr>
                <w:rFonts w:ascii="Times New Roman" w:hAnsi="Times New Roman" w:eastAsia="等线"/>
                <w:szCs w:val="21"/>
                <w:u w:val="single"/>
              </w:rPr>
              <w:t>0.0102</w:t>
            </w:r>
          </w:p>
        </w:tc>
      </w:tr>
      <w:tr w14:paraId="012B83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12D18560">
            <w:pPr>
              <w:widowControl/>
              <w:jc w:val="center"/>
              <w:rPr>
                <w:rFonts w:ascii="Times New Roman" w:hAnsi="Times New Roman"/>
                <w:kern w:val="0"/>
                <w:szCs w:val="21"/>
              </w:rPr>
            </w:pPr>
            <w:r>
              <w:rPr>
                <w:rFonts w:ascii="Times New Roman" w:hAnsi="Times New Roman"/>
                <w:kern w:val="0"/>
                <w:szCs w:val="21"/>
              </w:rPr>
              <w:t>100</w:t>
            </w:r>
          </w:p>
        </w:tc>
        <w:tc>
          <w:tcPr>
            <w:tcW w:w="1808" w:type="dxa"/>
            <w:shd w:val="clear" w:color="auto" w:fill="auto"/>
            <w:vAlign w:val="center"/>
          </w:tcPr>
          <w:p w14:paraId="0AF663C2">
            <w:pPr>
              <w:widowControl/>
              <w:jc w:val="center"/>
              <w:rPr>
                <w:rFonts w:ascii="Times New Roman" w:hAnsi="Times New Roman"/>
                <w:kern w:val="0"/>
                <w:szCs w:val="21"/>
                <w:u w:val="single"/>
              </w:rPr>
            </w:pPr>
            <w:r>
              <w:rPr>
                <w:rFonts w:ascii="Times New Roman" w:hAnsi="Times New Roman" w:eastAsia="等线"/>
                <w:szCs w:val="21"/>
                <w:u w:val="single"/>
              </w:rPr>
              <w:t>0.0877</w:t>
            </w:r>
          </w:p>
        </w:tc>
        <w:tc>
          <w:tcPr>
            <w:tcW w:w="1808" w:type="dxa"/>
            <w:shd w:val="clear" w:color="auto" w:fill="auto"/>
            <w:vAlign w:val="center"/>
          </w:tcPr>
          <w:p w14:paraId="295DBF94">
            <w:pPr>
              <w:widowControl/>
              <w:jc w:val="center"/>
              <w:rPr>
                <w:rFonts w:ascii="Times New Roman" w:hAnsi="Times New Roman"/>
                <w:kern w:val="0"/>
                <w:szCs w:val="21"/>
                <w:u w:val="single"/>
              </w:rPr>
            </w:pPr>
            <w:r>
              <w:rPr>
                <w:rFonts w:ascii="Times New Roman" w:hAnsi="Times New Roman" w:eastAsia="等线"/>
                <w:szCs w:val="21"/>
                <w:u w:val="single"/>
              </w:rPr>
              <w:t>0.0195</w:t>
            </w:r>
          </w:p>
        </w:tc>
        <w:tc>
          <w:tcPr>
            <w:tcW w:w="1808" w:type="dxa"/>
            <w:shd w:val="clear" w:color="auto" w:fill="auto"/>
            <w:vAlign w:val="center"/>
          </w:tcPr>
          <w:p w14:paraId="0C8B49CA">
            <w:pPr>
              <w:widowControl/>
              <w:jc w:val="center"/>
              <w:rPr>
                <w:rFonts w:ascii="Times New Roman" w:hAnsi="Times New Roman"/>
                <w:kern w:val="0"/>
                <w:szCs w:val="21"/>
                <w:u w:val="single"/>
              </w:rPr>
            </w:pPr>
            <w:r>
              <w:rPr>
                <w:rFonts w:ascii="Times New Roman" w:hAnsi="Times New Roman" w:eastAsia="等线"/>
                <w:szCs w:val="21"/>
                <w:u w:val="single"/>
              </w:rPr>
              <w:t>0.1147</w:t>
            </w:r>
          </w:p>
        </w:tc>
        <w:tc>
          <w:tcPr>
            <w:tcW w:w="1808" w:type="dxa"/>
            <w:shd w:val="clear" w:color="auto" w:fill="auto"/>
            <w:vAlign w:val="center"/>
          </w:tcPr>
          <w:p w14:paraId="569A86A0">
            <w:pPr>
              <w:widowControl/>
              <w:jc w:val="center"/>
              <w:rPr>
                <w:rFonts w:ascii="Times New Roman" w:hAnsi="Times New Roman"/>
                <w:kern w:val="0"/>
                <w:szCs w:val="21"/>
                <w:u w:val="single"/>
              </w:rPr>
            </w:pPr>
            <w:r>
              <w:rPr>
                <w:rFonts w:ascii="Times New Roman" w:hAnsi="Times New Roman" w:eastAsia="等线"/>
                <w:szCs w:val="21"/>
                <w:u w:val="single"/>
              </w:rPr>
              <w:t>0.0255</w:t>
            </w:r>
          </w:p>
        </w:tc>
      </w:tr>
      <w:tr w14:paraId="18D1FB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7D5F2FD0">
            <w:pPr>
              <w:widowControl/>
              <w:jc w:val="center"/>
              <w:rPr>
                <w:rFonts w:ascii="Times New Roman" w:hAnsi="Times New Roman"/>
                <w:kern w:val="0"/>
                <w:szCs w:val="21"/>
              </w:rPr>
            </w:pPr>
            <w:r>
              <w:rPr>
                <w:rFonts w:ascii="Times New Roman" w:hAnsi="Times New Roman"/>
                <w:kern w:val="0"/>
                <w:szCs w:val="21"/>
              </w:rPr>
              <w:t>200</w:t>
            </w:r>
          </w:p>
        </w:tc>
        <w:tc>
          <w:tcPr>
            <w:tcW w:w="1808" w:type="dxa"/>
            <w:shd w:val="clear" w:color="auto" w:fill="auto"/>
            <w:vAlign w:val="center"/>
          </w:tcPr>
          <w:p w14:paraId="47BA389F">
            <w:pPr>
              <w:widowControl/>
              <w:jc w:val="center"/>
              <w:rPr>
                <w:rFonts w:ascii="Times New Roman" w:hAnsi="Times New Roman"/>
                <w:kern w:val="0"/>
                <w:szCs w:val="21"/>
                <w:u w:val="single"/>
              </w:rPr>
            </w:pPr>
            <w:r>
              <w:rPr>
                <w:rFonts w:ascii="Times New Roman" w:hAnsi="Times New Roman" w:eastAsia="等线"/>
                <w:szCs w:val="21"/>
                <w:u w:val="single"/>
              </w:rPr>
              <w:t>0.0535</w:t>
            </w:r>
          </w:p>
        </w:tc>
        <w:tc>
          <w:tcPr>
            <w:tcW w:w="1808" w:type="dxa"/>
            <w:shd w:val="clear" w:color="auto" w:fill="auto"/>
            <w:vAlign w:val="center"/>
          </w:tcPr>
          <w:p w14:paraId="4E1B0D18">
            <w:pPr>
              <w:widowControl/>
              <w:jc w:val="center"/>
              <w:rPr>
                <w:rFonts w:ascii="Times New Roman" w:hAnsi="Times New Roman"/>
                <w:kern w:val="0"/>
                <w:szCs w:val="21"/>
                <w:u w:val="single"/>
              </w:rPr>
            </w:pPr>
            <w:r>
              <w:rPr>
                <w:rFonts w:ascii="Times New Roman" w:hAnsi="Times New Roman" w:eastAsia="等线"/>
                <w:szCs w:val="21"/>
                <w:u w:val="single"/>
              </w:rPr>
              <w:t>0.0119</w:t>
            </w:r>
          </w:p>
        </w:tc>
        <w:tc>
          <w:tcPr>
            <w:tcW w:w="1808" w:type="dxa"/>
            <w:shd w:val="clear" w:color="auto" w:fill="auto"/>
            <w:vAlign w:val="center"/>
          </w:tcPr>
          <w:p w14:paraId="7ED229AE">
            <w:pPr>
              <w:widowControl/>
              <w:jc w:val="center"/>
              <w:rPr>
                <w:rFonts w:ascii="Times New Roman" w:hAnsi="Times New Roman"/>
                <w:kern w:val="0"/>
                <w:szCs w:val="21"/>
                <w:u w:val="single"/>
              </w:rPr>
            </w:pPr>
            <w:r>
              <w:rPr>
                <w:rFonts w:ascii="Times New Roman" w:hAnsi="Times New Roman" w:eastAsia="等线"/>
                <w:szCs w:val="21"/>
                <w:u w:val="single"/>
              </w:rPr>
              <w:t>0.0700</w:t>
            </w:r>
          </w:p>
        </w:tc>
        <w:tc>
          <w:tcPr>
            <w:tcW w:w="1808" w:type="dxa"/>
            <w:shd w:val="clear" w:color="auto" w:fill="auto"/>
            <w:vAlign w:val="center"/>
          </w:tcPr>
          <w:p w14:paraId="5F9601DA">
            <w:pPr>
              <w:widowControl/>
              <w:jc w:val="center"/>
              <w:rPr>
                <w:rFonts w:ascii="Times New Roman" w:hAnsi="Times New Roman"/>
                <w:kern w:val="0"/>
                <w:szCs w:val="21"/>
                <w:u w:val="single"/>
              </w:rPr>
            </w:pPr>
            <w:r>
              <w:rPr>
                <w:rFonts w:ascii="Times New Roman" w:hAnsi="Times New Roman" w:eastAsia="等线"/>
                <w:szCs w:val="21"/>
                <w:u w:val="single"/>
              </w:rPr>
              <w:t>0.0155</w:t>
            </w:r>
          </w:p>
        </w:tc>
      </w:tr>
      <w:tr w14:paraId="14B500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4ABBD832">
            <w:pPr>
              <w:widowControl/>
              <w:jc w:val="center"/>
              <w:rPr>
                <w:rFonts w:ascii="Times New Roman" w:hAnsi="Times New Roman"/>
                <w:kern w:val="0"/>
                <w:szCs w:val="21"/>
              </w:rPr>
            </w:pPr>
            <w:r>
              <w:rPr>
                <w:rFonts w:ascii="Times New Roman" w:hAnsi="Times New Roman"/>
                <w:kern w:val="0"/>
                <w:szCs w:val="21"/>
              </w:rPr>
              <w:t>300</w:t>
            </w:r>
          </w:p>
        </w:tc>
        <w:tc>
          <w:tcPr>
            <w:tcW w:w="1808" w:type="dxa"/>
            <w:shd w:val="clear" w:color="auto" w:fill="auto"/>
            <w:vAlign w:val="center"/>
          </w:tcPr>
          <w:p w14:paraId="2361C91D">
            <w:pPr>
              <w:widowControl/>
              <w:jc w:val="center"/>
              <w:rPr>
                <w:rFonts w:ascii="Times New Roman" w:hAnsi="Times New Roman"/>
                <w:kern w:val="0"/>
                <w:szCs w:val="21"/>
                <w:u w:val="single"/>
              </w:rPr>
            </w:pPr>
            <w:r>
              <w:rPr>
                <w:rFonts w:ascii="Times New Roman" w:hAnsi="Times New Roman" w:eastAsia="等线"/>
                <w:szCs w:val="21"/>
                <w:u w:val="single"/>
              </w:rPr>
              <w:t>0.0386</w:t>
            </w:r>
          </w:p>
        </w:tc>
        <w:tc>
          <w:tcPr>
            <w:tcW w:w="1808" w:type="dxa"/>
            <w:shd w:val="clear" w:color="auto" w:fill="auto"/>
            <w:vAlign w:val="center"/>
          </w:tcPr>
          <w:p w14:paraId="796D13EE">
            <w:pPr>
              <w:widowControl/>
              <w:jc w:val="center"/>
              <w:rPr>
                <w:rFonts w:ascii="Times New Roman" w:hAnsi="Times New Roman"/>
                <w:kern w:val="0"/>
                <w:szCs w:val="21"/>
                <w:u w:val="single"/>
              </w:rPr>
            </w:pPr>
            <w:r>
              <w:rPr>
                <w:rFonts w:ascii="Times New Roman" w:hAnsi="Times New Roman" w:eastAsia="等线"/>
                <w:szCs w:val="21"/>
                <w:u w:val="single"/>
              </w:rPr>
              <w:t>0.0086</w:t>
            </w:r>
          </w:p>
        </w:tc>
        <w:tc>
          <w:tcPr>
            <w:tcW w:w="1808" w:type="dxa"/>
            <w:shd w:val="clear" w:color="auto" w:fill="auto"/>
            <w:vAlign w:val="center"/>
          </w:tcPr>
          <w:p w14:paraId="68A28CB7">
            <w:pPr>
              <w:widowControl/>
              <w:jc w:val="center"/>
              <w:rPr>
                <w:rFonts w:ascii="Times New Roman" w:hAnsi="Times New Roman"/>
                <w:kern w:val="0"/>
                <w:szCs w:val="21"/>
                <w:u w:val="single"/>
              </w:rPr>
            </w:pPr>
            <w:r>
              <w:rPr>
                <w:rFonts w:ascii="Times New Roman" w:hAnsi="Times New Roman" w:eastAsia="等线"/>
                <w:szCs w:val="21"/>
                <w:u w:val="single"/>
              </w:rPr>
              <w:t>0.0505</w:t>
            </w:r>
          </w:p>
        </w:tc>
        <w:tc>
          <w:tcPr>
            <w:tcW w:w="1808" w:type="dxa"/>
            <w:shd w:val="clear" w:color="auto" w:fill="auto"/>
            <w:vAlign w:val="center"/>
          </w:tcPr>
          <w:p w14:paraId="3EFD410A">
            <w:pPr>
              <w:widowControl/>
              <w:jc w:val="center"/>
              <w:rPr>
                <w:rFonts w:ascii="Times New Roman" w:hAnsi="Times New Roman"/>
                <w:kern w:val="0"/>
                <w:szCs w:val="21"/>
                <w:u w:val="single"/>
              </w:rPr>
            </w:pPr>
            <w:r>
              <w:rPr>
                <w:rFonts w:ascii="Times New Roman" w:hAnsi="Times New Roman" w:eastAsia="等线"/>
                <w:szCs w:val="21"/>
                <w:u w:val="single"/>
              </w:rPr>
              <w:t>0.0112</w:t>
            </w:r>
          </w:p>
        </w:tc>
      </w:tr>
      <w:tr w14:paraId="2AFEDF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7EDEA06D">
            <w:pPr>
              <w:widowControl/>
              <w:jc w:val="center"/>
              <w:rPr>
                <w:rFonts w:ascii="Times New Roman" w:hAnsi="Times New Roman"/>
                <w:kern w:val="0"/>
                <w:szCs w:val="21"/>
              </w:rPr>
            </w:pPr>
            <w:r>
              <w:rPr>
                <w:rFonts w:ascii="Times New Roman" w:hAnsi="Times New Roman"/>
                <w:kern w:val="0"/>
                <w:szCs w:val="21"/>
              </w:rPr>
              <w:t>400</w:t>
            </w:r>
          </w:p>
        </w:tc>
        <w:tc>
          <w:tcPr>
            <w:tcW w:w="1808" w:type="dxa"/>
            <w:shd w:val="clear" w:color="auto" w:fill="auto"/>
            <w:vAlign w:val="center"/>
          </w:tcPr>
          <w:p w14:paraId="3DBD6A56">
            <w:pPr>
              <w:widowControl/>
              <w:jc w:val="center"/>
              <w:rPr>
                <w:rFonts w:ascii="Times New Roman" w:hAnsi="Times New Roman"/>
                <w:kern w:val="0"/>
                <w:szCs w:val="21"/>
                <w:u w:val="single"/>
              </w:rPr>
            </w:pPr>
            <w:r>
              <w:rPr>
                <w:rFonts w:ascii="Times New Roman" w:hAnsi="Times New Roman" w:eastAsia="等线"/>
                <w:szCs w:val="21"/>
                <w:u w:val="single"/>
              </w:rPr>
              <w:t>0.0295</w:t>
            </w:r>
          </w:p>
        </w:tc>
        <w:tc>
          <w:tcPr>
            <w:tcW w:w="1808" w:type="dxa"/>
            <w:shd w:val="clear" w:color="auto" w:fill="auto"/>
            <w:vAlign w:val="center"/>
          </w:tcPr>
          <w:p w14:paraId="26A53F15">
            <w:pPr>
              <w:widowControl/>
              <w:jc w:val="center"/>
              <w:rPr>
                <w:rFonts w:ascii="Times New Roman" w:hAnsi="Times New Roman"/>
                <w:kern w:val="0"/>
                <w:szCs w:val="21"/>
                <w:u w:val="single"/>
              </w:rPr>
            </w:pPr>
            <w:r>
              <w:rPr>
                <w:rFonts w:ascii="Times New Roman" w:hAnsi="Times New Roman" w:eastAsia="等线"/>
                <w:szCs w:val="21"/>
                <w:u w:val="single"/>
              </w:rPr>
              <w:t>0.0065</w:t>
            </w:r>
          </w:p>
        </w:tc>
        <w:tc>
          <w:tcPr>
            <w:tcW w:w="1808" w:type="dxa"/>
            <w:shd w:val="clear" w:color="auto" w:fill="auto"/>
            <w:vAlign w:val="center"/>
          </w:tcPr>
          <w:p w14:paraId="2C71DA4D">
            <w:pPr>
              <w:widowControl/>
              <w:jc w:val="center"/>
              <w:rPr>
                <w:rFonts w:ascii="Times New Roman" w:hAnsi="Times New Roman"/>
                <w:kern w:val="0"/>
                <w:szCs w:val="21"/>
                <w:u w:val="single"/>
              </w:rPr>
            </w:pPr>
            <w:r>
              <w:rPr>
                <w:rFonts w:ascii="Times New Roman" w:hAnsi="Times New Roman" w:eastAsia="等线"/>
                <w:szCs w:val="21"/>
                <w:u w:val="single"/>
              </w:rPr>
              <w:t>0.0385</w:t>
            </w:r>
          </w:p>
        </w:tc>
        <w:tc>
          <w:tcPr>
            <w:tcW w:w="1808" w:type="dxa"/>
            <w:shd w:val="clear" w:color="auto" w:fill="auto"/>
            <w:vAlign w:val="center"/>
          </w:tcPr>
          <w:p w14:paraId="26D0955D">
            <w:pPr>
              <w:widowControl/>
              <w:jc w:val="center"/>
              <w:rPr>
                <w:rFonts w:ascii="Times New Roman" w:hAnsi="Times New Roman"/>
                <w:kern w:val="0"/>
                <w:szCs w:val="21"/>
                <w:u w:val="single"/>
              </w:rPr>
            </w:pPr>
            <w:r>
              <w:rPr>
                <w:rFonts w:ascii="Times New Roman" w:hAnsi="Times New Roman" w:eastAsia="等线"/>
                <w:szCs w:val="21"/>
                <w:u w:val="single"/>
              </w:rPr>
              <w:t>0.0086</w:t>
            </w:r>
          </w:p>
        </w:tc>
      </w:tr>
      <w:tr w14:paraId="5CE99A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0EBE41D8">
            <w:pPr>
              <w:widowControl/>
              <w:jc w:val="center"/>
              <w:rPr>
                <w:rFonts w:ascii="Times New Roman" w:hAnsi="Times New Roman"/>
                <w:kern w:val="0"/>
                <w:szCs w:val="21"/>
              </w:rPr>
            </w:pPr>
            <w:r>
              <w:rPr>
                <w:rFonts w:ascii="Times New Roman" w:hAnsi="Times New Roman"/>
                <w:kern w:val="0"/>
                <w:szCs w:val="21"/>
              </w:rPr>
              <w:t>500</w:t>
            </w:r>
          </w:p>
        </w:tc>
        <w:tc>
          <w:tcPr>
            <w:tcW w:w="1808" w:type="dxa"/>
            <w:shd w:val="clear" w:color="auto" w:fill="auto"/>
            <w:vAlign w:val="center"/>
          </w:tcPr>
          <w:p w14:paraId="33F0C772">
            <w:pPr>
              <w:widowControl/>
              <w:jc w:val="center"/>
              <w:rPr>
                <w:rFonts w:ascii="Times New Roman" w:hAnsi="Times New Roman"/>
                <w:kern w:val="0"/>
                <w:szCs w:val="21"/>
                <w:u w:val="single"/>
              </w:rPr>
            </w:pPr>
            <w:r>
              <w:rPr>
                <w:rFonts w:ascii="Times New Roman" w:hAnsi="Times New Roman" w:eastAsia="等线"/>
                <w:szCs w:val="21"/>
                <w:u w:val="single"/>
              </w:rPr>
              <w:t>0.0232</w:t>
            </w:r>
          </w:p>
        </w:tc>
        <w:tc>
          <w:tcPr>
            <w:tcW w:w="1808" w:type="dxa"/>
            <w:shd w:val="clear" w:color="auto" w:fill="auto"/>
            <w:vAlign w:val="center"/>
          </w:tcPr>
          <w:p w14:paraId="3720414C">
            <w:pPr>
              <w:widowControl/>
              <w:jc w:val="center"/>
              <w:rPr>
                <w:rFonts w:ascii="Times New Roman" w:hAnsi="Times New Roman"/>
                <w:kern w:val="0"/>
                <w:szCs w:val="21"/>
                <w:u w:val="single"/>
              </w:rPr>
            </w:pPr>
            <w:r>
              <w:rPr>
                <w:rFonts w:ascii="Times New Roman" w:hAnsi="Times New Roman" w:eastAsia="等线"/>
                <w:szCs w:val="21"/>
                <w:u w:val="single"/>
              </w:rPr>
              <w:t>0.0052</w:t>
            </w:r>
          </w:p>
        </w:tc>
        <w:tc>
          <w:tcPr>
            <w:tcW w:w="1808" w:type="dxa"/>
            <w:shd w:val="clear" w:color="auto" w:fill="auto"/>
            <w:vAlign w:val="center"/>
          </w:tcPr>
          <w:p w14:paraId="6B75D520">
            <w:pPr>
              <w:widowControl/>
              <w:jc w:val="center"/>
              <w:rPr>
                <w:rFonts w:ascii="Times New Roman" w:hAnsi="Times New Roman"/>
                <w:kern w:val="0"/>
                <w:szCs w:val="21"/>
                <w:u w:val="single"/>
              </w:rPr>
            </w:pPr>
            <w:r>
              <w:rPr>
                <w:rFonts w:ascii="Times New Roman" w:hAnsi="Times New Roman" w:eastAsia="等线"/>
                <w:szCs w:val="21"/>
                <w:u w:val="single"/>
              </w:rPr>
              <w:t>0.0303</w:t>
            </w:r>
          </w:p>
        </w:tc>
        <w:tc>
          <w:tcPr>
            <w:tcW w:w="1808" w:type="dxa"/>
            <w:shd w:val="clear" w:color="auto" w:fill="auto"/>
            <w:vAlign w:val="center"/>
          </w:tcPr>
          <w:p w14:paraId="227E28A2">
            <w:pPr>
              <w:widowControl/>
              <w:jc w:val="center"/>
              <w:rPr>
                <w:rFonts w:ascii="Times New Roman" w:hAnsi="Times New Roman"/>
                <w:kern w:val="0"/>
                <w:szCs w:val="21"/>
                <w:u w:val="single"/>
              </w:rPr>
            </w:pPr>
            <w:r>
              <w:rPr>
                <w:rFonts w:ascii="Times New Roman" w:hAnsi="Times New Roman" w:eastAsia="等线"/>
                <w:szCs w:val="21"/>
                <w:u w:val="single"/>
              </w:rPr>
              <w:t>0.0067</w:t>
            </w:r>
          </w:p>
        </w:tc>
      </w:tr>
      <w:tr w14:paraId="0BC64A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08C5F953">
            <w:pPr>
              <w:widowControl/>
              <w:jc w:val="center"/>
              <w:rPr>
                <w:rFonts w:ascii="Times New Roman" w:hAnsi="Times New Roman"/>
                <w:kern w:val="0"/>
                <w:szCs w:val="21"/>
              </w:rPr>
            </w:pPr>
            <w:r>
              <w:rPr>
                <w:rFonts w:ascii="Times New Roman" w:hAnsi="Times New Roman"/>
                <w:kern w:val="0"/>
                <w:szCs w:val="21"/>
              </w:rPr>
              <w:t>600</w:t>
            </w:r>
          </w:p>
        </w:tc>
        <w:tc>
          <w:tcPr>
            <w:tcW w:w="1808" w:type="dxa"/>
            <w:shd w:val="clear" w:color="auto" w:fill="auto"/>
            <w:vAlign w:val="center"/>
          </w:tcPr>
          <w:p w14:paraId="2DFA9A47">
            <w:pPr>
              <w:widowControl/>
              <w:jc w:val="center"/>
              <w:rPr>
                <w:rFonts w:ascii="Times New Roman" w:hAnsi="Times New Roman"/>
                <w:kern w:val="0"/>
                <w:szCs w:val="21"/>
                <w:u w:val="single"/>
              </w:rPr>
            </w:pPr>
            <w:r>
              <w:rPr>
                <w:rFonts w:ascii="Times New Roman" w:hAnsi="Times New Roman" w:eastAsia="等线"/>
                <w:szCs w:val="21"/>
                <w:u w:val="single"/>
              </w:rPr>
              <w:t>0.0188</w:t>
            </w:r>
          </w:p>
        </w:tc>
        <w:tc>
          <w:tcPr>
            <w:tcW w:w="1808" w:type="dxa"/>
            <w:shd w:val="clear" w:color="auto" w:fill="auto"/>
            <w:vAlign w:val="center"/>
          </w:tcPr>
          <w:p w14:paraId="01FD6752">
            <w:pPr>
              <w:widowControl/>
              <w:jc w:val="center"/>
              <w:rPr>
                <w:rFonts w:ascii="Times New Roman" w:hAnsi="Times New Roman"/>
                <w:kern w:val="0"/>
                <w:szCs w:val="21"/>
                <w:u w:val="single"/>
              </w:rPr>
            </w:pPr>
            <w:r>
              <w:rPr>
                <w:rFonts w:ascii="Times New Roman" w:hAnsi="Times New Roman" w:eastAsia="等线"/>
                <w:szCs w:val="21"/>
                <w:u w:val="single"/>
              </w:rPr>
              <w:t>0.0042</w:t>
            </w:r>
          </w:p>
        </w:tc>
        <w:tc>
          <w:tcPr>
            <w:tcW w:w="1808" w:type="dxa"/>
            <w:shd w:val="clear" w:color="auto" w:fill="auto"/>
            <w:vAlign w:val="center"/>
          </w:tcPr>
          <w:p w14:paraId="717159E0">
            <w:pPr>
              <w:widowControl/>
              <w:jc w:val="center"/>
              <w:rPr>
                <w:rFonts w:ascii="Times New Roman" w:hAnsi="Times New Roman"/>
                <w:kern w:val="0"/>
                <w:szCs w:val="21"/>
                <w:u w:val="single"/>
              </w:rPr>
            </w:pPr>
            <w:r>
              <w:rPr>
                <w:rFonts w:ascii="Times New Roman" w:hAnsi="Times New Roman" w:eastAsia="等线"/>
                <w:szCs w:val="21"/>
                <w:u w:val="single"/>
              </w:rPr>
              <w:t>0.0246</w:t>
            </w:r>
          </w:p>
        </w:tc>
        <w:tc>
          <w:tcPr>
            <w:tcW w:w="1808" w:type="dxa"/>
            <w:shd w:val="clear" w:color="auto" w:fill="auto"/>
            <w:vAlign w:val="center"/>
          </w:tcPr>
          <w:p w14:paraId="2491E336">
            <w:pPr>
              <w:widowControl/>
              <w:jc w:val="center"/>
              <w:rPr>
                <w:rFonts w:ascii="Times New Roman" w:hAnsi="Times New Roman"/>
                <w:kern w:val="0"/>
                <w:szCs w:val="21"/>
                <w:u w:val="single"/>
              </w:rPr>
            </w:pPr>
            <w:r>
              <w:rPr>
                <w:rFonts w:ascii="Times New Roman" w:hAnsi="Times New Roman" w:eastAsia="等线"/>
                <w:szCs w:val="21"/>
                <w:u w:val="single"/>
              </w:rPr>
              <w:t>0.0055</w:t>
            </w:r>
          </w:p>
        </w:tc>
      </w:tr>
      <w:tr w14:paraId="41486D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511E962A">
            <w:pPr>
              <w:widowControl/>
              <w:jc w:val="center"/>
              <w:rPr>
                <w:rFonts w:ascii="Times New Roman" w:hAnsi="Times New Roman"/>
                <w:kern w:val="0"/>
                <w:szCs w:val="21"/>
              </w:rPr>
            </w:pPr>
            <w:r>
              <w:rPr>
                <w:rFonts w:ascii="Times New Roman" w:hAnsi="Times New Roman"/>
                <w:kern w:val="0"/>
                <w:szCs w:val="21"/>
              </w:rPr>
              <w:t>700</w:t>
            </w:r>
          </w:p>
        </w:tc>
        <w:tc>
          <w:tcPr>
            <w:tcW w:w="1808" w:type="dxa"/>
            <w:shd w:val="clear" w:color="auto" w:fill="auto"/>
            <w:vAlign w:val="center"/>
          </w:tcPr>
          <w:p w14:paraId="1D73A9B1">
            <w:pPr>
              <w:widowControl/>
              <w:jc w:val="center"/>
              <w:rPr>
                <w:rFonts w:ascii="Times New Roman" w:hAnsi="Times New Roman"/>
                <w:kern w:val="0"/>
                <w:szCs w:val="21"/>
                <w:u w:val="single"/>
              </w:rPr>
            </w:pPr>
            <w:r>
              <w:rPr>
                <w:rFonts w:ascii="Times New Roman" w:hAnsi="Times New Roman" w:eastAsia="等线"/>
                <w:szCs w:val="21"/>
                <w:u w:val="single"/>
              </w:rPr>
              <w:t>0.0156</w:t>
            </w:r>
          </w:p>
        </w:tc>
        <w:tc>
          <w:tcPr>
            <w:tcW w:w="1808" w:type="dxa"/>
            <w:shd w:val="clear" w:color="auto" w:fill="auto"/>
            <w:vAlign w:val="center"/>
          </w:tcPr>
          <w:p w14:paraId="7941BC5F">
            <w:pPr>
              <w:widowControl/>
              <w:jc w:val="center"/>
              <w:rPr>
                <w:rFonts w:ascii="Times New Roman" w:hAnsi="Times New Roman"/>
                <w:kern w:val="0"/>
                <w:szCs w:val="21"/>
                <w:u w:val="single"/>
              </w:rPr>
            </w:pPr>
            <w:r>
              <w:rPr>
                <w:rFonts w:ascii="Times New Roman" w:hAnsi="Times New Roman" w:eastAsia="等线"/>
                <w:szCs w:val="21"/>
                <w:u w:val="single"/>
              </w:rPr>
              <w:t>0.0035</w:t>
            </w:r>
          </w:p>
        </w:tc>
        <w:tc>
          <w:tcPr>
            <w:tcW w:w="1808" w:type="dxa"/>
            <w:shd w:val="clear" w:color="auto" w:fill="auto"/>
            <w:vAlign w:val="center"/>
          </w:tcPr>
          <w:p w14:paraId="69E476E1">
            <w:pPr>
              <w:widowControl/>
              <w:jc w:val="center"/>
              <w:rPr>
                <w:rFonts w:ascii="Times New Roman" w:hAnsi="Times New Roman"/>
                <w:kern w:val="0"/>
                <w:szCs w:val="21"/>
                <w:u w:val="single"/>
              </w:rPr>
            </w:pPr>
            <w:r>
              <w:rPr>
                <w:rFonts w:ascii="Times New Roman" w:hAnsi="Times New Roman" w:eastAsia="等线"/>
                <w:szCs w:val="21"/>
                <w:u w:val="single"/>
              </w:rPr>
              <w:t>0.0205</w:t>
            </w:r>
          </w:p>
        </w:tc>
        <w:tc>
          <w:tcPr>
            <w:tcW w:w="1808" w:type="dxa"/>
            <w:shd w:val="clear" w:color="auto" w:fill="auto"/>
            <w:vAlign w:val="center"/>
          </w:tcPr>
          <w:p w14:paraId="7CB18501">
            <w:pPr>
              <w:widowControl/>
              <w:jc w:val="center"/>
              <w:rPr>
                <w:rFonts w:ascii="Times New Roman" w:hAnsi="Times New Roman"/>
                <w:kern w:val="0"/>
                <w:szCs w:val="21"/>
                <w:u w:val="single"/>
              </w:rPr>
            </w:pPr>
            <w:r>
              <w:rPr>
                <w:rFonts w:ascii="Times New Roman" w:hAnsi="Times New Roman" w:eastAsia="等线"/>
                <w:szCs w:val="21"/>
                <w:u w:val="single"/>
              </w:rPr>
              <w:t>0.0045</w:t>
            </w:r>
          </w:p>
        </w:tc>
      </w:tr>
      <w:tr w14:paraId="1DB69A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129BB8CF">
            <w:pPr>
              <w:widowControl/>
              <w:jc w:val="center"/>
              <w:rPr>
                <w:rFonts w:ascii="Times New Roman" w:hAnsi="Times New Roman"/>
                <w:kern w:val="0"/>
                <w:szCs w:val="21"/>
              </w:rPr>
            </w:pPr>
            <w:r>
              <w:rPr>
                <w:rFonts w:ascii="Times New Roman" w:hAnsi="Times New Roman"/>
                <w:kern w:val="0"/>
                <w:szCs w:val="21"/>
              </w:rPr>
              <w:t>800</w:t>
            </w:r>
          </w:p>
        </w:tc>
        <w:tc>
          <w:tcPr>
            <w:tcW w:w="1808" w:type="dxa"/>
            <w:shd w:val="clear" w:color="auto" w:fill="auto"/>
            <w:vAlign w:val="center"/>
          </w:tcPr>
          <w:p w14:paraId="7B0DA37B">
            <w:pPr>
              <w:widowControl/>
              <w:jc w:val="center"/>
              <w:rPr>
                <w:rFonts w:ascii="Times New Roman" w:hAnsi="Times New Roman"/>
                <w:kern w:val="0"/>
                <w:szCs w:val="21"/>
                <w:u w:val="single"/>
              </w:rPr>
            </w:pPr>
            <w:r>
              <w:rPr>
                <w:rFonts w:ascii="Times New Roman" w:hAnsi="Times New Roman" w:eastAsia="等线"/>
                <w:szCs w:val="21"/>
                <w:u w:val="single"/>
              </w:rPr>
              <w:t>0.0133</w:t>
            </w:r>
          </w:p>
        </w:tc>
        <w:tc>
          <w:tcPr>
            <w:tcW w:w="1808" w:type="dxa"/>
            <w:shd w:val="clear" w:color="auto" w:fill="auto"/>
            <w:vAlign w:val="center"/>
          </w:tcPr>
          <w:p w14:paraId="55458E0F">
            <w:pPr>
              <w:widowControl/>
              <w:jc w:val="center"/>
              <w:rPr>
                <w:rFonts w:ascii="Times New Roman" w:hAnsi="Times New Roman"/>
                <w:kern w:val="0"/>
                <w:szCs w:val="21"/>
                <w:u w:val="single"/>
              </w:rPr>
            </w:pPr>
            <w:r>
              <w:rPr>
                <w:rFonts w:ascii="Times New Roman" w:hAnsi="Times New Roman" w:eastAsia="等线"/>
                <w:szCs w:val="21"/>
                <w:u w:val="single"/>
              </w:rPr>
              <w:t>0.0029</w:t>
            </w:r>
          </w:p>
        </w:tc>
        <w:tc>
          <w:tcPr>
            <w:tcW w:w="1808" w:type="dxa"/>
            <w:shd w:val="clear" w:color="auto" w:fill="auto"/>
            <w:vAlign w:val="center"/>
          </w:tcPr>
          <w:p w14:paraId="6867B056">
            <w:pPr>
              <w:widowControl/>
              <w:jc w:val="center"/>
              <w:rPr>
                <w:rFonts w:ascii="Times New Roman" w:hAnsi="Times New Roman"/>
                <w:kern w:val="0"/>
                <w:szCs w:val="21"/>
                <w:u w:val="single"/>
              </w:rPr>
            </w:pPr>
            <w:r>
              <w:rPr>
                <w:rFonts w:ascii="Times New Roman" w:hAnsi="Times New Roman" w:eastAsia="等线"/>
                <w:szCs w:val="21"/>
                <w:u w:val="single"/>
              </w:rPr>
              <w:t>0.0174</w:t>
            </w:r>
          </w:p>
        </w:tc>
        <w:tc>
          <w:tcPr>
            <w:tcW w:w="1808" w:type="dxa"/>
            <w:shd w:val="clear" w:color="auto" w:fill="auto"/>
            <w:vAlign w:val="center"/>
          </w:tcPr>
          <w:p w14:paraId="6CE4B9BE">
            <w:pPr>
              <w:widowControl/>
              <w:jc w:val="center"/>
              <w:rPr>
                <w:rFonts w:ascii="Times New Roman" w:hAnsi="Times New Roman"/>
                <w:kern w:val="0"/>
                <w:szCs w:val="21"/>
                <w:u w:val="single"/>
              </w:rPr>
            </w:pPr>
            <w:r>
              <w:rPr>
                <w:rFonts w:ascii="Times New Roman" w:hAnsi="Times New Roman" w:eastAsia="等线"/>
                <w:szCs w:val="21"/>
                <w:u w:val="single"/>
              </w:rPr>
              <w:t>0.0039</w:t>
            </w:r>
          </w:p>
        </w:tc>
      </w:tr>
      <w:tr w14:paraId="5C0042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014FDAF7">
            <w:pPr>
              <w:widowControl/>
              <w:jc w:val="center"/>
              <w:rPr>
                <w:rFonts w:ascii="Times New Roman" w:hAnsi="Times New Roman"/>
                <w:kern w:val="0"/>
                <w:szCs w:val="21"/>
              </w:rPr>
            </w:pPr>
            <w:r>
              <w:rPr>
                <w:rFonts w:ascii="Times New Roman" w:hAnsi="Times New Roman"/>
                <w:kern w:val="0"/>
                <w:szCs w:val="21"/>
              </w:rPr>
              <w:t>900</w:t>
            </w:r>
          </w:p>
        </w:tc>
        <w:tc>
          <w:tcPr>
            <w:tcW w:w="1808" w:type="dxa"/>
            <w:shd w:val="clear" w:color="auto" w:fill="auto"/>
            <w:vAlign w:val="center"/>
          </w:tcPr>
          <w:p w14:paraId="6F8FD725">
            <w:pPr>
              <w:widowControl/>
              <w:jc w:val="center"/>
              <w:rPr>
                <w:rFonts w:ascii="Times New Roman" w:hAnsi="Times New Roman"/>
                <w:kern w:val="0"/>
                <w:szCs w:val="21"/>
                <w:u w:val="single"/>
              </w:rPr>
            </w:pPr>
            <w:r>
              <w:rPr>
                <w:rFonts w:ascii="Times New Roman" w:hAnsi="Times New Roman" w:eastAsia="等线"/>
                <w:szCs w:val="21"/>
                <w:u w:val="single"/>
              </w:rPr>
              <w:t>0.0115</w:t>
            </w:r>
          </w:p>
        </w:tc>
        <w:tc>
          <w:tcPr>
            <w:tcW w:w="1808" w:type="dxa"/>
            <w:shd w:val="clear" w:color="auto" w:fill="auto"/>
            <w:vAlign w:val="center"/>
          </w:tcPr>
          <w:p w14:paraId="7C3DA717">
            <w:pPr>
              <w:widowControl/>
              <w:jc w:val="center"/>
              <w:rPr>
                <w:rFonts w:ascii="Times New Roman" w:hAnsi="Times New Roman"/>
                <w:kern w:val="0"/>
                <w:szCs w:val="21"/>
                <w:u w:val="single"/>
              </w:rPr>
            </w:pPr>
            <w:r>
              <w:rPr>
                <w:rFonts w:ascii="Times New Roman" w:hAnsi="Times New Roman" w:eastAsia="等线"/>
                <w:szCs w:val="21"/>
                <w:u w:val="single"/>
              </w:rPr>
              <w:t>0.0025</w:t>
            </w:r>
          </w:p>
        </w:tc>
        <w:tc>
          <w:tcPr>
            <w:tcW w:w="1808" w:type="dxa"/>
            <w:shd w:val="clear" w:color="auto" w:fill="auto"/>
            <w:vAlign w:val="center"/>
          </w:tcPr>
          <w:p w14:paraId="64402473">
            <w:pPr>
              <w:widowControl/>
              <w:jc w:val="center"/>
              <w:rPr>
                <w:rFonts w:ascii="Times New Roman" w:hAnsi="Times New Roman"/>
                <w:kern w:val="0"/>
                <w:szCs w:val="21"/>
                <w:u w:val="single"/>
              </w:rPr>
            </w:pPr>
            <w:r>
              <w:rPr>
                <w:rFonts w:ascii="Times New Roman" w:hAnsi="Times New Roman" w:eastAsia="等线"/>
                <w:szCs w:val="21"/>
                <w:u w:val="single"/>
              </w:rPr>
              <w:t>0.0150</w:t>
            </w:r>
          </w:p>
        </w:tc>
        <w:tc>
          <w:tcPr>
            <w:tcW w:w="1808" w:type="dxa"/>
            <w:shd w:val="clear" w:color="auto" w:fill="auto"/>
            <w:vAlign w:val="center"/>
          </w:tcPr>
          <w:p w14:paraId="0BC33CCD">
            <w:pPr>
              <w:widowControl/>
              <w:jc w:val="center"/>
              <w:rPr>
                <w:rFonts w:ascii="Times New Roman" w:hAnsi="Times New Roman"/>
                <w:kern w:val="0"/>
                <w:szCs w:val="21"/>
                <w:u w:val="single"/>
              </w:rPr>
            </w:pPr>
            <w:r>
              <w:rPr>
                <w:rFonts w:ascii="Times New Roman" w:hAnsi="Times New Roman" w:eastAsia="等线"/>
                <w:szCs w:val="21"/>
                <w:u w:val="single"/>
              </w:rPr>
              <w:t>0.0033</w:t>
            </w:r>
          </w:p>
        </w:tc>
      </w:tr>
      <w:tr w14:paraId="377745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1115C3F1">
            <w:pPr>
              <w:widowControl/>
              <w:jc w:val="center"/>
              <w:rPr>
                <w:rFonts w:ascii="Times New Roman" w:hAnsi="Times New Roman"/>
                <w:kern w:val="0"/>
                <w:szCs w:val="21"/>
              </w:rPr>
            </w:pPr>
            <w:r>
              <w:rPr>
                <w:rFonts w:ascii="Times New Roman" w:hAnsi="Times New Roman"/>
                <w:kern w:val="0"/>
                <w:szCs w:val="21"/>
              </w:rPr>
              <w:t>1000</w:t>
            </w:r>
          </w:p>
        </w:tc>
        <w:tc>
          <w:tcPr>
            <w:tcW w:w="1808" w:type="dxa"/>
            <w:shd w:val="clear" w:color="auto" w:fill="auto"/>
            <w:vAlign w:val="center"/>
          </w:tcPr>
          <w:p w14:paraId="0B0AAF99">
            <w:pPr>
              <w:widowControl/>
              <w:jc w:val="center"/>
              <w:rPr>
                <w:rFonts w:ascii="Times New Roman" w:hAnsi="Times New Roman"/>
                <w:kern w:val="0"/>
                <w:szCs w:val="21"/>
                <w:u w:val="single"/>
              </w:rPr>
            </w:pPr>
            <w:r>
              <w:rPr>
                <w:rFonts w:ascii="Times New Roman" w:hAnsi="Times New Roman" w:eastAsia="等线"/>
                <w:szCs w:val="21"/>
                <w:u w:val="single"/>
              </w:rPr>
              <w:t>0.0100</w:t>
            </w:r>
          </w:p>
        </w:tc>
        <w:tc>
          <w:tcPr>
            <w:tcW w:w="1808" w:type="dxa"/>
            <w:shd w:val="clear" w:color="auto" w:fill="auto"/>
            <w:vAlign w:val="center"/>
          </w:tcPr>
          <w:p w14:paraId="33FF3927">
            <w:pPr>
              <w:widowControl/>
              <w:jc w:val="center"/>
              <w:rPr>
                <w:rFonts w:ascii="Times New Roman" w:hAnsi="Times New Roman"/>
                <w:kern w:val="0"/>
                <w:szCs w:val="21"/>
                <w:u w:val="single"/>
              </w:rPr>
            </w:pPr>
            <w:r>
              <w:rPr>
                <w:rFonts w:ascii="Times New Roman" w:hAnsi="Times New Roman" w:eastAsia="等线"/>
                <w:szCs w:val="21"/>
                <w:u w:val="single"/>
              </w:rPr>
              <w:t>0.0022</w:t>
            </w:r>
          </w:p>
        </w:tc>
        <w:tc>
          <w:tcPr>
            <w:tcW w:w="1808" w:type="dxa"/>
            <w:shd w:val="clear" w:color="auto" w:fill="auto"/>
            <w:vAlign w:val="center"/>
          </w:tcPr>
          <w:p w14:paraId="61406C53">
            <w:pPr>
              <w:widowControl/>
              <w:jc w:val="center"/>
              <w:rPr>
                <w:rFonts w:ascii="Times New Roman" w:hAnsi="Times New Roman"/>
                <w:kern w:val="0"/>
                <w:szCs w:val="21"/>
                <w:u w:val="single"/>
              </w:rPr>
            </w:pPr>
            <w:r>
              <w:rPr>
                <w:rFonts w:ascii="Times New Roman" w:hAnsi="Times New Roman" w:eastAsia="等线"/>
                <w:szCs w:val="21"/>
                <w:u w:val="single"/>
              </w:rPr>
              <w:t>0.0131</w:t>
            </w:r>
          </w:p>
        </w:tc>
        <w:tc>
          <w:tcPr>
            <w:tcW w:w="1808" w:type="dxa"/>
            <w:shd w:val="clear" w:color="auto" w:fill="auto"/>
            <w:vAlign w:val="center"/>
          </w:tcPr>
          <w:p w14:paraId="7F88A036">
            <w:pPr>
              <w:widowControl/>
              <w:jc w:val="center"/>
              <w:rPr>
                <w:rFonts w:ascii="Times New Roman" w:hAnsi="Times New Roman"/>
                <w:kern w:val="0"/>
                <w:szCs w:val="21"/>
                <w:u w:val="single"/>
              </w:rPr>
            </w:pPr>
            <w:r>
              <w:rPr>
                <w:rFonts w:ascii="Times New Roman" w:hAnsi="Times New Roman" w:eastAsia="等线"/>
                <w:szCs w:val="21"/>
                <w:u w:val="single"/>
              </w:rPr>
              <w:t>0.0029</w:t>
            </w:r>
          </w:p>
        </w:tc>
      </w:tr>
      <w:tr w14:paraId="448398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75B90D08">
            <w:pPr>
              <w:widowControl/>
              <w:jc w:val="center"/>
              <w:rPr>
                <w:rFonts w:ascii="Times New Roman" w:hAnsi="Times New Roman"/>
                <w:kern w:val="0"/>
                <w:szCs w:val="21"/>
              </w:rPr>
            </w:pPr>
            <w:r>
              <w:rPr>
                <w:rFonts w:ascii="Times New Roman" w:hAnsi="Times New Roman"/>
                <w:kern w:val="0"/>
                <w:szCs w:val="21"/>
              </w:rPr>
              <w:t>1200</w:t>
            </w:r>
          </w:p>
        </w:tc>
        <w:tc>
          <w:tcPr>
            <w:tcW w:w="1808" w:type="dxa"/>
            <w:shd w:val="clear" w:color="auto" w:fill="auto"/>
            <w:vAlign w:val="center"/>
          </w:tcPr>
          <w:p w14:paraId="5735F087">
            <w:pPr>
              <w:widowControl/>
              <w:jc w:val="center"/>
              <w:rPr>
                <w:rFonts w:ascii="Times New Roman" w:hAnsi="Times New Roman"/>
                <w:kern w:val="0"/>
                <w:szCs w:val="21"/>
                <w:u w:val="single"/>
              </w:rPr>
            </w:pPr>
            <w:r>
              <w:rPr>
                <w:rFonts w:ascii="Times New Roman" w:hAnsi="Times New Roman" w:eastAsia="等线"/>
                <w:szCs w:val="21"/>
                <w:u w:val="single"/>
              </w:rPr>
              <w:t>0.0079</w:t>
            </w:r>
          </w:p>
        </w:tc>
        <w:tc>
          <w:tcPr>
            <w:tcW w:w="1808" w:type="dxa"/>
            <w:shd w:val="clear" w:color="auto" w:fill="auto"/>
            <w:vAlign w:val="center"/>
          </w:tcPr>
          <w:p w14:paraId="4B59585D">
            <w:pPr>
              <w:widowControl/>
              <w:jc w:val="center"/>
              <w:rPr>
                <w:rFonts w:ascii="Times New Roman" w:hAnsi="Times New Roman"/>
                <w:kern w:val="0"/>
                <w:szCs w:val="21"/>
                <w:u w:val="single"/>
              </w:rPr>
            </w:pPr>
            <w:r>
              <w:rPr>
                <w:rFonts w:ascii="Times New Roman" w:hAnsi="Times New Roman" w:eastAsia="等线"/>
                <w:szCs w:val="21"/>
                <w:u w:val="single"/>
              </w:rPr>
              <w:t>0.0018</w:t>
            </w:r>
          </w:p>
        </w:tc>
        <w:tc>
          <w:tcPr>
            <w:tcW w:w="1808" w:type="dxa"/>
            <w:shd w:val="clear" w:color="auto" w:fill="auto"/>
            <w:vAlign w:val="center"/>
          </w:tcPr>
          <w:p w14:paraId="3D9FC226">
            <w:pPr>
              <w:widowControl/>
              <w:jc w:val="center"/>
              <w:rPr>
                <w:rFonts w:ascii="Times New Roman" w:hAnsi="Times New Roman"/>
                <w:kern w:val="0"/>
                <w:szCs w:val="21"/>
                <w:u w:val="single"/>
              </w:rPr>
            </w:pPr>
            <w:r>
              <w:rPr>
                <w:rFonts w:ascii="Times New Roman" w:hAnsi="Times New Roman" w:eastAsia="等线"/>
                <w:szCs w:val="21"/>
                <w:u w:val="single"/>
              </w:rPr>
              <w:t>0.0103</w:t>
            </w:r>
          </w:p>
        </w:tc>
        <w:tc>
          <w:tcPr>
            <w:tcW w:w="1808" w:type="dxa"/>
            <w:shd w:val="clear" w:color="auto" w:fill="auto"/>
            <w:vAlign w:val="center"/>
          </w:tcPr>
          <w:p w14:paraId="34E807E4">
            <w:pPr>
              <w:widowControl/>
              <w:jc w:val="center"/>
              <w:rPr>
                <w:rFonts w:ascii="Times New Roman" w:hAnsi="Times New Roman"/>
                <w:kern w:val="0"/>
                <w:szCs w:val="21"/>
                <w:u w:val="single"/>
              </w:rPr>
            </w:pPr>
            <w:r>
              <w:rPr>
                <w:rFonts w:ascii="Times New Roman" w:hAnsi="Times New Roman" w:eastAsia="等线"/>
                <w:szCs w:val="21"/>
                <w:u w:val="single"/>
              </w:rPr>
              <w:t>0.0023</w:t>
            </w:r>
          </w:p>
        </w:tc>
      </w:tr>
      <w:tr w14:paraId="560CD2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07873526">
            <w:pPr>
              <w:widowControl/>
              <w:jc w:val="center"/>
              <w:rPr>
                <w:rFonts w:ascii="Times New Roman" w:hAnsi="Times New Roman"/>
                <w:kern w:val="0"/>
                <w:szCs w:val="21"/>
              </w:rPr>
            </w:pPr>
            <w:r>
              <w:rPr>
                <w:rFonts w:ascii="Times New Roman" w:hAnsi="Times New Roman"/>
                <w:kern w:val="0"/>
                <w:szCs w:val="21"/>
              </w:rPr>
              <w:t>1400</w:t>
            </w:r>
          </w:p>
        </w:tc>
        <w:tc>
          <w:tcPr>
            <w:tcW w:w="1808" w:type="dxa"/>
            <w:shd w:val="clear" w:color="auto" w:fill="auto"/>
            <w:vAlign w:val="center"/>
          </w:tcPr>
          <w:p w14:paraId="690EA5E7">
            <w:pPr>
              <w:widowControl/>
              <w:jc w:val="center"/>
              <w:rPr>
                <w:rFonts w:ascii="Times New Roman" w:hAnsi="Times New Roman"/>
                <w:kern w:val="0"/>
                <w:szCs w:val="21"/>
                <w:u w:val="single"/>
              </w:rPr>
            </w:pPr>
            <w:r>
              <w:rPr>
                <w:rFonts w:ascii="Times New Roman" w:hAnsi="Times New Roman" w:eastAsia="等线"/>
                <w:szCs w:val="21"/>
                <w:u w:val="single"/>
              </w:rPr>
              <w:t>0.0065</w:t>
            </w:r>
          </w:p>
        </w:tc>
        <w:tc>
          <w:tcPr>
            <w:tcW w:w="1808" w:type="dxa"/>
            <w:shd w:val="clear" w:color="auto" w:fill="auto"/>
            <w:vAlign w:val="center"/>
          </w:tcPr>
          <w:p w14:paraId="71FF8A79">
            <w:pPr>
              <w:widowControl/>
              <w:jc w:val="center"/>
              <w:rPr>
                <w:rFonts w:ascii="Times New Roman" w:hAnsi="Times New Roman"/>
                <w:kern w:val="0"/>
                <w:szCs w:val="21"/>
                <w:u w:val="single"/>
              </w:rPr>
            </w:pPr>
            <w:r>
              <w:rPr>
                <w:rFonts w:ascii="Times New Roman" w:hAnsi="Times New Roman" w:eastAsia="等线"/>
                <w:szCs w:val="21"/>
                <w:u w:val="single"/>
              </w:rPr>
              <w:t>0.0014</w:t>
            </w:r>
          </w:p>
        </w:tc>
        <w:tc>
          <w:tcPr>
            <w:tcW w:w="1808" w:type="dxa"/>
            <w:shd w:val="clear" w:color="auto" w:fill="auto"/>
            <w:vAlign w:val="center"/>
          </w:tcPr>
          <w:p w14:paraId="737031F3">
            <w:pPr>
              <w:widowControl/>
              <w:jc w:val="center"/>
              <w:rPr>
                <w:rFonts w:ascii="Times New Roman" w:hAnsi="Times New Roman"/>
                <w:kern w:val="0"/>
                <w:szCs w:val="21"/>
                <w:u w:val="single"/>
              </w:rPr>
            </w:pPr>
            <w:r>
              <w:rPr>
                <w:rFonts w:ascii="Times New Roman" w:hAnsi="Times New Roman" w:eastAsia="等线"/>
                <w:szCs w:val="21"/>
                <w:u w:val="single"/>
              </w:rPr>
              <w:t>0.0085</w:t>
            </w:r>
          </w:p>
        </w:tc>
        <w:tc>
          <w:tcPr>
            <w:tcW w:w="1808" w:type="dxa"/>
            <w:shd w:val="clear" w:color="auto" w:fill="auto"/>
            <w:vAlign w:val="center"/>
          </w:tcPr>
          <w:p w14:paraId="323929FE">
            <w:pPr>
              <w:widowControl/>
              <w:jc w:val="center"/>
              <w:rPr>
                <w:rFonts w:ascii="Times New Roman" w:hAnsi="Times New Roman"/>
                <w:kern w:val="0"/>
                <w:szCs w:val="21"/>
                <w:u w:val="single"/>
              </w:rPr>
            </w:pPr>
            <w:r>
              <w:rPr>
                <w:rFonts w:ascii="Times New Roman" w:hAnsi="Times New Roman" w:eastAsia="等线"/>
                <w:szCs w:val="21"/>
                <w:u w:val="single"/>
              </w:rPr>
              <w:t>0.0019</w:t>
            </w:r>
          </w:p>
        </w:tc>
      </w:tr>
      <w:tr w14:paraId="454FD9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44FC5700">
            <w:pPr>
              <w:widowControl/>
              <w:jc w:val="center"/>
              <w:rPr>
                <w:rFonts w:ascii="Times New Roman" w:hAnsi="Times New Roman"/>
                <w:kern w:val="0"/>
                <w:szCs w:val="21"/>
              </w:rPr>
            </w:pPr>
            <w:r>
              <w:rPr>
                <w:rFonts w:ascii="Times New Roman" w:hAnsi="Times New Roman"/>
                <w:kern w:val="0"/>
                <w:szCs w:val="21"/>
              </w:rPr>
              <w:t>1600</w:t>
            </w:r>
          </w:p>
        </w:tc>
        <w:tc>
          <w:tcPr>
            <w:tcW w:w="1808" w:type="dxa"/>
            <w:shd w:val="clear" w:color="auto" w:fill="auto"/>
            <w:vAlign w:val="center"/>
          </w:tcPr>
          <w:p w14:paraId="1FA26E66">
            <w:pPr>
              <w:widowControl/>
              <w:jc w:val="center"/>
              <w:rPr>
                <w:rFonts w:ascii="Times New Roman" w:hAnsi="Times New Roman"/>
                <w:kern w:val="0"/>
                <w:szCs w:val="21"/>
                <w:u w:val="single"/>
              </w:rPr>
            </w:pPr>
            <w:r>
              <w:rPr>
                <w:rFonts w:ascii="Times New Roman" w:hAnsi="Times New Roman" w:eastAsia="等线"/>
                <w:szCs w:val="21"/>
                <w:u w:val="single"/>
              </w:rPr>
              <w:t>0.0055</w:t>
            </w:r>
          </w:p>
        </w:tc>
        <w:tc>
          <w:tcPr>
            <w:tcW w:w="1808" w:type="dxa"/>
            <w:shd w:val="clear" w:color="auto" w:fill="auto"/>
            <w:vAlign w:val="center"/>
          </w:tcPr>
          <w:p w14:paraId="3571F8E6">
            <w:pPr>
              <w:widowControl/>
              <w:jc w:val="center"/>
              <w:rPr>
                <w:rFonts w:ascii="Times New Roman" w:hAnsi="Times New Roman"/>
                <w:kern w:val="0"/>
                <w:szCs w:val="21"/>
                <w:u w:val="single"/>
              </w:rPr>
            </w:pPr>
            <w:r>
              <w:rPr>
                <w:rFonts w:ascii="Times New Roman" w:hAnsi="Times New Roman" w:eastAsia="等线"/>
                <w:szCs w:val="21"/>
                <w:u w:val="single"/>
              </w:rPr>
              <w:t>0.0012</w:t>
            </w:r>
          </w:p>
        </w:tc>
        <w:tc>
          <w:tcPr>
            <w:tcW w:w="1808" w:type="dxa"/>
            <w:shd w:val="clear" w:color="auto" w:fill="auto"/>
            <w:vAlign w:val="center"/>
          </w:tcPr>
          <w:p w14:paraId="70667215">
            <w:pPr>
              <w:widowControl/>
              <w:jc w:val="center"/>
              <w:rPr>
                <w:rFonts w:ascii="Times New Roman" w:hAnsi="Times New Roman"/>
                <w:kern w:val="0"/>
                <w:szCs w:val="21"/>
                <w:u w:val="single"/>
              </w:rPr>
            </w:pPr>
            <w:r>
              <w:rPr>
                <w:rFonts w:ascii="Times New Roman" w:hAnsi="Times New Roman" w:eastAsia="等线"/>
                <w:szCs w:val="21"/>
                <w:u w:val="single"/>
              </w:rPr>
              <w:t>0.0072</w:t>
            </w:r>
          </w:p>
        </w:tc>
        <w:tc>
          <w:tcPr>
            <w:tcW w:w="1808" w:type="dxa"/>
            <w:shd w:val="clear" w:color="auto" w:fill="auto"/>
            <w:vAlign w:val="center"/>
          </w:tcPr>
          <w:p w14:paraId="25338A5D">
            <w:pPr>
              <w:widowControl/>
              <w:jc w:val="center"/>
              <w:rPr>
                <w:rFonts w:ascii="Times New Roman" w:hAnsi="Times New Roman"/>
                <w:kern w:val="0"/>
                <w:szCs w:val="21"/>
                <w:u w:val="single"/>
              </w:rPr>
            </w:pPr>
            <w:r>
              <w:rPr>
                <w:rFonts w:ascii="Times New Roman" w:hAnsi="Times New Roman" w:eastAsia="等线"/>
                <w:szCs w:val="21"/>
                <w:u w:val="single"/>
              </w:rPr>
              <w:t>0.0016</w:t>
            </w:r>
          </w:p>
        </w:tc>
      </w:tr>
      <w:tr w14:paraId="66BEE5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235D49D6">
            <w:pPr>
              <w:widowControl/>
              <w:jc w:val="center"/>
              <w:rPr>
                <w:rFonts w:ascii="Times New Roman" w:hAnsi="Times New Roman"/>
                <w:kern w:val="0"/>
                <w:szCs w:val="21"/>
              </w:rPr>
            </w:pPr>
            <w:r>
              <w:rPr>
                <w:rFonts w:ascii="Times New Roman" w:hAnsi="Times New Roman"/>
                <w:kern w:val="0"/>
                <w:szCs w:val="21"/>
              </w:rPr>
              <w:t>1800</w:t>
            </w:r>
          </w:p>
        </w:tc>
        <w:tc>
          <w:tcPr>
            <w:tcW w:w="1808" w:type="dxa"/>
            <w:shd w:val="clear" w:color="auto" w:fill="auto"/>
            <w:vAlign w:val="center"/>
          </w:tcPr>
          <w:p w14:paraId="4CE667BD">
            <w:pPr>
              <w:widowControl/>
              <w:jc w:val="center"/>
              <w:rPr>
                <w:rFonts w:ascii="Times New Roman" w:hAnsi="Times New Roman"/>
                <w:kern w:val="0"/>
                <w:szCs w:val="21"/>
                <w:u w:val="single"/>
              </w:rPr>
            </w:pPr>
            <w:r>
              <w:rPr>
                <w:rFonts w:ascii="Times New Roman" w:hAnsi="Times New Roman" w:eastAsia="等线"/>
                <w:szCs w:val="21"/>
                <w:u w:val="single"/>
              </w:rPr>
              <w:t>0.0048</w:t>
            </w:r>
          </w:p>
        </w:tc>
        <w:tc>
          <w:tcPr>
            <w:tcW w:w="1808" w:type="dxa"/>
            <w:shd w:val="clear" w:color="auto" w:fill="auto"/>
            <w:vAlign w:val="center"/>
          </w:tcPr>
          <w:p w14:paraId="3E26A510">
            <w:pPr>
              <w:widowControl/>
              <w:jc w:val="center"/>
              <w:rPr>
                <w:rFonts w:ascii="Times New Roman" w:hAnsi="Times New Roman"/>
                <w:kern w:val="0"/>
                <w:szCs w:val="21"/>
                <w:u w:val="single"/>
              </w:rPr>
            </w:pPr>
            <w:r>
              <w:rPr>
                <w:rFonts w:ascii="Times New Roman" w:hAnsi="Times New Roman" w:eastAsia="等线"/>
                <w:szCs w:val="21"/>
                <w:u w:val="single"/>
              </w:rPr>
              <w:t>0.0011</w:t>
            </w:r>
          </w:p>
        </w:tc>
        <w:tc>
          <w:tcPr>
            <w:tcW w:w="1808" w:type="dxa"/>
            <w:shd w:val="clear" w:color="auto" w:fill="auto"/>
            <w:vAlign w:val="center"/>
          </w:tcPr>
          <w:p w14:paraId="6B9723C3">
            <w:pPr>
              <w:widowControl/>
              <w:jc w:val="center"/>
              <w:rPr>
                <w:rFonts w:ascii="Times New Roman" w:hAnsi="Times New Roman"/>
                <w:kern w:val="0"/>
                <w:szCs w:val="21"/>
                <w:u w:val="single"/>
              </w:rPr>
            </w:pPr>
            <w:r>
              <w:rPr>
                <w:rFonts w:ascii="Times New Roman" w:hAnsi="Times New Roman" w:eastAsia="等线"/>
                <w:szCs w:val="21"/>
                <w:u w:val="single"/>
              </w:rPr>
              <w:t>0.0062</w:t>
            </w:r>
          </w:p>
        </w:tc>
        <w:tc>
          <w:tcPr>
            <w:tcW w:w="1808" w:type="dxa"/>
            <w:shd w:val="clear" w:color="auto" w:fill="auto"/>
            <w:vAlign w:val="center"/>
          </w:tcPr>
          <w:p w14:paraId="2043DE96">
            <w:pPr>
              <w:widowControl/>
              <w:jc w:val="center"/>
              <w:rPr>
                <w:rFonts w:ascii="Times New Roman" w:hAnsi="Times New Roman"/>
                <w:kern w:val="0"/>
                <w:szCs w:val="21"/>
                <w:u w:val="single"/>
              </w:rPr>
            </w:pPr>
            <w:r>
              <w:rPr>
                <w:rFonts w:ascii="Times New Roman" w:hAnsi="Times New Roman" w:eastAsia="等线"/>
                <w:szCs w:val="21"/>
                <w:u w:val="single"/>
              </w:rPr>
              <w:t>0.0014</w:t>
            </w:r>
          </w:p>
        </w:tc>
      </w:tr>
      <w:tr w14:paraId="63FB60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448883BA">
            <w:pPr>
              <w:widowControl/>
              <w:jc w:val="center"/>
              <w:rPr>
                <w:rFonts w:ascii="Times New Roman" w:hAnsi="Times New Roman"/>
                <w:kern w:val="0"/>
                <w:szCs w:val="21"/>
              </w:rPr>
            </w:pPr>
            <w:r>
              <w:rPr>
                <w:rFonts w:ascii="Times New Roman" w:hAnsi="Times New Roman"/>
                <w:kern w:val="0"/>
                <w:szCs w:val="21"/>
              </w:rPr>
              <w:t>2000</w:t>
            </w:r>
          </w:p>
        </w:tc>
        <w:tc>
          <w:tcPr>
            <w:tcW w:w="1808" w:type="dxa"/>
            <w:shd w:val="clear" w:color="auto" w:fill="auto"/>
            <w:vAlign w:val="center"/>
          </w:tcPr>
          <w:p w14:paraId="4432585A">
            <w:pPr>
              <w:widowControl/>
              <w:jc w:val="center"/>
              <w:rPr>
                <w:rFonts w:ascii="Times New Roman" w:hAnsi="Times New Roman"/>
                <w:kern w:val="0"/>
                <w:szCs w:val="21"/>
                <w:u w:val="single"/>
              </w:rPr>
            </w:pPr>
            <w:r>
              <w:rPr>
                <w:rFonts w:ascii="Times New Roman" w:hAnsi="Times New Roman" w:eastAsia="等线"/>
                <w:szCs w:val="21"/>
                <w:u w:val="single"/>
              </w:rPr>
              <w:t>0.0042</w:t>
            </w:r>
          </w:p>
        </w:tc>
        <w:tc>
          <w:tcPr>
            <w:tcW w:w="1808" w:type="dxa"/>
            <w:shd w:val="clear" w:color="auto" w:fill="auto"/>
            <w:vAlign w:val="center"/>
          </w:tcPr>
          <w:p w14:paraId="5A74501B">
            <w:pPr>
              <w:widowControl/>
              <w:jc w:val="center"/>
              <w:rPr>
                <w:rFonts w:ascii="Times New Roman" w:hAnsi="Times New Roman"/>
                <w:kern w:val="0"/>
                <w:szCs w:val="21"/>
                <w:u w:val="single"/>
              </w:rPr>
            </w:pPr>
            <w:r>
              <w:rPr>
                <w:rFonts w:ascii="Times New Roman" w:hAnsi="Times New Roman" w:eastAsia="等线"/>
                <w:szCs w:val="21"/>
                <w:u w:val="single"/>
              </w:rPr>
              <w:t>0.0009</w:t>
            </w:r>
          </w:p>
        </w:tc>
        <w:tc>
          <w:tcPr>
            <w:tcW w:w="1808" w:type="dxa"/>
            <w:shd w:val="clear" w:color="auto" w:fill="auto"/>
            <w:vAlign w:val="center"/>
          </w:tcPr>
          <w:p w14:paraId="3B320CBA">
            <w:pPr>
              <w:widowControl/>
              <w:jc w:val="center"/>
              <w:rPr>
                <w:rFonts w:ascii="Times New Roman" w:hAnsi="Times New Roman"/>
                <w:kern w:val="0"/>
                <w:szCs w:val="21"/>
                <w:u w:val="single"/>
              </w:rPr>
            </w:pPr>
            <w:r>
              <w:rPr>
                <w:rFonts w:ascii="Times New Roman" w:hAnsi="Times New Roman" w:eastAsia="等线"/>
                <w:szCs w:val="21"/>
                <w:u w:val="single"/>
              </w:rPr>
              <w:t>0.0055</w:t>
            </w:r>
          </w:p>
        </w:tc>
        <w:tc>
          <w:tcPr>
            <w:tcW w:w="1808" w:type="dxa"/>
            <w:shd w:val="clear" w:color="auto" w:fill="auto"/>
            <w:vAlign w:val="center"/>
          </w:tcPr>
          <w:p w14:paraId="0A1F0B26">
            <w:pPr>
              <w:widowControl/>
              <w:jc w:val="center"/>
              <w:rPr>
                <w:rFonts w:ascii="Times New Roman" w:hAnsi="Times New Roman"/>
                <w:kern w:val="0"/>
                <w:szCs w:val="21"/>
                <w:u w:val="single"/>
              </w:rPr>
            </w:pPr>
            <w:r>
              <w:rPr>
                <w:rFonts w:ascii="Times New Roman" w:hAnsi="Times New Roman" w:eastAsia="等线"/>
                <w:szCs w:val="21"/>
                <w:u w:val="single"/>
              </w:rPr>
              <w:t>0.0012</w:t>
            </w:r>
          </w:p>
        </w:tc>
      </w:tr>
      <w:tr w14:paraId="2034CB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3DB3364B">
            <w:pPr>
              <w:widowControl/>
              <w:jc w:val="center"/>
              <w:rPr>
                <w:rFonts w:ascii="Times New Roman" w:hAnsi="Times New Roman"/>
                <w:kern w:val="0"/>
                <w:szCs w:val="21"/>
              </w:rPr>
            </w:pPr>
            <w:r>
              <w:rPr>
                <w:rFonts w:ascii="Times New Roman" w:hAnsi="Times New Roman"/>
                <w:kern w:val="0"/>
                <w:szCs w:val="21"/>
              </w:rPr>
              <w:t>2500</w:t>
            </w:r>
          </w:p>
        </w:tc>
        <w:tc>
          <w:tcPr>
            <w:tcW w:w="1808" w:type="dxa"/>
            <w:shd w:val="clear" w:color="auto" w:fill="auto"/>
            <w:vAlign w:val="center"/>
          </w:tcPr>
          <w:p w14:paraId="1F36C2E0">
            <w:pPr>
              <w:widowControl/>
              <w:jc w:val="center"/>
              <w:rPr>
                <w:rFonts w:ascii="Times New Roman" w:hAnsi="Times New Roman"/>
                <w:kern w:val="0"/>
                <w:szCs w:val="21"/>
                <w:u w:val="single"/>
              </w:rPr>
            </w:pPr>
            <w:r>
              <w:rPr>
                <w:rFonts w:ascii="Times New Roman" w:hAnsi="Times New Roman" w:eastAsia="等线"/>
                <w:szCs w:val="21"/>
                <w:u w:val="single"/>
              </w:rPr>
              <w:t>0.0031</w:t>
            </w:r>
          </w:p>
        </w:tc>
        <w:tc>
          <w:tcPr>
            <w:tcW w:w="1808" w:type="dxa"/>
            <w:shd w:val="clear" w:color="auto" w:fill="auto"/>
            <w:vAlign w:val="center"/>
          </w:tcPr>
          <w:p w14:paraId="12DEC6DF">
            <w:pPr>
              <w:widowControl/>
              <w:jc w:val="center"/>
              <w:rPr>
                <w:rFonts w:ascii="Times New Roman" w:hAnsi="Times New Roman"/>
                <w:kern w:val="0"/>
                <w:szCs w:val="21"/>
                <w:u w:val="single"/>
              </w:rPr>
            </w:pPr>
            <w:r>
              <w:rPr>
                <w:rFonts w:ascii="Times New Roman" w:hAnsi="Times New Roman" w:eastAsia="等线"/>
                <w:szCs w:val="21"/>
                <w:u w:val="single"/>
              </w:rPr>
              <w:t>0.0007</w:t>
            </w:r>
          </w:p>
        </w:tc>
        <w:tc>
          <w:tcPr>
            <w:tcW w:w="1808" w:type="dxa"/>
            <w:shd w:val="clear" w:color="auto" w:fill="auto"/>
            <w:vAlign w:val="center"/>
          </w:tcPr>
          <w:p w14:paraId="07801508">
            <w:pPr>
              <w:widowControl/>
              <w:jc w:val="center"/>
              <w:rPr>
                <w:rFonts w:ascii="Times New Roman" w:hAnsi="Times New Roman"/>
                <w:kern w:val="0"/>
                <w:szCs w:val="21"/>
                <w:u w:val="single"/>
              </w:rPr>
            </w:pPr>
            <w:r>
              <w:rPr>
                <w:rFonts w:ascii="Times New Roman" w:hAnsi="Times New Roman" w:eastAsia="等线"/>
                <w:szCs w:val="21"/>
                <w:u w:val="single"/>
              </w:rPr>
              <w:t>0.0041</w:t>
            </w:r>
          </w:p>
        </w:tc>
        <w:tc>
          <w:tcPr>
            <w:tcW w:w="1808" w:type="dxa"/>
            <w:shd w:val="clear" w:color="auto" w:fill="auto"/>
            <w:vAlign w:val="center"/>
          </w:tcPr>
          <w:p w14:paraId="57B39A56">
            <w:pPr>
              <w:widowControl/>
              <w:jc w:val="center"/>
              <w:rPr>
                <w:rFonts w:ascii="Times New Roman" w:hAnsi="Times New Roman"/>
                <w:kern w:val="0"/>
                <w:szCs w:val="21"/>
                <w:u w:val="single"/>
              </w:rPr>
            </w:pPr>
            <w:r>
              <w:rPr>
                <w:rFonts w:ascii="Times New Roman" w:hAnsi="Times New Roman" w:eastAsia="等线"/>
                <w:szCs w:val="21"/>
                <w:u w:val="single"/>
              </w:rPr>
              <w:t>0.0009</w:t>
            </w:r>
          </w:p>
        </w:tc>
      </w:tr>
      <w:tr w14:paraId="03EF6B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2471D929">
            <w:pPr>
              <w:widowControl/>
              <w:jc w:val="center"/>
              <w:rPr>
                <w:rFonts w:ascii="Times New Roman" w:hAnsi="Times New Roman"/>
                <w:kern w:val="0"/>
                <w:szCs w:val="21"/>
              </w:rPr>
            </w:pPr>
            <w:r>
              <w:rPr>
                <w:rFonts w:ascii="Times New Roman" w:hAnsi="Times New Roman"/>
                <w:kern w:val="0"/>
                <w:szCs w:val="21"/>
              </w:rPr>
              <w:t>3000</w:t>
            </w:r>
          </w:p>
        </w:tc>
        <w:tc>
          <w:tcPr>
            <w:tcW w:w="1808" w:type="dxa"/>
            <w:shd w:val="clear" w:color="auto" w:fill="auto"/>
            <w:vAlign w:val="center"/>
          </w:tcPr>
          <w:p w14:paraId="3EA4B3D1">
            <w:pPr>
              <w:widowControl/>
              <w:jc w:val="center"/>
              <w:rPr>
                <w:rFonts w:ascii="Times New Roman" w:hAnsi="Times New Roman"/>
                <w:kern w:val="0"/>
                <w:szCs w:val="21"/>
                <w:u w:val="single"/>
              </w:rPr>
            </w:pPr>
            <w:r>
              <w:rPr>
                <w:rFonts w:ascii="Times New Roman" w:hAnsi="Times New Roman" w:eastAsia="等线"/>
                <w:szCs w:val="21"/>
                <w:u w:val="single"/>
              </w:rPr>
              <w:t>0.0025</w:t>
            </w:r>
          </w:p>
        </w:tc>
        <w:tc>
          <w:tcPr>
            <w:tcW w:w="1808" w:type="dxa"/>
            <w:shd w:val="clear" w:color="auto" w:fill="auto"/>
            <w:vAlign w:val="center"/>
          </w:tcPr>
          <w:p w14:paraId="4F931C10">
            <w:pPr>
              <w:widowControl/>
              <w:jc w:val="center"/>
              <w:rPr>
                <w:rFonts w:ascii="Times New Roman" w:hAnsi="Times New Roman"/>
                <w:kern w:val="0"/>
                <w:szCs w:val="21"/>
                <w:u w:val="single"/>
              </w:rPr>
            </w:pPr>
            <w:r>
              <w:rPr>
                <w:rFonts w:ascii="Times New Roman" w:hAnsi="Times New Roman" w:eastAsia="等线"/>
                <w:szCs w:val="21"/>
                <w:u w:val="single"/>
              </w:rPr>
              <w:t>0.0006</w:t>
            </w:r>
          </w:p>
        </w:tc>
        <w:tc>
          <w:tcPr>
            <w:tcW w:w="1808" w:type="dxa"/>
            <w:shd w:val="clear" w:color="auto" w:fill="auto"/>
            <w:vAlign w:val="center"/>
          </w:tcPr>
          <w:p w14:paraId="59A8620F">
            <w:pPr>
              <w:widowControl/>
              <w:jc w:val="center"/>
              <w:rPr>
                <w:rFonts w:ascii="Times New Roman" w:hAnsi="Times New Roman"/>
                <w:kern w:val="0"/>
                <w:szCs w:val="21"/>
                <w:u w:val="single"/>
              </w:rPr>
            </w:pPr>
            <w:r>
              <w:rPr>
                <w:rFonts w:ascii="Times New Roman" w:hAnsi="Times New Roman" w:eastAsia="等线"/>
                <w:szCs w:val="21"/>
                <w:u w:val="single"/>
              </w:rPr>
              <w:t>0.0032</w:t>
            </w:r>
          </w:p>
        </w:tc>
        <w:tc>
          <w:tcPr>
            <w:tcW w:w="1808" w:type="dxa"/>
            <w:shd w:val="clear" w:color="auto" w:fill="auto"/>
            <w:vAlign w:val="center"/>
          </w:tcPr>
          <w:p w14:paraId="2BC6C7E5">
            <w:pPr>
              <w:widowControl/>
              <w:jc w:val="center"/>
              <w:rPr>
                <w:rFonts w:ascii="Times New Roman" w:hAnsi="Times New Roman"/>
                <w:kern w:val="0"/>
                <w:szCs w:val="21"/>
                <w:u w:val="single"/>
              </w:rPr>
            </w:pPr>
            <w:r>
              <w:rPr>
                <w:rFonts w:ascii="Times New Roman" w:hAnsi="Times New Roman" w:eastAsia="等线"/>
                <w:szCs w:val="21"/>
                <w:u w:val="single"/>
              </w:rPr>
              <w:t>0.0007</w:t>
            </w:r>
          </w:p>
        </w:tc>
      </w:tr>
      <w:tr w14:paraId="636A5A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130EB3E9">
            <w:pPr>
              <w:widowControl/>
              <w:jc w:val="center"/>
              <w:rPr>
                <w:rFonts w:ascii="Times New Roman" w:hAnsi="Times New Roman"/>
                <w:kern w:val="0"/>
                <w:szCs w:val="21"/>
              </w:rPr>
            </w:pPr>
            <w:r>
              <w:rPr>
                <w:rFonts w:ascii="Times New Roman" w:hAnsi="Times New Roman"/>
                <w:kern w:val="0"/>
                <w:szCs w:val="21"/>
              </w:rPr>
              <w:t>3500</w:t>
            </w:r>
          </w:p>
        </w:tc>
        <w:tc>
          <w:tcPr>
            <w:tcW w:w="1808" w:type="dxa"/>
            <w:shd w:val="clear" w:color="auto" w:fill="auto"/>
            <w:vAlign w:val="center"/>
          </w:tcPr>
          <w:p w14:paraId="3618B3CF">
            <w:pPr>
              <w:widowControl/>
              <w:jc w:val="center"/>
              <w:rPr>
                <w:rFonts w:ascii="Times New Roman" w:hAnsi="Times New Roman"/>
                <w:kern w:val="0"/>
                <w:szCs w:val="21"/>
                <w:u w:val="single"/>
              </w:rPr>
            </w:pPr>
            <w:r>
              <w:rPr>
                <w:rFonts w:ascii="Times New Roman" w:hAnsi="Times New Roman" w:eastAsia="等线"/>
                <w:szCs w:val="21"/>
                <w:u w:val="single"/>
              </w:rPr>
              <w:t>0.0032</w:t>
            </w:r>
          </w:p>
        </w:tc>
        <w:tc>
          <w:tcPr>
            <w:tcW w:w="1808" w:type="dxa"/>
            <w:shd w:val="clear" w:color="auto" w:fill="auto"/>
            <w:vAlign w:val="center"/>
          </w:tcPr>
          <w:p w14:paraId="6CB6CE95">
            <w:pPr>
              <w:widowControl/>
              <w:jc w:val="center"/>
              <w:rPr>
                <w:rFonts w:ascii="Times New Roman" w:hAnsi="Times New Roman"/>
                <w:kern w:val="0"/>
                <w:szCs w:val="21"/>
                <w:u w:val="single"/>
              </w:rPr>
            </w:pPr>
            <w:r>
              <w:rPr>
                <w:rFonts w:ascii="Times New Roman" w:hAnsi="Times New Roman" w:eastAsia="等线"/>
                <w:szCs w:val="21"/>
                <w:u w:val="single"/>
              </w:rPr>
              <w:t>0.0007</w:t>
            </w:r>
          </w:p>
        </w:tc>
        <w:tc>
          <w:tcPr>
            <w:tcW w:w="1808" w:type="dxa"/>
            <w:shd w:val="clear" w:color="auto" w:fill="auto"/>
            <w:vAlign w:val="center"/>
          </w:tcPr>
          <w:p w14:paraId="3C2027C9">
            <w:pPr>
              <w:widowControl/>
              <w:jc w:val="center"/>
              <w:rPr>
                <w:rFonts w:ascii="Times New Roman" w:hAnsi="Times New Roman"/>
                <w:kern w:val="0"/>
                <w:szCs w:val="21"/>
                <w:u w:val="single"/>
              </w:rPr>
            </w:pPr>
            <w:r>
              <w:rPr>
                <w:rFonts w:ascii="Times New Roman" w:hAnsi="Times New Roman" w:eastAsia="等线"/>
                <w:szCs w:val="21"/>
                <w:u w:val="single"/>
              </w:rPr>
              <w:t>0.0040</w:t>
            </w:r>
          </w:p>
        </w:tc>
        <w:tc>
          <w:tcPr>
            <w:tcW w:w="1808" w:type="dxa"/>
            <w:shd w:val="clear" w:color="auto" w:fill="auto"/>
            <w:vAlign w:val="center"/>
          </w:tcPr>
          <w:p w14:paraId="38A31506">
            <w:pPr>
              <w:widowControl/>
              <w:jc w:val="center"/>
              <w:rPr>
                <w:rFonts w:ascii="Times New Roman" w:hAnsi="Times New Roman"/>
                <w:kern w:val="0"/>
                <w:szCs w:val="21"/>
                <w:u w:val="single"/>
              </w:rPr>
            </w:pPr>
            <w:r>
              <w:rPr>
                <w:rFonts w:ascii="Times New Roman" w:hAnsi="Times New Roman" w:eastAsia="等线"/>
                <w:szCs w:val="21"/>
                <w:u w:val="single"/>
              </w:rPr>
              <w:t>0.0009</w:t>
            </w:r>
          </w:p>
        </w:tc>
      </w:tr>
      <w:tr w14:paraId="31B440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02133A43">
            <w:pPr>
              <w:widowControl/>
              <w:jc w:val="center"/>
              <w:rPr>
                <w:rFonts w:ascii="Times New Roman" w:hAnsi="Times New Roman"/>
                <w:kern w:val="0"/>
                <w:szCs w:val="21"/>
              </w:rPr>
            </w:pPr>
            <w:r>
              <w:rPr>
                <w:rFonts w:ascii="Times New Roman" w:hAnsi="Times New Roman"/>
                <w:kern w:val="0"/>
                <w:szCs w:val="21"/>
              </w:rPr>
              <w:t>4000</w:t>
            </w:r>
          </w:p>
        </w:tc>
        <w:tc>
          <w:tcPr>
            <w:tcW w:w="1808" w:type="dxa"/>
            <w:shd w:val="clear" w:color="auto" w:fill="auto"/>
            <w:vAlign w:val="center"/>
          </w:tcPr>
          <w:p w14:paraId="36AEC6C0">
            <w:pPr>
              <w:widowControl/>
              <w:jc w:val="center"/>
              <w:rPr>
                <w:rFonts w:ascii="Times New Roman" w:hAnsi="Times New Roman"/>
                <w:kern w:val="0"/>
                <w:szCs w:val="21"/>
                <w:u w:val="single"/>
              </w:rPr>
            </w:pPr>
            <w:r>
              <w:rPr>
                <w:rFonts w:ascii="Times New Roman" w:hAnsi="Times New Roman" w:eastAsia="等线"/>
                <w:szCs w:val="21"/>
                <w:u w:val="single"/>
              </w:rPr>
              <w:t>0.0022</w:t>
            </w:r>
          </w:p>
        </w:tc>
        <w:tc>
          <w:tcPr>
            <w:tcW w:w="1808" w:type="dxa"/>
            <w:shd w:val="clear" w:color="auto" w:fill="auto"/>
            <w:vAlign w:val="center"/>
          </w:tcPr>
          <w:p w14:paraId="6A0B863F">
            <w:pPr>
              <w:widowControl/>
              <w:jc w:val="center"/>
              <w:rPr>
                <w:rFonts w:ascii="Times New Roman" w:hAnsi="Times New Roman"/>
                <w:kern w:val="0"/>
                <w:szCs w:val="21"/>
                <w:u w:val="single"/>
              </w:rPr>
            </w:pPr>
            <w:r>
              <w:rPr>
                <w:rFonts w:ascii="Times New Roman" w:hAnsi="Times New Roman" w:eastAsia="等线"/>
                <w:szCs w:val="21"/>
                <w:u w:val="single"/>
              </w:rPr>
              <w:t>0.0005</w:t>
            </w:r>
          </w:p>
        </w:tc>
        <w:tc>
          <w:tcPr>
            <w:tcW w:w="1808" w:type="dxa"/>
            <w:shd w:val="clear" w:color="auto" w:fill="auto"/>
            <w:vAlign w:val="center"/>
          </w:tcPr>
          <w:p w14:paraId="572A0F34">
            <w:pPr>
              <w:widowControl/>
              <w:jc w:val="center"/>
              <w:rPr>
                <w:rFonts w:ascii="Times New Roman" w:hAnsi="Times New Roman"/>
                <w:kern w:val="0"/>
                <w:szCs w:val="21"/>
                <w:u w:val="single"/>
              </w:rPr>
            </w:pPr>
            <w:r>
              <w:rPr>
                <w:rFonts w:ascii="Times New Roman" w:hAnsi="Times New Roman" w:eastAsia="等线"/>
                <w:szCs w:val="21"/>
                <w:u w:val="single"/>
              </w:rPr>
              <w:t>0.0029</w:t>
            </w:r>
          </w:p>
        </w:tc>
        <w:tc>
          <w:tcPr>
            <w:tcW w:w="1808" w:type="dxa"/>
            <w:shd w:val="clear" w:color="auto" w:fill="auto"/>
            <w:vAlign w:val="center"/>
          </w:tcPr>
          <w:p w14:paraId="03962273">
            <w:pPr>
              <w:widowControl/>
              <w:jc w:val="center"/>
              <w:rPr>
                <w:rFonts w:ascii="Times New Roman" w:hAnsi="Times New Roman"/>
                <w:kern w:val="0"/>
                <w:szCs w:val="21"/>
                <w:u w:val="single"/>
              </w:rPr>
            </w:pPr>
            <w:r>
              <w:rPr>
                <w:rFonts w:ascii="Times New Roman" w:hAnsi="Times New Roman" w:eastAsia="等线"/>
                <w:szCs w:val="21"/>
                <w:u w:val="single"/>
              </w:rPr>
              <w:t>0.0006</w:t>
            </w:r>
          </w:p>
        </w:tc>
      </w:tr>
      <w:tr w14:paraId="3820D3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6B0C6410">
            <w:pPr>
              <w:widowControl/>
              <w:jc w:val="center"/>
              <w:rPr>
                <w:rFonts w:ascii="Times New Roman" w:hAnsi="Times New Roman"/>
                <w:kern w:val="0"/>
                <w:szCs w:val="21"/>
              </w:rPr>
            </w:pPr>
            <w:r>
              <w:rPr>
                <w:rFonts w:ascii="Times New Roman" w:hAnsi="Times New Roman"/>
                <w:kern w:val="0"/>
                <w:szCs w:val="21"/>
              </w:rPr>
              <w:t>4500</w:t>
            </w:r>
          </w:p>
        </w:tc>
        <w:tc>
          <w:tcPr>
            <w:tcW w:w="1808" w:type="dxa"/>
            <w:shd w:val="clear" w:color="auto" w:fill="auto"/>
            <w:vAlign w:val="center"/>
          </w:tcPr>
          <w:p w14:paraId="5567973F">
            <w:pPr>
              <w:widowControl/>
              <w:jc w:val="center"/>
              <w:rPr>
                <w:rFonts w:ascii="Times New Roman" w:hAnsi="Times New Roman"/>
                <w:kern w:val="0"/>
                <w:szCs w:val="21"/>
                <w:u w:val="single"/>
              </w:rPr>
            </w:pPr>
            <w:r>
              <w:rPr>
                <w:rFonts w:ascii="Times New Roman" w:hAnsi="Times New Roman" w:eastAsia="等线"/>
                <w:szCs w:val="21"/>
                <w:u w:val="single"/>
              </w:rPr>
              <w:t>0.0024</w:t>
            </w:r>
          </w:p>
        </w:tc>
        <w:tc>
          <w:tcPr>
            <w:tcW w:w="1808" w:type="dxa"/>
            <w:shd w:val="clear" w:color="auto" w:fill="auto"/>
            <w:vAlign w:val="center"/>
          </w:tcPr>
          <w:p w14:paraId="02223936">
            <w:pPr>
              <w:widowControl/>
              <w:jc w:val="center"/>
              <w:rPr>
                <w:rFonts w:ascii="Times New Roman" w:hAnsi="Times New Roman"/>
                <w:kern w:val="0"/>
                <w:szCs w:val="21"/>
                <w:u w:val="single"/>
              </w:rPr>
            </w:pPr>
            <w:r>
              <w:rPr>
                <w:rFonts w:ascii="Times New Roman" w:hAnsi="Times New Roman" w:eastAsia="等线"/>
                <w:szCs w:val="21"/>
                <w:u w:val="single"/>
              </w:rPr>
              <w:t>0.0005</w:t>
            </w:r>
          </w:p>
        </w:tc>
        <w:tc>
          <w:tcPr>
            <w:tcW w:w="1808" w:type="dxa"/>
            <w:shd w:val="clear" w:color="auto" w:fill="auto"/>
            <w:vAlign w:val="center"/>
          </w:tcPr>
          <w:p w14:paraId="75F9809D">
            <w:pPr>
              <w:widowControl/>
              <w:jc w:val="center"/>
              <w:rPr>
                <w:rFonts w:ascii="Times New Roman" w:hAnsi="Times New Roman"/>
                <w:kern w:val="0"/>
                <w:szCs w:val="21"/>
                <w:u w:val="single"/>
              </w:rPr>
            </w:pPr>
            <w:r>
              <w:rPr>
                <w:rFonts w:ascii="Times New Roman" w:hAnsi="Times New Roman" w:eastAsia="等线"/>
                <w:szCs w:val="21"/>
                <w:u w:val="single"/>
              </w:rPr>
              <w:t>0.0032</w:t>
            </w:r>
          </w:p>
        </w:tc>
        <w:tc>
          <w:tcPr>
            <w:tcW w:w="1808" w:type="dxa"/>
            <w:shd w:val="clear" w:color="auto" w:fill="auto"/>
            <w:vAlign w:val="center"/>
          </w:tcPr>
          <w:p w14:paraId="7FC8097C">
            <w:pPr>
              <w:widowControl/>
              <w:jc w:val="center"/>
              <w:rPr>
                <w:rFonts w:ascii="Times New Roman" w:hAnsi="Times New Roman"/>
                <w:kern w:val="0"/>
                <w:szCs w:val="21"/>
                <w:u w:val="single"/>
              </w:rPr>
            </w:pPr>
            <w:r>
              <w:rPr>
                <w:rFonts w:ascii="Times New Roman" w:hAnsi="Times New Roman" w:eastAsia="等线"/>
                <w:szCs w:val="21"/>
                <w:u w:val="single"/>
              </w:rPr>
              <w:t>0.0007</w:t>
            </w:r>
          </w:p>
        </w:tc>
      </w:tr>
      <w:tr w14:paraId="21338E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5E7025DC">
            <w:pPr>
              <w:widowControl/>
              <w:jc w:val="center"/>
              <w:rPr>
                <w:rFonts w:ascii="Times New Roman" w:hAnsi="Times New Roman"/>
                <w:kern w:val="0"/>
                <w:szCs w:val="21"/>
              </w:rPr>
            </w:pPr>
            <w:r>
              <w:rPr>
                <w:rFonts w:ascii="Times New Roman" w:hAnsi="Times New Roman"/>
                <w:kern w:val="0"/>
                <w:szCs w:val="21"/>
              </w:rPr>
              <w:t>5000</w:t>
            </w:r>
          </w:p>
        </w:tc>
        <w:tc>
          <w:tcPr>
            <w:tcW w:w="1808" w:type="dxa"/>
            <w:shd w:val="clear" w:color="auto" w:fill="auto"/>
            <w:vAlign w:val="center"/>
          </w:tcPr>
          <w:p w14:paraId="0F694A2F">
            <w:pPr>
              <w:widowControl/>
              <w:jc w:val="center"/>
              <w:rPr>
                <w:rFonts w:ascii="Times New Roman" w:hAnsi="Times New Roman"/>
                <w:kern w:val="0"/>
                <w:szCs w:val="21"/>
                <w:u w:val="single"/>
              </w:rPr>
            </w:pPr>
            <w:r>
              <w:rPr>
                <w:rFonts w:ascii="Times New Roman" w:hAnsi="Times New Roman" w:eastAsia="等线"/>
                <w:szCs w:val="21"/>
                <w:u w:val="single"/>
              </w:rPr>
              <w:t>0.0020</w:t>
            </w:r>
          </w:p>
        </w:tc>
        <w:tc>
          <w:tcPr>
            <w:tcW w:w="1808" w:type="dxa"/>
            <w:shd w:val="clear" w:color="auto" w:fill="auto"/>
            <w:vAlign w:val="center"/>
          </w:tcPr>
          <w:p w14:paraId="554F97B5">
            <w:pPr>
              <w:widowControl/>
              <w:jc w:val="center"/>
              <w:rPr>
                <w:rFonts w:ascii="Times New Roman" w:hAnsi="Times New Roman"/>
                <w:kern w:val="0"/>
                <w:szCs w:val="21"/>
                <w:u w:val="single"/>
              </w:rPr>
            </w:pPr>
            <w:r>
              <w:rPr>
                <w:rFonts w:ascii="Times New Roman" w:hAnsi="Times New Roman" w:eastAsia="等线"/>
                <w:szCs w:val="21"/>
                <w:u w:val="single"/>
              </w:rPr>
              <w:t>0.0004</w:t>
            </w:r>
          </w:p>
        </w:tc>
        <w:tc>
          <w:tcPr>
            <w:tcW w:w="1808" w:type="dxa"/>
            <w:shd w:val="clear" w:color="auto" w:fill="auto"/>
            <w:vAlign w:val="center"/>
          </w:tcPr>
          <w:p w14:paraId="697BE227">
            <w:pPr>
              <w:widowControl/>
              <w:jc w:val="center"/>
              <w:rPr>
                <w:rFonts w:ascii="Times New Roman" w:hAnsi="Times New Roman"/>
                <w:kern w:val="0"/>
                <w:szCs w:val="21"/>
                <w:u w:val="single"/>
              </w:rPr>
            </w:pPr>
            <w:r>
              <w:rPr>
                <w:rFonts w:ascii="Times New Roman" w:hAnsi="Times New Roman" w:eastAsia="等线"/>
                <w:szCs w:val="21"/>
                <w:u w:val="single"/>
              </w:rPr>
              <w:t>0.0026</w:t>
            </w:r>
          </w:p>
        </w:tc>
        <w:tc>
          <w:tcPr>
            <w:tcW w:w="1808" w:type="dxa"/>
            <w:shd w:val="clear" w:color="auto" w:fill="auto"/>
            <w:vAlign w:val="center"/>
          </w:tcPr>
          <w:p w14:paraId="509FE57B">
            <w:pPr>
              <w:widowControl/>
              <w:jc w:val="center"/>
              <w:rPr>
                <w:rFonts w:ascii="Times New Roman" w:hAnsi="Times New Roman"/>
                <w:kern w:val="0"/>
                <w:szCs w:val="21"/>
                <w:u w:val="single"/>
              </w:rPr>
            </w:pPr>
            <w:r>
              <w:rPr>
                <w:rFonts w:ascii="Times New Roman" w:hAnsi="Times New Roman" w:eastAsia="等线"/>
                <w:szCs w:val="21"/>
                <w:u w:val="single"/>
              </w:rPr>
              <w:t>0.0006</w:t>
            </w:r>
          </w:p>
        </w:tc>
      </w:tr>
      <w:tr w14:paraId="4AD231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51EBD745">
            <w:pPr>
              <w:widowControl/>
              <w:jc w:val="center"/>
              <w:rPr>
                <w:rFonts w:ascii="Times New Roman" w:hAnsi="Times New Roman"/>
                <w:kern w:val="0"/>
                <w:szCs w:val="21"/>
              </w:rPr>
            </w:pPr>
            <w:r>
              <w:rPr>
                <w:rFonts w:ascii="Times New Roman" w:hAnsi="Times New Roman"/>
                <w:kern w:val="0"/>
                <w:szCs w:val="21"/>
              </w:rPr>
              <w:t>10000</w:t>
            </w:r>
          </w:p>
        </w:tc>
        <w:tc>
          <w:tcPr>
            <w:tcW w:w="1808" w:type="dxa"/>
            <w:shd w:val="clear" w:color="auto" w:fill="auto"/>
            <w:vAlign w:val="center"/>
          </w:tcPr>
          <w:p w14:paraId="5FAE4C94">
            <w:pPr>
              <w:widowControl/>
              <w:jc w:val="center"/>
              <w:rPr>
                <w:rFonts w:ascii="Times New Roman" w:hAnsi="Times New Roman"/>
                <w:kern w:val="0"/>
                <w:szCs w:val="21"/>
                <w:u w:val="single"/>
              </w:rPr>
            </w:pPr>
            <w:r>
              <w:rPr>
                <w:rFonts w:ascii="Times New Roman" w:hAnsi="Times New Roman" w:eastAsia="等线"/>
                <w:szCs w:val="21"/>
                <w:u w:val="single"/>
              </w:rPr>
              <w:t>0.0009</w:t>
            </w:r>
          </w:p>
        </w:tc>
        <w:tc>
          <w:tcPr>
            <w:tcW w:w="1808" w:type="dxa"/>
            <w:shd w:val="clear" w:color="auto" w:fill="auto"/>
            <w:vAlign w:val="center"/>
          </w:tcPr>
          <w:p w14:paraId="3CBCB3CA">
            <w:pPr>
              <w:widowControl/>
              <w:jc w:val="center"/>
              <w:rPr>
                <w:rFonts w:ascii="Times New Roman" w:hAnsi="Times New Roman"/>
                <w:kern w:val="0"/>
                <w:szCs w:val="21"/>
                <w:u w:val="single"/>
              </w:rPr>
            </w:pPr>
            <w:r>
              <w:rPr>
                <w:rFonts w:ascii="Times New Roman" w:hAnsi="Times New Roman" w:eastAsia="等线"/>
                <w:szCs w:val="21"/>
                <w:u w:val="single"/>
              </w:rPr>
              <w:t>0.0002</w:t>
            </w:r>
          </w:p>
        </w:tc>
        <w:tc>
          <w:tcPr>
            <w:tcW w:w="1808" w:type="dxa"/>
            <w:shd w:val="clear" w:color="auto" w:fill="auto"/>
            <w:vAlign w:val="center"/>
          </w:tcPr>
          <w:p w14:paraId="2E4A270C">
            <w:pPr>
              <w:widowControl/>
              <w:jc w:val="center"/>
              <w:rPr>
                <w:rFonts w:ascii="Times New Roman" w:hAnsi="Times New Roman"/>
                <w:kern w:val="0"/>
                <w:szCs w:val="21"/>
                <w:u w:val="single"/>
              </w:rPr>
            </w:pPr>
            <w:r>
              <w:rPr>
                <w:rFonts w:ascii="Times New Roman" w:hAnsi="Times New Roman" w:eastAsia="等线"/>
                <w:szCs w:val="21"/>
                <w:u w:val="single"/>
              </w:rPr>
              <w:t>0.0012</w:t>
            </w:r>
          </w:p>
        </w:tc>
        <w:tc>
          <w:tcPr>
            <w:tcW w:w="1808" w:type="dxa"/>
            <w:shd w:val="clear" w:color="auto" w:fill="auto"/>
            <w:vAlign w:val="center"/>
          </w:tcPr>
          <w:p w14:paraId="6DC8C8F4">
            <w:pPr>
              <w:widowControl/>
              <w:jc w:val="center"/>
              <w:rPr>
                <w:rFonts w:ascii="Times New Roman" w:hAnsi="Times New Roman"/>
                <w:kern w:val="0"/>
                <w:szCs w:val="21"/>
                <w:u w:val="single"/>
              </w:rPr>
            </w:pPr>
            <w:r>
              <w:rPr>
                <w:rFonts w:ascii="Times New Roman" w:hAnsi="Times New Roman" w:eastAsia="等线"/>
                <w:szCs w:val="21"/>
                <w:u w:val="single"/>
              </w:rPr>
              <w:t>0.0003</w:t>
            </w:r>
          </w:p>
        </w:tc>
      </w:tr>
      <w:tr w14:paraId="5E5466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7CBEF4F1">
            <w:pPr>
              <w:widowControl/>
              <w:jc w:val="center"/>
              <w:rPr>
                <w:rFonts w:ascii="Times New Roman" w:hAnsi="Times New Roman"/>
                <w:kern w:val="0"/>
                <w:szCs w:val="21"/>
              </w:rPr>
            </w:pPr>
            <w:r>
              <w:rPr>
                <w:rFonts w:ascii="Times New Roman" w:hAnsi="Times New Roman"/>
                <w:kern w:val="0"/>
                <w:szCs w:val="21"/>
              </w:rPr>
              <w:t>15000</w:t>
            </w:r>
          </w:p>
        </w:tc>
        <w:tc>
          <w:tcPr>
            <w:tcW w:w="1808" w:type="dxa"/>
            <w:shd w:val="clear" w:color="auto" w:fill="auto"/>
            <w:vAlign w:val="center"/>
          </w:tcPr>
          <w:p w14:paraId="44C7B34B">
            <w:pPr>
              <w:widowControl/>
              <w:jc w:val="center"/>
              <w:rPr>
                <w:rFonts w:ascii="Times New Roman" w:hAnsi="Times New Roman"/>
                <w:kern w:val="0"/>
                <w:szCs w:val="21"/>
                <w:u w:val="single"/>
              </w:rPr>
            </w:pPr>
            <w:r>
              <w:rPr>
                <w:rFonts w:ascii="Times New Roman" w:hAnsi="Times New Roman" w:eastAsia="等线"/>
                <w:szCs w:val="21"/>
                <w:u w:val="single"/>
              </w:rPr>
              <w:t>0.0005</w:t>
            </w:r>
          </w:p>
        </w:tc>
        <w:tc>
          <w:tcPr>
            <w:tcW w:w="1808" w:type="dxa"/>
            <w:shd w:val="clear" w:color="auto" w:fill="auto"/>
            <w:vAlign w:val="center"/>
          </w:tcPr>
          <w:p w14:paraId="3C3613E5">
            <w:pPr>
              <w:widowControl/>
              <w:jc w:val="center"/>
              <w:rPr>
                <w:rFonts w:ascii="Times New Roman" w:hAnsi="Times New Roman"/>
                <w:kern w:val="0"/>
                <w:szCs w:val="21"/>
                <w:u w:val="single"/>
              </w:rPr>
            </w:pPr>
            <w:r>
              <w:rPr>
                <w:rFonts w:ascii="Times New Roman" w:hAnsi="Times New Roman" w:eastAsia="等线"/>
                <w:szCs w:val="21"/>
                <w:u w:val="single"/>
              </w:rPr>
              <w:t>0.0001</w:t>
            </w:r>
          </w:p>
        </w:tc>
        <w:tc>
          <w:tcPr>
            <w:tcW w:w="1808" w:type="dxa"/>
            <w:shd w:val="clear" w:color="auto" w:fill="auto"/>
            <w:vAlign w:val="center"/>
          </w:tcPr>
          <w:p w14:paraId="01A61542">
            <w:pPr>
              <w:widowControl/>
              <w:jc w:val="center"/>
              <w:rPr>
                <w:rFonts w:ascii="Times New Roman" w:hAnsi="Times New Roman"/>
                <w:kern w:val="0"/>
                <w:szCs w:val="21"/>
                <w:u w:val="single"/>
              </w:rPr>
            </w:pPr>
            <w:r>
              <w:rPr>
                <w:rFonts w:ascii="Times New Roman" w:hAnsi="Times New Roman" w:eastAsia="等线"/>
                <w:szCs w:val="21"/>
                <w:u w:val="single"/>
              </w:rPr>
              <w:t>0.0007</w:t>
            </w:r>
          </w:p>
        </w:tc>
        <w:tc>
          <w:tcPr>
            <w:tcW w:w="1808" w:type="dxa"/>
            <w:shd w:val="clear" w:color="auto" w:fill="auto"/>
            <w:vAlign w:val="center"/>
          </w:tcPr>
          <w:p w14:paraId="5B8A2904">
            <w:pPr>
              <w:widowControl/>
              <w:jc w:val="center"/>
              <w:rPr>
                <w:rFonts w:ascii="Times New Roman" w:hAnsi="Times New Roman"/>
                <w:kern w:val="0"/>
                <w:szCs w:val="21"/>
                <w:u w:val="single"/>
              </w:rPr>
            </w:pPr>
            <w:r>
              <w:rPr>
                <w:rFonts w:ascii="Times New Roman" w:hAnsi="Times New Roman" w:eastAsia="等线"/>
                <w:szCs w:val="21"/>
                <w:u w:val="single"/>
              </w:rPr>
              <w:t>0.0002</w:t>
            </w:r>
          </w:p>
        </w:tc>
      </w:tr>
      <w:tr w14:paraId="0CC045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66EB59F0">
            <w:pPr>
              <w:widowControl/>
              <w:jc w:val="center"/>
              <w:rPr>
                <w:rFonts w:ascii="Times New Roman" w:hAnsi="Times New Roman"/>
                <w:kern w:val="0"/>
                <w:szCs w:val="21"/>
              </w:rPr>
            </w:pPr>
            <w:r>
              <w:rPr>
                <w:rFonts w:ascii="Times New Roman" w:hAnsi="Times New Roman"/>
                <w:kern w:val="0"/>
                <w:szCs w:val="21"/>
              </w:rPr>
              <w:t>20000</w:t>
            </w:r>
          </w:p>
        </w:tc>
        <w:tc>
          <w:tcPr>
            <w:tcW w:w="1808" w:type="dxa"/>
            <w:shd w:val="clear" w:color="auto" w:fill="auto"/>
            <w:vAlign w:val="center"/>
          </w:tcPr>
          <w:p w14:paraId="6DE6384E">
            <w:pPr>
              <w:widowControl/>
              <w:jc w:val="center"/>
              <w:rPr>
                <w:rFonts w:ascii="Times New Roman" w:hAnsi="Times New Roman"/>
                <w:kern w:val="0"/>
                <w:szCs w:val="21"/>
                <w:u w:val="single"/>
              </w:rPr>
            </w:pPr>
            <w:r>
              <w:rPr>
                <w:rFonts w:ascii="Times New Roman" w:hAnsi="Times New Roman" w:eastAsia="等线"/>
                <w:szCs w:val="21"/>
                <w:u w:val="single"/>
              </w:rPr>
              <w:t>0.0003</w:t>
            </w:r>
          </w:p>
        </w:tc>
        <w:tc>
          <w:tcPr>
            <w:tcW w:w="1808" w:type="dxa"/>
            <w:shd w:val="clear" w:color="auto" w:fill="auto"/>
            <w:vAlign w:val="center"/>
          </w:tcPr>
          <w:p w14:paraId="340B0CA9">
            <w:pPr>
              <w:widowControl/>
              <w:jc w:val="center"/>
              <w:rPr>
                <w:rFonts w:ascii="Times New Roman" w:hAnsi="Times New Roman"/>
                <w:kern w:val="0"/>
                <w:szCs w:val="21"/>
                <w:u w:val="single"/>
              </w:rPr>
            </w:pPr>
            <w:r>
              <w:rPr>
                <w:rFonts w:ascii="Times New Roman" w:hAnsi="Times New Roman" w:eastAsia="等线"/>
                <w:szCs w:val="21"/>
                <w:u w:val="single"/>
              </w:rPr>
              <w:t>0.0001</w:t>
            </w:r>
          </w:p>
        </w:tc>
        <w:tc>
          <w:tcPr>
            <w:tcW w:w="1808" w:type="dxa"/>
            <w:shd w:val="clear" w:color="auto" w:fill="auto"/>
            <w:vAlign w:val="center"/>
          </w:tcPr>
          <w:p w14:paraId="26F180D8">
            <w:pPr>
              <w:widowControl/>
              <w:jc w:val="center"/>
              <w:rPr>
                <w:rFonts w:ascii="Times New Roman" w:hAnsi="Times New Roman"/>
                <w:kern w:val="0"/>
                <w:szCs w:val="21"/>
                <w:u w:val="single"/>
              </w:rPr>
            </w:pPr>
            <w:r>
              <w:rPr>
                <w:rFonts w:ascii="Times New Roman" w:hAnsi="Times New Roman" w:eastAsia="等线"/>
                <w:szCs w:val="21"/>
                <w:u w:val="single"/>
              </w:rPr>
              <w:t>0.0004</w:t>
            </w:r>
          </w:p>
        </w:tc>
        <w:tc>
          <w:tcPr>
            <w:tcW w:w="1808" w:type="dxa"/>
            <w:shd w:val="clear" w:color="auto" w:fill="auto"/>
            <w:vAlign w:val="center"/>
          </w:tcPr>
          <w:p w14:paraId="19E8A2F5">
            <w:pPr>
              <w:widowControl/>
              <w:jc w:val="center"/>
              <w:rPr>
                <w:rFonts w:ascii="Times New Roman" w:hAnsi="Times New Roman"/>
                <w:kern w:val="0"/>
                <w:szCs w:val="21"/>
                <w:u w:val="single"/>
              </w:rPr>
            </w:pPr>
            <w:r>
              <w:rPr>
                <w:rFonts w:ascii="Times New Roman" w:hAnsi="Times New Roman" w:eastAsia="等线"/>
                <w:szCs w:val="21"/>
                <w:u w:val="single"/>
              </w:rPr>
              <w:t>0.0001</w:t>
            </w:r>
          </w:p>
        </w:tc>
      </w:tr>
      <w:tr w14:paraId="08F429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472CB310">
            <w:pPr>
              <w:widowControl/>
              <w:jc w:val="center"/>
              <w:rPr>
                <w:rFonts w:ascii="Times New Roman" w:hAnsi="Times New Roman"/>
                <w:kern w:val="0"/>
                <w:szCs w:val="21"/>
              </w:rPr>
            </w:pPr>
            <w:r>
              <w:rPr>
                <w:rFonts w:ascii="Times New Roman" w:hAnsi="Times New Roman"/>
                <w:kern w:val="0"/>
                <w:szCs w:val="21"/>
              </w:rPr>
              <w:t>25000</w:t>
            </w:r>
          </w:p>
        </w:tc>
        <w:tc>
          <w:tcPr>
            <w:tcW w:w="1808" w:type="dxa"/>
            <w:shd w:val="clear" w:color="auto" w:fill="auto"/>
            <w:vAlign w:val="center"/>
          </w:tcPr>
          <w:p w14:paraId="18DE435B">
            <w:pPr>
              <w:widowControl/>
              <w:jc w:val="center"/>
              <w:rPr>
                <w:rFonts w:ascii="Times New Roman" w:hAnsi="Times New Roman"/>
                <w:kern w:val="0"/>
                <w:szCs w:val="21"/>
                <w:u w:val="single"/>
              </w:rPr>
            </w:pPr>
            <w:r>
              <w:rPr>
                <w:rFonts w:ascii="Times New Roman" w:hAnsi="Times New Roman" w:eastAsia="等线"/>
                <w:szCs w:val="21"/>
                <w:u w:val="single"/>
              </w:rPr>
              <w:t>0.0003</w:t>
            </w:r>
          </w:p>
        </w:tc>
        <w:tc>
          <w:tcPr>
            <w:tcW w:w="1808" w:type="dxa"/>
            <w:shd w:val="clear" w:color="auto" w:fill="auto"/>
            <w:vAlign w:val="center"/>
          </w:tcPr>
          <w:p w14:paraId="21CACC08">
            <w:pPr>
              <w:widowControl/>
              <w:jc w:val="center"/>
              <w:rPr>
                <w:rFonts w:ascii="Times New Roman" w:hAnsi="Times New Roman"/>
                <w:kern w:val="0"/>
                <w:szCs w:val="21"/>
                <w:u w:val="single"/>
              </w:rPr>
            </w:pPr>
            <w:r>
              <w:rPr>
                <w:rFonts w:ascii="Times New Roman" w:hAnsi="Times New Roman" w:eastAsia="等线"/>
                <w:szCs w:val="21"/>
                <w:u w:val="single"/>
              </w:rPr>
              <w:t>0.0001</w:t>
            </w:r>
          </w:p>
        </w:tc>
        <w:tc>
          <w:tcPr>
            <w:tcW w:w="1808" w:type="dxa"/>
            <w:shd w:val="clear" w:color="auto" w:fill="auto"/>
            <w:vAlign w:val="center"/>
          </w:tcPr>
          <w:p w14:paraId="7C021DCD">
            <w:pPr>
              <w:widowControl/>
              <w:jc w:val="center"/>
              <w:rPr>
                <w:rFonts w:ascii="Times New Roman" w:hAnsi="Times New Roman"/>
                <w:kern w:val="0"/>
                <w:szCs w:val="21"/>
                <w:u w:val="single"/>
              </w:rPr>
            </w:pPr>
            <w:r>
              <w:rPr>
                <w:rFonts w:ascii="Times New Roman" w:hAnsi="Times New Roman" w:eastAsia="等线"/>
                <w:szCs w:val="21"/>
                <w:u w:val="single"/>
              </w:rPr>
              <w:t>0.0004</w:t>
            </w:r>
          </w:p>
        </w:tc>
        <w:tc>
          <w:tcPr>
            <w:tcW w:w="1808" w:type="dxa"/>
            <w:shd w:val="clear" w:color="auto" w:fill="auto"/>
            <w:vAlign w:val="center"/>
          </w:tcPr>
          <w:p w14:paraId="783E4BF0">
            <w:pPr>
              <w:widowControl/>
              <w:jc w:val="center"/>
              <w:rPr>
                <w:rFonts w:ascii="Times New Roman" w:hAnsi="Times New Roman"/>
                <w:kern w:val="0"/>
                <w:szCs w:val="21"/>
                <w:u w:val="single"/>
              </w:rPr>
            </w:pPr>
            <w:r>
              <w:rPr>
                <w:rFonts w:ascii="Times New Roman" w:hAnsi="Times New Roman" w:eastAsia="等线"/>
                <w:szCs w:val="21"/>
                <w:u w:val="single"/>
              </w:rPr>
              <w:t>0.0001</w:t>
            </w:r>
          </w:p>
        </w:tc>
      </w:tr>
      <w:tr w14:paraId="6C99C0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19F481CE">
            <w:pPr>
              <w:widowControl/>
              <w:jc w:val="center"/>
              <w:rPr>
                <w:rFonts w:ascii="Times New Roman" w:hAnsi="Times New Roman"/>
                <w:kern w:val="0"/>
                <w:szCs w:val="21"/>
              </w:rPr>
            </w:pPr>
            <w:r>
              <w:rPr>
                <w:rFonts w:ascii="Times New Roman" w:hAnsi="Times New Roman"/>
                <w:kern w:val="0"/>
                <w:szCs w:val="21"/>
              </w:rPr>
              <w:t>下风向最大浓度</w:t>
            </w:r>
          </w:p>
        </w:tc>
        <w:tc>
          <w:tcPr>
            <w:tcW w:w="1808" w:type="dxa"/>
            <w:shd w:val="clear" w:color="auto" w:fill="auto"/>
            <w:vAlign w:val="center"/>
          </w:tcPr>
          <w:p w14:paraId="542477A1">
            <w:pPr>
              <w:widowControl/>
              <w:jc w:val="center"/>
              <w:rPr>
                <w:rFonts w:ascii="Times New Roman" w:hAnsi="Times New Roman"/>
                <w:kern w:val="0"/>
                <w:szCs w:val="21"/>
                <w:u w:val="single"/>
              </w:rPr>
            </w:pPr>
            <w:r>
              <w:rPr>
                <w:rFonts w:ascii="Times New Roman" w:hAnsi="Times New Roman" w:eastAsia="等线"/>
                <w:szCs w:val="21"/>
                <w:u w:val="single"/>
              </w:rPr>
              <w:t>0.0953</w:t>
            </w:r>
          </w:p>
        </w:tc>
        <w:tc>
          <w:tcPr>
            <w:tcW w:w="1808" w:type="dxa"/>
            <w:shd w:val="clear" w:color="auto" w:fill="auto"/>
            <w:vAlign w:val="center"/>
          </w:tcPr>
          <w:p w14:paraId="160E3362">
            <w:pPr>
              <w:widowControl/>
              <w:jc w:val="center"/>
              <w:rPr>
                <w:rFonts w:ascii="Times New Roman" w:hAnsi="Times New Roman"/>
                <w:kern w:val="0"/>
                <w:szCs w:val="21"/>
                <w:u w:val="single"/>
              </w:rPr>
            </w:pPr>
            <w:r>
              <w:rPr>
                <w:rFonts w:ascii="Times New Roman" w:hAnsi="Times New Roman" w:eastAsia="等线"/>
                <w:szCs w:val="21"/>
                <w:u w:val="single"/>
              </w:rPr>
              <w:t>0.0212</w:t>
            </w:r>
          </w:p>
        </w:tc>
        <w:tc>
          <w:tcPr>
            <w:tcW w:w="1808" w:type="dxa"/>
            <w:shd w:val="clear" w:color="auto" w:fill="auto"/>
            <w:vAlign w:val="center"/>
          </w:tcPr>
          <w:p w14:paraId="39D5EC8D">
            <w:pPr>
              <w:widowControl/>
              <w:jc w:val="center"/>
              <w:rPr>
                <w:rFonts w:ascii="Times New Roman" w:hAnsi="Times New Roman"/>
                <w:kern w:val="0"/>
                <w:szCs w:val="21"/>
                <w:u w:val="single"/>
              </w:rPr>
            </w:pPr>
            <w:r>
              <w:rPr>
                <w:rFonts w:ascii="Times New Roman" w:hAnsi="Times New Roman" w:eastAsia="等线"/>
                <w:szCs w:val="21"/>
                <w:u w:val="single"/>
              </w:rPr>
              <w:t>0.1246</w:t>
            </w:r>
          </w:p>
        </w:tc>
        <w:tc>
          <w:tcPr>
            <w:tcW w:w="1808" w:type="dxa"/>
            <w:shd w:val="clear" w:color="auto" w:fill="auto"/>
            <w:vAlign w:val="center"/>
          </w:tcPr>
          <w:p w14:paraId="5EE0AEAB">
            <w:pPr>
              <w:widowControl/>
              <w:jc w:val="center"/>
              <w:rPr>
                <w:rFonts w:ascii="Times New Roman" w:hAnsi="Times New Roman"/>
                <w:kern w:val="0"/>
                <w:szCs w:val="21"/>
                <w:u w:val="single"/>
              </w:rPr>
            </w:pPr>
            <w:r>
              <w:rPr>
                <w:rFonts w:ascii="Times New Roman" w:hAnsi="Times New Roman" w:eastAsia="等线"/>
                <w:szCs w:val="21"/>
                <w:u w:val="single"/>
              </w:rPr>
              <w:t>0.0277</w:t>
            </w:r>
          </w:p>
        </w:tc>
      </w:tr>
      <w:tr w14:paraId="42A268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618CC4AE">
            <w:pPr>
              <w:widowControl/>
              <w:jc w:val="center"/>
              <w:rPr>
                <w:rFonts w:ascii="Times New Roman" w:hAnsi="Times New Roman"/>
                <w:kern w:val="0"/>
                <w:szCs w:val="21"/>
              </w:rPr>
            </w:pPr>
            <w:r>
              <w:rPr>
                <w:rFonts w:ascii="Times New Roman" w:hAnsi="Times New Roman"/>
                <w:kern w:val="0"/>
                <w:szCs w:val="21"/>
              </w:rPr>
              <w:t>下风向最大浓度出现距离</w:t>
            </w:r>
          </w:p>
        </w:tc>
        <w:tc>
          <w:tcPr>
            <w:tcW w:w="1808" w:type="dxa"/>
            <w:shd w:val="clear" w:color="auto" w:fill="auto"/>
            <w:vAlign w:val="center"/>
          </w:tcPr>
          <w:p w14:paraId="70623846">
            <w:pPr>
              <w:widowControl/>
              <w:jc w:val="center"/>
              <w:rPr>
                <w:rFonts w:ascii="Times New Roman" w:hAnsi="Times New Roman"/>
                <w:kern w:val="0"/>
                <w:szCs w:val="21"/>
                <w:u w:val="single"/>
              </w:rPr>
            </w:pPr>
            <w:r>
              <w:rPr>
                <w:rFonts w:ascii="Times New Roman" w:hAnsi="Times New Roman" w:eastAsia="等线"/>
                <w:szCs w:val="21"/>
                <w:u w:val="single"/>
              </w:rPr>
              <w:t>87</w:t>
            </w:r>
          </w:p>
        </w:tc>
        <w:tc>
          <w:tcPr>
            <w:tcW w:w="1808" w:type="dxa"/>
            <w:shd w:val="clear" w:color="auto" w:fill="auto"/>
            <w:vAlign w:val="center"/>
          </w:tcPr>
          <w:p w14:paraId="0315D94F">
            <w:pPr>
              <w:widowControl/>
              <w:jc w:val="center"/>
              <w:rPr>
                <w:rFonts w:ascii="Times New Roman" w:hAnsi="Times New Roman"/>
                <w:kern w:val="0"/>
                <w:szCs w:val="21"/>
                <w:u w:val="single"/>
              </w:rPr>
            </w:pPr>
            <w:r>
              <w:rPr>
                <w:rFonts w:ascii="Times New Roman" w:hAnsi="Times New Roman" w:eastAsia="等线"/>
                <w:szCs w:val="21"/>
                <w:u w:val="single"/>
              </w:rPr>
              <w:t>87</w:t>
            </w:r>
          </w:p>
        </w:tc>
        <w:tc>
          <w:tcPr>
            <w:tcW w:w="1808" w:type="dxa"/>
            <w:shd w:val="clear" w:color="auto" w:fill="auto"/>
            <w:vAlign w:val="center"/>
          </w:tcPr>
          <w:p w14:paraId="783E532F">
            <w:pPr>
              <w:widowControl/>
              <w:jc w:val="center"/>
              <w:rPr>
                <w:rFonts w:ascii="Times New Roman" w:hAnsi="Times New Roman"/>
                <w:kern w:val="0"/>
                <w:szCs w:val="21"/>
                <w:u w:val="single"/>
              </w:rPr>
            </w:pPr>
            <w:r>
              <w:rPr>
                <w:rFonts w:ascii="Times New Roman" w:hAnsi="Times New Roman" w:eastAsia="等线"/>
                <w:szCs w:val="21"/>
                <w:u w:val="single"/>
              </w:rPr>
              <w:t>87</w:t>
            </w:r>
          </w:p>
        </w:tc>
        <w:tc>
          <w:tcPr>
            <w:tcW w:w="1808" w:type="dxa"/>
            <w:shd w:val="clear" w:color="auto" w:fill="auto"/>
            <w:vAlign w:val="center"/>
          </w:tcPr>
          <w:p w14:paraId="0A0A27B8">
            <w:pPr>
              <w:widowControl/>
              <w:jc w:val="center"/>
              <w:rPr>
                <w:rFonts w:ascii="Times New Roman" w:hAnsi="Times New Roman"/>
                <w:kern w:val="0"/>
                <w:szCs w:val="21"/>
                <w:u w:val="single"/>
              </w:rPr>
            </w:pPr>
            <w:r>
              <w:rPr>
                <w:rFonts w:ascii="Times New Roman" w:hAnsi="Times New Roman" w:eastAsia="等线"/>
                <w:szCs w:val="21"/>
                <w:u w:val="single"/>
              </w:rPr>
              <w:t>87</w:t>
            </w:r>
          </w:p>
        </w:tc>
      </w:tr>
      <w:tr w14:paraId="156B77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6B9A7734">
            <w:pPr>
              <w:widowControl/>
              <w:jc w:val="center"/>
              <w:rPr>
                <w:rFonts w:ascii="Times New Roman" w:hAnsi="Times New Roman"/>
                <w:kern w:val="0"/>
                <w:szCs w:val="21"/>
              </w:rPr>
            </w:pPr>
            <w:r>
              <w:rPr>
                <w:rFonts w:ascii="Times New Roman" w:hAnsi="Times New Roman"/>
                <w:kern w:val="0"/>
                <w:szCs w:val="21"/>
              </w:rPr>
              <w:t>D10%最远距离</w:t>
            </w:r>
          </w:p>
        </w:tc>
        <w:tc>
          <w:tcPr>
            <w:tcW w:w="1808" w:type="dxa"/>
            <w:shd w:val="clear" w:color="auto" w:fill="auto"/>
            <w:vAlign w:val="center"/>
          </w:tcPr>
          <w:p w14:paraId="1FDBE8B9">
            <w:pPr>
              <w:widowControl/>
              <w:jc w:val="center"/>
              <w:rPr>
                <w:rFonts w:ascii="Times New Roman" w:hAnsi="Times New Roman"/>
                <w:kern w:val="0"/>
                <w:szCs w:val="21"/>
              </w:rPr>
            </w:pPr>
            <w:r>
              <w:rPr>
                <w:rFonts w:ascii="Times New Roman" w:hAnsi="Times New Roman" w:eastAsia="等线"/>
                <w:szCs w:val="21"/>
              </w:rPr>
              <w:t>/</w:t>
            </w:r>
          </w:p>
        </w:tc>
        <w:tc>
          <w:tcPr>
            <w:tcW w:w="1808" w:type="dxa"/>
            <w:shd w:val="clear" w:color="auto" w:fill="auto"/>
            <w:vAlign w:val="center"/>
          </w:tcPr>
          <w:p w14:paraId="527BCB29">
            <w:pPr>
              <w:widowControl/>
              <w:jc w:val="center"/>
              <w:rPr>
                <w:rFonts w:ascii="Times New Roman" w:hAnsi="Times New Roman"/>
                <w:kern w:val="0"/>
                <w:szCs w:val="21"/>
              </w:rPr>
            </w:pPr>
            <w:r>
              <w:rPr>
                <w:rFonts w:ascii="Times New Roman" w:hAnsi="Times New Roman" w:eastAsia="等线"/>
                <w:szCs w:val="21"/>
              </w:rPr>
              <w:t>/</w:t>
            </w:r>
          </w:p>
        </w:tc>
        <w:tc>
          <w:tcPr>
            <w:tcW w:w="1808" w:type="dxa"/>
            <w:shd w:val="clear" w:color="auto" w:fill="auto"/>
            <w:vAlign w:val="center"/>
          </w:tcPr>
          <w:p w14:paraId="722DC872">
            <w:pPr>
              <w:widowControl/>
              <w:jc w:val="center"/>
              <w:rPr>
                <w:rFonts w:ascii="Times New Roman" w:hAnsi="Times New Roman"/>
                <w:kern w:val="0"/>
                <w:szCs w:val="21"/>
              </w:rPr>
            </w:pPr>
            <w:r>
              <w:rPr>
                <w:rFonts w:ascii="Times New Roman" w:hAnsi="Times New Roman" w:eastAsia="等线"/>
                <w:szCs w:val="21"/>
              </w:rPr>
              <w:t>/</w:t>
            </w:r>
          </w:p>
        </w:tc>
        <w:tc>
          <w:tcPr>
            <w:tcW w:w="1808" w:type="dxa"/>
            <w:shd w:val="clear" w:color="auto" w:fill="auto"/>
            <w:vAlign w:val="center"/>
          </w:tcPr>
          <w:p w14:paraId="616FB479">
            <w:pPr>
              <w:widowControl/>
              <w:jc w:val="center"/>
              <w:rPr>
                <w:rFonts w:ascii="Times New Roman" w:hAnsi="Times New Roman"/>
                <w:kern w:val="0"/>
                <w:szCs w:val="21"/>
              </w:rPr>
            </w:pPr>
            <w:r>
              <w:rPr>
                <w:rFonts w:ascii="Times New Roman" w:hAnsi="Times New Roman" w:eastAsia="等线"/>
                <w:szCs w:val="21"/>
              </w:rPr>
              <w:t>/</w:t>
            </w:r>
          </w:p>
        </w:tc>
      </w:tr>
    </w:tbl>
    <w:p w14:paraId="56E47D23">
      <w:pPr>
        <w:spacing w:line="360" w:lineRule="auto"/>
        <w:ind w:firstLine="474" w:firstLineChars="200"/>
        <w:rPr>
          <w:rFonts w:ascii="Times New Roman" w:hAnsi="Times New Roman"/>
          <w:b/>
          <w:bCs/>
          <w:spacing w:val="-2"/>
          <w:kern w:val="0"/>
          <w:sz w:val="24"/>
          <w:szCs w:val="24"/>
        </w:rPr>
      </w:pPr>
    </w:p>
    <w:p w14:paraId="16A190D8">
      <w:pPr>
        <w:spacing w:line="360" w:lineRule="auto"/>
        <w:ind w:firstLine="474" w:firstLineChars="200"/>
        <w:rPr>
          <w:rFonts w:ascii="Times New Roman" w:hAnsi="Times New Roman"/>
          <w:b/>
          <w:bCs/>
          <w:spacing w:val="-2"/>
          <w:kern w:val="0"/>
          <w:sz w:val="24"/>
          <w:szCs w:val="24"/>
        </w:rPr>
      </w:pPr>
      <w:r>
        <w:rPr>
          <w:rFonts w:ascii="Times New Roman" w:hAnsi="Times New Roman"/>
          <w:b/>
          <w:bCs/>
          <w:spacing w:val="-2"/>
          <w:kern w:val="0"/>
          <w:sz w:val="24"/>
          <w:szCs w:val="24"/>
        </w:rPr>
        <w:t>（3）项目生产车间粉尘、物料运输扬尘无组织排放污染物浓度分布</w:t>
      </w:r>
    </w:p>
    <w:p w14:paraId="4F3E5BE0">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项目生产车间粉尘、物料运输扬尘无组织排放的颗粒物的浓度分布见表4.2-13。</w:t>
      </w:r>
    </w:p>
    <w:p w14:paraId="26577D10">
      <w:pPr>
        <w:pStyle w:val="8"/>
        <w:numPr>
          <w:ilvl w:val="4"/>
          <w:numId w:val="3"/>
        </w:numPr>
        <w:rPr>
          <w:sz w:val="24"/>
          <w:szCs w:val="24"/>
        </w:rPr>
      </w:pPr>
      <w:r>
        <w:rPr>
          <w:sz w:val="24"/>
          <w:szCs w:val="24"/>
        </w:rPr>
        <w:t>项目颗粒物无组织排放污染物浓度分布一览表</w:t>
      </w:r>
    </w:p>
    <w:tbl>
      <w:tblPr>
        <w:tblStyle w:val="88"/>
        <w:tblW w:w="904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8"/>
        <w:gridCol w:w="1808"/>
        <w:gridCol w:w="1808"/>
        <w:gridCol w:w="1808"/>
        <w:gridCol w:w="1808"/>
      </w:tblGrid>
      <w:tr w14:paraId="61A86C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1808" w:type="dxa"/>
            <w:vMerge w:val="restart"/>
            <w:shd w:val="clear" w:color="auto" w:fill="auto"/>
            <w:vAlign w:val="center"/>
          </w:tcPr>
          <w:p w14:paraId="05659CBE">
            <w:pPr>
              <w:widowControl/>
              <w:jc w:val="center"/>
              <w:rPr>
                <w:rFonts w:ascii="Times New Roman" w:hAnsi="Times New Roman"/>
                <w:b/>
                <w:bCs/>
                <w:kern w:val="0"/>
                <w:szCs w:val="21"/>
              </w:rPr>
            </w:pPr>
            <w:r>
              <w:rPr>
                <w:rFonts w:ascii="Times New Roman" w:hAnsi="Times New Roman"/>
                <w:b/>
                <w:bCs/>
                <w:kern w:val="0"/>
                <w:szCs w:val="21"/>
              </w:rPr>
              <w:t>下风向距离</w:t>
            </w:r>
          </w:p>
          <w:p w14:paraId="263AD4E8">
            <w:pPr>
              <w:widowControl/>
              <w:jc w:val="center"/>
              <w:rPr>
                <w:rFonts w:ascii="Times New Roman" w:hAnsi="Times New Roman"/>
                <w:b/>
                <w:bCs/>
                <w:kern w:val="0"/>
                <w:szCs w:val="21"/>
              </w:rPr>
            </w:pPr>
            <w:r>
              <w:rPr>
                <w:rFonts w:hint="eastAsia" w:ascii="Times New Roman" w:hAnsi="Times New Roman"/>
                <w:b/>
                <w:bCs/>
                <w:kern w:val="0"/>
                <w:szCs w:val="21"/>
              </w:rPr>
              <w:t>(m)</w:t>
            </w:r>
          </w:p>
        </w:tc>
        <w:tc>
          <w:tcPr>
            <w:tcW w:w="3616" w:type="dxa"/>
            <w:gridSpan w:val="2"/>
            <w:shd w:val="clear" w:color="auto" w:fill="auto"/>
            <w:vAlign w:val="center"/>
          </w:tcPr>
          <w:p w14:paraId="3A067E61">
            <w:pPr>
              <w:widowControl/>
              <w:jc w:val="center"/>
              <w:rPr>
                <w:rFonts w:ascii="Times New Roman" w:hAnsi="Times New Roman"/>
                <w:b/>
                <w:bCs/>
                <w:kern w:val="0"/>
                <w:szCs w:val="21"/>
              </w:rPr>
            </w:pPr>
            <w:r>
              <w:rPr>
                <w:rFonts w:ascii="Times New Roman" w:hAnsi="Times New Roman"/>
                <w:b/>
                <w:bCs/>
                <w:kern w:val="0"/>
                <w:szCs w:val="21"/>
              </w:rPr>
              <w:t>车间粉尘无组织排放</w:t>
            </w:r>
          </w:p>
        </w:tc>
        <w:tc>
          <w:tcPr>
            <w:tcW w:w="3616" w:type="dxa"/>
            <w:gridSpan w:val="2"/>
            <w:shd w:val="clear" w:color="auto" w:fill="auto"/>
            <w:vAlign w:val="center"/>
          </w:tcPr>
          <w:p w14:paraId="262B2EA0">
            <w:pPr>
              <w:widowControl/>
              <w:jc w:val="center"/>
              <w:rPr>
                <w:rFonts w:ascii="Times New Roman" w:hAnsi="Times New Roman"/>
                <w:b/>
                <w:bCs/>
                <w:kern w:val="0"/>
                <w:szCs w:val="21"/>
              </w:rPr>
            </w:pPr>
            <w:r>
              <w:rPr>
                <w:rFonts w:ascii="Times New Roman" w:hAnsi="Times New Roman"/>
                <w:b/>
                <w:bCs/>
                <w:kern w:val="0"/>
                <w:szCs w:val="21"/>
              </w:rPr>
              <w:t>交通运输扬尘</w:t>
            </w:r>
          </w:p>
        </w:tc>
      </w:tr>
      <w:tr w14:paraId="3DAFB4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1808" w:type="dxa"/>
            <w:vMerge w:val="continue"/>
            <w:shd w:val="clear" w:color="auto" w:fill="auto"/>
            <w:vAlign w:val="center"/>
          </w:tcPr>
          <w:p w14:paraId="15522D7D">
            <w:pPr>
              <w:widowControl/>
              <w:jc w:val="left"/>
              <w:rPr>
                <w:rFonts w:ascii="Times New Roman" w:hAnsi="Times New Roman"/>
                <w:b/>
                <w:bCs/>
                <w:kern w:val="0"/>
                <w:szCs w:val="21"/>
              </w:rPr>
            </w:pPr>
          </w:p>
        </w:tc>
        <w:tc>
          <w:tcPr>
            <w:tcW w:w="1808" w:type="dxa"/>
            <w:shd w:val="clear" w:color="auto" w:fill="auto"/>
            <w:vAlign w:val="center"/>
          </w:tcPr>
          <w:p w14:paraId="0CA7D800">
            <w:pPr>
              <w:widowControl/>
              <w:jc w:val="center"/>
              <w:rPr>
                <w:rFonts w:ascii="Times New Roman" w:hAnsi="Times New Roman"/>
                <w:b/>
                <w:bCs/>
                <w:kern w:val="0"/>
                <w:szCs w:val="21"/>
              </w:rPr>
            </w:pPr>
            <w:r>
              <w:rPr>
                <w:rFonts w:ascii="Times New Roman" w:hAnsi="Times New Roman"/>
                <w:b/>
                <w:bCs/>
                <w:kern w:val="0"/>
                <w:szCs w:val="21"/>
              </w:rPr>
              <w:t>PM</w:t>
            </w:r>
            <w:r>
              <w:rPr>
                <w:rFonts w:ascii="Times New Roman" w:hAnsi="Times New Roman"/>
                <w:b/>
                <w:bCs/>
                <w:kern w:val="0"/>
                <w:szCs w:val="21"/>
                <w:vertAlign w:val="subscript"/>
              </w:rPr>
              <w:t>10</w:t>
            </w:r>
            <w:r>
              <w:rPr>
                <w:rFonts w:ascii="Times New Roman" w:hAnsi="Times New Roman"/>
                <w:b/>
                <w:bCs/>
                <w:kern w:val="0"/>
                <w:szCs w:val="21"/>
              </w:rPr>
              <w:t>浓度(μg/m³)</w:t>
            </w:r>
          </w:p>
        </w:tc>
        <w:tc>
          <w:tcPr>
            <w:tcW w:w="1808" w:type="dxa"/>
            <w:shd w:val="clear" w:color="auto" w:fill="auto"/>
            <w:vAlign w:val="center"/>
          </w:tcPr>
          <w:p w14:paraId="1E162556">
            <w:pPr>
              <w:widowControl/>
              <w:jc w:val="center"/>
              <w:rPr>
                <w:rFonts w:ascii="Times New Roman" w:hAnsi="Times New Roman"/>
                <w:b/>
                <w:bCs/>
                <w:kern w:val="0"/>
                <w:szCs w:val="21"/>
              </w:rPr>
            </w:pPr>
            <w:r>
              <w:rPr>
                <w:rFonts w:ascii="Times New Roman" w:hAnsi="Times New Roman"/>
                <w:b/>
                <w:bCs/>
                <w:kern w:val="0"/>
                <w:szCs w:val="21"/>
              </w:rPr>
              <w:t>PM</w:t>
            </w:r>
            <w:r>
              <w:rPr>
                <w:rFonts w:ascii="Times New Roman" w:hAnsi="Times New Roman"/>
                <w:b/>
                <w:bCs/>
                <w:kern w:val="0"/>
                <w:szCs w:val="21"/>
                <w:vertAlign w:val="subscript"/>
              </w:rPr>
              <w:t>10</w:t>
            </w:r>
            <w:r>
              <w:rPr>
                <w:rFonts w:ascii="Times New Roman" w:hAnsi="Times New Roman"/>
                <w:b/>
                <w:bCs/>
                <w:kern w:val="0"/>
                <w:szCs w:val="21"/>
              </w:rPr>
              <w:t>占标率(%)</w:t>
            </w:r>
          </w:p>
        </w:tc>
        <w:tc>
          <w:tcPr>
            <w:tcW w:w="1808" w:type="dxa"/>
            <w:shd w:val="clear" w:color="auto" w:fill="auto"/>
            <w:vAlign w:val="center"/>
          </w:tcPr>
          <w:p w14:paraId="52A30399">
            <w:pPr>
              <w:widowControl/>
              <w:jc w:val="center"/>
              <w:rPr>
                <w:rFonts w:ascii="Times New Roman" w:hAnsi="Times New Roman"/>
                <w:b/>
                <w:bCs/>
                <w:kern w:val="0"/>
                <w:szCs w:val="21"/>
              </w:rPr>
            </w:pPr>
            <w:r>
              <w:rPr>
                <w:rFonts w:ascii="Times New Roman" w:hAnsi="Times New Roman"/>
                <w:b/>
                <w:bCs/>
                <w:kern w:val="0"/>
                <w:szCs w:val="21"/>
              </w:rPr>
              <w:t>TSP浓度(μg/m³)</w:t>
            </w:r>
          </w:p>
        </w:tc>
        <w:tc>
          <w:tcPr>
            <w:tcW w:w="1808" w:type="dxa"/>
            <w:shd w:val="clear" w:color="auto" w:fill="auto"/>
            <w:vAlign w:val="center"/>
          </w:tcPr>
          <w:p w14:paraId="52CDD6A1">
            <w:pPr>
              <w:widowControl/>
              <w:jc w:val="center"/>
              <w:rPr>
                <w:rFonts w:ascii="Times New Roman" w:hAnsi="Times New Roman"/>
                <w:b/>
                <w:bCs/>
                <w:kern w:val="0"/>
                <w:szCs w:val="21"/>
              </w:rPr>
            </w:pPr>
            <w:r>
              <w:rPr>
                <w:rFonts w:ascii="Times New Roman" w:hAnsi="Times New Roman"/>
                <w:b/>
                <w:bCs/>
                <w:kern w:val="0"/>
                <w:szCs w:val="21"/>
              </w:rPr>
              <w:t>TSP占标率(%)</w:t>
            </w:r>
          </w:p>
        </w:tc>
      </w:tr>
      <w:tr w14:paraId="30188B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18A6E70B">
            <w:pPr>
              <w:widowControl/>
              <w:jc w:val="center"/>
              <w:rPr>
                <w:rFonts w:ascii="Times New Roman" w:hAnsi="Times New Roman"/>
                <w:kern w:val="0"/>
                <w:szCs w:val="21"/>
              </w:rPr>
            </w:pPr>
            <w:r>
              <w:rPr>
                <w:rFonts w:ascii="Times New Roman" w:hAnsi="Times New Roman"/>
                <w:kern w:val="0"/>
                <w:szCs w:val="21"/>
              </w:rPr>
              <w:t>50</w:t>
            </w:r>
          </w:p>
        </w:tc>
        <w:tc>
          <w:tcPr>
            <w:tcW w:w="1808" w:type="dxa"/>
            <w:shd w:val="clear" w:color="auto" w:fill="auto"/>
            <w:vAlign w:val="center"/>
          </w:tcPr>
          <w:p w14:paraId="55FA5E9F">
            <w:pPr>
              <w:widowControl/>
              <w:jc w:val="center"/>
              <w:rPr>
                <w:rFonts w:ascii="Times New Roman" w:hAnsi="Times New Roman"/>
                <w:kern w:val="0"/>
                <w:szCs w:val="21"/>
                <w:u w:val="single"/>
              </w:rPr>
            </w:pPr>
            <w:r>
              <w:rPr>
                <w:rFonts w:ascii="Times New Roman" w:hAnsi="Times New Roman" w:eastAsia="等线"/>
                <w:szCs w:val="21"/>
                <w:u w:val="single"/>
              </w:rPr>
              <w:t>82.0330</w:t>
            </w:r>
          </w:p>
        </w:tc>
        <w:tc>
          <w:tcPr>
            <w:tcW w:w="1808" w:type="dxa"/>
            <w:shd w:val="clear" w:color="auto" w:fill="auto"/>
            <w:vAlign w:val="center"/>
          </w:tcPr>
          <w:p w14:paraId="010CDA80">
            <w:pPr>
              <w:widowControl/>
              <w:jc w:val="center"/>
              <w:rPr>
                <w:rFonts w:ascii="Times New Roman" w:hAnsi="Times New Roman"/>
                <w:kern w:val="0"/>
                <w:szCs w:val="21"/>
                <w:u w:val="single"/>
              </w:rPr>
            </w:pPr>
            <w:r>
              <w:rPr>
                <w:rFonts w:ascii="Times New Roman" w:hAnsi="Times New Roman" w:eastAsia="等线"/>
                <w:szCs w:val="21"/>
                <w:u w:val="single"/>
              </w:rPr>
              <w:t>9.1148</w:t>
            </w:r>
          </w:p>
        </w:tc>
        <w:tc>
          <w:tcPr>
            <w:tcW w:w="1808" w:type="dxa"/>
            <w:shd w:val="clear" w:color="auto" w:fill="auto"/>
            <w:vAlign w:val="center"/>
          </w:tcPr>
          <w:p w14:paraId="652700B8">
            <w:pPr>
              <w:widowControl/>
              <w:jc w:val="center"/>
              <w:rPr>
                <w:rFonts w:ascii="Times New Roman" w:hAnsi="Times New Roman"/>
                <w:kern w:val="0"/>
                <w:szCs w:val="21"/>
                <w:u w:val="single"/>
              </w:rPr>
            </w:pPr>
            <w:r>
              <w:rPr>
                <w:rFonts w:ascii="Times New Roman" w:hAnsi="Times New Roman" w:eastAsia="等线"/>
                <w:szCs w:val="21"/>
                <w:u w:val="single"/>
              </w:rPr>
              <w:t>25.7380</w:t>
            </w:r>
          </w:p>
        </w:tc>
        <w:tc>
          <w:tcPr>
            <w:tcW w:w="1808" w:type="dxa"/>
            <w:shd w:val="clear" w:color="auto" w:fill="auto"/>
            <w:vAlign w:val="center"/>
          </w:tcPr>
          <w:p w14:paraId="245370BB">
            <w:pPr>
              <w:widowControl/>
              <w:jc w:val="center"/>
              <w:rPr>
                <w:rFonts w:ascii="Times New Roman" w:hAnsi="Times New Roman"/>
                <w:kern w:val="0"/>
                <w:szCs w:val="21"/>
                <w:u w:val="single"/>
              </w:rPr>
            </w:pPr>
            <w:r>
              <w:rPr>
                <w:rFonts w:ascii="Times New Roman" w:hAnsi="Times New Roman" w:eastAsia="等线"/>
                <w:szCs w:val="21"/>
                <w:u w:val="single"/>
              </w:rPr>
              <w:t>2.8598</w:t>
            </w:r>
          </w:p>
        </w:tc>
      </w:tr>
      <w:tr w14:paraId="56876A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38B53796">
            <w:pPr>
              <w:widowControl/>
              <w:jc w:val="center"/>
              <w:rPr>
                <w:rFonts w:ascii="Times New Roman" w:hAnsi="Times New Roman"/>
                <w:kern w:val="0"/>
                <w:szCs w:val="21"/>
              </w:rPr>
            </w:pPr>
            <w:r>
              <w:rPr>
                <w:rFonts w:ascii="Times New Roman" w:hAnsi="Times New Roman"/>
                <w:kern w:val="0"/>
                <w:szCs w:val="21"/>
              </w:rPr>
              <w:t>100</w:t>
            </w:r>
          </w:p>
        </w:tc>
        <w:tc>
          <w:tcPr>
            <w:tcW w:w="1808" w:type="dxa"/>
            <w:shd w:val="clear" w:color="auto" w:fill="auto"/>
            <w:vAlign w:val="center"/>
          </w:tcPr>
          <w:p w14:paraId="1B22473E">
            <w:pPr>
              <w:widowControl/>
              <w:jc w:val="center"/>
              <w:rPr>
                <w:rFonts w:ascii="Times New Roman" w:hAnsi="Times New Roman"/>
                <w:kern w:val="0"/>
                <w:szCs w:val="21"/>
                <w:u w:val="single"/>
              </w:rPr>
            </w:pPr>
            <w:r>
              <w:rPr>
                <w:rFonts w:ascii="Times New Roman" w:hAnsi="Times New Roman" w:eastAsia="等线"/>
                <w:szCs w:val="21"/>
                <w:u w:val="single"/>
              </w:rPr>
              <w:t>39.4160</w:t>
            </w:r>
          </w:p>
        </w:tc>
        <w:tc>
          <w:tcPr>
            <w:tcW w:w="1808" w:type="dxa"/>
            <w:shd w:val="clear" w:color="auto" w:fill="auto"/>
            <w:vAlign w:val="center"/>
          </w:tcPr>
          <w:p w14:paraId="0D13CF85">
            <w:pPr>
              <w:widowControl/>
              <w:jc w:val="center"/>
              <w:rPr>
                <w:rFonts w:ascii="Times New Roman" w:hAnsi="Times New Roman"/>
                <w:kern w:val="0"/>
                <w:szCs w:val="21"/>
                <w:u w:val="single"/>
              </w:rPr>
            </w:pPr>
            <w:r>
              <w:rPr>
                <w:rFonts w:ascii="Times New Roman" w:hAnsi="Times New Roman" w:eastAsia="等线"/>
                <w:szCs w:val="21"/>
                <w:u w:val="single"/>
              </w:rPr>
              <w:t>4.3796</w:t>
            </w:r>
          </w:p>
        </w:tc>
        <w:tc>
          <w:tcPr>
            <w:tcW w:w="1808" w:type="dxa"/>
            <w:shd w:val="clear" w:color="auto" w:fill="auto"/>
            <w:vAlign w:val="center"/>
          </w:tcPr>
          <w:p w14:paraId="4C0CEB6C">
            <w:pPr>
              <w:widowControl/>
              <w:jc w:val="center"/>
              <w:rPr>
                <w:rFonts w:ascii="Times New Roman" w:hAnsi="Times New Roman"/>
                <w:kern w:val="0"/>
                <w:szCs w:val="21"/>
                <w:u w:val="single"/>
              </w:rPr>
            </w:pPr>
            <w:r>
              <w:rPr>
                <w:rFonts w:ascii="Times New Roman" w:hAnsi="Times New Roman" w:eastAsia="等线"/>
                <w:szCs w:val="21"/>
                <w:u w:val="single"/>
              </w:rPr>
              <w:t>21.3970</w:t>
            </w:r>
          </w:p>
        </w:tc>
        <w:tc>
          <w:tcPr>
            <w:tcW w:w="1808" w:type="dxa"/>
            <w:shd w:val="clear" w:color="auto" w:fill="auto"/>
            <w:vAlign w:val="center"/>
          </w:tcPr>
          <w:p w14:paraId="26B05A5D">
            <w:pPr>
              <w:widowControl/>
              <w:jc w:val="center"/>
              <w:rPr>
                <w:rFonts w:ascii="Times New Roman" w:hAnsi="Times New Roman"/>
                <w:kern w:val="0"/>
                <w:szCs w:val="21"/>
                <w:u w:val="single"/>
              </w:rPr>
            </w:pPr>
            <w:r>
              <w:rPr>
                <w:rFonts w:ascii="Times New Roman" w:hAnsi="Times New Roman" w:eastAsia="等线"/>
                <w:szCs w:val="21"/>
                <w:u w:val="single"/>
              </w:rPr>
              <w:t>2.3774</w:t>
            </w:r>
          </w:p>
        </w:tc>
      </w:tr>
      <w:tr w14:paraId="62D1F7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240398CD">
            <w:pPr>
              <w:widowControl/>
              <w:jc w:val="center"/>
              <w:rPr>
                <w:rFonts w:ascii="Times New Roman" w:hAnsi="Times New Roman"/>
                <w:kern w:val="0"/>
                <w:szCs w:val="21"/>
              </w:rPr>
            </w:pPr>
            <w:r>
              <w:rPr>
                <w:rFonts w:ascii="Times New Roman" w:hAnsi="Times New Roman"/>
                <w:kern w:val="0"/>
                <w:szCs w:val="21"/>
              </w:rPr>
              <w:t>200</w:t>
            </w:r>
          </w:p>
        </w:tc>
        <w:tc>
          <w:tcPr>
            <w:tcW w:w="1808" w:type="dxa"/>
            <w:shd w:val="clear" w:color="auto" w:fill="auto"/>
            <w:vAlign w:val="center"/>
          </w:tcPr>
          <w:p w14:paraId="3909C6DE">
            <w:pPr>
              <w:widowControl/>
              <w:jc w:val="center"/>
              <w:rPr>
                <w:rFonts w:ascii="Times New Roman" w:hAnsi="Times New Roman"/>
                <w:kern w:val="0"/>
                <w:szCs w:val="21"/>
                <w:u w:val="single"/>
              </w:rPr>
            </w:pPr>
            <w:r>
              <w:rPr>
                <w:rFonts w:ascii="Times New Roman" w:hAnsi="Times New Roman" w:eastAsia="等线"/>
                <w:szCs w:val="21"/>
                <w:u w:val="single"/>
              </w:rPr>
              <w:t>14.2330</w:t>
            </w:r>
          </w:p>
        </w:tc>
        <w:tc>
          <w:tcPr>
            <w:tcW w:w="1808" w:type="dxa"/>
            <w:shd w:val="clear" w:color="auto" w:fill="auto"/>
            <w:vAlign w:val="center"/>
          </w:tcPr>
          <w:p w14:paraId="471EF6AF">
            <w:pPr>
              <w:widowControl/>
              <w:jc w:val="center"/>
              <w:rPr>
                <w:rFonts w:ascii="Times New Roman" w:hAnsi="Times New Roman"/>
                <w:kern w:val="0"/>
                <w:szCs w:val="21"/>
                <w:u w:val="single"/>
              </w:rPr>
            </w:pPr>
            <w:r>
              <w:rPr>
                <w:rFonts w:ascii="Times New Roman" w:hAnsi="Times New Roman" w:eastAsia="等线"/>
                <w:szCs w:val="21"/>
                <w:u w:val="single"/>
              </w:rPr>
              <w:t>1.5814</w:t>
            </w:r>
          </w:p>
        </w:tc>
        <w:tc>
          <w:tcPr>
            <w:tcW w:w="1808" w:type="dxa"/>
            <w:shd w:val="clear" w:color="auto" w:fill="auto"/>
            <w:vAlign w:val="center"/>
          </w:tcPr>
          <w:p w14:paraId="09EA6EB8">
            <w:pPr>
              <w:widowControl/>
              <w:jc w:val="center"/>
              <w:rPr>
                <w:rFonts w:ascii="Times New Roman" w:hAnsi="Times New Roman"/>
                <w:kern w:val="0"/>
                <w:szCs w:val="21"/>
                <w:u w:val="single"/>
              </w:rPr>
            </w:pPr>
            <w:r>
              <w:rPr>
                <w:rFonts w:ascii="Times New Roman" w:hAnsi="Times New Roman" w:eastAsia="等线"/>
                <w:szCs w:val="21"/>
                <w:u w:val="single"/>
              </w:rPr>
              <w:t>6.1432</w:t>
            </w:r>
          </w:p>
        </w:tc>
        <w:tc>
          <w:tcPr>
            <w:tcW w:w="1808" w:type="dxa"/>
            <w:shd w:val="clear" w:color="auto" w:fill="auto"/>
            <w:vAlign w:val="center"/>
          </w:tcPr>
          <w:p w14:paraId="01A645D7">
            <w:pPr>
              <w:widowControl/>
              <w:jc w:val="center"/>
              <w:rPr>
                <w:rFonts w:ascii="Times New Roman" w:hAnsi="Times New Roman"/>
                <w:kern w:val="0"/>
                <w:szCs w:val="21"/>
                <w:u w:val="single"/>
              </w:rPr>
            </w:pPr>
            <w:r>
              <w:rPr>
                <w:rFonts w:ascii="Times New Roman" w:hAnsi="Times New Roman" w:eastAsia="等线"/>
                <w:szCs w:val="21"/>
                <w:u w:val="single"/>
              </w:rPr>
              <w:t>0.6826</w:t>
            </w:r>
          </w:p>
        </w:tc>
      </w:tr>
      <w:tr w14:paraId="355E58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2BFEFB60">
            <w:pPr>
              <w:widowControl/>
              <w:jc w:val="center"/>
              <w:rPr>
                <w:rFonts w:ascii="Times New Roman" w:hAnsi="Times New Roman"/>
                <w:kern w:val="0"/>
                <w:szCs w:val="21"/>
              </w:rPr>
            </w:pPr>
            <w:r>
              <w:rPr>
                <w:rFonts w:ascii="Times New Roman" w:hAnsi="Times New Roman"/>
                <w:kern w:val="0"/>
                <w:szCs w:val="21"/>
              </w:rPr>
              <w:t>300</w:t>
            </w:r>
          </w:p>
        </w:tc>
        <w:tc>
          <w:tcPr>
            <w:tcW w:w="1808" w:type="dxa"/>
            <w:shd w:val="clear" w:color="auto" w:fill="auto"/>
            <w:vAlign w:val="center"/>
          </w:tcPr>
          <w:p w14:paraId="6FFE4E6A">
            <w:pPr>
              <w:widowControl/>
              <w:jc w:val="center"/>
              <w:rPr>
                <w:rFonts w:ascii="Times New Roman" w:hAnsi="Times New Roman"/>
                <w:kern w:val="0"/>
                <w:szCs w:val="21"/>
                <w:u w:val="single"/>
              </w:rPr>
            </w:pPr>
            <w:r>
              <w:rPr>
                <w:rFonts w:ascii="Times New Roman" w:hAnsi="Times New Roman" w:eastAsia="等线"/>
                <w:szCs w:val="21"/>
                <w:u w:val="single"/>
              </w:rPr>
              <w:t>8.0386</w:t>
            </w:r>
          </w:p>
        </w:tc>
        <w:tc>
          <w:tcPr>
            <w:tcW w:w="1808" w:type="dxa"/>
            <w:shd w:val="clear" w:color="auto" w:fill="auto"/>
            <w:vAlign w:val="center"/>
          </w:tcPr>
          <w:p w14:paraId="0A132FB9">
            <w:pPr>
              <w:widowControl/>
              <w:jc w:val="center"/>
              <w:rPr>
                <w:rFonts w:ascii="Times New Roman" w:hAnsi="Times New Roman"/>
                <w:kern w:val="0"/>
                <w:szCs w:val="21"/>
                <w:u w:val="single"/>
              </w:rPr>
            </w:pPr>
            <w:r>
              <w:rPr>
                <w:rFonts w:ascii="Times New Roman" w:hAnsi="Times New Roman" w:eastAsia="等线"/>
                <w:szCs w:val="21"/>
                <w:u w:val="single"/>
              </w:rPr>
              <w:t>0.8932</w:t>
            </w:r>
          </w:p>
        </w:tc>
        <w:tc>
          <w:tcPr>
            <w:tcW w:w="1808" w:type="dxa"/>
            <w:shd w:val="clear" w:color="auto" w:fill="auto"/>
            <w:vAlign w:val="center"/>
          </w:tcPr>
          <w:p w14:paraId="1D1A7F63">
            <w:pPr>
              <w:widowControl/>
              <w:jc w:val="center"/>
              <w:rPr>
                <w:rFonts w:ascii="Times New Roman" w:hAnsi="Times New Roman"/>
                <w:kern w:val="0"/>
                <w:szCs w:val="21"/>
                <w:u w:val="single"/>
              </w:rPr>
            </w:pPr>
            <w:r>
              <w:rPr>
                <w:rFonts w:ascii="Times New Roman" w:hAnsi="Times New Roman" w:eastAsia="等线"/>
                <w:szCs w:val="21"/>
                <w:u w:val="single"/>
              </w:rPr>
              <w:t>3.3831</w:t>
            </w:r>
          </w:p>
        </w:tc>
        <w:tc>
          <w:tcPr>
            <w:tcW w:w="1808" w:type="dxa"/>
            <w:shd w:val="clear" w:color="auto" w:fill="auto"/>
            <w:vAlign w:val="center"/>
          </w:tcPr>
          <w:p w14:paraId="1C95AEC4">
            <w:pPr>
              <w:widowControl/>
              <w:jc w:val="center"/>
              <w:rPr>
                <w:rFonts w:ascii="Times New Roman" w:hAnsi="Times New Roman"/>
                <w:kern w:val="0"/>
                <w:szCs w:val="21"/>
                <w:u w:val="single"/>
              </w:rPr>
            </w:pPr>
            <w:r>
              <w:rPr>
                <w:rFonts w:ascii="Times New Roman" w:hAnsi="Times New Roman" w:eastAsia="等线"/>
                <w:szCs w:val="21"/>
                <w:u w:val="single"/>
              </w:rPr>
              <w:t>0.3759</w:t>
            </w:r>
          </w:p>
        </w:tc>
      </w:tr>
      <w:tr w14:paraId="4E2072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7F7E3134">
            <w:pPr>
              <w:widowControl/>
              <w:jc w:val="center"/>
              <w:rPr>
                <w:rFonts w:ascii="Times New Roman" w:hAnsi="Times New Roman"/>
                <w:kern w:val="0"/>
                <w:szCs w:val="21"/>
              </w:rPr>
            </w:pPr>
            <w:r>
              <w:rPr>
                <w:rFonts w:ascii="Times New Roman" w:hAnsi="Times New Roman"/>
                <w:kern w:val="0"/>
                <w:szCs w:val="21"/>
              </w:rPr>
              <w:t>400</w:t>
            </w:r>
          </w:p>
        </w:tc>
        <w:tc>
          <w:tcPr>
            <w:tcW w:w="1808" w:type="dxa"/>
            <w:shd w:val="clear" w:color="auto" w:fill="auto"/>
            <w:vAlign w:val="center"/>
          </w:tcPr>
          <w:p w14:paraId="27329818">
            <w:pPr>
              <w:widowControl/>
              <w:jc w:val="center"/>
              <w:rPr>
                <w:rFonts w:ascii="Times New Roman" w:hAnsi="Times New Roman"/>
                <w:kern w:val="0"/>
                <w:szCs w:val="21"/>
                <w:u w:val="single"/>
              </w:rPr>
            </w:pPr>
            <w:r>
              <w:rPr>
                <w:rFonts w:ascii="Times New Roman" w:hAnsi="Times New Roman" w:eastAsia="等线"/>
                <w:szCs w:val="21"/>
                <w:u w:val="single"/>
              </w:rPr>
              <w:t>5.3940</w:t>
            </w:r>
          </w:p>
        </w:tc>
        <w:tc>
          <w:tcPr>
            <w:tcW w:w="1808" w:type="dxa"/>
            <w:shd w:val="clear" w:color="auto" w:fill="auto"/>
            <w:vAlign w:val="center"/>
          </w:tcPr>
          <w:p w14:paraId="5B01A277">
            <w:pPr>
              <w:widowControl/>
              <w:jc w:val="center"/>
              <w:rPr>
                <w:rFonts w:ascii="Times New Roman" w:hAnsi="Times New Roman"/>
                <w:kern w:val="0"/>
                <w:szCs w:val="21"/>
                <w:u w:val="single"/>
              </w:rPr>
            </w:pPr>
            <w:r>
              <w:rPr>
                <w:rFonts w:ascii="Times New Roman" w:hAnsi="Times New Roman" w:eastAsia="等线"/>
                <w:szCs w:val="21"/>
                <w:u w:val="single"/>
              </w:rPr>
              <w:t>0.5993</w:t>
            </w:r>
          </w:p>
        </w:tc>
        <w:tc>
          <w:tcPr>
            <w:tcW w:w="1808" w:type="dxa"/>
            <w:shd w:val="clear" w:color="auto" w:fill="auto"/>
            <w:vAlign w:val="center"/>
          </w:tcPr>
          <w:p w14:paraId="68C28F96">
            <w:pPr>
              <w:widowControl/>
              <w:jc w:val="center"/>
              <w:rPr>
                <w:rFonts w:ascii="Times New Roman" w:hAnsi="Times New Roman"/>
                <w:kern w:val="0"/>
                <w:szCs w:val="21"/>
                <w:u w:val="single"/>
              </w:rPr>
            </w:pPr>
            <w:r>
              <w:rPr>
                <w:rFonts w:ascii="Times New Roman" w:hAnsi="Times New Roman" w:eastAsia="等线"/>
                <w:szCs w:val="21"/>
                <w:u w:val="single"/>
              </w:rPr>
              <w:t>2.2481</w:t>
            </w:r>
          </w:p>
        </w:tc>
        <w:tc>
          <w:tcPr>
            <w:tcW w:w="1808" w:type="dxa"/>
            <w:shd w:val="clear" w:color="auto" w:fill="auto"/>
            <w:vAlign w:val="center"/>
          </w:tcPr>
          <w:p w14:paraId="0B0B5DF7">
            <w:pPr>
              <w:widowControl/>
              <w:jc w:val="center"/>
              <w:rPr>
                <w:rFonts w:ascii="Times New Roman" w:hAnsi="Times New Roman"/>
                <w:kern w:val="0"/>
                <w:szCs w:val="21"/>
                <w:u w:val="single"/>
              </w:rPr>
            </w:pPr>
            <w:r>
              <w:rPr>
                <w:rFonts w:ascii="Times New Roman" w:hAnsi="Times New Roman" w:eastAsia="等线"/>
                <w:szCs w:val="21"/>
                <w:u w:val="single"/>
              </w:rPr>
              <w:t>0.2498</w:t>
            </w:r>
          </w:p>
        </w:tc>
      </w:tr>
      <w:tr w14:paraId="10DE41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4DD53A98">
            <w:pPr>
              <w:widowControl/>
              <w:jc w:val="center"/>
              <w:rPr>
                <w:rFonts w:ascii="Times New Roman" w:hAnsi="Times New Roman"/>
                <w:kern w:val="0"/>
                <w:szCs w:val="21"/>
              </w:rPr>
            </w:pPr>
            <w:r>
              <w:rPr>
                <w:rFonts w:ascii="Times New Roman" w:hAnsi="Times New Roman"/>
                <w:kern w:val="0"/>
                <w:szCs w:val="21"/>
              </w:rPr>
              <w:t>500</w:t>
            </w:r>
          </w:p>
        </w:tc>
        <w:tc>
          <w:tcPr>
            <w:tcW w:w="1808" w:type="dxa"/>
            <w:shd w:val="clear" w:color="auto" w:fill="auto"/>
            <w:vAlign w:val="center"/>
          </w:tcPr>
          <w:p w14:paraId="0835A580">
            <w:pPr>
              <w:widowControl/>
              <w:jc w:val="center"/>
              <w:rPr>
                <w:rFonts w:ascii="Times New Roman" w:hAnsi="Times New Roman"/>
                <w:kern w:val="0"/>
                <w:szCs w:val="21"/>
                <w:u w:val="single"/>
              </w:rPr>
            </w:pPr>
            <w:r>
              <w:rPr>
                <w:rFonts w:ascii="Times New Roman" w:hAnsi="Times New Roman" w:eastAsia="等线"/>
                <w:szCs w:val="21"/>
                <w:u w:val="single"/>
              </w:rPr>
              <w:t>3.9618</w:t>
            </w:r>
          </w:p>
        </w:tc>
        <w:tc>
          <w:tcPr>
            <w:tcW w:w="1808" w:type="dxa"/>
            <w:shd w:val="clear" w:color="auto" w:fill="auto"/>
            <w:vAlign w:val="center"/>
          </w:tcPr>
          <w:p w14:paraId="0D1ACF88">
            <w:pPr>
              <w:widowControl/>
              <w:jc w:val="center"/>
              <w:rPr>
                <w:rFonts w:ascii="Times New Roman" w:hAnsi="Times New Roman"/>
                <w:kern w:val="0"/>
                <w:szCs w:val="21"/>
                <w:u w:val="single"/>
              </w:rPr>
            </w:pPr>
            <w:r>
              <w:rPr>
                <w:rFonts w:ascii="Times New Roman" w:hAnsi="Times New Roman" w:eastAsia="等线"/>
                <w:szCs w:val="21"/>
                <w:u w:val="single"/>
              </w:rPr>
              <w:t>0.4402</w:t>
            </w:r>
          </w:p>
        </w:tc>
        <w:tc>
          <w:tcPr>
            <w:tcW w:w="1808" w:type="dxa"/>
            <w:shd w:val="clear" w:color="auto" w:fill="auto"/>
            <w:vAlign w:val="center"/>
          </w:tcPr>
          <w:p w14:paraId="58985871">
            <w:pPr>
              <w:widowControl/>
              <w:jc w:val="center"/>
              <w:rPr>
                <w:rFonts w:ascii="Times New Roman" w:hAnsi="Times New Roman"/>
                <w:kern w:val="0"/>
                <w:szCs w:val="21"/>
                <w:u w:val="single"/>
              </w:rPr>
            </w:pPr>
            <w:r>
              <w:rPr>
                <w:rFonts w:ascii="Times New Roman" w:hAnsi="Times New Roman" w:eastAsia="等线"/>
                <w:szCs w:val="21"/>
                <w:u w:val="single"/>
              </w:rPr>
              <w:t>1.6445</w:t>
            </w:r>
          </w:p>
        </w:tc>
        <w:tc>
          <w:tcPr>
            <w:tcW w:w="1808" w:type="dxa"/>
            <w:shd w:val="clear" w:color="auto" w:fill="auto"/>
            <w:vAlign w:val="center"/>
          </w:tcPr>
          <w:p w14:paraId="6785BE31">
            <w:pPr>
              <w:widowControl/>
              <w:jc w:val="center"/>
              <w:rPr>
                <w:rFonts w:ascii="Times New Roman" w:hAnsi="Times New Roman"/>
                <w:kern w:val="0"/>
                <w:szCs w:val="21"/>
                <w:u w:val="single"/>
              </w:rPr>
            </w:pPr>
            <w:r>
              <w:rPr>
                <w:rFonts w:ascii="Times New Roman" w:hAnsi="Times New Roman" w:eastAsia="等线"/>
                <w:szCs w:val="21"/>
                <w:u w:val="single"/>
              </w:rPr>
              <w:t>0.1827</w:t>
            </w:r>
          </w:p>
        </w:tc>
      </w:tr>
      <w:tr w14:paraId="0640CA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39766FD4">
            <w:pPr>
              <w:widowControl/>
              <w:jc w:val="center"/>
              <w:rPr>
                <w:rFonts w:ascii="Times New Roman" w:hAnsi="Times New Roman"/>
                <w:kern w:val="0"/>
                <w:szCs w:val="21"/>
              </w:rPr>
            </w:pPr>
            <w:r>
              <w:rPr>
                <w:rFonts w:ascii="Times New Roman" w:hAnsi="Times New Roman"/>
                <w:kern w:val="0"/>
                <w:szCs w:val="21"/>
              </w:rPr>
              <w:t>600</w:t>
            </w:r>
          </w:p>
        </w:tc>
        <w:tc>
          <w:tcPr>
            <w:tcW w:w="1808" w:type="dxa"/>
            <w:shd w:val="clear" w:color="auto" w:fill="auto"/>
            <w:vAlign w:val="center"/>
          </w:tcPr>
          <w:p w14:paraId="0FACD8C2">
            <w:pPr>
              <w:widowControl/>
              <w:jc w:val="center"/>
              <w:rPr>
                <w:rFonts w:ascii="Times New Roman" w:hAnsi="Times New Roman"/>
                <w:kern w:val="0"/>
                <w:szCs w:val="21"/>
                <w:u w:val="single"/>
              </w:rPr>
            </w:pPr>
            <w:r>
              <w:rPr>
                <w:rFonts w:ascii="Times New Roman" w:hAnsi="Times New Roman" w:eastAsia="等线"/>
                <w:szCs w:val="21"/>
                <w:u w:val="single"/>
              </w:rPr>
              <w:t>3.0834</w:t>
            </w:r>
          </w:p>
        </w:tc>
        <w:tc>
          <w:tcPr>
            <w:tcW w:w="1808" w:type="dxa"/>
            <w:shd w:val="clear" w:color="auto" w:fill="auto"/>
            <w:vAlign w:val="center"/>
          </w:tcPr>
          <w:p w14:paraId="75043B8D">
            <w:pPr>
              <w:widowControl/>
              <w:jc w:val="center"/>
              <w:rPr>
                <w:rFonts w:ascii="Times New Roman" w:hAnsi="Times New Roman"/>
                <w:kern w:val="0"/>
                <w:szCs w:val="21"/>
                <w:u w:val="single"/>
              </w:rPr>
            </w:pPr>
            <w:r>
              <w:rPr>
                <w:rFonts w:ascii="Times New Roman" w:hAnsi="Times New Roman" w:eastAsia="等线"/>
                <w:szCs w:val="21"/>
                <w:u w:val="single"/>
              </w:rPr>
              <w:t>0.3426</w:t>
            </w:r>
          </w:p>
        </w:tc>
        <w:tc>
          <w:tcPr>
            <w:tcW w:w="1808" w:type="dxa"/>
            <w:shd w:val="clear" w:color="auto" w:fill="auto"/>
            <w:vAlign w:val="center"/>
          </w:tcPr>
          <w:p w14:paraId="3E6D8F74">
            <w:pPr>
              <w:widowControl/>
              <w:jc w:val="center"/>
              <w:rPr>
                <w:rFonts w:ascii="Times New Roman" w:hAnsi="Times New Roman"/>
                <w:kern w:val="0"/>
                <w:szCs w:val="21"/>
                <w:u w:val="single"/>
              </w:rPr>
            </w:pPr>
            <w:r>
              <w:rPr>
                <w:rFonts w:ascii="Times New Roman" w:hAnsi="Times New Roman" w:eastAsia="等线"/>
                <w:szCs w:val="21"/>
                <w:u w:val="single"/>
              </w:rPr>
              <w:t>1.2765</w:t>
            </w:r>
          </w:p>
        </w:tc>
        <w:tc>
          <w:tcPr>
            <w:tcW w:w="1808" w:type="dxa"/>
            <w:shd w:val="clear" w:color="auto" w:fill="auto"/>
            <w:vAlign w:val="center"/>
          </w:tcPr>
          <w:p w14:paraId="0C25191B">
            <w:pPr>
              <w:widowControl/>
              <w:jc w:val="center"/>
              <w:rPr>
                <w:rFonts w:ascii="Times New Roman" w:hAnsi="Times New Roman"/>
                <w:kern w:val="0"/>
                <w:szCs w:val="21"/>
                <w:u w:val="single"/>
              </w:rPr>
            </w:pPr>
            <w:r>
              <w:rPr>
                <w:rFonts w:ascii="Times New Roman" w:hAnsi="Times New Roman" w:eastAsia="等线"/>
                <w:szCs w:val="21"/>
                <w:u w:val="single"/>
              </w:rPr>
              <w:t>0.1418</w:t>
            </w:r>
          </w:p>
        </w:tc>
      </w:tr>
      <w:tr w14:paraId="651B3F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7EA9F6DF">
            <w:pPr>
              <w:widowControl/>
              <w:jc w:val="center"/>
              <w:rPr>
                <w:rFonts w:ascii="Times New Roman" w:hAnsi="Times New Roman"/>
                <w:kern w:val="0"/>
                <w:szCs w:val="21"/>
              </w:rPr>
            </w:pPr>
            <w:r>
              <w:rPr>
                <w:rFonts w:ascii="Times New Roman" w:hAnsi="Times New Roman"/>
                <w:kern w:val="0"/>
                <w:szCs w:val="21"/>
              </w:rPr>
              <w:t>700</w:t>
            </w:r>
          </w:p>
        </w:tc>
        <w:tc>
          <w:tcPr>
            <w:tcW w:w="1808" w:type="dxa"/>
            <w:shd w:val="clear" w:color="auto" w:fill="auto"/>
            <w:vAlign w:val="center"/>
          </w:tcPr>
          <w:p w14:paraId="5970C34B">
            <w:pPr>
              <w:widowControl/>
              <w:jc w:val="center"/>
              <w:rPr>
                <w:rFonts w:ascii="Times New Roman" w:hAnsi="Times New Roman"/>
                <w:kern w:val="0"/>
                <w:szCs w:val="21"/>
                <w:u w:val="single"/>
              </w:rPr>
            </w:pPr>
            <w:r>
              <w:rPr>
                <w:rFonts w:ascii="Times New Roman" w:hAnsi="Times New Roman" w:eastAsia="等线"/>
                <w:szCs w:val="21"/>
                <w:u w:val="single"/>
              </w:rPr>
              <w:t>2.4940</w:t>
            </w:r>
          </w:p>
        </w:tc>
        <w:tc>
          <w:tcPr>
            <w:tcW w:w="1808" w:type="dxa"/>
            <w:shd w:val="clear" w:color="auto" w:fill="auto"/>
            <w:vAlign w:val="center"/>
          </w:tcPr>
          <w:p w14:paraId="5600FEDE">
            <w:pPr>
              <w:widowControl/>
              <w:jc w:val="center"/>
              <w:rPr>
                <w:rFonts w:ascii="Times New Roman" w:hAnsi="Times New Roman"/>
                <w:kern w:val="0"/>
                <w:szCs w:val="21"/>
                <w:u w:val="single"/>
              </w:rPr>
            </w:pPr>
            <w:r>
              <w:rPr>
                <w:rFonts w:ascii="Times New Roman" w:hAnsi="Times New Roman" w:eastAsia="等线"/>
                <w:szCs w:val="21"/>
                <w:u w:val="single"/>
              </w:rPr>
              <w:t>0.2771</w:t>
            </w:r>
          </w:p>
        </w:tc>
        <w:tc>
          <w:tcPr>
            <w:tcW w:w="1808" w:type="dxa"/>
            <w:shd w:val="clear" w:color="auto" w:fill="auto"/>
            <w:vAlign w:val="center"/>
          </w:tcPr>
          <w:p w14:paraId="7F3E76B1">
            <w:pPr>
              <w:widowControl/>
              <w:jc w:val="center"/>
              <w:rPr>
                <w:rFonts w:ascii="Times New Roman" w:hAnsi="Times New Roman"/>
                <w:kern w:val="0"/>
                <w:szCs w:val="21"/>
                <w:u w:val="single"/>
              </w:rPr>
            </w:pPr>
            <w:r>
              <w:rPr>
                <w:rFonts w:ascii="Times New Roman" w:hAnsi="Times New Roman" w:eastAsia="等线"/>
                <w:szCs w:val="21"/>
                <w:u w:val="single"/>
              </w:rPr>
              <w:t>1.0314</w:t>
            </w:r>
          </w:p>
        </w:tc>
        <w:tc>
          <w:tcPr>
            <w:tcW w:w="1808" w:type="dxa"/>
            <w:shd w:val="clear" w:color="auto" w:fill="auto"/>
            <w:vAlign w:val="center"/>
          </w:tcPr>
          <w:p w14:paraId="1A5C61A9">
            <w:pPr>
              <w:widowControl/>
              <w:jc w:val="center"/>
              <w:rPr>
                <w:rFonts w:ascii="Times New Roman" w:hAnsi="Times New Roman"/>
                <w:kern w:val="0"/>
                <w:szCs w:val="21"/>
                <w:u w:val="single"/>
              </w:rPr>
            </w:pPr>
            <w:r>
              <w:rPr>
                <w:rFonts w:ascii="Times New Roman" w:hAnsi="Times New Roman" w:eastAsia="等线"/>
                <w:szCs w:val="21"/>
                <w:u w:val="single"/>
              </w:rPr>
              <w:t>0.1146</w:t>
            </w:r>
          </w:p>
        </w:tc>
      </w:tr>
      <w:tr w14:paraId="46C950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6160DB2F">
            <w:pPr>
              <w:widowControl/>
              <w:jc w:val="center"/>
              <w:rPr>
                <w:rFonts w:ascii="Times New Roman" w:hAnsi="Times New Roman"/>
                <w:kern w:val="0"/>
                <w:szCs w:val="21"/>
              </w:rPr>
            </w:pPr>
            <w:r>
              <w:rPr>
                <w:rFonts w:ascii="Times New Roman" w:hAnsi="Times New Roman"/>
                <w:kern w:val="0"/>
                <w:szCs w:val="21"/>
              </w:rPr>
              <w:t>800</w:t>
            </w:r>
          </w:p>
        </w:tc>
        <w:tc>
          <w:tcPr>
            <w:tcW w:w="1808" w:type="dxa"/>
            <w:shd w:val="clear" w:color="auto" w:fill="auto"/>
            <w:vAlign w:val="center"/>
          </w:tcPr>
          <w:p w14:paraId="5BC57C4E">
            <w:pPr>
              <w:widowControl/>
              <w:jc w:val="center"/>
              <w:rPr>
                <w:rFonts w:ascii="Times New Roman" w:hAnsi="Times New Roman"/>
                <w:kern w:val="0"/>
                <w:szCs w:val="21"/>
                <w:u w:val="single"/>
              </w:rPr>
            </w:pPr>
            <w:r>
              <w:rPr>
                <w:rFonts w:ascii="Times New Roman" w:hAnsi="Times New Roman" w:eastAsia="等线"/>
                <w:szCs w:val="21"/>
                <w:u w:val="single"/>
              </w:rPr>
              <w:t>2.0768</w:t>
            </w:r>
          </w:p>
        </w:tc>
        <w:tc>
          <w:tcPr>
            <w:tcW w:w="1808" w:type="dxa"/>
            <w:shd w:val="clear" w:color="auto" w:fill="auto"/>
            <w:vAlign w:val="center"/>
          </w:tcPr>
          <w:p w14:paraId="423E9B32">
            <w:pPr>
              <w:widowControl/>
              <w:jc w:val="center"/>
              <w:rPr>
                <w:rFonts w:ascii="Times New Roman" w:hAnsi="Times New Roman"/>
                <w:kern w:val="0"/>
                <w:szCs w:val="21"/>
                <w:u w:val="single"/>
              </w:rPr>
            </w:pPr>
            <w:r>
              <w:rPr>
                <w:rFonts w:ascii="Times New Roman" w:hAnsi="Times New Roman" w:eastAsia="等线"/>
                <w:szCs w:val="21"/>
                <w:u w:val="single"/>
              </w:rPr>
              <w:t>0.2308</w:t>
            </w:r>
          </w:p>
        </w:tc>
        <w:tc>
          <w:tcPr>
            <w:tcW w:w="1808" w:type="dxa"/>
            <w:shd w:val="clear" w:color="auto" w:fill="auto"/>
            <w:vAlign w:val="center"/>
          </w:tcPr>
          <w:p w14:paraId="76D4A55A">
            <w:pPr>
              <w:widowControl/>
              <w:jc w:val="center"/>
              <w:rPr>
                <w:rFonts w:ascii="Times New Roman" w:hAnsi="Times New Roman"/>
                <w:kern w:val="0"/>
                <w:szCs w:val="21"/>
                <w:u w:val="single"/>
              </w:rPr>
            </w:pPr>
            <w:r>
              <w:rPr>
                <w:rFonts w:ascii="Times New Roman" w:hAnsi="Times New Roman" w:eastAsia="等线"/>
                <w:szCs w:val="21"/>
                <w:u w:val="single"/>
              </w:rPr>
              <w:t>0.8584</w:t>
            </w:r>
          </w:p>
        </w:tc>
        <w:tc>
          <w:tcPr>
            <w:tcW w:w="1808" w:type="dxa"/>
            <w:shd w:val="clear" w:color="auto" w:fill="auto"/>
            <w:vAlign w:val="center"/>
          </w:tcPr>
          <w:p w14:paraId="56D865E1">
            <w:pPr>
              <w:widowControl/>
              <w:jc w:val="center"/>
              <w:rPr>
                <w:rFonts w:ascii="Times New Roman" w:hAnsi="Times New Roman"/>
                <w:kern w:val="0"/>
                <w:szCs w:val="21"/>
                <w:u w:val="single"/>
              </w:rPr>
            </w:pPr>
            <w:r>
              <w:rPr>
                <w:rFonts w:ascii="Times New Roman" w:hAnsi="Times New Roman" w:eastAsia="等线"/>
                <w:szCs w:val="21"/>
                <w:u w:val="single"/>
              </w:rPr>
              <w:t>0.0954</w:t>
            </w:r>
          </w:p>
        </w:tc>
      </w:tr>
      <w:tr w14:paraId="2D0DE4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34116229">
            <w:pPr>
              <w:widowControl/>
              <w:jc w:val="center"/>
              <w:rPr>
                <w:rFonts w:ascii="Times New Roman" w:hAnsi="Times New Roman"/>
                <w:kern w:val="0"/>
                <w:szCs w:val="21"/>
              </w:rPr>
            </w:pPr>
            <w:r>
              <w:rPr>
                <w:rFonts w:ascii="Times New Roman" w:hAnsi="Times New Roman"/>
                <w:kern w:val="0"/>
                <w:szCs w:val="21"/>
              </w:rPr>
              <w:t>900</w:t>
            </w:r>
          </w:p>
        </w:tc>
        <w:tc>
          <w:tcPr>
            <w:tcW w:w="1808" w:type="dxa"/>
            <w:shd w:val="clear" w:color="auto" w:fill="auto"/>
            <w:vAlign w:val="center"/>
          </w:tcPr>
          <w:p w14:paraId="19EF8B66">
            <w:pPr>
              <w:widowControl/>
              <w:jc w:val="center"/>
              <w:rPr>
                <w:rFonts w:ascii="Times New Roman" w:hAnsi="Times New Roman"/>
                <w:kern w:val="0"/>
                <w:szCs w:val="21"/>
                <w:u w:val="single"/>
              </w:rPr>
            </w:pPr>
            <w:r>
              <w:rPr>
                <w:rFonts w:ascii="Times New Roman" w:hAnsi="Times New Roman" w:eastAsia="等线"/>
                <w:szCs w:val="21"/>
                <w:u w:val="single"/>
              </w:rPr>
              <w:t>1.7682</w:t>
            </w:r>
          </w:p>
        </w:tc>
        <w:tc>
          <w:tcPr>
            <w:tcW w:w="1808" w:type="dxa"/>
            <w:shd w:val="clear" w:color="auto" w:fill="auto"/>
            <w:vAlign w:val="center"/>
          </w:tcPr>
          <w:p w14:paraId="15C38CFE">
            <w:pPr>
              <w:widowControl/>
              <w:jc w:val="center"/>
              <w:rPr>
                <w:rFonts w:ascii="Times New Roman" w:hAnsi="Times New Roman"/>
                <w:kern w:val="0"/>
                <w:szCs w:val="21"/>
                <w:u w:val="single"/>
              </w:rPr>
            </w:pPr>
            <w:r>
              <w:rPr>
                <w:rFonts w:ascii="Times New Roman" w:hAnsi="Times New Roman" w:eastAsia="等线"/>
                <w:szCs w:val="21"/>
                <w:u w:val="single"/>
              </w:rPr>
              <w:t>0.1965</w:t>
            </w:r>
          </w:p>
        </w:tc>
        <w:tc>
          <w:tcPr>
            <w:tcW w:w="1808" w:type="dxa"/>
            <w:shd w:val="clear" w:color="auto" w:fill="auto"/>
            <w:vAlign w:val="center"/>
          </w:tcPr>
          <w:p w14:paraId="0A04A3F3">
            <w:pPr>
              <w:widowControl/>
              <w:jc w:val="center"/>
              <w:rPr>
                <w:rFonts w:ascii="Times New Roman" w:hAnsi="Times New Roman"/>
                <w:kern w:val="0"/>
                <w:szCs w:val="21"/>
                <w:u w:val="single"/>
              </w:rPr>
            </w:pPr>
            <w:r>
              <w:rPr>
                <w:rFonts w:ascii="Times New Roman" w:hAnsi="Times New Roman" w:eastAsia="等线"/>
                <w:szCs w:val="21"/>
                <w:u w:val="single"/>
              </w:rPr>
              <w:t>0.7303</w:t>
            </w:r>
          </w:p>
        </w:tc>
        <w:tc>
          <w:tcPr>
            <w:tcW w:w="1808" w:type="dxa"/>
            <w:shd w:val="clear" w:color="auto" w:fill="auto"/>
            <w:vAlign w:val="center"/>
          </w:tcPr>
          <w:p w14:paraId="6F12532D">
            <w:pPr>
              <w:widowControl/>
              <w:jc w:val="center"/>
              <w:rPr>
                <w:rFonts w:ascii="Times New Roman" w:hAnsi="Times New Roman"/>
                <w:kern w:val="0"/>
                <w:szCs w:val="21"/>
                <w:u w:val="single"/>
              </w:rPr>
            </w:pPr>
            <w:r>
              <w:rPr>
                <w:rFonts w:ascii="Times New Roman" w:hAnsi="Times New Roman" w:eastAsia="等线"/>
                <w:szCs w:val="21"/>
                <w:u w:val="single"/>
              </w:rPr>
              <w:t>0.0811</w:t>
            </w:r>
          </w:p>
        </w:tc>
      </w:tr>
      <w:tr w14:paraId="767C2D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0903E5C9">
            <w:pPr>
              <w:widowControl/>
              <w:jc w:val="center"/>
              <w:rPr>
                <w:rFonts w:ascii="Times New Roman" w:hAnsi="Times New Roman"/>
                <w:kern w:val="0"/>
                <w:szCs w:val="21"/>
              </w:rPr>
            </w:pPr>
            <w:r>
              <w:rPr>
                <w:rFonts w:ascii="Times New Roman" w:hAnsi="Times New Roman"/>
                <w:kern w:val="0"/>
                <w:szCs w:val="21"/>
              </w:rPr>
              <w:t>1000</w:t>
            </w:r>
          </w:p>
        </w:tc>
        <w:tc>
          <w:tcPr>
            <w:tcW w:w="1808" w:type="dxa"/>
            <w:shd w:val="clear" w:color="auto" w:fill="auto"/>
            <w:vAlign w:val="center"/>
          </w:tcPr>
          <w:p w14:paraId="7592F6FB">
            <w:pPr>
              <w:widowControl/>
              <w:jc w:val="center"/>
              <w:rPr>
                <w:rFonts w:ascii="Times New Roman" w:hAnsi="Times New Roman"/>
                <w:kern w:val="0"/>
                <w:szCs w:val="21"/>
                <w:u w:val="single"/>
              </w:rPr>
            </w:pPr>
            <w:r>
              <w:rPr>
                <w:rFonts w:ascii="Times New Roman" w:hAnsi="Times New Roman" w:eastAsia="等线"/>
                <w:szCs w:val="21"/>
                <w:u w:val="single"/>
              </w:rPr>
              <w:t>1.5318</w:t>
            </w:r>
          </w:p>
        </w:tc>
        <w:tc>
          <w:tcPr>
            <w:tcW w:w="1808" w:type="dxa"/>
            <w:shd w:val="clear" w:color="auto" w:fill="auto"/>
            <w:vAlign w:val="center"/>
          </w:tcPr>
          <w:p w14:paraId="2219E668">
            <w:pPr>
              <w:widowControl/>
              <w:jc w:val="center"/>
              <w:rPr>
                <w:rFonts w:ascii="Times New Roman" w:hAnsi="Times New Roman"/>
                <w:kern w:val="0"/>
                <w:szCs w:val="21"/>
                <w:u w:val="single"/>
              </w:rPr>
            </w:pPr>
            <w:r>
              <w:rPr>
                <w:rFonts w:ascii="Times New Roman" w:hAnsi="Times New Roman" w:eastAsia="等线"/>
                <w:szCs w:val="21"/>
                <w:u w:val="single"/>
              </w:rPr>
              <w:t>0.1702</w:t>
            </w:r>
          </w:p>
        </w:tc>
        <w:tc>
          <w:tcPr>
            <w:tcW w:w="1808" w:type="dxa"/>
            <w:shd w:val="clear" w:color="auto" w:fill="auto"/>
            <w:vAlign w:val="center"/>
          </w:tcPr>
          <w:p w14:paraId="56A8FAEC">
            <w:pPr>
              <w:widowControl/>
              <w:jc w:val="center"/>
              <w:rPr>
                <w:rFonts w:ascii="Times New Roman" w:hAnsi="Times New Roman"/>
                <w:kern w:val="0"/>
                <w:szCs w:val="21"/>
                <w:u w:val="single"/>
              </w:rPr>
            </w:pPr>
            <w:r>
              <w:rPr>
                <w:rFonts w:ascii="Times New Roman" w:hAnsi="Times New Roman" w:eastAsia="等线"/>
                <w:szCs w:val="21"/>
                <w:u w:val="single"/>
              </w:rPr>
              <w:t>0.6317</w:t>
            </w:r>
          </w:p>
        </w:tc>
        <w:tc>
          <w:tcPr>
            <w:tcW w:w="1808" w:type="dxa"/>
            <w:shd w:val="clear" w:color="auto" w:fill="auto"/>
            <w:vAlign w:val="center"/>
          </w:tcPr>
          <w:p w14:paraId="2BAF1317">
            <w:pPr>
              <w:widowControl/>
              <w:jc w:val="center"/>
              <w:rPr>
                <w:rFonts w:ascii="Times New Roman" w:hAnsi="Times New Roman"/>
                <w:kern w:val="0"/>
                <w:szCs w:val="21"/>
                <w:u w:val="single"/>
              </w:rPr>
            </w:pPr>
            <w:r>
              <w:rPr>
                <w:rFonts w:ascii="Times New Roman" w:hAnsi="Times New Roman" w:eastAsia="等线"/>
                <w:szCs w:val="21"/>
                <w:u w:val="single"/>
              </w:rPr>
              <w:t>0.0702</w:t>
            </w:r>
          </w:p>
        </w:tc>
      </w:tr>
      <w:tr w14:paraId="04871C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14F02069">
            <w:pPr>
              <w:widowControl/>
              <w:jc w:val="center"/>
              <w:rPr>
                <w:rFonts w:ascii="Times New Roman" w:hAnsi="Times New Roman"/>
                <w:kern w:val="0"/>
                <w:szCs w:val="21"/>
              </w:rPr>
            </w:pPr>
            <w:r>
              <w:rPr>
                <w:rFonts w:ascii="Times New Roman" w:hAnsi="Times New Roman"/>
                <w:kern w:val="0"/>
                <w:szCs w:val="21"/>
              </w:rPr>
              <w:t>1200</w:t>
            </w:r>
          </w:p>
        </w:tc>
        <w:tc>
          <w:tcPr>
            <w:tcW w:w="1808" w:type="dxa"/>
            <w:shd w:val="clear" w:color="auto" w:fill="auto"/>
            <w:vAlign w:val="center"/>
          </w:tcPr>
          <w:p w14:paraId="5B180D39">
            <w:pPr>
              <w:widowControl/>
              <w:jc w:val="center"/>
              <w:rPr>
                <w:rFonts w:ascii="Times New Roman" w:hAnsi="Times New Roman"/>
                <w:kern w:val="0"/>
                <w:szCs w:val="21"/>
                <w:u w:val="single"/>
              </w:rPr>
            </w:pPr>
            <w:r>
              <w:rPr>
                <w:rFonts w:ascii="Times New Roman" w:hAnsi="Times New Roman" w:eastAsia="等线"/>
                <w:szCs w:val="21"/>
                <w:u w:val="single"/>
              </w:rPr>
              <w:t>1.1978</w:t>
            </w:r>
          </w:p>
        </w:tc>
        <w:tc>
          <w:tcPr>
            <w:tcW w:w="1808" w:type="dxa"/>
            <w:shd w:val="clear" w:color="auto" w:fill="auto"/>
            <w:vAlign w:val="center"/>
          </w:tcPr>
          <w:p w14:paraId="44C01C92">
            <w:pPr>
              <w:widowControl/>
              <w:jc w:val="center"/>
              <w:rPr>
                <w:rFonts w:ascii="Times New Roman" w:hAnsi="Times New Roman"/>
                <w:kern w:val="0"/>
                <w:szCs w:val="21"/>
                <w:u w:val="single"/>
              </w:rPr>
            </w:pPr>
            <w:r>
              <w:rPr>
                <w:rFonts w:ascii="Times New Roman" w:hAnsi="Times New Roman" w:eastAsia="等线"/>
                <w:szCs w:val="21"/>
                <w:u w:val="single"/>
              </w:rPr>
              <w:t>0.1331</w:t>
            </w:r>
          </w:p>
        </w:tc>
        <w:tc>
          <w:tcPr>
            <w:tcW w:w="1808" w:type="dxa"/>
            <w:shd w:val="clear" w:color="auto" w:fill="auto"/>
            <w:vAlign w:val="center"/>
          </w:tcPr>
          <w:p w14:paraId="1914F737">
            <w:pPr>
              <w:widowControl/>
              <w:jc w:val="center"/>
              <w:rPr>
                <w:rFonts w:ascii="Times New Roman" w:hAnsi="Times New Roman"/>
                <w:kern w:val="0"/>
                <w:szCs w:val="21"/>
                <w:u w:val="single"/>
              </w:rPr>
            </w:pPr>
            <w:r>
              <w:rPr>
                <w:rFonts w:ascii="Times New Roman" w:hAnsi="Times New Roman" w:eastAsia="等线"/>
                <w:szCs w:val="21"/>
                <w:u w:val="single"/>
              </w:rPr>
              <w:t>0.4925</w:t>
            </w:r>
          </w:p>
        </w:tc>
        <w:tc>
          <w:tcPr>
            <w:tcW w:w="1808" w:type="dxa"/>
            <w:shd w:val="clear" w:color="auto" w:fill="auto"/>
            <w:vAlign w:val="center"/>
          </w:tcPr>
          <w:p w14:paraId="545CBB37">
            <w:pPr>
              <w:widowControl/>
              <w:jc w:val="center"/>
              <w:rPr>
                <w:rFonts w:ascii="Times New Roman" w:hAnsi="Times New Roman"/>
                <w:kern w:val="0"/>
                <w:szCs w:val="21"/>
                <w:u w:val="single"/>
              </w:rPr>
            </w:pPr>
            <w:r>
              <w:rPr>
                <w:rFonts w:ascii="Times New Roman" w:hAnsi="Times New Roman" w:eastAsia="等线"/>
                <w:szCs w:val="21"/>
                <w:u w:val="single"/>
              </w:rPr>
              <w:t>0.0547</w:t>
            </w:r>
          </w:p>
        </w:tc>
      </w:tr>
      <w:tr w14:paraId="19527F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4E64D232">
            <w:pPr>
              <w:widowControl/>
              <w:jc w:val="center"/>
              <w:rPr>
                <w:rFonts w:ascii="Times New Roman" w:hAnsi="Times New Roman"/>
                <w:kern w:val="0"/>
                <w:szCs w:val="21"/>
              </w:rPr>
            </w:pPr>
            <w:r>
              <w:rPr>
                <w:rFonts w:ascii="Times New Roman" w:hAnsi="Times New Roman"/>
                <w:kern w:val="0"/>
                <w:szCs w:val="21"/>
              </w:rPr>
              <w:t>1400</w:t>
            </w:r>
          </w:p>
        </w:tc>
        <w:tc>
          <w:tcPr>
            <w:tcW w:w="1808" w:type="dxa"/>
            <w:shd w:val="clear" w:color="auto" w:fill="auto"/>
            <w:vAlign w:val="center"/>
          </w:tcPr>
          <w:p w14:paraId="0CE0B9D5">
            <w:pPr>
              <w:widowControl/>
              <w:jc w:val="center"/>
              <w:rPr>
                <w:rFonts w:ascii="Times New Roman" w:hAnsi="Times New Roman"/>
                <w:kern w:val="0"/>
                <w:szCs w:val="21"/>
                <w:u w:val="single"/>
              </w:rPr>
            </w:pPr>
            <w:r>
              <w:rPr>
                <w:rFonts w:ascii="Times New Roman" w:hAnsi="Times New Roman" w:eastAsia="等线"/>
                <w:szCs w:val="21"/>
                <w:u w:val="single"/>
              </w:rPr>
              <w:t>0.9784</w:t>
            </w:r>
          </w:p>
        </w:tc>
        <w:tc>
          <w:tcPr>
            <w:tcW w:w="1808" w:type="dxa"/>
            <w:shd w:val="clear" w:color="auto" w:fill="auto"/>
            <w:vAlign w:val="center"/>
          </w:tcPr>
          <w:p w14:paraId="2445E8E9">
            <w:pPr>
              <w:widowControl/>
              <w:jc w:val="center"/>
              <w:rPr>
                <w:rFonts w:ascii="Times New Roman" w:hAnsi="Times New Roman"/>
                <w:kern w:val="0"/>
                <w:szCs w:val="21"/>
                <w:u w:val="single"/>
              </w:rPr>
            </w:pPr>
            <w:r>
              <w:rPr>
                <w:rFonts w:ascii="Times New Roman" w:hAnsi="Times New Roman" w:eastAsia="等线"/>
                <w:szCs w:val="21"/>
                <w:u w:val="single"/>
              </w:rPr>
              <w:t>0.1087</w:t>
            </w:r>
          </w:p>
        </w:tc>
        <w:tc>
          <w:tcPr>
            <w:tcW w:w="1808" w:type="dxa"/>
            <w:shd w:val="clear" w:color="auto" w:fill="auto"/>
            <w:vAlign w:val="center"/>
          </w:tcPr>
          <w:p w14:paraId="290505E4">
            <w:pPr>
              <w:widowControl/>
              <w:jc w:val="center"/>
              <w:rPr>
                <w:rFonts w:ascii="Times New Roman" w:hAnsi="Times New Roman"/>
                <w:kern w:val="0"/>
                <w:szCs w:val="21"/>
                <w:u w:val="single"/>
              </w:rPr>
            </w:pPr>
            <w:r>
              <w:rPr>
                <w:rFonts w:ascii="Times New Roman" w:hAnsi="Times New Roman" w:eastAsia="等线"/>
                <w:szCs w:val="21"/>
                <w:u w:val="single"/>
              </w:rPr>
              <w:t>0.3986</w:t>
            </w:r>
          </w:p>
        </w:tc>
        <w:tc>
          <w:tcPr>
            <w:tcW w:w="1808" w:type="dxa"/>
            <w:shd w:val="clear" w:color="auto" w:fill="auto"/>
            <w:vAlign w:val="center"/>
          </w:tcPr>
          <w:p w14:paraId="40BFCE1A">
            <w:pPr>
              <w:widowControl/>
              <w:jc w:val="center"/>
              <w:rPr>
                <w:rFonts w:ascii="Times New Roman" w:hAnsi="Times New Roman"/>
                <w:kern w:val="0"/>
                <w:szCs w:val="21"/>
                <w:u w:val="single"/>
              </w:rPr>
            </w:pPr>
            <w:r>
              <w:rPr>
                <w:rFonts w:ascii="Times New Roman" w:hAnsi="Times New Roman" w:eastAsia="等线"/>
                <w:szCs w:val="21"/>
                <w:u w:val="single"/>
              </w:rPr>
              <w:t>0.0443</w:t>
            </w:r>
          </w:p>
        </w:tc>
      </w:tr>
      <w:tr w14:paraId="77ED40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0CFFC82F">
            <w:pPr>
              <w:widowControl/>
              <w:jc w:val="center"/>
              <w:rPr>
                <w:rFonts w:ascii="Times New Roman" w:hAnsi="Times New Roman"/>
                <w:kern w:val="0"/>
                <w:szCs w:val="21"/>
              </w:rPr>
            </w:pPr>
            <w:r>
              <w:rPr>
                <w:rFonts w:ascii="Times New Roman" w:hAnsi="Times New Roman"/>
                <w:kern w:val="0"/>
                <w:szCs w:val="21"/>
              </w:rPr>
              <w:t>1600</w:t>
            </w:r>
          </w:p>
        </w:tc>
        <w:tc>
          <w:tcPr>
            <w:tcW w:w="1808" w:type="dxa"/>
            <w:shd w:val="clear" w:color="auto" w:fill="auto"/>
            <w:vAlign w:val="center"/>
          </w:tcPr>
          <w:p w14:paraId="4BAF5B76">
            <w:pPr>
              <w:widowControl/>
              <w:jc w:val="center"/>
              <w:rPr>
                <w:rFonts w:ascii="Times New Roman" w:hAnsi="Times New Roman"/>
                <w:kern w:val="0"/>
                <w:szCs w:val="21"/>
                <w:u w:val="single"/>
              </w:rPr>
            </w:pPr>
            <w:r>
              <w:rPr>
                <w:rFonts w:ascii="Times New Roman" w:hAnsi="Times New Roman" w:eastAsia="等线"/>
                <w:szCs w:val="21"/>
                <w:u w:val="single"/>
              </w:rPr>
              <w:t>0.8280</w:t>
            </w:r>
          </w:p>
        </w:tc>
        <w:tc>
          <w:tcPr>
            <w:tcW w:w="1808" w:type="dxa"/>
            <w:shd w:val="clear" w:color="auto" w:fill="auto"/>
            <w:vAlign w:val="center"/>
          </w:tcPr>
          <w:p w14:paraId="21549409">
            <w:pPr>
              <w:widowControl/>
              <w:jc w:val="center"/>
              <w:rPr>
                <w:rFonts w:ascii="Times New Roman" w:hAnsi="Times New Roman"/>
                <w:kern w:val="0"/>
                <w:szCs w:val="21"/>
                <w:u w:val="single"/>
              </w:rPr>
            </w:pPr>
            <w:r>
              <w:rPr>
                <w:rFonts w:ascii="Times New Roman" w:hAnsi="Times New Roman" w:eastAsia="等线"/>
                <w:szCs w:val="21"/>
                <w:u w:val="single"/>
              </w:rPr>
              <w:t>0.0920</w:t>
            </w:r>
          </w:p>
        </w:tc>
        <w:tc>
          <w:tcPr>
            <w:tcW w:w="1808" w:type="dxa"/>
            <w:shd w:val="clear" w:color="auto" w:fill="auto"/>
            <w:vAlign w:val="center"/>
          </w:tcPr>
          <w:p w14:paraId="44BFF2C3">
            <w:pPr>
              <w:widowControl/>
              <w:jc w:val="center"/>
              <w:rPr>
                <w:rFonts w:ascii="Times New Roman" w:hAnsi="Times New Roman"/>
                <w:kern w:val="0"/>
                <w:szCs w:val="21"/>
                <w:u w:val="single"/>
              </w:rPr>
            </w:pPr>
            <w:r>
              <w:rPr>
                <w:rFonts w:ascii="Times New Roman" w:hAnsi="Times New Roman" w:eastAsia="等线"/>
                <w:szCs w:val="21"/>
                <w:u w:val="single"/>
              </w:rPr>
              <w:t>0.3319</w:t>
            </w:r>
          </w:p>
        </w:tc>
        <w:tc>
          <w:tcPr>
            <w:tcW w:w="1808" w:type="dxa"/>
            <w:shd w:val="clear" w:color="auto" w:fill="auto"/>
            <w:vAlign w:val="center"/>
          </w:tcPr>
          <w:p w14:paraId="12D10659">
            <w:pPr>
              <w:widowControl/>
              <w:jc w:val="center"/>
              <w:rPr>
                <w:rFonts w:ascii="Times New Roman" w:hAnsi="Times New Roman"/>
                <w:kern w:val="0"/>
                <w:szCs w:val="21"/>
                <w:u w:val="single"/>
              </w:rPr>
            </w:pPr>
            <w:r>
              <w:rPr>
                <w:rFonts w:ascii="Times New Roman" w:hAnsi="Times New Roman" w:eastAsia="等线"/>
                <w:szCs w:val="21"/>
                <w:u w:val="single"/>
              </w:rPr>
              <w:t>0.0369</w:t>
            </w:r>
          </w:p>
        </w:tc>
      </w:tr>
      <w:tr w14:paraId="78366B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63C4C362">
            <w:pPr>
              <w:widowControl/>
              <w:jc w:val="center"/>
              <w:rPr>
                <w:rFonts w:ascii="Times New Roman" w:hAnsi="Times New Roman"/>
                <w:kern w:val="0"/>
                <w:szCs w:val="21"/>
              </w:rPr>
            </w:pPr>
            <w:r>
              <w:rPr>
                <w:rFonts w:ascii="Times New Roman" w:hAnsi="Times New Roman"/>
                <w:kern w:val="0"/>
                <w:szCs w:val="21"/>
              </w:rPr>
              <w:t>1800</w:t>
            </w:r>
          </w:p>
        </w:tc>
        <w:tc>
          <w:tcPr>
            <w:tcW w:w="1808" w:type="dxa"/>
            <w:shd w:val="clear" w:color="auto" w:fill="auto"/>
            <w:vAlign w:val="center"/>
          </w:tcPr>
          <w:p w14:paraId="0E88854F">
            <w:pPr>
              <w:widowControl/>
              <w:jc w:val="center"/>
              <w:rPr>
                <w:rFonts w:ascii="Times New Roman" w:hAnsi="Times New Roman"/>
                <w:kern w:val="0"/>
                <w:szCs w:val="21"/>
                <w:u w:val="single"/>
              </w:rPr>
            </w:pPr>
            <w:r>
              <w:rPr>
                <w:rFonts w:ascii="Times New Roman" w:hAnsi="Times New Roman" w:eastAsia="等线"/>
                <w:szCs w:val="21"/>
                <w:u w:val="single"/>
              </w:rPr>
              <w:t>0.7145</w:t>
            </w:r>
          </w:p>
        </w:tc>
        <w:tc>
          <w:tcPr>
            <w:tcW w:w="1808" w:type="dxa"/>
            <w:shd w:val="clear" w:color="auto" w:fill="auto"/>
            <w:vAlign w:val="center"/>
          </w:tcPr>
          <w:p w14:paraId="266EE119">
            <w:pPr>
              <w:widowControl/>
              <w:jc w:val="center"/>
              <w:rPr>
                <w:rFonts w:ascii="Times New Roman" w:hAnsi="Times New Roman"/>
                <w:kern w:val="0"/>
                <w:szCs w:val="21"/>
                <w:u w:val="single"/>
              </w:rPr>
            </w:pPr>
            <w:r>
              <w:rPr>
                <w:rFonts w:ascii="Times New Roman" w:hAnsi="Times New Roman" w:eastAsia="等线"/>
                <w:szCs w:val="21"/>
                <w:u w:val="single"/>
              </w:rPr>
              <w:t>0.0794</w:t>
            </w:r>
          </w:p>
        </w:tc>
        <w:tc>
          <w:tcPr>
            <w:tcW w:w="1808" w:type="dxa"/>
            <w:shd w:val="clear" w:color="auto" w:fill="auto"/>
            <w:vAlign w:val="center"/>
          </w:tcPr>
          <w:p w14:paraId="06BE34CE">
            <w:pPr>
              <w:widowControl/>
              <w:jc w:val="center"/>
              <w:rPr>
                <w:rFonts w:ascii="Times New Roman" w:hAnsi="Times New Roman"/>
                <w:kern w:val="0"/>
                <w:szCs w:val="21"/>
                <w:u w:val="single"/>
              </w:rPr>
            </w:pPr>
            <w:r>
              <w:rPr>
                <w:rFonts w:ascii="Times New Roman" w:hAnsi="Times New Roman" w:eastAsia="等线"/>
                <w:szCs w:val="21"/>
                <w:u w:val="single"/>
              </w:rPr>
              <w:t>0.2824</w:t>
            </w:r>
          </w:p>
        </w:tc>
        <w:tc>
          <w:tcPr>
            <w:tcW w:w="1808" w:type="dxa"/>
            <w:shd w:val="clear" w:color="auto" w:fill="auto"/>
            <w:vAlign w:val="center"/>
          </w:tcPr>
          <w:p w14:paraId="49FC8991">
            <w:pPr>
              <w:widowControl/>
              <w:jc w:val="center"/>
              <w:rPr>
                <w:rFonts w:ascii="Times New Roman" w:hAnsi="Times New Roman"/>
                <w:kern w:val="0"/>
                <w:szCs w:val="21"/>
                <w:u w:val="single"/>
              </w:rPr>
            </w:pPr>
            <w:r>
              <w:rPr>
                <w:rFonts w:ascii="Times New Roman" w:hAnsi="Times New Roman" w:eastAsia="等线"/>
                <w:szCs w:val="21"/>
                <w:u w:val="single"/>
              </w:rPr>
              <w:t>0.0314</w:t>
            </w:r>
          </w:p>
        </w:tc>
      </w:tr>
      <w:tr w14:paraId="3426D9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5AC6CF96">
            <w:pPr>
              <w:widowControl/>
              <w:jc w:val="center"/>
              <w:rPr>
                <w:rFonts w:ascii="Times New Roman" w:hAnsi="Times New Roman"/>
                <w:kern w:val="0"/>
                <w:szCs w:val="21"/>
              </w:rPr>
            </w:pPr>
            <w:r>
              <w:rPr>
                <w:rFonts w:ascii="Times New Roman" w:hAnsi="Times New Roman"/>
                <w:kern w:val="0"/>
                <w:szCs w:val="21"/>
              </w:rPr>
              <w:t>2000</w:t>
            </w:r>
          </w:p>
        </w:tc>
        <w:tc>
          <w:tcPr>
            <w:tcW w:w="1808" w:type="dxa"/>
            <w:shd w:val="clear" w:color="auto" w:fill="auto"/>
            <w:vAlign w:val="center"/>
          </w:tcPr>
          <w:p w14:paraId="18168F6D">
            <w:pPr>
              <w:widowControl/>
              <w:jc w:val="center"/>
              <w:rPr>
                <w:rFonts w:ascii="Times New Roman" w:hAnsi="Times New Roman"/>
                <w:kern w:val="0"/>
                <w:szCs w:val="21"/>
                <w:u w:val="single"/>
              </w:rPr>
            </w:pPr>
            <w:r>
              <w:rPr>
                <w:rFonts w:ascii="Times New Roman" w:hAnsi="Times New Roman" w:eastAsia="等线"/>
                <w:szCs w:val="21"/>
                <w:u w:val="single"/>
              </w:rPr>
              <w:t>0.6193</w:t>
            </w:r>
          </w:p>
        </w:tc>
        <w:tc>
          <w:tcPr>
            <w:tcW w:w="1808" w:type="dxa"/>
            <w:shd w:val="clear" w:color="auto" w:fill="auto"/>
            <w:vAlign w:val="center"/>
          </w:tcPr>
          <w:p w14:paraId="34890B96">
            <w:pPr>
              <w:widowControl/>
              <w:jc w:val="center"/>
              <w:rPr>
                <w:rFonts w:ascii="Times New Roman" w:hAnsi="Times New Roman"/>
                <w:kern w:val="0"/>
                <w:szCs w:val="21"/>
                <w:u w:val="single"/>
              </w:rPr>
            </w:pPr>
            <w:r>
              <w:rPr>
                <w:rFonts w:ascii="Times New Roman" w:hAnsi="Times New Roman" w:eastAsia="等线"/>
                <w:szCs w:val="21"/>
                <w:u w:val="single"/>
              </w:rPr>
              <w:t>0.0688</w:t>
            </w:r>
          </w:p>
        </w:tc>
        <w:tc>
          <w:tcPr>
            <w:tcW w:w="1808" w:type="dxa"/>
            <w:shd w:val="clear" w:color="auto" w:fill="auto"/>
            <w:vAlign w:val="center"/>
          </w:tcPr>
          <w:p w14:paraId="088E3BCF">
            <w:pPr>
              <w:widowControl/>
              <w:jc w:val="center"/>
              <w:rPr>
                <w:rFonts w:ascii="Times New Roman" w:hAnsi="Times New Roman"/>
                <w:kern w:val="0"/>
                <w:szCs w:val="21"/>
                <w:u w:val="single"/>
              </w:rPr>
            </w:pPr>
            <w:r>
              <w:rPr>
                <w:rFonts w:ascii="Times New Roman" w:hAnsi="Times New Roman" w:eastAsia="等线"/>
                <w:szCs w:val="21"/>
                <w:u w:val="single"/>
              </w:rPr>
              <w:t>0.2445</w:t>
            </w:r>
          </w:p>
        </w:tc>
        <w:tc>
          <w:tcPr>
            <w:tcW w:w="1808" w:type="dxa"/>
            <w:shd w:val="clear" w:color="auto" w:fill="auto"/>
            <w:vAlign w:val="center"/>
          </w:tcPr>
          <w:p w14:paraId="53991E28">
            <w:pPr>
              <w:widowControl/>
              <w:jc w:val="center"/>
              <w:rPr>
                <w:rFonts w:ascii="Times New Roman" w:hAnsi="Times New Roman"/>
                <w:kern w:val="0"/>
                <w:szCs w:val="21"/>
                <w:u w:val="single"/>
              </w:rPr>
            </w:pPr>
            <w:r>
              <w:rPr>
                <w:rFonts w:ascii="Times New Roman" w:hAnsi="Times New Roman" w:eastAsia="等线"/>
                <w:szCs w:val="21"/>
                <w:u w:val="single"/>
              </w:rPr>
              <w:t>0.0272</w:t>
            </w:r>
          </w:p>
        </w:tc>
      </w:tr>
      <w:tr w14:paraId="477808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5183E497">
            <w:pPr>
              <w:widowControl/>
              <w:jc w:val="center"/>
              <w:rPr>
                <w:rFonts w:ascii="Times New Roman" w:hAnsi="Times New Roman"/>
                <w:kern w:val="0"/>
                <w:szCs w:val="21"/>
              </w:rPr>
            </w:pPr>
            <w:r>
              <w:rPr>
                <w:rFonts w:ascii="Times New Roman" w:hAnsi="Times New Roman"/>
                <w:kern w:val="0"/>
                <w:szCs w:val="21"/>
              </w:rPr>
              <w:t>2500</w:t>
            </w:r>
          </w:p>
        </w:tc>
        <w:tc>
          <w:tcPr>
            <w:tcW w:w="1808" w:type="dxa"/>
            <w:shd w:val="clear" w:color="auto" w:fill="auto"/>
            <w:vAlign w:val="center"/>
          </w:tcPr>
          <w:p w14:paraId="4BE5603A">
            <w:pPr>
              <w:widowControl/>
              <w:jc w:val="center"/>
              <w:rPr>
                <w:rFonts w:ascii="Times New Roman" w:hAnsi="Times New Roman"/>
                <w:kern w:val="0"/>
                <w:szCs w:val="21"/>
                <w:u w:val="single"/>
              </w:rPr>
            </w:pPr>
            <w:r>
              <w:rPr>
                <w:rFonts w:ascii="Times New Roman" w:hAnsi="Times New Roman" w:eastAsia="等线"/>
                <w:szCs w:val="21"/>
                <w:u w:val="single"/>
              </w:rPr>
              <w:t>0.4574</w:t>
            </w:r>
          </w:p>
        </w:tc>
        <w:tc>
          <w:tcPr>
            <w:tcW w:w="1808" w:type="dxa"/>
            <w:shd w:val="clear" w:color="auto" w:fill="auto"/>
            <w:vAlign w:val="center"/>
          </w:tcPr>
          <w:p w14:paraId="39A97613">
            <w:pPr>
              <w:widowControl/>
              <w:jc w:val="center"/>
              <w:rPr>
                <w:rFonts w:ascii="Times New Roman" w:hAnsi="Times New Roman"/>
                <w:kern w:val="0"/>
                <w:szCs w:val="21"/>
                <w:u w:val="single"/>
              </w:rPr>
            </w:pPr>
            <w:r>
              <w:rPr>
                <w:rFonts w:ascii="Times New Roman" w:hAnsi="Times New Roman" w:eastAsia="等线"/>
                <w:szCs w:val="21"/>
                <w:u w:val="single"/>
              </w:rPr>
              <w:t>0.0508</w:t>
            </w:r>
          </w:p>
        </w:tc>
        <w:tc>
          <w:tcPr>
            <w:tcW w:w="1808" w:type="dxa"/>
            <w:shd w:val="clear" w:color="auto" w:fill="auto"/>
            <w:vAlign w:val="center"/>
          </w:tcPr>
          <w:p w14:paraId="35238B0C">
            <w:pPr>
              <w:widowControl/>
              <w:jc w:val="center"/>
              <w:rPr>
                <w:rFonts w:ascii="Times New Roman" w:hAnsi="Times New Roman"/>
                <w:kern w:val="0"/>
                <w:szCs w:val="21"/>
                <w:u w:val="single"/>
              </w:rPr>
            </w:pPr>
            <w:r>
              <w:rPr>
                <w:rFonts w:ascii="Times New Roman" w:hAnsi="Times New Roman" w:eastAsia="等线"/>
                <w:szCs w:val="21"/>
                <w:u w:val="single"/>
              </w:rPr>
              <w:t>0.1801</w:t>
            </w:r>
          </w:p>
        </w:tc>
        <w:tc>
          <w:tcPr>
            <w:tcW w:w="1808" w:type="dxa"/>
            <w:shd w:val="clear" w:color="auto" w:fill="auto"/>
            <w:vAlign w:val="center"/>
          </w:tcPr>
          <w:p w14:paraId="2F9A2486">
            <w:pPr>
              <w:widowControl/>
              <w:jc w:val="center"/>
              <w:rPr>
                <w:rFonts w:ascii="Times New Roman" w:hAnsi="Times New Roman"/>
                <w:kern w:val="0"/>
                <w:szCs w:val="21"/>
                <w:u w:val="single"/>
              </w:rPr>
            </w:pPr>
            <w:r>
              <w:rPr>
                <w:rFonts w:ascii="Times New Roman" w:hAnsi="Times New Roman" w:eastAsia="等线"/>
                <w:szCs w:val="21"/>
                <w:u w:val="single"/>
              </w:rPr>
              <w:t>0.0200</w:t>
            </w:r>
          </w:p>
        </w:tc>
      </w:tr>
      <w:tr w14:paraId="7402E3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62E5AFE6">
            <w:pPr>
              <w:widowControl/>
              <w:jc w:val="center"/>
              <w:rPr>
                <w:rFonts w:ascii="Times New Roman" w:hAnsi="Times New Roman"/>
                <w:kern w:val="0"/>
                <w:szCs w:val="21"/>
              </w:rPr>
            </w:pPr>
            <w:r>
              <w:rPr>
                <w:rFonts w:ascii="Times New Roman" w:hAnsi="Times New Roman"/>
                <w:kern w:val="0"/>
                <w:szCs w:val="21"/>
              </w:rPr>
              <w:t>3000</w:t>
            </w:r>
          </w:p>
        </w:tc>
        <w:tc>
          <w:tcPr>
            <w:tcW w:w="1808" w:type="dxa"/>
            <w:shd w:val="clear" w:color="auto" w:fill="auto"/>
            <w:vAlign w:val="center"/>
          </w:tcPr>
          <w:p w14:paraId="2099FBC6">
            <w:pPr>
              <w:widowControl/>
              <w:jc w:val="center"/>
              <w:rPr>
                <w:rFonts w:ascii="Times New Roman" w:hAnsi="Times New Roman"/>
                <w:kern w:val="0"/>
                <w:szCs w:val="21"/>
                <w:u w:val="single"/>
              </w:rPr>
            </w:pPr>
            <w:r>
              <w:rPr>
                <w:rFonts w:ascii="Times New Roman" w:hAnsi="Times New Roman" w:eastAsia="等线"/>
                <w:szCs w:val="21"/>
                <w:u w:val="single"/>
              </w:rPr>
              <w:t>0.3570</w:t>
            </w:r>
          </w:p>
        </w:tc>
        <w:tc>
          <w:tcPr>
            <w:tcW w:w="1808" w:type="dxa"/>
            <w:shd w:val="clear" w:color="auto" w:fill="auto"/>
            <w:vAlign w:val="center"/>
          </w:tcPr>
          <w:p w14:paraId="4E5CA003">
            <w:pPr>
              <w:widowControl/>
              <w:jc w:val="center"/>
              <w:rPr>
                <w:rFonts w:ascii="Times New Roman" w:hAnsi="Times New Roman"/>
                <w:kern w:val="0"/>
                <w:szCs w:val="21"/>
                <w:u w:val="single"/>
              </w:rPr>
            </w:pPr>
            <w:r>
              <w:rPr>
                <w:rFonts w:ascii="Times New Roman" w:hAnsi="Times New Roman" w:eastAsia="等线"/>
                <w:szCs w:val="21"/>
                <w:u w:val="single"/>
              </w:rPr>
              <w:t>0.0397</w:t>
            </w:r>
          </w:p>
        </w:tc>
        <w:tc>
          <w:tcPr>
            <w:tcW w:w="1808" w:type="dxa"/>
            <w:shd w:val="clear" w:color="auto" w:fill="auto"/>
            <w:vAlign w:val="center"/>
          </w:tcPr>
          <w:p w14:paraId="52737F10">
            <w:pPr>
              <w:widowControl/>
              <w:jc w:val="center"/>
              <w:rPr>
                <w:rFonts w:ascii="Times New Roman" w:hAnsi="Times New Roman"/>
                <w:kern w:val="0"/>
                <w:szCs w:val="21"/>
                <w:u w:val="single"/>
              </w:rPr>
            </w:pPr>
            <w:r>
              <w:rPr>
                <w:rFonts w:ascii="Times New Roman" w:hAnsi="Times New Roman" w:eastAsia="等线"/>
                <w:szCs w:val="21"/>
                <w:u w:val="single"/>
              </w:rPr>
              <w:t>0.1403</w:t>
            </w:r>
          </w:p>
        </w:tc>
        <w:tc>
          <w:tcPr>
            <w:tcW w:w="1808" w:type="dxa"/>
            <w:shd w:val="clear" w:color="auto" w:fill="auto"/>
            <w:vAlign w:val="center"/>
          </w:tcPr>
          <w:p w14:paraId="33DE58D6">
            <w:pPr>
              <w:widowControl/>
              <w:jc w:val="center"/>
              <w:rPr>
                <w:rFonts w:ascii="Times New Roman" w:hAnsi="Times New Roman"/>
                <w:kern w:val="0"/>
                <w:szCs w:val="21"/>
                <w:u w:val="single"/>
              </w:rPr>
            </w:pPr>
            <w:r>
              <w:rPr>
                <w:rFonts w:ascii="Times New Roman" w:hAnsi="Times New Roman" w:eastAsia="等线"/>
                <w:szCs w:val="21"/>
                <w:u w:val="single"/>
              </w:rPr>
              <w:t>0.0156</w:t>
            </w:r>
          </w:p>
        </w:tc>
      </w:tr>
      <w:tr w14:paraId="725BFF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2DD61D52">
            <w:pPr>
              <w:widowControl/>
              <w:jc w:val="center"/>
              <w:rPr>
                <w:rFonts w:ascii="Times New Roman" w:hAnsi="Times New Roman"/>
                <w:kern w:val="0"/>
                <w:szCs w:val="21"/>
              </w:rPr>
            </w:pPr>
            <w:r>
              <w:rPr>
                <w:rFonts w:ascii="Times New Roman" w:hAnsi="Times New Roman"/>
                <w:kern w:val="0"/>
                <w:szCs w:val="21"/>
              </w:rPr>
              <w:t>3500</w:t>
            </w:r>
          </w:p>
        </w:tc>
        <w:tc>
          <w:tcPr>
            <w:tcW w:w="1808" w:type="dxa"/>
            <w:shd w:val="clear" w:color="auto" w:fill="auto"/>
            <w:vAlign w:val="center"/>
          </w:tcPr>
          <w:p w14:paraId="0A2F9674">
            <w:pPr>
              <w:widowControl/>
              <w:jc w:val="center"/>
              <w:rPr>
                <w:rFonts w:ascii="Times New Roman" w:hAnsi="Times New Roman"/>
                <w:kern w:val="0"/>
                <w:szCs w:val="21"/>
                <w:u w:val="single"/>
              </w:rPr>
            </w:pPr>
            <w:r>
              <w:rPr>
                <w:rFonts w:ascii="Times New Roman" w:hAnsi="Times New Roman" w:eastAsia="等线"/>
                <w:szCs w:val="21"/>
                <w:u w:val="single"/>
              </w:rPr>
              <w:t>0.2896</w:t>
            </w:r>
          </w:p>
        </w:tc>
        <w:tc>
          <w:tcPr>
            <w:tcW w:w="1808" w:type="dxa"/>
            <w:shd w:val="clear" w:color="auto" w:fill="auto"/>
            <w:vAlign w:val="center"/>
          </w:tcPr>
          <w:p w14:paraId="5EAB9470">
            <w:pPr>
              <w:widowControl/>
              <w:jc w:val="center"/>
              <w:rPr>
                <w:rFonts w:ascii="Times New Roman" w:hAnsi="Times New Roman"/>
                <w:kern w:val="0"/>
                <w:szCs w:val="21"/>
                <w:u w:val="single"/>
              </w:rPr>
            </w:pPr>
            <w:r>
              <w:rPr>
                <w:rFonts w:ascii="Times New Roman" w:hAnsi="Times New Roman" w:eastAsia="等线"/>
                <w:szCs w:val="21"/>
                <w:u w:val="single"/>
              </w:rPr>
              <w:t>0.0322</w:t>
            </w:r>
          </w:p>
        </w:tc>
        <w:tc>
          <w:tcPr>
            <w:tcW w:w="1808" w:type="dxa"/>
            <w:shd w:val="clear" w:color="auto" w:fill="auto"/>
            <w:vAlign w:val="center"/>
          </w:tcPr>
          <w:p w14:paraId="776A84A5">
            <w:pPr>
              <w:widowControl/>
              <w:jc w:val="center"/>
              <w:rPr>
                <w:rFonts w:ascii="Times New Roman" w:hAnsi="Times New Roman"/>
                <w:kern w:val="0"/>
                <w:szCs w:val="21"/>
                <w:u w:val="single"/>
              </w:rPr>
            </w:pPr>
            <w:r>
              <w:rPr>
                <w:rFonts w:ascii="Times New Roman" w:hAnsi="Times New Roman" w:eastAsia="等线"/>
                <w:szCs w:val="21"/>
                <w:u w:val="single"/>
              </w:rPr>
              <w:t>0.1136</w:t>
            </w:r>
          </w:p>
        </w:tc>
        <w:tc>
          <w:tcPr>
            <w:tcW w:w="1808" w:type="dxa"/>
            <w:shd w:val="clear" w:color="auto" w:fill="auto"/>
            <w:vAlign w:val="center"/>
          </w:tcPr>
          <w:p w14:paraId="4C6FA6BA">
            <w:pPr>
              <w:widowControl/>
              <w:jc w:val="center"/>
              <w:rPr>
                <w:rFonts w:ascii="Times New Roman" w:hAnsi="Times New Roman"/>
                <w:kern w:val="0"/>
                <w:szCs w:val="21"/>
                <w:u w:val="single"/>
              </w:rPr>
            </w:pPr>
            <w:r>
              <w:rPr>
                <w:rFonts w:ascii="Times New Roman" w:hAnsi="Times New Roman" w:eastAsia="等线"/>
                <w:szCs w:val="21"/>
                <w:u w:val="single"/>
              </w:rPr>
              <w:t>0.0126</w:t>
            </w:r>
          </w:p>
        </w:tc>
      </w:tr>
      <w:tr w14:paraId="1B88B0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4E75A5C0">
            <w:pPr>
              <w:widowControl/>
              <w:jc w:val="center"/>
              <w:rPr>
                <w:rFonts w:ascii="Times New Roman" w:hAnsi="Times New Roman"/>
                <w:kern w:val="0"/>
                <w:szCs w:val="21"/>
              </w:rPr>
            </w:pPr>
            <w:r>
              <w:rPr>
                <w:rFonts w:ascii="Times New Roman" w:hAnsi="Times New Roman"/>
                <w:kern w:val="0"/>
                <w:szCs w:val="21"/>
              </w:rPr>
              <w:t>4000</w:t>
            </w:r>
          </w:p>
        </w:tc>
        <w:tc>
          <w:tcPr>
            <w:tcW w:w="1808" w:type="dxa"/>
            <w:shd w:val="clear" w:color="auto" w:fill="auto"/>
            <w:vAlign w:val="center"/>
          </w:tcPr>
          <w:p w14:paraId="12648667">
            <w:pPr>
              <w:widowControl/>
              <w:jc w:val="center"/>
              <w:rPr>
                <w:rFonts w:ascii="Times New Roman" w:hAnsi="Times New Roman"/>
                <w:kern w:val="0"/>
                <w:szCs w:val="21"/>
                <w:u w:val="single"/>
              </w:rPr>
            </w:pPr>
            <w:r>
              <w:rPr>
                <w:rFonts w:ascii="Times New Roman" w:hAnsi="Times New Roman" w:eastAsia="等线"/>
                <w:szCs w:val="21"/>
                <w:u w:val="single"/>
              </w:rPr>
              <w:t>0.2415</w:t>
            </w:r>
          </w:p>
        </w:tc>
        <w:tc>
          <w:tcPr>
            <w:tcW w:w="1808" w:type="dxa"/>
            <w:shd w:val="clear" w:color="auto" w:fill="auto"/>
            <w:vAlign w:val="center"/>
          </w:tcPr>
          <w:p w14:paraId="3584D41E">
            <w:pPr>
              <w:widowControl/>
              <w:jc w:val="center"/>
              <w:rPr>
                <w:rFonts w:ascii="Times New Roman" w:hAnsi="Times New Roman"/>
                <w:kern w:val="0"/>
                <w:szCs w:val="21"/>
                <w:u w:val="single"/>
              </w:rPr>
            </w:pPr>
            <w:r>
              <w:rPr>
                <w:rFonts w:ascii="Times New Roman" w:hAnsi="Times New Roman" w:eastAsia="等线"/>
                <w:szCs w:val="21"/>
                <w:u w:val="single"/>
              </w:rPr>
              <w:t>0.0268</w:t>
            </w:r>
          </w:p>
        </w:tc>
        <w:tc>
          <w:tcPr>
            <w:tcW w:w="1808" w:type="dxa"/>
            <w:shd w:val="clear" w:color="auto" w:fill="auto"/>
            <w:vAlign w:val="center"/>
          </w:tcPr>
          <w:p w14:paraId="43CA4D4D">
            <w:pPr>
              <w:widowControl/>
              <w:jc w:val="center"/>
              <w:rPr>
                <w:rFonts w:ascii="Times New Roman" w:hAnsi="Times New Roman"/>
                <w:kern w:val="0"/>
                <w:szCs w:val="21"/>
                <w:u w:val="single"/>
              </w:rPr>
            </w:pPr>
            <w:r>
              <w:rPr>
                <w:rFonts w:ascii="Times New Roman" w:hAnsi="Times New Roman" w:eastAsia="等线"/>
                <w:szCs w:val="21"/>
                <w:u w:val="single"/>
              </w:rPr>
              <w:t>0.0946</w:t>
            </w:r>
          </w:p>
        </w:tc>
        <w:tc>
          <w:tcPr>
            <w:tcW w:w="1808" w:type="dxa"/>
            <w:shd w:val="clear" w:color="auto" w:fill="auto"/>
            <w:vAlign w:val="center"/>
          </w:tcPr>
          <w:p w14:paraId="43046AF9">
            <w:pPr>
              <w:widowControl/>
              <w:jc w:val="center"/>
              <w:rPr>
                <w:rFonts w:ascii="Times New Roman" w:hAnsi="Times New Roman"/>
                <w:kern w:val="0"/>
                <w:szCs w:val="21"/>
                <w:u w:val="single"/>
              </w:rPr>
            </w:pPr>
            <w:r>
              <w:rPr>
                <w:rFonts w:ascii="Times New Roman" w:hAnsi="Times New Roman" w:eastAsia="等线"/>
                <w:szCs w:val="21"/>
                <w:u w:val="single"/>
              </w:rPr>
              <w:t>0.0105</w:t>
            </w:r>
          </w:p>
        </w:tc>
      </w:tr>
      <w:tr w14:paraId="548584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65F32985">
            <w:pPr>
              <w:widowControl/>
              <w:jc w:val="center"/>
              <w:rPr>
                <w:rFonts w:ascii="Times New Roman" w:hAnsi="Times New Roman"/>
                <w:kern w:val="0"/>
                <w:szCs w:val="21"/>
              </w:rPr>
            </w:pPr>
            <w:r>
              <w:rPr>
                <w:rFonts w:ascii="Times New Roman" w:hAnsi="Times New Roman"/>
                <w:kern w:val="0"/>
                <w:szCs w:val="21"/>
              </w:rPr>
              <w:t>4500</w:t>
            </w:r>
          </w:p>
        </w:tc>
        <w:tc>
          <w:tcPr>
            <w:tcW w:w="1808" w:type="dxa"/>
            <w:shd w:val="clear" w:color="auto" w:fill="auto"/>
            <w:vAlign w:val="center"/>
          </w:tcPr>
          <w:p w14:paraId="3C8CC1FC">
            <w:pPr>
              <w:widowControl/>
              <w:jc w:val="center"/>
              <w:rPr>
                <w:rFonts w:ascii="Times New Roman" w:hAnsi="Times New Roman"/>
                <w:kern w:val="0"/>
                <w:szCs w:val="21"/>
                <w:u w:val="single"/>
              </w:rPr>
            </w:pPr>
            <w:r>
              <w:rPr>
                <w:rFonts w:ascii="Times New Roman" w:hAnsi="Times New Roman" w:eastAsia="等线"/>
                <w:szCs w:val="21"/>
                <w:u w:val="single"/>
              </w:rPr>
              <w:t>0.2058</w:t>
            </w:r>
          </w:p>
        </w:tc>
        <w:tc>
          <w:tcPr>
            <w:tcW w:w="1808" w:type="dxa"/>
            <w:shd w:val="clear" w:color="auto" w:fill="auto"/>
            <w:vAlign w:val="center"/>
          </w:tcPr>
          <w:p w14:paraId="7EFAC53F">
            <w:pPr>
              <w:widowControl/>
              <w:jc w:val="center"/>
              <w:rPr>
                <w:rFonts w:ascii="Times New Roman" w:hAnsi="Times New Roman"/>
                <w:kern w:val="0"/>
                <w:szCs w:val="21"/>
                <w:u w:val="single"/>
              </w:rPr>
            </w:pPr>
            <w:r>
              <w:rPr>
                <w:rFonts w:ascii="Times New Roman" w:hAnsi="Times New Roman" w:eastAsia="等线"/>
                <w:szCs w:val="21"/>
                <w:u w:val="single"/>
              </w:rPr>
              <w:t>0.0229</w:t>
            </w:r>
          </w:p>
        </w:tc>
        <w:tc>
          <w:tcPr>
            <w:tcW w:w="1808" w:type="dxa"/>
            <w:shd w:val="clear" w:color="auto" w:fill="auto"/>
            <w:vAlign w:val="center"/>
          </w:tcPr>
          <w:p w14:paraId="756E06E2">
            <w:pPr>
              <w:widowControl/>
              <w:jc w:val="center"/>
              <w:rPr>
                <w:rFonts w:ascii="Times New Roman" w:hAnsi="Times New Roman"/>
                <w:kern w:val="0"/>
                <w:szCs w:val="21"/>
                <w:u w:val="single"/>
              </w:rPr>
            </w:pPr>
            <w:r>
              <w:rPr>
                <w:rFonts w:ascii="Times New Roman" w:hAnsi="Times New Roman" w:eastAsia="等线"/>
                <w:szCs w:val="21"/>
                <w:u w:val="single"/>
              </w:rPr>
              <w:t>0.0805</w:t>
            </w:r>
          </w:p>
        </w:tc>
        <w:tc>
          <w:tcPr>
            <w:tcW w:w="1808" w:type="dxa"/>
            <w:shd w:val="clear" w:color="auto" w:fill="auto"/>
            <w:vAlign w:val="center"/>
          </w:tcPr>
          <w:p w14:paraId="190AF5D4">
            <w:pPr>
              <w:widowControl/>
              <w:jc w:val="center"/>
              <w:rPr>
                <w:rFonts w:ascii="Times New Roman" w:hAnsi="Times New Roman"/>
                <w:kern w:val="0"/>
                <w:szCs w:val="21"/>
                <w:u w:val="single"/>
              </w:rPr>
            </w:pPr>
            <w:r>
              <w:rPr>
                <w:rFonts w:ascii="Times New Roman" w:hAnsi="Times New Roman" w:eastAsia="等线"/>
                <w:szCs w:val="21"/>
                <w:u w:val="single"/>
              </w:rPr>
              <w:t>0.0089</w:t>
            </w:r>
          </w:p>
        </w:tc>
      </w:tr>
      <w:tr w14:paraId="7A5A5D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214794CA">
            <w:pPr>
              <w:widowControl/>
              <w:jc w:val="center"/>
              <w:rPr>
                <w:rFonts w:ascii="Times New Roman" w:hAnsi="Times New Roman"/>
                <w:kern w:val="0"/>
                <w:szCs w:val="21"/>
              </w:rPr>
            </w:pPr>
            <w:r>
              <w:rPr>
                <w:rFonts w:ascii="Times New Roman" w:hAnsi="Times New Roman"/>
                <w:kern w:val="0"/>
                <w:szCs w:val="21"/>
              </w:rPr>
              <w:t>5000</w:t>
            </w:r>
          </w:p>
        </w:tc>
        <w:tc>
          <w:tcPr>
            <w:tcW w:w="1808" w:type="dxa"/>
            <w:shd w:val="clear" w:color="auto" w:fill="auto"/>
            <w:vAlign w:val="center"/>
          </w:tcPr>
          <w:p w14:paraId="5223D62F">
            <w:pPr>
              <w:widowControl/>
              <w:jc w:val="center"/>
              <w:rPr>
                <w:rFonts w:ascii="Times New Roman" w:hAnsi="Times New Roman"/>
                <w:kern w:val="0"/>
                <w:szCs w:val="21"/>
                <w:u w:val="single"/>
              </w:rPr>
            </w:pPr>
            <w:r>
              <w:rPr>
                <w:rFonts w:ascii="Times New Roman" w:hAnsi="Times New Roman" w:eastAsia="等线"/>
                <w:szCs w:val="21"/>
                <w:u w:val="single"/>
              </w:rPr>
              <w:t>0.1783</w:t>
            </w:r>
          </w:p>
        </w:tc>
        <w:tc>
          <w:tcPr>
            <w:tcW w:w="1808" w:type="dxa"/>
            <w:shd w:val="clear" w:color="auto" w:fill="auto"/>
            <w:vAlign w:val="center"/>
          </w:tcPr>
          <w:p w14:paraId="43DCA9E2">
            <w:pPr>
              <w:widowControl/>
              <w:jc w:val="center"/>
              <w:rPr>
                <w:rFonts w:ascii="Times New Roman" w:hAnsi="Times New Roman"/>
                <w:kern w:val="0"/>
                <w:szCs w:val="21"/>
                <w:u w:val="single"/>
              </w:rPr>
            </w:pPr>
            <w:r>
              <w:rPr>
                <w:rFonts w:ascii="Times New Roman" w:hAnsi="Times New Roman" w:eastAsia="等线"/>
                <w:szCs w:val="21"/>
                <w:u w:val="single"/>
              </w:rPr>
              <w:t>0.0198</w:t>
            </w:r>
          </w:p>
        </w:tc>
        <w:tc>
          <w:tcPr>
            <w:tcW w:w="1808" w:type="dxa"/>
            <w:shd w:val="clear" w:color="auto" w:fill="auto"/>
            <w:vAlign w:val="center"/>
          </w:tcPr>
          <w:p w14:paraId="036E10A8">
            <w:pPr>
              <w:widowControl/>
              <w:jc w:val="center"/>
              <w:rPr>
                <w:rFonts w:ascii="Times New Roman" w:hAnsi="Times New Roman"/>
                <w:kern w:val="0"/>
                <w:szCs w:val="21"/>
                <w:u w:val="single"/>
              </w:rPr>
            </w:pPr>
            <w:r>
              <w:rPr>
                <w:rFonts w:ascii="Times New Roman" w:hAnsi="Times New Roman" w:eastAsia="等线"/>
                <w:szCs w:val="21"/>
                <w:u w:val="single"/>
              </w:rPr>
              <w:t>0.0697</w:t>
            </w:r>
          </w:p>
        </w:tc>
        <w:tc>
          <w:tcPr>
            <w:tcW w:w="1808" w:type="dxa"/>
            <w:shd w:val="clear" w:color="auto" w:fill="auto"/>
            <w:vAlign w:val="center"/>
          </w:tcPr>
          <w:p w14:paraId="3081B06F">
            <w:pPr>
              <w:widowControl/>
              <w:jc w:val="center"/>
              <w:rPr>
                <w:rFonts w:ascii="Times New Roman" w:hAnsi="Times New Roman"/>
                <w:kern w:val="0"/>
                <w:szCs w:val="21"/>
                <w:u w:val="single"/>
              </w:rPr>
            </w:pPr>
            <w:r>
              <w:rPr>
                <w:rFonts w:ascii="Times New Roman" w:hAnsi="Times New Roman" w:eastAsia="等线"/>
                <w:szCs w:val="21"/>
                <w:u w:val="single"/>
              </w:rPr>
              <w:t>0.0077</w:t>
            </w:r>
          </w:p>
        </w:tc>
      </w:tr>
      <w:tr w14:paraId="254869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77AFB30D">
            <w:pPr>
              <w:widowControl/>
              <w:jc w:val="center"/>
              <w:rPr>
                <w:rFonts w:ascii="Times New Roman" w:hAnsi="Times New Roman"/>
                <w:kern w:val="0"/>
                <w:szCs w:val="21"/>
              </w:rPr>
            </w:pPr>
            <w:r>
              <w:rPr>
                <w:rFonts w:ascii="Times New Roman" w:hAnsi="Times New Roman"/>
                <w:kern w:val="0"/>
                <w:szCs w:val="21"/>
              </w:rPr>
              <w:t>10000</w:t>
            </w:r>
          </w:p>
        </w:tc>
        <w:tc>
          <w:tcPr>
            <w:tcW w:w="1808" w:type="dxa"/>
            <w:shd w:val="clear" w:color="auto" w:fill="auto"/>
            <w:vAlign w:val="center"/>
          </w:tcPr>
          <w:p w14:paraId="2A74EDF0">
            <w:pPr>
              <w:widowControl/>
              <w:jc w:val="center"/>
              <w:rPr>
                <w:rFonts w:ascii="Times New Roman" w:hAnsi="Times New Roman"/>
                <w:kern w:val="0"/>
                <w:szCs w:val="21"/>
                <w:u w:val="single"/>
              </w:rPr>
            </w:pPr>
            <w:r>
              <w:rPr>
                <w:rFonts w:ascii="Times New Roman" w:hAnsi="Times New Roman" w:eastAsia="等线"/>
                <w:szCs w:val="21"/>
                <w:u w:val="single"/>
              </w:rPr>
              <w:t>0.0694</w:t>
            </w:r>
          </w:p>
        </w:tc>
        <w:tc>
          <w:tcPr>
            <w:tcW w:w="1808" w:type="dxa"/>
            <w:shd w:val="clear" w:color="auto" w:fill="auto"/>
            <w:vAlign w:val="center"/>
          </w:tcPr>
          <w:p w14:paraId="62D8DF89">
            <w:pPr>
              <w:widowControl/>
              <w:jc w:val="center"/>
              <w:rPr>
                <w:rFonts w:ascii="Times New Roman" w:hAnsi="Times New Roman"/>
                <w:kern w:val="0"/>
                <w:szCs w:val="21"/>
                <w:u w:val="single"/>
              </w:rPr>
            </w:pPr>
            <w:r>
              <w:rPr>
                <w:rFonts w:ascii="Times New Roman" w:hAnsi="Times New Roman" w:eastAsia="等线"/>
                <w:szCs w:val="21"/>
                <w:u w:val="single"/>
              </w:rPr>
              <w:t>0.0077</w:t>
            </w:r>
          </w:p>
        </w:tc>
        <w:tc>
          <w:tcPr>
            <w:tcW w:w="1808" w:type="dxa"/>
            <w:shd w:val="clear" w:color="auto" w:fill="auto"/>
            <w:vAlign w:val="center"/>
          </w:tcPr>
          <w:p w14:paraId="35047252">
            <w:pPr>
              <w:widowControl/>
              <w:jc w:val="center"/>
              <w:rPr>
                <w:rFonts w:ascii="Times New Roman" w:hAnsi="Times New Roman"/>
                <w:kern w:val="0"/>
                <w:szCs w:val="21"/>
                <w:u w:val="single"/>
              </w:rPr>
            </w:pPr>
            <w:r>
              <w:rPr>
                <w:rFonts w:ascii="Times New Roman" w:hAnsi="Times New Roman" w:eastAsia="等线"/>
                <w:szCs w:val="21"/>
                <w:u w:val="single"/>
              </w:rPr>
              <w:t>0.0270</w:t>
            </w:r>
          </w:p>
        </w:tc>
        <w:tc>
          <w:tcPr>
            <w:tcW w:w="1808" w:type="dxa"/>
            <w:shd w:val="clear" w:color="auto" w:fill="auto"/>
            <w:vAlign w:val="center"/>
          </w:tcPr>
          <w:p w14:paraId="06A28EAE">
            <w:pPr>
              <w:widowControl/>
              <w:jc w:val="center"/>
              <w:rPr>
                <w:rFonts w:ascii="Times New Roman" w:hAnsi="Times New Roman"/>
                <w:kern w:val="0"/>
                <w:szCs w:val="21"/>
                <w:u w:val="single"/>
              </w:rPr>
            </w:pPr>
            <w:r>
              <w:rPr>
                <w:rFonts w:ascii="Times New Roman" w:hAnsi="Times New Roman" w:eastAsia="等线"/>
                <w:szCs w:val="21"/>
                <w:u w:val="single"/>
              </w:rPr>
              <w:t>0.0030</w:t>
            </w:r>
          </w:p>
        </w:tc>
      </w:tr>
      <w:tr w14:paraId="319F39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65FE67C0">
            <w:pPr>
              <w:widowControl/>
              <w:jc w:val="center"/>
              <w:rPr>
                <w:rFonts w:ascii="Times New Roman" w:hAnsi="Times New Roman"/>
                <w:kern w:val="0"/>
                <w:szCs w:val="21"/>
              </w:rPr>
            </w:pPr>
            <w:r>
              <w:rPr>
                <w:rFonts w:ascii="Times New Roman" w:hAnsi="Times New Roman"/>
                <w:kern w:val="0"/>
                <w:szCs w:val="21"/>
              </w:rPr>
              <w:t>15000</w:t>
            </w:r>
          </w:p>
        </w:tc>
        <w:tc>
          <w:tcPr>
            <w:tcW w:w="1808" w:type="dxa"/>
            <w:shd w:val="clear" w:color="auto" w:fill="auto"/>
            <w:vAlign w:val="center"/>
          </w:tcPr>
          <w:p w14:paraId="6BDF2A95">
            <w:pPr>
              <w:widowControl/>
              <w:jc w:val="center"/>
              <w:rPr>
                <w:rFonts w:ascii="Times New Roman" w:hAnsi="Times New Roman"/>
                <w:kern w:val="0"/>
                <w:szCs w:val="21"/>
                <w:u w:val="single"/>
              </w:rPr>
            </w:pPr>
            <w:r>
              <w:rPr>
                <w:rFonts w:ascii="Times New Roman" w:hAnsi="Times New Roman" w:eastAsia="等线"/>
                <w:szCs w:val="21"/>
                <w:u w:val="single"/>
              </w:rPr>
              <w:t>0.0459</w:t>
            </w:r>
          </w:p>
        </w:tc>
        <w:tc>
          <w:tcPr>
            <w:tcW w:w="1808" w:type="dxa"/>
            <w:shd w:val="clear" w:color="auto" w:fill="auto"/>
            <w:vAlign w:val="center"/>
          </w:tcPr>
          <w:p w14:paraId="6B717D4E">
            <w:pPr>
              <w:widowControl/>
              <w:jc w:val="center"/>
              <w:rPr>
                <w:rFonts w:ascii="Times New Roman" w:hAnsi="Times New Roman"/>
                <w:kern w:val="0"/>
                <w:szCs w:val="21"/>
                <w:u w:val="single"/>
              </w:rPr>
            </w:pPr>
            <w:r>
              <w:rPr>
                <w:rFonts w:ascii="Times New Roman" w:hAnsi="Times New Roman" w:eastAsia="等线"/>
                <w:szCs w:val="21"/>
                <w:u w:val="single"/>
              </w:rPr>
              <w:t>0.0051</w:t>
            </w:r>
          </w:p>
        </w:tc>
        <w:tc>
          <w:tcPr>
            <w:tcW w:w="1808" w:type="dxa"/>
            <w:shd w:val="clear" w:color="auto" w:fill="auto"/>
            <w:vAlign w:val="center"/>
          </w:tcPr>
          <w:p w14:paraId="7BE0F7D1">
            <w:pPr>
              <w:widowControl/>
              <w:jc w:val="center"/>
              <w:rPr>
                <w:rFonts w:ascii="Times New Roman" w:hAnsi="Times New Roman"/>
                <w:kern w:val="0"/>
                <w:szCs w:val="21"/>
                <w:u w:val="single"/>
              </w:rPr>
            </w:pPr>
            <w:r>
              <w:rPr>
                <w:rFonts w:ascii="Times New Roman" w:hAnsi="Times New Roman" w:eastAsia="等线"/>
                <w:szCs w:val="21"/>
                <w:u w:val="single"/>
              </w:rPr>
              <w:t>0.0191</w:t>
            </w:r>
          </w:p>
        </w:tc>
        <w:tc>
          <w:tcPr>
            <w:tcW w:w="1808" w:type="dxa"/>
            <w:shd w:val="clear" w:color="auto" w:fill="auto"/>
            <w:vAlign w:val="center"/>
          </w:tcPr>
          <w:p w14:paraId="00900F15">
            <w:pPr>
              <w:widowControl/>
              <w:jc w:val="center"/>
              <w:rPr>
                <w:rFonts w:ascii="Times New Roman" w:hAnsi="Times New Roman"/>
                <w:kern w:val="0"/>
                <w:szCs w:val="21"/>
                <w:u w:val="single"/>
              </w:rPr>
            </w:pPr>
            <w:r>
              <w:rPr>
                <w:rFonts w:ascii="Times New Roman" w:hAnsi="Times New Roman" w:eastAsia="等线"/>
                <w:szCs w:val="21"/>
                <w:u w:val="single"/>
              </w:rPr>
              <w:t>0.0021</w:t>
            </w:r>
          </w:p>
        </w:tc>
      </w:tr>
      <w:tr w14:paraId="09120B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4468D9D0">
            <w:pPr>
              <w:widowControl/>
              <w:jc w:val="center"/>
              <w:rPr>
                <w:rFonts w:ascii="Times New Roman" w:hAnsi="Times New Roman"/>
                <w:kern w:val="0"/>
                <w:szCs w:val="21"/>
              </w:rPr>
            </w:pPr>
            <w:r>
              <w:rPr>
                <w:rFonts w:ascii="Times New Roman" w:hAnsi="Times New Roman"/>
                <w:kern w:val="0"/>
                <w:szCs w:val="21"/>
              </w:rPr>
              <w:t>20000</w:t>
            </w:r>
          </w:p>
        </w:tc>
        <w:tc>
          <w:tcPr>
            <w:tcW w:w="1808" w:type="dxa"/>
            <w:shd w:val="clear" w:color="auto" w:fill="auto"/>
            <w:vAlign w:val="center"/>
          </w:tcPr>
          <w:p w14:paraId="0578DFEA">
            <w:pPr>
              <w:widowControl/>
              <w:jc w:val="center"/>
              <w:rPr>
                <w:rFonts w:ascii="Times New Roman" w:hAnsi="Times New Roman"/>
                <w:kern w:val="0"/>
                <w:szCs w:val="21"/>
                <w:u w:val="single"/>
              </w:rPr>
            </w:pPr>
            <w:r>
              <w:rPr>
                <w:rFonts w:ascii="Times New Roman" w:hAnsi="Times New Roman" w:eastAsia="等线"/>
                <w:szCs w:val="21"/>
                <w:u w:val="single"/>
              </w:rPr>
              <w:t>0.0375</w:t>
            </w:r>
          </w:p>
        </w:tc>
        <w:tc>
          <w:tcPr>
            <w:tcW w:w="1808" w:type="dxa"/>
            <w:shd w:val="clear" w:color="auto" w:fill="auto"/>
            <w:vAlign w:val="center"/>
          </w:tcPr>
          <w:p w14:paraId="0932B9A0">
            <w:pPr>
              <w:widowControl/>
              <w:jc w:val="center"/>
              <w:rPr>
                <w:rFonts w:ascii="Times New Roman" w:hAnsi="Times New Roman"/>
                <w:kern w:val="0"/>
                <w:szCs w:val="21"/>
                <w:u w:val="single"/>
              </w:rPr>
            </w:pPr>
            <w:r>
              <w:rPr>
                <w:rFonts w:ascii="Times New Roman" w:hAnsi="Times New Roman" w:eastAsia="等线"/>
                <w:szCs w:val="21"/>
                <w:u w:val="single"/>
              </w:rPr>
              <w:t>0.0042</w:t>
            </w:r>
          </w:p>
        </w:tc>
        <w:tc>
          <w:tcPr>
            <w:tcW w:w="1808" w:type="dxa"/>
            <w:shd w:val="clear" w:color="auto" w:fill="auto"/>
            <w:vAlign w:val="center"/>
          </w:tcPr>
          <w:p w14:paraId="7A07E9A4">
            <w:pPr>
              <w:widowControl/>
              <w:jc w:val="center"/>
              <w:rPr>
                <w:rFonts w:ascii="Times New Roman" w:hAnsi="Times New Roman"/>
                <w:kern w:val="0"/>
                <w:szCs w:val="21"/>
                <w:u w:val="single"/>
              </w:rPr>
            </w:pPr>
            <w:r>
              <w:rPr>
                <w:rFonts w:ascii="Times New Roman" w:hAnsi="Times New Roman" w:eastAsia="等线"/>
                <w:szCs w:val="21"/>
                <w:u w:val="single"/>
              </w:rPr>
              <w:t>0.0156</w:t>
            </w:r>
          </w:p>
        </w:tc>
        <w:tc>
          <w:tcPr>
            <w:tcW w:w="1808" w:type="dxa"/>
            <w:shd w:val="clear" w:color="auto" w:fill="auto"/>
            <w:vAlign w:val="center"/>
          </w:tcPr>
          <w:p w14:paraId="1C9B3377">
            <w:pPr>
              <w:widowControl/>
              <w:jc w:val="center"/>
              <w:rPr>
                <w:rFonts w:ascii="Times New Roman" w:hAnsi="Times New Roman"/>
                <w:kern w:val="0"/>
                <w:szCs w:val="21"/>
                <w:u w:val="single"/>
              </w:rPr>
            </w:pPr>
            <w:r>
              <w:rPr>
                <w:rFonts w:ascii="Times New Roman" w:hAnsi="Times New Roman" w:eastAsia="等线"/>
                <w:szCs w:val="21"/>
                <w:u w:val="single"/>
              </w:rPr>
              <w:t>0.0017</w:t>
            </w:r>
          </w:p>
        </w:tc>
      </w:tr>
      <w:tr w14:paraId="33D898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14506BAC">
            <w:pPr>
              <w:widowControl/>
              <w:jc w:val="center"/>
              <w:rPr>
                <w:rFonts w:ascii="Times New Roman" w:hAnsi="Times New Roman"/>
                <w:kern w:val="0"/>
                <w:szCs w:val="21"/>
              </w:rPr>
            </w:pPr>
            <w:r>
              <w:rPr>
                <w:rFonts w:ascii="Times New Roman" w:hAnsi="Times New Roman"/>
                <w:kern w:val="0"/>
                <w:szCs w:val="21"/>
              </w:rPr>
              <w:t>25000</w:t>
            </w:r>
          </w:p>
        </w:tc>
        <w:tc>
          <w:tcPr>
            <w:tcW w:w="1808" w:type="dxa"/>
            <w:shd w:val="clear" w:color="auto" w:fill="auto"/>
            <w:vAlign w:val="center"/>
          </w:tcPr>
          <w:p w14:paraId="6C3F591C">
            <w:pPr>
              <w:widowControl/>
              <w:jc w:val="center"/>
              <w:rPr>
                <w:rFonts w:ascii="Times New Roman" w:hAnsi="Times New Roman"/>
                <w:kern w:val="0"/>
                <w:szCs w:val="21"/>
                <w:u w:val="single"/>
              </w:rPr>
            </w:pPr>
            <w:r>
              <w:rPr>
                <w:rFonts w:ascii="Times New Roman" w:hAnsi="Times New Roman" w:eastAsia="等线"/>
                <w:szCs w:val="21"/>
                <w:u w:val="single"/>
              </w:rPr>
              <w:t>0.0320</w:t>
            </w:r>
          </w:p>
        </w:tc>
        <w:tc>
          <w:tcPr>
            <w:tcW w:w="1808" w:type="dxa"/>
            <w:shd w:val="clear" w:color="auto" w:fill="auto"/>
            <w:vAlign w:val="center"/>
          </w:tcPr>
          <w:p w14:paraId="554A66C8">
            <w:pPr>
              <w:widowControl/>
              <w:jc w:val="center"/>
              <w:rPr>
                <w:rFonts w:ascii="Times New Roman" w:hAnsi="Times New Roman"/>
                <w:kern w:val="0"/>
                <w:szCs w:val="21"/>
                <w:u w:val="single"/>
              </w:rPr>
            </w:pPr>
            <w:r>
              <w:rPr>
                <w:rFonts w:ascii="Times New Roman" w:hAnsi="Times New Roman" w:eastAsia="等线"/>
                <w:szCs w:val="21"/>
                <w:u w:val="single"/>
              </w:rPr>
              <w:t>0.0036</w:t>
            </w:r>
          </w:p>
        </w:tc>
        <w:tc>
          <w:tcPr>
            <w:tcW w:w="1808" w:type="dxa"/>
            <w:shd w:val="clear" w:color="auto" w:fill="auto"/>
            <w:vAlign w:val="center"/>
          </w:tcPr>
          <w:p w14:paraId="2255D7CE">
            <w:pPr>
              <w:widowControl/>
              <w:jc w:val="center"/>
              <w:rPr>
                <w:rFonts w:ascii="Times New Roman" w:hAnsi="Times New Roman"/>
                <w:kern w:val="0"/>
                <w:szCs w:val="21"/>
                <w:u w:val="single"/>
              </w:rPr>
            </w:pPr>
            <w:r>
              <w:rPr>
                <w:rFonts w:ascii="Times New Roman" w:hAnsi="Times New Roman" w:eastAsia="等线"/>
                <w:szCs w:val="21"/>
                <w:u w:val="single"/>
              </w:rPr>
              <w:t>0.0133</w:t>
            </w:r>
          </w:p>
        </w:tc>
        <w:tc>
          <w:tcPr>
            <w:tcW w:w="1808" w:type="dxa"/>
            <w:shd w:val="clear" w:color="auto" w:fill="auto"/>
            <w:vAlign w:val="center"/>
          </w:tcPr>
          <w:p w14:paraId="5244C8CF">
            <w:pPr>
              <w:widowControl/>
              <w:jc w:val="center"/>
              <w:rPr>
                <w:rFonts w:ascii="Times New Roman" w:hAnsi="Times New Roman"/>
                <w:kern w:val="0"/>
                <w:szCs w:val="21"/>
                <w:u w:val="single"/>
              </w:rPr>
            </w:pPr>
            <w:r>
              <w:rPr>
                <w:rFonts w:ascii="Times New Roman" w:hAnsi="Times New Roman" w:eastAsia="等线"/>
                <w:szCs w:val="21"/>
                <w:u w:val="single"/>
              </w:rPr>
              <w:t>0.0015</w:t>
            </w:r>
          </w:p>
        </w:tc>
      </w:tr>
      <w:tr w14:paraId="3B13CF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17567E90">
            <w:pPr>
              <w:widowControl/>
              <w:jc w:val="center"/>
              <w:rPr>
                <w:rFonts w:ascii="Times New Roman" w:hAnsi="Times New Roman"/>
                <w:kern w:val="0"/>
                <w:szCs w:val="21"/>
              </w:rPr>
            </w:pPr>
            <w:r>
              <w:rPr>
                <w:rFonts w:ascii="Times New Roman" w:hAnsi="Times New Roman"/>
                <w:kern w:val="0"/>
                <w:szCs w:val="21"/>
              </w:rPr>
              <w:t>下风向最大浓度</w:t>
            </w:r>
          </w:p>
        </w:tc>
        <w:tc>
          <w:tcPr>
            <w:tcW w:w="1808" w:type="dxa"/>
            <w:shd w:val="clear" w:color="auto" w:fill="auto"/>
            <w:vAlign w:val="center"/>
          </w:tcPr>
          <w:p w14:paraId="6C421893">
            <w:pPr>
              <w:widowControl/>
              <w:jc w:val="center"/>
              <w:rPr>
                <w:rFonts w:ascii="Times New Roman" w:hAnsi="Times New Roman"/>
                <w:kern w:val="0"/>
                <w:szCs w:val="21"/>
                <w:u w:val="single"/>
              </w:rPr>
            </w:pPr>
            <w:r>
              <w:rPr>
                <w:rFonts w:ascii="Times New Roman" w:hAnsi="Times New Roman" w:eastAsia="等线"/>
                <w:szCs w:val="21"/>
                <w:u w:val="single"/>
              </w:rPr>
              <w:t>83.5240</w:t>
            </w:r>
          </w:p>
        </w:tc>
        <w:tc>
          <w:tcPr>
            <w:tcW w:w="1808" w:type="dxa"/>
            <w:shd w:val="clear" w:color="auto" w:fill="auto"/>
            <w:vAlign w:val="center"/>
          </w:tcPr>
          <w:p w14:paraId="3EB5BD6F">
            <w:pPr>
              <w:widowControl/>
              <w:jc w:val="center"/>
              <w:rPr>
                <w:rFonts w:ascii="Times New Roman" w:hAnsi="Times New Roman"/>
                <w:kern w:val="0"/>
                <w:szCs w:val="21"/>
                <w:u w:val="single"/>
              </w:rPr>
            </w:pPr>
            <w:r>
              <w:rPr>
                <w:rFonts w:ascii="Times New Roman" w:hAnsi="Times New Roman" w:eastAsia="等线"/>
                <w:szCs w:val="21"/>
                <w:u w:val="single"/>
              </w:rPr>
              <w:t>9.2804</w:t>
            </w:r>
          </w:p>
        </w:tc>
        <w:tc>
          <w:tcPr>
            <w:tcW w:w="1808" w:type="dxa"/>
            <w:shd w:val="clear" w:color="auto" w:fill="auto"/>
            <w:vAlign w:val="center"/>
          </w:tcPr>
          <w:p w14:paraId="5D3112E1">
            <w:pPr>
              <w:widowControl/>
              <w:jc w:val="center"/>
              <w:rPr>
                <w:rFonts w:ascii="Times New Roman" w:hAnsi="Times New Roman"/>
                <w:kern w:val="0"/>
                <w:szCs w:val="21"/>
                <w:u w:val="single"/>
              </w:rPr>
            </w:pPr>
            <w:r>
              <w:rPr>
                <w:rFonts w:ascii="Times New Roman" w:hAnsi="Times New Roman" w:eastAsia="等线"/>
                <w:szCs w:val="21"/>
                <w:u w:val="single"/>
              </w:rPr>
              <w:t>27.4120</w:t>
            </w:r>
          </w:p>
        </w:tc>
        <w:tc>
          <w:tcPr>
            <w:tcW w:w="1808" w:type="dxa"/>
            <w:shd w:val="clear" w:color="auto" w:fill="auto"/>
            <w:vAlign w:val="center"/>
          </w:tcPr>
          <w:p w14:paraId="3EAE2D7C">
            <w:pPr>
              <w:widowControl/>
              <w:jc w:val="center"/>
              <w:rPr>
                <w:rFonts w:ascii="Times New Roman" w:hAnsi="Times New Roman"/>
                <w:kern w:val="0"/>
                <w:szCs w:val="21"/>
                <w:u w:val="single"/>
              </w:rPr>
            </w:pPr>
            <w:r>
              <w:rPr>
                <w:rFonts w:ascii="Times New Roman" w:hAnsi="Times New Roman" w:eastAsia="等线"/>
                <w:szCs w:val="21"/>
                <w:u w:val="single"/>
              </w:rPr>
              <w:t>3.0458</w:t>
            </w:r>
          </w:p>
        </w:tc>
      </w:tr>
      <w:tr w14:paraId="08CE89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020D53F3">
            <w:pPr>
              <w:widowControl/>
              <w:jc w:val="center"/>
              <w:rPr>
                <w:rFonts w:ascii="Times New Roman" w:hAnsi="Times New Roman"/>
                <w:kern w:val="0"/>
                <w:szCs w:val="21"/>
              </w:rPr>
            </w:pPr>
            <w:r>
              <w:rPr>
                <w:rFonts w:ascii="Times New Roman" w:hAnsi="Times New Roman"/>
                <w:kern w:val="0"/>
                <w:szCs w:val="21"/>
              </w:rPr>
              <w:t>下风向最大浓度出现距离</w:t>
            </w:r>
          </w:p>
        </w:tc>
        <w:tc>
          <w:tcPr>
            <w:tcW w:w="1808" w:type="dxa"/>
            <w:shd w:val="clear" w:color="auto" w:fill="auto"/>
            <w:vAlign w:val="center"/>
          </w:tcPr>
          <w:p w14:paraId="545A45F3">
            <w:pPr>
              <w:widowControl/>
              <w:jc w:val="center"/>
              <w:rPr>
                <w:rFonts w:ascii="Times New Roman" w:hAnsi="Times New Roman"/>
                <w:kern w:val="0"/>
                <w:szCs w:val="21"/>
                <w:u w:val="single"/>
              </w:rPr>
            </w:pPr>
            <w:r>
              <w:rPr>
                <w:rFonts w:ascii="Times New Roman" w:hAnsi="Times New Roman" w:eastAsia="等线"/>
                <w:szCs w:val="21"/>
                <w:u w:val="single"/>
              </w:rPr>
              <w:t>55</w:t>
            </w:r>
          </w:p>
        </w:tc>
        <w:tc>
          <w:tcPr>
            <w:tcW w:w="1808" w:type="dxa"/>
            <w:shd w:val="clear" w:color="auto" w:fill="auto"/>
            <w:vAlign w:val="center"/>
          </w:tcPr>
          <w:p w14:paraId="263A6FB8">
            <w:pPr>
              <w:widowControl/>
              <w:jc w:val="center"/>
              <w:rPr>
                <w:rFonts w:ascii="Times New Roman" w:hAnsi="Times New Roman"/>
                <w:kern w:val="0"/>
                <w:szCs w:val="21"/>
                <w:u w:val="single"/>
              </w:rPr>
            </w:pPr>
            <w:r>
              <w:rPr>
                <w:rFonts w:ascii="Times New Roman" w:hAnsi="Times New Roman" w:eastAsia="等线"/>
                <w:szCs w:val="21"/>
                <w:u w:val="single"/>
              </w:rPr>
              <w:t>55</w:t>
            </w:r>
          </w:p>
        </w:tc>
        <w:tc>
          <w:tcPr>
            <w:tcW w:w="1808" w:type="dxa"/>
            <w:shd w:val="clear" w:color="auto" w:fill="auto"/>
            <w:vAlign w:val="center"/>
          </w:tcPr>
          <w:p w14:paraId="2ADCBAAA">
            <w:pPr>
              <w:widowControl/>
              <w:jc w:val="center"/>
              <w:rPr>
                <w:rFonts w:ascii="Times New Roman" w:hAnsi="Times New Roman"/>
                <w:kern w:val="0"/>
                <w:szCs w:val="21"/>
                <w:u w:val="single"/>
              </w:rPr>
            </w:pPr>
            <w:r>
              <w:rPr>
                <w:rFonts w:ascii="Times New Roman" w:hAnsi="Times New Roman" w:eastAsia="等线"/>
                <w:szCs w:val="21"/>
                <w:u w:val="single"/>
              </w:rPr>
              <w:t>87</w:t>
            </w:r>
          </w:p>
        </w:tc>
        <w:tc>
          <w:tcPr>
            <w:tcW w:w="1808" w:type="dxa"/>
            <w:shd w:val="clear" w:color="auto" w:fill="auto"/>
            <w:vAlign w:val="center"/>
          </w:tcPr>
          <w:p w14:paraId="70F1D6E9">
            <w:pPr>
              <w:widowControl/>
              <w:jc w:val="center"/>
              <w:rPr>
                <w:rFonts w:ascii="Times New Roman" w:hAnsi="Times New Roman"/>
                <w:kern w:val="0"/>
                <w:szCs w:val="21"/>
                <w:u w:val="single"/>
              </w:rPr>
            </w:pPr>
            <w:r>
              <w:rPr>
                <w:rFonts w:ascii="Times New Roman" w:hAnsi="Times New Roman" w:eastAsia="等线"/>
                <w:szCs w:val="21"/>
                <w:u w:val="single"/>
              </w:rPr>
              <w:t>87</w:t>
            </w:r>
          </w:p>
        </w:tc>
      </w:tr>
      <w:tr w14:paraId="3086FB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7681B494">
            <w:pPr>
              <w:widowControl/>
              <w:jc w:val="center"/>
              <w:rPr>
                <w:rFonts w:ascii="Times New Roman" w:hAnsi="Times New Roman"/>
                <w:kern w:val="0"/>
                <w:szCs w:val="21"/>
              </w:rPr>
            </w:pPr>
            <w:r>
              <w:rPr>
                <w:rFonts w:ascii="Times New Roman" w:hAnsi="Times New Roman"/>
                <w:kern w:val="0"/>
                <w:szCs w:val="21"/>
              </w:rPr>
              <w:t>D10%最远距离</w:t>
            </w:r>
          </w:p>
        </w:tc>
        <w:tc>
          <w:tcPr>
            <w:tcW w:w="1808" w:type="dxa"/>
            <w:shd w:val="clear" w:color="auto" w:fill="auto"/>
            <w:vAlign w:val="center"/>
          </w:tcPr>
          <w:p w14:paraId="68F99796">
            <w:pPr>
              <w:widowControl/>
              <w:jc w:val="center"/>
              <w:rPr>
                <w:rFonts w:ascii="Times New Roman" w:hAnsi="Times New Roman"/>
                <w:kern w:val="0"/>
                <w:szCs w:val="21"/>
              </w:rPr>
            </w:pPr>
            <w:r>
              <w:rPr>
                <w:rFonts w:ascii="Times New Roman" w:hAnsi="Times New Roman" w:eastAsia="等线"/>
                <w:szCs w:val="21"/>
              </w:rPr>
              <w:t>/</w:t>
            </w:r>
          </w:p>
        </w:tc>
        <w:tc>
          <w:tcPr>
            <w:tcW w:w="1808" w:type="dxa"/>
            <w:shd w:val="clear" w:color="auto" w:fill="auto"/>
            <w:vAlign w:val="center"/>
          </w:tcPr>
          <w:p w14:paraId="4A393F37">
            <w:pPr>
              <w:widowControl/>
              <w:jc w:val="center"/>
              <w:rPr>
                <w:rFonts w:ascii="Times New Roman" w:hAnsi="Times New Roman"/>
                <w:kern w:val="0"/>
                <w:szCs w:val="21"/>
              </w:rPr>
            </w:pPr>
            <w:r>
              <w:rPr>
                <w:rFonts w:ascii="Times New Roman" w:hAnsi="Times New Roman" w:eastAsia="等线"/>
                <w:szCs w:val="21"/>
              </w:rPr>
              <w:t>/</w:t>
            </w:r>
          </w:p>
        </w:tc>
        <w:tc>
          <w:tcPr>
            <w:tcW w:w="1808" w:type="dxa"/>
            <w:shd w:val="clear" w:color="auto" w:fill="auto"/>
            <w:vAlign w:val="center"/>
          </w:tcPr>
          <w:p w14:paraId="113B0623">
            <w:pPr>
              <w:widowControl/>
              <w:jc w:val="center"/>
              <w:rPr>
                <w:rFonts w:ascii="Times New Roman" w:hAnsi="Times New Roman"/>
                <w:kern w:val="0"/>
                <w:szCs w:val="21"/>
              </w:rPr>
            </w:pPr>
            <w:r>
              <w:rPr>
                <w:rFonts w:ascii="Times New Roman" w:hAnsi="Times New Roman" w:eastAsia="等线"/>
                <w:szCs w:val="21"/>
              </w:rPr>
              <w:t>/</w:t>
            </w:r>
          </w:p>
        </w:tc>
        <w:tc>
          <w:tcPr>
            <w:tcW w:w="1808" w:type="dxa"/>
            <w:shd w:val="clear" w:color="auto" w:fill="auto"/>
            <w:vAlign w:val="center"/>
          </w:tcPr>
          <w:p w14:paraId="2067286F">
            <w:pPr>
              <w:widowControl/>
              <w:jc w:val="center"/>
              <w:rPr>
                <w:rFonts w:ascii="Times New Roman" w:hAnsi="Times New Roman"/>
                <w:kern w:val="0"/>
                <w:szCs w:val="21"/>
              </w:rPr>
            </w:pPr>
            <w:r>
              <w:rPr>
                <w:rFonts w:ascii="Times New Roman" w:hAnsi="Times New Roman" w:eastAsia="等线"/>
                <w:szCs w:val="21"/>
              </w:rPr>
              <w:t>/</w:t>
            </w:r>
          </w:p>
        </w:tc>
      </w:tr>
    </w:tbl>
    <w:p w14:paraId="45618052">
      <w:pPr>
        <w:spacing w:line="360" w:lineRule="auto"/>
        <w:ind w:firstLine="472" w:firstLineChars="200"/>
        <w:rPr>
          <w:rFonts w:ascii="Times New Roman" w:hAnsi="Times New Roman"/>
          <w:spacing w:val="-2"/>
          <w:kern w:val="0"/>
          <w:sz w:val="24"/>
          <w:szCs w:val="24"/>
        </w:rPr>
      </w:pPr>
    </w:p>
    <w:p w14:paraId="48849ADC">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由项目大气污染物地面浓度贡献分布估算结果可知，</w:t>
      </w:r>
      <w:r>
        <w:rPr>
          <w:rFonts w:ascii="Times New Roman" w:hAnsi="Times New Roman"/>
          <w:sz w:val="24"/>
          <w:szCs w:val="24"/>
          <w:u w:val="single"/>
        </w:rPr>
        <w:t>项目生产车间无组织排放的</w:t>
      </w:r>
      <w:r>
        <w:rPr>
          <w:rFonts w:hint="eastAsia" w:ascii="Times New Roman" w:hAnsi="Times New Roman"/>
          <w:sz w:val="24"/>
          <w:szCs w:val="24"/>
          <w:u w:val="single"/>
        </w:rPr>
        <w:t>TSP</w:t>
      </w:r>
      <w:r>
        <w:rPr>
          <w:rFonts w:ascii="Times New Roman" w:hAnsi="Times New Roman"/>
          <w:spacing w:val="-2"/>
          <w:kern w:val="0"/>
          <w:sz w:val="24"/>
          <w:szCs w:val="24"/>
          <w:u w:val="single"/>
        </w:rPr>
        <w:t>最大落地浓度为</w:t>
      </w:r>
      <w:r>
        <w:rPr>
          <w:rFonts w:hint="eastAsia" w:ascii="Times New Roman" w:hAnsi="Times New Roman"/>
          <w:spacing w:val="-2"/>
          <w:kern w:val="0"/>
          <w:sz w:val="24"/>
          <w:szCs w:val="24"/>
          <w:u w:val="single"/>
        </w:rPr>
        <w:t>83.5240</w:t>
      </w:r>
      <w:r>
        <w:rPr>
          <w:rFonts w:ascii="Times New Roman" w:hAnsi="Times New Roman"/>
          <w:spacing w:val="-2"/>
          <w:kern w:val="0"/>
          <w:sz w:val="24"/>
          <w:szCs w:val="24"/>
          <w:u w:val="single"/>
        </w:rPr>
        <w:t>μg/m</w:t>
      </w:r>
      <w:r>
        <w:rPr>
          <w:rFonts w:ascii="Times New Roman" w:hAnsi="Times New Roman"/>
          <w:spacing w:val="-2"/>
          <w:kern w:val="0"/>
          <w:sz w:val="24"/>
          <w:szCs w:val="24"/>
          <w:u w:val="single"/>
          <w:vertAlign w:val="superscript"/>
        </w:rPr>
        <w:t>3</w:t>
      </w:r>
      <w:r>
        <w:rPr>
          <w:rFonts w:ascii="Times New Roman" w:hAnsi="Times New Roman"/>
          <w:spacing w:val="-2"/>
          <w:kern w:val="0"/>
          <w:sz w:val="24"/>
          <w:szCs w:val="24"/>
          <w:u w:val="single"/>
        </w:rPr>
        <w:t>，项目物料运输扬尘无组织排放的TSP最大落地浓度为</w:t>
      </w:r>
      <w:r>
        <w:rPr>
          <w:rFonts w:hint="eastAsia" w:ascii="Times New Roman" w:hAnsi="Times New Roman"/>
          <w:spacing w:val="-2"/>
          <w:kern w:val="0"/>
          <w:sz w:val="24"/>
          <w:szCs w:val="24"/>
          <w:u w:val="single"/>
        </w:rPr>
        <w:t>27.4120</w:t>
      </w:r>
      <w:r>
        <w:rPr>
          <w:rFonts w:ascii="Times New Roman" w:hAnsi="Times New Roman"/>
          <w:spacing w:val="-2"/>
          <w:kern w:val="0"/>
          <w:sz w:val="24"/>
          <w:szCs w:val="24"/>
          <w:u w:val="single"/>
        </w:rPr>
        <w:t>μg/m</w:t>
      </w:r>
      <w:r>
        <w:rPr>
          <w:rFonts w:ascii="Times New Roman" w:hAnsi="Times New Roman"/>
          <w:spacing w:val="-2"/>
          <w:kern w:val="0"/>
          <w:sz w:val="24"/>
          <w:szCs w:val="24"/>
          <w:u w:val="single"/>
          <w:vertAlign w:val="superscript"/>
        </w:rPr>
        <w:t>3</w:t>
      </w:r>
      <w:r>
        <w:rPr>
          <w:rFonts w:ascii="Times New Roman" w:hAnsi="Times New Roman"/>
          <w:spacing w:val="-2"/>
          <w:kern w:val="0"/>
          <w:sz w:val="24"/>
          <w:szCs w:val="24"/>
          <w:u w:val="single"/>
        </w:rPr>
        <w:t>，均小于</w:t>
      </w:r>
      <w:r>
        <w:rPr>
          <w:rFonts w:hint="eastAsia" w:ascii="Times New Roman" w:hAnsi="Times New Roman"/>
          <w:spacing w:val="-2"/>
          <w:kern w:val="0"/>
          <w:sz w:val="24"/>
          <w:szCs w:val="24"/>
          <w:u w:val="single"/>
        </w:rPr>
        <w:t>《大气污染物综合排放标准》（GB16297-1996）周界外浓度限值</w:t>
      </w:r>
      <w:r>
        <w:rPr>
          <w:rFonts w:ascii="Times New Roman" w:hAnsi="Times New Roman"/>
          <w:spacing w:val="-2"/>
          <w:kern w:val="0"/>
          <w:sz w:val="24"/>
          <w:szCs w:val="24"/>
          <w:u w:val="single"/>
        </w:rPr>
        <w:t>（1</w:t>
      </w:r>
      <w:r>
        <w:rPr>
          <w:rFonts w:hint="eastAsia" w:ascii="Times New Roman" w:hAnsi="Times New Roman"/>
          <w:spacing w:val="-2"/>
          <w:kern w:val="0"/>
          <w:sz w:val="24"/>
          <w:szCs w:val="24"/>
          <w:u w:val="single"/>
        </w:rPr>
        <w:t>000</w:t>
      </w:r>
      <w:r>
        <w:rPr>
          <w:rFonts w:ascii="Times New Roman" w:hAnsi="Times New Roman"/>
          <w:spacing w:val="-2"/>
          <w:kern w:val="0"/>
          <w:sz w:val="24"/>
          <w:szCs w:val="24"/>
          <w:u w:val="single"/>
        </w:rPr>
        <w:t>μg/m</w:t>
      </w:r>
      <w:r>
        <w:rPr>
          <w:rFonts w:ascii="Times New Roman" w:hAnsi="Times New Roman"/>
          <w:spacing w:val="-2"/>
          <w:kern w:val="0"/>
          <w:sz w:val="24"/>
          <w:szCs w:val="24"/>
          <w:u w:val="single"/>
          <w:vertAlign w:val="superscript"/>
        </w:rPr>
        <w:t>3</w:t>
      </w:r>
      <w:r>
        <w:rPr>
          <w:rFonts w:ascii="Times New Roman" w:hAnsi="Times New Roman"/>
          <w:spacing w:val="-2"/>
          <w:kern w:val="0"/>
          <w:sz w:val="24"/>
          <w:szCs w:val="24"/>
          <w:u w:val="single"/>
        </w:rPr>
        <w:t>）。</w:t>
      </w:r>
      <w:r>
        <w:rPr>
          <w:rFonts w:ascii="Times New Roman" w:hAnsi="Times New Roman"/>
          <w:spacing w:val="-2"/>
          <w:kern w:val="0"/>
          <w:sz w:val="24"/>
          <w:szCs w:val="24"/>
        </w:rPr>
        <w:t>项目排放</w:t>
      </w:r>
      <w:r>
        <w:rPr>
          <w:rFonts w:ascii="Times New Roman" w:hAnsi="Times New Roman"/>
          <w:sz w:val="24"/>
          <w:szCs w:val="24"/>
        </w:rPr>
        <w:t>的大气污染物地面浓度均能达到相应的厂界排放标准。</w:t>
      </w:r>
    </w:p>
    <w:p w14:paraId="2235D84B">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由本报告工程分析可知，项目烘干炉烟气、生产车间粉尘有组织排放的污染物浓度和排放速率均能达到相应的标准要求，污染物排放口均能达到相应的排放要求。</w:t>
      </w:r>
    </w:p>
    <w:p w14:paraId="06B77E15">
      <w:pPr>
        <w:spacing w:line="360" w:lineRule="auto"/>
        <w:ind w:firstLine="472" w:firstLineChars="200"/>
        <w:rPr>
          <w:rFonts w:ascii="Times New Roman" w:hAnsi="Times New Roman"/>
          <w:sz w:val="24"/>
          <w:szCs w:val="24"/>
        </w:rPr>
      </w:pPr>
      <w:r>
        <w:rPr>
          <w:rFonts w:ascii="Times New Roman" w:hAnsi="Times New Roman"/>
          <w:spacing w:val="-2"/>
          <w:kern w:val="0"/>
          <w:sz w:val="24"/>
          <w:szCs w:val="24"/>
        </w:rPr>
        <w:t>项目烘干炉烟气有组织排放的PM</w:t>
      </w:r>
      <w:r>
        <w:rPr>
          <w:rFonts w:ascii="Times New Roman" w:hAnsi="Times New Roman"/>
          <w:spacing w:val="-2"/>
          <w:kern w:val="0"/>
          <w:sz w:val="24"/>
          <w:szCs w:val="24"/>
          <w:vertAlign w:val="subscript"/>
        </w:rPr>
        <w:t>10</w:t>
      </w:r>
      <w:r>
        <w:rPr>
          <w:rFonts w:ascii="Times New Roman" w:hAnsi="Times New Roman"/>
          <w:spacing w:val="-2"/>
          <w:kern w:val="0"/>
          <w:sz w:val="24"/>
          <w:szCs w:val="24"/>
        </w:rPr>
        <w:t>、SO</w:t>
      </w:r>
      <w:r>
        <w:rPr>
          <w:rFonts w:ascii="Times New Roman" w:hAnsi="Times New Roman"/>
          <w:spacing w:val="-2"/>
          <w:kern w:val="0"/>
          <w:sz w:val="24"/>
          <w:szCs w:val="24"/>
          <w:vertAlign w:val="subscript"/>
        </w:rPr>
        <w:t>2</w:t>
      </w:r>
      <w:r>
        <w:rPr>
          <w:rFonts w:ascii="Times New Roman" w:hAnsi="Times New Roman"/>
          <w:spacing w:val="-2"/>
          <w:kern w:val="0"/>
          <w:sz w:val="24"/>
          <w:szCs w:val="24"/>
        </w:rPr>
        <w:t>、NO</w:t>
      </w:r>
      <w:r>
        <w:rPr>
          <w:rFonts w:ascii="Times New Roman" w:hAnsi="Times New Roman"/>
          <w:spacing w:val="-2"/>
          <w:kern w:val="0"/>
          <w:sz w:val="24"/>
          <w:szCs w:val="24"/>
          <w:vertAlign w:val="subscript"/>
        </w:rPr>
        <w:t>X</w:t>
      </w:r>
      <w:r>
        <w:rPr>
          <w:rFonts w:ascii="Times New Roman" w:hAnsi="Times New Roman"/>
          <w:spacing w:val="-2"/>
          <w:kern w:val="0"/>
          <w:sz w:val="24"/>
          <w:szCs w:val="24"/>
        </w:rPr>
        <w:t>地面浓度贡献均能达到</w:t>
      </w:r>
      <w:r>
        <w:rPr>
          <w:rFonts w:ascii="Times New Roman" w:hAnsi="Times New Roman"/>
          <w:sz w:val="24"/>
          <w:szCs w:val="24"/>
        </w:rPr>
        <w:t>《环境空气质量标准》（GB3095-2012）二级标准</w:t>
      </w:r>
      <w:r>
        <w:rPr>
          <w:rFonts w:hint="eastAsia" w:ascii="Times New Roman" w:hAnsi="Times New Roman"/>
          <w:sz w:val="24"/>
          <w:szCs w:val="24"/>
        </w:rPr>
        <w:t>；1#原料处理车间、2#分选</w:t>
      </w:r>
      <w:r>
        <w:rPr>
          <w:rFonts w:ascii="Times New Roman" w:hAnsi="Times New Roman"/>
          <w:sz w:val="24"/>
          <w:szCs w:val="24"/>
        </w:rPr>
        <w:t>车间</w:t>
      </w:r>
      <w:r>
        <w:rPr>
          <w:rFonts w:hint="eastAsia" w:ascii="Times New Roman" w:hAnsi="Times New Roman"/>
          <w:sz w:val="24"/>
          <w:szCs w:val="24"/>
        </w:rPr>
        <w:t>的</w:t>
      </w:r>
      <w:r>
        <w:rPr>
          <w:rFonts w:ascii="Times New Roman" w:hAnsi="Times New Roman"/>
          <w:sz w:val="24"/>
          <w:szCs w:val="24"/>
        </w:rPr>
        <w:t>粉尘有组织排放的PM</w:t>
      </w:r>
      <w:r>
        <w:rPr>
          <w:rFonts w:ascii="Times New Roman" w:hAnsi="Times New Roman"/>
          <w:sz w:val="24"/>
          <w:szCs w:val="24"/>
          <w:vertAlign w:val="subscript"/>
        </w:rPr>
        <w:t>10</w:t>
      </w:r>
      <w:r>
        <w:rPr>
          <w:rFonts w:ascii="Times New Roman" w:hAnsi="Times New Roman"/>
          <w:spacing w:val="-2"/>
          <w:kern w:val="0"/>
          <w:sz w:val="24"/>
          <w:szCs w:val="24"/>
        </w:rPr>
        <w:t>地面浓度贡献能达到</w:t>
      </w:r>
      <w:r>
        <w:rPr>
          <w:rFonts w:ascii="Times New Roman" w:hAnsi="Times New Roman"/>
          <w:sz w:val="24"/>
          <w:szCs w:val="24"/>
        </w:rPr>
        <w:t>《环境空气质量标准》（GB3095-2012）二级标准</w:t>
      </w:r>
      <w:r>
        <w:rPr>
          <w:rFonts w:hint="eastAsia" w:ascii="Times New Roman" w:hAnsi="Times New Roman"/>
          <w:sz w:val="24"/>
          <w:szCs w:val="24"/>
        </w:rPr>
        <w:t>；生产车间无组织排放的TSP地面浓度能达到</w:t>
      </w:r>
      <w:r>
        <w:rPr>
          <w:rFonts w:ascii="Times New Roman" w:hAnsi="Times New Roman"/>
          <w:sz w:val="24"/>
          <w:szCs w:val="24"/>
        </w:rPr>
        <w:t>《环境空气质量标准》（GB3095-2012）二级标准</w:t>
      </w:r>
      <w:r>
        <w:rPr>
          <w:rFonts w:hint="eastAsia" w:ascii="Times New Roman" w:hAnsi="Times New Roman"/>
          <w:sz w:val="24"/>
          <w:szCs w:val="24"/>
        </w:rPr>
        <w:t>；</w:t>
      </w:r>
      <w:r>
        <w:rPr>
          <w:rFonts w:ascii="Times New Roman" w:hAnsi="Times New Roman"/>
          <w:sz w:val="24"/>
          <w:szCs w:val="24"/>
        </w:rPr>
        <w:t>物料运输扬尘无组织排放的TSP</w:t>
      </w:r>
      <w:r>
        <w:rPr>
          <w:rFonts w:ascii="Times New Roman" w:hAnsi="Times New Roman"/>
          <w:spacing w:val="-2"/>
          <w:kern w:val="0"/>
          <w:sz w:val="24"/>
          <w:szCs w:val="24"/>
        </w:rPr>
        <w:t>地面浓度贡献能达到</w:t>
      </w:r>
      <w:r>
        <w:rPr>
          <w:rFonts w:ascii="Times New Roman" w:hAnsi="Times New Roman"/>
          <w:sz w:val="24"/>
          <w:szCs w:val="24"/>
        </w:rPr>
        <w:t>《环境空气质量标准》（GB3095-2012）二级标准。项目排放的大气污染物地面浓度均能达到相应的环境质量标准。</w:t>
      </w:r>
    </w:p>
    <w:p w14:paraId="486C8E05">
      <w:pPr>
        <w:spacing w:line="360" w:lineRule="auto"/>
        <w:ind w:firstLine="480" w:firstLineChars="200"/>
        <w:rPr>
          <w:rFonts w:ascii="Times New Roman" w:hAnsi="Times New Roman"/>
          <w:sz w:val="24"/>
          <w:szCs w:val="24"/>
        </w:rPr>
      </w:pPr>
      <w:r>
        <w:rPr>
          <w:rFonts w:ascii="Times New Roman" w:hAnsi="Times New Roman"/>
          <w:sz w:val="24"/>
          <w:szCs w:val="24"/>
        </w:rPr>
        <w:t>根据区域周边环境保护目标的调查，项目周边以工业、物流仓储用地为主，最近的居住区距项目约2.1km，并位于项目的上风向方向，项目对周边居民影响较小。</w:t>
      </w:r>
    </w:p>
    <w:p w14:paraId="07913DF8">
      <w:pPr>
        <w:spacing w:line="360" w:lineRule="auto"/>
        <w:ind w:firstLine="480" w:firstLineChars="200"/>
        <w:rPr>
          <w:rFonts w:ascii="Times New Roman" w:hAnsi="Times New Roman"/>
          <w:sz w:val="24"/>
          <w:szCs w:val="24"/>
        </w:rPr>
      </w:pPr>
      <w:r>
        <w:rPr>
          <w:rFonts w:ascii="Times New Roman" w:hAnsi="Times New Roman"/>
          <w:sz w:val="24"/>
          <w:szCs w:val="24"/>
        </w:rPr>
        <w:t>综上所述，项目生产过程中产生的大气污染物经过相应的污染治理措施处理后，对周边环境空气环境影响不大。</w:t>
      </w:r>
    </w:p>
    <w:p w14:paraId="6A031900">
      <w:pPr>
        <w:pStyle w:val="6"/>
        <w:numPr>
          <w:ilvl w:val="2"/>
          <w:numId w:val="3"/>
        </w:numPr>
      </w:pPr>
      <w:r>
        <w:rPr>
          <w:rFonts w:hint="eastAsia"/>
        </w:rPr>
        <w:t>大气防护距离</w:t>
      </w:r>
    </w:p>
    <w:p w14:paraId="13E300E6">
      <w:pPr>
        <w:spacing w:line="360" w:lineRule="auto"/>
        <w:ind w:firstLine="480" w:firstLineChars="200"/>
      </w:pPr>
      <w:r>
        <w:rPr>
          <w:rFonts w:hint="eastAsia" w:ascii="Times New Roman" w:hAnsi="Times New Roman"/>
          <w:sz w:val="24"/>
          <w:szCs w:val="24"/>
        </w:rPr>
        <w:t>本次项目大气评价等级定为二级，按照《环境影响评价技术导则 大气环境》（HJ2.2-2018）规定8.7.5要求，无需计算大气环境防护距离，无需设置大气环境防护区域。</w:t>
      </w:r>
      <w:r>
        <w:rPr>
          <w:rFonts w:hint="eastAsia"/>
        </w:rPr>
        <w:t xml:space="preserve"> </w:t>
      </w:r>
    </w:p>
    <w:p w14:paraId="06A6409D">
      <w:pPr>
        <w:pStyle w:val="6"/>
        <w:numPr>
          <w:ilvl w:val="2"/>
          <w:numId w:val="3"/>
        </w:numPr>
      </w:pPr>
      <w:r>
        <w:rPr>
          <w:rFonts w:hint="eastAsia"/>
        </w:rPr>
        <w:t>排气筒参数设置合理性分析</w:t>
      </w:r>
    </w:p>
    <w:p w14:paraId="33097E55">
      <w:pPr>
        <w:spacing w:line="360" w:lineRule="auto"/>
        <w:ind w:firstLine="480" w:firstLineChars="200"/>
        <w:rPr>
          <w:rFonts w:ascii="Times New Roman" w:hAnsi="Times New Roman"/>
          <w:sz w:val="24"/>
          <w:szCs w:val="24"/>
        </w:rPr>
      </w:pPr>
      <w:r>
        <w:rPr>
          <w:rFonts w:hint="eastAsia" w:ascii="Times New Roman" w:hAnsi="Times New Roman"/>
          <w:sz w:val="24"/>
          <w:szCs w:val="24"/>
        </w:rPr>
        <w:t>项目配套设置3个排气筒，分别为烘干炉烟气袋式除尘系统排气筒（DA001），排放高度19m；</w:t>
      </w:r>
      <w:r>
        <w:rPr>
          <w:rFonts w:hint="eastAsia" w:ascii="Times New Roman" w:hAnsi="Times New Roman"/>
          <w:sz w:val="24"/>
          <w:szCs w:val="24"/>
          <w:u w:val="single"/>
        </w:rPr>
        <w:t>1#原料处理车间粉尘袋式除尘系统排气筒（DA002），排放高度19m；2#分选车间粉尘袋式除尘系统排气筒（DA003），排放高度19m。</w:t>
      </w:r>
    </w:p>
    <w:p w14:paraId="0E405EAB">
      <w:pPr>
        <w:spacing w:line="360" w:lineRule="auto"/>
        <w:ind w:firstLine="472" w:firstLineChars="200"/>
        <w:rPr>
          <w:rFonts w:ascii="Times New Roman" w:hAnsi="Times New Roman"/>
          <w:sz w:val="24"/>
          <w:szCs w:val="24"/>
        </w:rPr>
      </w:pPr>
      <w:r>
        <w:rPr>
          <w:rFonts w:hint="eastAsia" w:ascii="Times New Roman" w:hAnsi="Times New Roman"/>
          <w:spacing w:val="-2"/>
          <w:kern w:val="0"/>
          <w:sz w:val="24"/>
          <w:szCs w:val="24"/>
        </w:rPr>
        <w:t>（1）</w:t>
      </w:r>
      <w:r>
        <w:rPr>
          <w:rFonts w:hint="eastAsia" w:ascii="Times New Roman" w:hAnsi="Times New Roman"/>
          <w:sz w:val="24"/>
          <w:szCs w:val="24"/>
        </w:rPr>
        <w:t>烘干炉烟气排气筒</w:t>
      </w:r>
      <w:r>
        <w:rPr>
          <w:rFonts w:hint="eastAsia" w:ascii="Times New Roman" w:hAnsi="Times New Roman"/>
          <w:spacing w:val="-2"/>
          <w:kern w:val="0"/>
          <w:sz w:val="24"/>
          <w:szCs w:val="24"/>
        </w:rPr>
        <w:t>DA001排放口高度</w:t>
      </w:r>
    </w:p>
    <w:p w14:paraId="567C8D27">
      <w:pPr>
        <w:spacing w:line="360" w:lineRule="auto"/>
        <w:ind w:firstLine="480" w:firstLineChars="200"/>
        <w:rPr>
          <w:rFonts w:ascii="Times New Roman" w:hAnsi="Times New Roman"/>
          <w:sz w:val="24"/>
          <w:szCs w:val="24"/>
        </w:rPr>
      </w:pPr>
      <w:r>
        <w:rPr>
          <w:rFonts w:hint="eastAsia" w:ascii="Times New Roman" w:hAnsi="Times New Roman"/>
          <w:sz w:val="24"/>
          <w:szCs w:val="24"/>
        </w:rPr>
        <w:t>DA001排气筒排放的</w:t>
      </w:r>
      <w:r>
        <w:rPr>
          <w:rFonts w:ascii="Times New Roman" w:hAnsi="Times New Roman"/>
          <w:spacing w:val="-2"/>
          <w:kern w:val="0"/>
          <w:sz w:val="24"/>
          <w:szCs w:val="24"/>
        </w:rPr>
        <w:t>颗粒物、二氧化硫执行《工业炉窑大气污染物排放标准》（GB9078-1996）表2干燥炉、窑的排放限值，氮氧化物排放浓度</w:t>
      </w:r>
      <w:r>
        <w:rPr>
          <w:rFonts w:hint="eastAsia" w:ascii="Times New Roman" w:hAnsi="Times New Roman"/>
          <w:spacing w:val="-2"/>
          <w:kern w:val="0"/>
          <w:sz w:val="24"/>
          <w:szCs w:val="24"/>
        </w:rPr>
        <w:t>及排放速率</w:t>
      </w:r>
      <w:r>
        <w:rPr>
          <w:rFonts w:ascii="Times New Roman" w:hAnsi="Times New Roman"/>
          <w:spacing w:val="-2"/>
          <w:kern w:val="0"/>
          <w:sz w:val="24"/>
          <w:szCs w:val="24"/>
        </w:rPr>
        <w:t>参照《大气污染物综合排放标准（GB16297-1996）》二级标准执行</w:t>
      </w:r>
      <w:r>
        <w:rPr>
          <w:rFonts w:hint="eastAsia" w:ascii="Times New Roman" w:hAnsi="Times New Roman"/>
          <w:spacing w:val="-2"/>
          <w:kern w:val="0"/>
          <w:sz w:val="24"/>
          <w:szCs w:val="24"/>
        </w:rPr>
        <w:t>。</w:t>
      </w:r>
    </w:p>
    <w:p w14:paraId="033FF281">
      <w:pPr>
        <w:spacing w:line="360" w:lineRule="auto"/>
        <w:ind w:firstLine="480" w:firstLineChars="200"/>
        <w:rPr>
          <w:rFonts w:ascii="Times New Roman" w:hAnsi="Times New Roman"/>
          <w:sz w:val="24"/>
          <w:szCs w:val="24"/>
        </w:rPr>
      </w:pPr>
      <w:r>
        <w:rPr>
          <w:rFonts w:hint="eastAsia" w:ascii="Times New Roman" w:hAnsi="Times New Roman"/>
          <w:sz w:val="24"/>
          <w:szCs w:val="24"/>
        </w:rPr>
        <w:t>根据《</w:t>
      </w:r>
      <w:r>
        <w:rPr>
          <w:rFonts w:ascii="Times New Roman" w:hAnsi="Times New Roman"/>
          <w:spacing w:val="-2"/>
          <w:kern w:val="0"/>
          <w:sz w:val="24"/>
          <w:szCs w:val="24"/>
        </w:rPr>
        <w:t>工业炉窑大气污染物排放标准》（GB9078-1996）</w:t>
      </w:r>
      <w:r>
        <w:rPr>
          <w:rFonts w:hint="eastAsia" w:ascii="Times New Roman" w:hAnsi="Times New Roman"/>
          <w:spacing w:val="-2"/>
          <w:kern w:val="0"/>
          <w:sz w:val="24"/>
          <w:szCs w:val="24"/>
        </w:rPr>
        <w:t>要求，“各种工业炉窑烟排气筒最低允许高度为15m；当排气筒周围半径200m距离内有建筑物时，排气筒还应高出最高建筑物3m以上；排气筒高度如果达不到上述要求时，其污染物最高允许排放浓度应按相应区域排放标准值的50%执行”。</w:t>
      </w:r>
    </w:p>
    <w:p w14:paraId="4746F077">
      <w:pPr>
        <w:spacing w:line="360" w:lineRule="auto"/>
        <w:ind w:firstLine="480" w:firstLineChars="200"/>
        <w:rPr>
          <w:rFonts w:ascii="Times New Roman" w:hAnsi="Times New Roman"/>
          <w:sz w:val="24"/>
          <w:szCs w:val="24"/>
        </w:rPr>
      </w:pPr>
      <w:r>
        <w:rPr>
          <w:rFonts w:hint="eastAsia" w:ascii="Times New Roman" w:hAnsi="Times New Roman"/>
          <w:sz w:val="24"/>
          <w:szCs w:val="24"/>
        </w:rPr>
        <w:t>根据《大气污染物综合排放标准》（GB16297-1996）要求的“新污染源的排气筒一般不低于15m，排气筒高度应高出周围200m半径范围的建筑5m以上，不能达到该要求的排气筒，应按其高度对应的表列排放速率标准值严格50%执行”。</w:t>
      </w:r>
    </w:p>
    <w:p w14:paraId="0783E884">
      <w:pPr>
        <w:spacing w:line="360" w:lineRule="auto"/>
        <w:ind w:firstLine="480" w:firstLineChars="200"/>
        <w:rPr>
          <w:rFonts w:ascii="Times New Roman" w:hAnsi="Times New Roman"/>
          <w:spacing w:val="-2"/>
          <w:kern w:val="0"/>
          <w:sz w:val="24"/>
          <w:szCs w:val="24"/>
        </w:rPr>
      </w:pPr>
      <w:r>
        <w:rPr>
          <w:rFonts w:hint="eastAsia" w:ascii="Times New Roman" w:hAnsi="Times New Roman"/>
          <w:sz w:val="24"/>
          <w:szCs w:val="24"/>
        </w:rPr>
        <w:t>项目周边200m半径范围内的最高建筑为东北面的钦州港冷链保税交易中心厂房，高度为14m，综合《</w:t>
      </w:r>
      <w:r>
        <w:rPr>
          <w:rFonts w:ascii="Times New Roman" w:hAnsi="Times New Roman"/>
          <w:spacing w:val="-2"/>
          <w:kern w:val="0"/>
          <w:sz w:val="24"/>
          <w:szCs w:val="24"/>
        </w:rPr>
        <w:t>工业炉窑大气污染物排放标准》（GB9078-1996）</w:t>
      </w:r>
      <w:r>
        <w:rPr>
          <w:rFonts w:hint="eastAsia" w:ascii="Times New Roman" w:hAnsi="Times New Roman"/>
          <w:spacing w:val="-2"/>
          <w:kern w:val="0"/>
          <w:sz w:val="24"/>
          <w:szCs w:val="24"/>
        </w:rPr>
        <w:t>及</w:t>
      </w:r>
      <w:r>
        <w:rPr>
          <w:rFonts w:hint="eastAsia" w:ascii="Times New Roman" w:hAnsi="Times New Roman"/>
          <w:sz w:val="24"/>
          <w:szCs w:val="24"/>
        </w:rPr>
        <w:t>《大气污染物综合排放标准》（GB16297-1996）的要求，</w:t>
      </w:r>
      <w:r>
        <w:rPr>
          <w:rFonts w:hint="eastAsia" w:ascii="Times New Roman" w:hAnsi="Times New Roman"/>
          <w:spacing w:val="-2"/>
          <w:kern w:val="0"/>
          <w:sz w:val="24"/>
          <w:szCs w:val="24"/>
        </w:rPr>
        <w:t>本项目烘干炉烟气排气筒高度要求不低于19m</w:t>
      </w:r>
      <w:r>
        <w:rPr>
          <w:rFonts w:hint="eastAsia" w:ascii="Times New Roman" w:hAnsi="Times New Roman"/>
          <w:sz w:val="24"/>
          <w:szCs w:val="24"/>
        </w:rPr>
        <w:t>。本项目烘干炉烟气排气筒</w:t>
      </w:r>
      <w:r>
        <w:rPr>
          <w:rFonts w:hint="eastAsia" w:ascii="Times New Roman" w:hAnsi="Times New Roman"/>
          <w:spacing w:val="-2"/>
          <w:kern w:val="0"/>
          <w:sz w:val="24"/>
          <w:szCs w:val="24"/>
        </w:rPr>
        <w:t>DA001高度为19m，</w:t>
      </w:r>
      <w:r>
        <w:rPr>
          <w:rFonts w:hint="eastAsia" w:ascii="Times New Roman" w:hAnsi="Times New Roman"/>
          <w:sz w:val="24"/>
          <w:szCs w:val="24"/>
        </w:rPr>
        <w:t>排气筒高度设置可满足相关标准要求。</w:t>
      </w:r>
    </w:p>
    <w:p w14:paraId="6A7BCDEB">
      <w:pPr>
        <w:spacing w:line="360" w:lineRule="auto"/>
        <w:ind w:firstLine="472" w:firstLineChars="200"/>
        <w:rPr>
          <w:rFonts w:ascii="Times New Roman" w:hAnsi="Times New Roman"/>
          <w:sz w:val="24"/>
          <w:szCs w:val="24"/>
        </w:rPr>
      </w:pPr>
      <w:r>
        <w:rPr>
          <w:rFonts w:hint="eastAsia" w:ascii="Times New Roman" w:hAnsi="Times New Roman"/>
          <w:spacing w:val="-2"/>
          <w:kern w:val="0"/>
          <w:sz w:val="24"/>
          <w:szCs w:val="24"/>
        </w:rPr>
        <w:t>（2）生产车间粉尘排气筒DA002、DA003排放口高度</w:t>
      </w:r>
    </w:p>
    <w:p w14:paraId="2A979287">
      <w:pPr>
        <w:spacing w:line="360" w:lineRule="auto"/>
        <w:ind w:firstLine="480" w:firstLineChars="200"/>
        <w:rPr>
          <w:rFonts w:ascii="Times New Roman" w:hAnsi="Times New Roman"/>
          <w:spacing w:val="-2"/>
          <w:kern w:val="0"/>
          <w:sz w:val="24"/>
          <w:szCs w:val="24"/>
          <w:u w:val="single"/>
        </w:rPr>
      </w:pPr>
      <w:r>
        <w:rPr>
          <w:rFonts w:hint="eastAsia" w:ascii="Times New Roman" w:hAnsi="Times New Roman"/>
          <w:sz w:val="24"/>
          <w:szCs w:val="24"/>
          <w:u w:val="single"/>
        </w:rPr>
        <w:t>DA002、DA003排气筒排放的</w:t>
      </w:r>
      <w:r>
        <w:rPr>
          <w:rFonts w:ascii="Times New Roman" w:hAnsi="Times New Roman"/>
          <w:spacing w:val="-2"/>
          <w:kern w:val="0"/>
          <w:sz w:val="24"/>
          <w:szCs w:val="24"/>
          <w:u w:val="single"/>
        </w:rPr>
        <w:t>颗粒物</w:t>
      </w:r>
      <w:r>
        <w:rPr>
          <w:rFonts w:hint="eastAsia" w:ascii="Times New Roman" w:hAnsi="Times New Roman"/>
          <w:spacing w:val="-2"/>
          <w:kern w:val="0"/>
          <w:sz w:val="24"/>
          <w:szCs w:val="24"/>
          <w:u w:val="single"/>
        </w:rPr>
        <w:t>执行《大气污染物综合排放标准》（GB16297-1996）。</w:t>
      </w:r>
      <w:r>
        <w:rPr>
          <w:rFonts w:hint="eastAsia" w:ascii="Times New Roman" w:hAnsi="Times New Roman"/>
          <w:sz w:val="24"/>
          <w:szCs w:val="24"/>
          <w:u w:val="single"/>
        </w:rPr>
        <w:t>《大气污染物综合排放标准》（GB16297-1996）的要求“新污染源的排气筒一般不低于15m，排气筒高度应高出周围200m半径范围的建筑5m以上</w:t>
      </w:r>
      <w:r>
        <w:rPr>
          <w:rFonts w:hint="eastAsia" w:ascii="Times New Roman" w:hAnsi="Times New Roman"/>
          <w:spacing w:val="-2"/>
          <w:kern w:val="0"/>
          <w:sz w:val="24"/>
          <w:szCs w:val="24"/>
          <w:u w:val="single"/>
        </w:rPr>
        <w:t>”，结合排气筒周围半径200 m范围内最高的建筑物</w:t>
      </w:r>
      <w:r>
        <w:rPr>
          <w:rFonts w:hint="eastAsia" w:ascii="Times New Roman" w:hAnsi="Times New Roman"/>
          <w:sz w:val="24"/>
          <w:szCs w:val="24"/>
          <w:u w:val="single"/>
        </w:rPr>
        <w:t>钦州港冷链保税交易中心厂房</w:t>
      </w:r>
      <w:r>
        <w:rPr>
          <w:rFonts w:hint="eastAsia" w:ascii="Times New Roman" w:hAnsi="Times New Roman"/>
          <w:spacing w:val="-2"/>
          <w:kern w:val="0"/>
          <w:sz w:val="24"/>
          <w:szCs w:val="24"/>
          <w:u w:val="single"/>
        </w:rPr>
        <w:t>高14m，本项目车间粉尘排气筒高度要求不低于19m。项目DA002</w:t>
      </w:r>
      <w:r>
        <w:rPr>
          <w:rFonts w:hint="eastAsia" w:ascii="Times New Roman" w:hAnsi="Times New Roman"/>
          <w:sz w:val="24"/>
          <w:szCs w:val="24"/>
          <w:u w:val="single"/>
        </w:rPr>
        <w:t>、DA003排气筒高度均为19m，排气筒高度设置可满足标准要求。</w:t>
      </w:r>
    </w:p>
    <w:p w14:paraId="13DD1CF0">
      <w:pPr>
        <w:spacing w:line="360" w:lineRule="auto"/>
        <w:ind w:firstLine="480" w:firstLineChars="200"/>
        <w:rPr>
          <w:rFonts w:ascii="Times New Roman" w:hAnsi="Times New Roman"/>
          <w:sz w:val="24"/>
          <w:szCs w:val="24"/>
        </w:rPr>
      </w:pPr>
      <w:r>
        <w:rPr>
          <w:rFonts w:hint="eastAsia" w:ascii="Times New Roman" w:hAnsi="Times New Roman"/>
          <w:sz w:val="24"/>
          <w:szCs w:val="24"/>
        </w:rPr>
        <w:t>根据预测结果，项目正常排放的情况下，各污染物在各敏感点处的浓度预测值均能达到相应环境空气质量标准限值要求，排气筒高度满足不同车间、不同污染物排放高度的需要。</w:t>
      </w:r>
    </w:p>
    <w:p w14:paraId="24ABD923">
      <w:pPr>
        <w:spacing w:line="360" w:lineRule="auto"/>
        <w:ind w:firstLine="480" w:firstLineChars="200"/>
        <w:rPr>
          <w:rFonts w:ascii="Times New Roman" w:hAnsi="Times New Roman"/>
          <w:sz w:val="24"/>
          <w:szCs w:val="24"/>
        </w:rPr>
      </w:pPr>
      <w:r>
        <w:rPr>
          <w:rFonts w:hint="eastAsia" w:ascii="Times New Roman" w:hAnsi="Times New Roman"/>
          <w:sz w:val="24"/>
          <w:szCs w:val="24"/>
        </w:rPr>
        <w:t>（3）排气筒出口处烟气速度</w:t>
      </w:r>
    </w:p>
    <w:p w14:paraId="6FB5E529">
      <w:pPr>
        <w:spacing w:line="360" w:lineRule="auto"/>
        <w:ind w:firstLine="480" w:firstLineChars="200"/>
        <w:rPr>
          <w:rFonts w:ascii="Times New Roman" w:hAnsi="Times New Roman"/>
          <w:sz w:val="24"/>
          <w:szCs w:val="24"/>
        </w:rPr>
      </w:pPr>
      <w:r>
        <w:rPr>
          <w:rFonts w:hint="eastAsia" w:ascii="Times New Roman" w:hAnsi="Times New Roman"/>
          <w:sz w:val="24"/>
          <w:szCs w:val="24"/>
        </w:rPr>
        <w:t>根据《制定地方大气污染物排放标准的技术方法》（GB/T3840-1991）中规定：新建、改建和扩建工程的排气筒出口处烟气速度不得小于按照《制定地方大气污染物排放标准的技术方法》（GB/T3840-1991）计算出的风速Vc的1.5倍。</w:t>
      </w:r>
    </w:p>
    <w:p w14:paraId="302540BE">
      <w:pPr>
        <w:spacing w:line="360" w:lineRule="auto"/>
        <w:ind w:firstLine="480" w:firstLineChars="200"/>
        <w:jc w:val="center"/>
        <w:rPr>
          <w:rFonts w:ascii="Times New Roman" w:hAnsi="Times New Roman"/>
          <w:sz w:val="24"/>
          <w:szCs w:val="24"/>
        </w:rPr>
      </w:pPr>
      <m:oMathPara>
        <m:oMath>
          <m:sSub>
            <m:sSubPr>
              <m:ctrlPr>
                <w:rPr>
                  <w:rFonts w:ascii="Cambria Math" w:hAnsi="Cambria Math"/>
                  <w:i/>
                  <w:sz w:val="24"/>
                  <w:szCs w:val="24"/>
                </w:rPr>
              </m:ctrlPr>
            </m:sSubPr>
            <m:e>
              <m:r>
                <m:rPr/>
                <w:rPr>
                  <w:rFonts w:hint="eastAsia" w:ascii="Cambria Math" w:hAnsi="Cambria Math"/>
                  <w:sz w:val="24"/>
                  <w:szCs w:val="24"/>
                </w:rPr>
                <m:t>V</m:t>
              </m:r>
              <m:ctrlPr>
                <w:rPr>
                  <w:rFonts w:ascii="Cambria Math" w:hAnsi="Cambria Math"/>
                  <w:i/>
                  <w:sz w:val="24"/>
                  <w:szCs w:val="24"/>
                </w:rPr>
              </m:ctrlPr>
            </m:e>
            <m:sub>
              <m:r>
                <m:rPr/>
                <w:rPr>
                  <w:rFonts w:hint="eastAsia" w:ascii="Cambria Math" w:hAnsi="Cambria Math"/>
                  <w:sz w:val="24"/>
                  <w:szCs w:val="24"/>
                </w:rPr>
                <m:t>c</m:t>
              </m:r>
              <m:ctrlPr>
                <w:rPr>
                  <w:rFonts w:ascii="Cambria Math" w:hAnsi="Cambria Math"/>
                  <w:i/>
                  <w:sz w:val="24"/>
                  <w:szCs w:val="24"/>
                </w:rPr>
              </m:ctrlPr>
            </m:sub>
          </m:sSub>
          <m:r>
            <m:rPr/>
            <w:rPr>
              <w:rFonts w:ascii="Cambria Math" w:hAnsi="Cambria Math"/>
              <w:sz w:val="24"/>
              <w:szCs w:val="24"/>
            </w:rPr>
            <m:t>=</m:t>
          </m:r>
          <m:r>
            <m:rPr/>
            <w:rPr>
              <w:rFonts w:hint="eastAsia" w:ascii="Cambria Math" w:hAnsi="Cambria Math"/>
              <w:sz w:val="24"/>
              <w:szCs w:val="24"/>
            </w:rPr>
            <m:t>V</m:t>
          </m:r>
          <m:r>
            <m:rP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r>
                    <m:rPr/>
                    <w:rPr>
                      <w:rFonts w:ascii="Cambria Math" w:hAnsi="Cambria Math"/>
                      <w:sz w:val="24"/>
                      <w:szCs w:val="24"/>
                    </w:rPr>
                    <m:t>2.303</m:t>
                  </m:r>
                  <m:ctrlPr>
                    <w:rPr>
                      <w:rFonts w:ascii="Cambria Math" w:hAnsi="Cambria Math"/>
                      <w:i/>
                      <w:sz w:val="24"/>
                      <w:szCs w:val="24"/>
                    </w:rPr>
                  </m:ctrlPr>
                </m:e>
              </m:d>
              <m:ctrlPr>
                <w:rPr>
                  <w:rFonts w:ascii="Cambria Math" w:hAnsi="Cambria Math"/>
                  <w:i/>
                  <w:sz w:val="24"/>
                  <w:szCs w:val="24"/>
                </w:rPr>
              </m:ctrlPr>
            </m:e>
            <m:sup>
              <m:r>
                <m:rPr/>
                <w:rPr>
                  <w:rFonts w:ascii="Cambria Math" w:hAnsi="Cambria Math"/>
                  <w:sz w:val="24"/>
                  <w:szCs w:val="24"/>
                </w:rPr>
                <m:t>1/</m:t>
              </m:r>
              <m:r>
                <m:rPr/>
                <w:rPr>
                  <w:rFonts w:hint="eastAsia" w:ascii="Cambria Math" w:hAnsi="Cambria Math"/>
                  <w:sz w:val="24"/>
                  <w:szCs w:val="24"/>
                </w:rPr>
                <m:t>K</m:t>
              </m:r>
              <m:ctrlPr>
                <w:rPr>
                  <w:rFonts w:ascii="Cambria Math" w:hAnsi="Cambria Math"/>
                  <w:i/>
                  <w:sz w:val="24"/>
                  <w:szCs w:val="24"/>
                </w:rPr>
              </m:ctrlPr>
            </m:sup>
          </m:sSup>
          <m:r>
            <m:rPr/>
            <w:rPr>
              <w:rFonts w:ascii="Cambria Math" w:hAnsi="Cambria Math"/>
              <w:sz w:val="24"/>
              <w:szCs w:val="24"/>
            </w:rPr>
            <m:t>/</m:t>
          </m:r>
          <m:r>
            <m:rPr/>
            <w:rPr>
              <w:rFonts w:hint="eastAsia" w:ascii="Cambria Math" w:hAnsi="Cambria Math"/>
              <w:sz w:val="24"/>
              <w:szCs w:val="24"/>
            </w:rPr>
            <m:t>Γ</m:t>
          </m:r>
          <m:d>
            <m:dPr>
              <m:ctrlPr>
                <w:rPr>
                  <w:rFonts w:ascii="Cambria Math" w:hAnsi="Cambria Math"/>
                  <w:i/>
                  <w:sz w:val="24"/>
                  <w:szCs w:val="24"/>
                </w:rPr>
              </m:ctrlPr>
            </m:dPr>
            <m:e>
              <m:r>
                <m:rPr/>
                <w:rPr>
                  <w:rFonts w:ascii="Cambria Math" w:hAnsi="Cambria Math"/>
                  <w:sz w:val="24"/>
                  <w:szCs w:val="24"/>
                </w:rPr>
                <m:t>1+</m:t>
              </m:r>
              <m:f>
                <m:fPr>
                  <m:ctrlPr>
                    <w:rPr>
                      <w:rFonts w:ascii="Cambria Math" w:hAnsi="Cambria Math"/>
                      <w:i/>
                      <w:sz w:val="24"/>
                      <w:szCs w:val="24"/>
                    </w:rPr>
                  </m:ctrlPr>
                </m:fPr>
                <m:num>
                  <m:r>
                    <m:rPr/>
                    <w:rPr>
                      <w:rFonts w:ascii="Cambria Math" w:hAnsi="Cambria Math"/>
                      <w:sz w:val="24"/>
                      <w:szCs w:val="24"/>
                    </w:rPr>
                    <m:t>1</m:t>
                  </m:r>
                  <m:ctrlPr>
                    <w:rPr>
                      <w:rFonts w:ascii="Cambria Math" w:hAnsi="Cambria Math"/>
                      <w:i/>
                      <w:sz w:val="24"/>
                      <w:szCs w:val="24"/>
                    </w:rPr>
                  </m:ctrlPr>
                </m:num>
                <m:den>
                  <m:r>
                    <m:rPr/>
                    <w:rPr>
                      <w:rFonts w:hint="eastAsia" w:ascii="Cambria Math" w:hAnsi="Cambria Math"/>
                      <w:sz w:val="24"/>
                      <w:szCs w:val="24"/>
                    </w:rPr>
                    <m:t>K</m:t>
                  </m:r>
                  <m:ctrlPr>
                    <w:rPr>
                      <w:rFonts w:ascii="Cambria Math" w:hAnsi="Cambria Math"/>
                      <w:i/>
                      <w:sz w:val="24"/>
                      <w:szCs w:val="24"/>
                    </w:rPr>
                  </m:ctrlPr>
                </m:den>
              </m:f>
              <m:ctrlPr>
                <w:rPr>
                  <w:rFonts w:ascii="Cambria Math" w:hAnsi="Cambria Math"/>
                  <w:i/>
                  <w:sz w:val="24"/>
                  <w:szCs w:val="24"/>
                </w:rPr>
              </m:ctrlPr>
            </m:e>
          </m:d>
        </m:oMath>
      </m:oMathPara>
    </w:p>
    <w:p w14:paraId="203193C4">
      <w:pPr>
        <w:spacing w:line="360" w:lineRule="auto"/>
        <w:ind w:firstLine="480" w:firstLineChars="200"/>
        <w:jc w:val="center"/>
        <w:rPr>
          <w:rFonts w:ascii="Times New Roman" w:hAnsi="Times New Roman"/>
          <w:sz w:val="24"/>
          <w:szCs w:val="24"/>
        </w:rPr>
      </w:pPr>
      <m:oMathPara>
        <m:oMath>
          <m:r>
            <m:rPr/>
            <w:rPr>
              <w:rFonts w:hint="eastAsia" w:ascii="Cambria Math" w:hAnsi="Cambria Math"/>
              <w:sz w:val="24"/>
              <w:szCs w:val="24"/>
            </w:rPr>
            <m:t>K</m:t>
          </m:r>
          <m:r>
            <m:rPr/>
            <w:rPr>
              <w:rFonts w:ascii="Cambria Math" w:hAnsi="Cambria Math"/>
              <w:sz w:val="24"/>
              <w:szCs w:val="24"/>
            </w:rPr>
            <m:t>=0.74+0.19</m:t>
          </m:r>
          <m:r>
            <m:rPr/>
            <w:rPr>
              <w:rFonts w:hint="eastAsia" w:ascii="Cambria Math" w:hAnsi="Cambria Math"/>
              <w:sz w:val="24"/>
              <w:szCs w:val="24"/>
            </w:rPr>
            <m:t>V</m:t>
          </m:r>
        </m:oMath>
      </m:oMathPara>
    </w:p>
    <w:p w14:paraId="28FE7868">
      <w:pPr>
        <w:spacing w:line="360" w:lineRule="auto"/>
        <w:ind w:firstLine="480" w:firstLineChars="200"/>
        <w:rPr>
          <w:rFonts w:ascii="Times New Roman" w:hAnsi="Times New Roman"/>
          <w:sz w:val="24"/>
          <w:szCs w:val="24"/>
        </w:rPr>
      </w:pPr>
      <w:r>
        <w:rPr>
          <w:rFonts w:hint="eastAsia" w:ascii="Times New Roman" w:hAnsi="Times New Roman"/>
          <w:sz w:val="24"/>
          <w:szCs w:val="24"/>
        </w:rPr>
        <w:t>式中：</w:t>
      </w:r>
    </w:p>
    <w:p w14:paraId="455DFC15">
      <w:pPr>
        <w:spacing w:line="360" w:lineRule="auto"/>
        <w:ind w:firstLine="480" w:firstLineChars="200"/>
        <w:rPr>
          <w:rFonts w:ascii="Times New Roman" w:hAnsi="Times New Roman"/>
          <w:sz w:val="24"/>
          <w:szCs w:val="24"/>
        </w:rPr>
      </w:pPr>
      <w:r>
        <w:rPr>
          <w:rFonts w:hint="eastAsia" w:ascii="Times New Roman" w:hAnsi="Times New Roman"/>
          <w:sz w:val="24"/>
          <w:szCs w:val="24"/>
        </w:rPr>
        <w:t>K</w:t>
      </w:r>
      <w:r>
        <w:rPr>
          <w:rFonts w:ascii="Times New Roman" w:hAnsi="Times New Roman"/>
          <w:spacing w:val="-2"/>
          <w:kern w:val="0"/>
          <w:sz w:val="24"/>
          <w:szCs w:val="24"/>
        </w:rPr>
        <w:t>——</w:t>
      </w:r>
      <w:r>
        <w:rPr>
          <w:rFonts w:hint="eastAsia" w:ascii="Times New Roman" w:hAnsi="Times New Roman"/>
          <w:sz w:val="24"/>
          <w:szCs w:val="24"/>
        </w:rPr>
        <w:t>韦伯斜率；</w:t>
      </w:r>
    </w:p>
    <w:p w14:paraId="419C845A">
      <w:pPr>
        <w:spacing w:line="360" w:lineRule="auto"/>
        <w:ind w:firstLine="480" w:firstLineChars="200"/>
        <w:rPr>
          <w:rFonts w:ascii="Times New Roman" w:hAnsi="Times New Roman"/>
          <w:sz w:val="24"/>
          <w:szCs w:val="24"/>
        </w:rPr>
      </w:pPr>
      <w:r>
        <w:rPr>
          <w:rFonts w:ascii="Times New Roman" w:hAnsi="Times New Roman"/>
          <w:sz w:val="24"/>
          <w:szCs w:val="24"/>
        </w:rPr>
        <w:t>Γ(λ)</w:t>
      </w:r>
      <w:r>
        <w:rPr>
          <w:rFonts w:ascii="Times New Roman" w:hAnsi="Times New Roman"/>
          <w:spacing w:val="-2"/>
          <w:kern w:val="0"/>
          <w:sz w:val="24"/>
          <w:szCs w:val="24"/>
        </w:rPr>
        <w:t xml:space="preserve"> ——</w:t>
      </w:r>
      <w:r>
        <w:rPr>
          <w:rFonts w:ascii="Times New Roman" w:hAnsi="Times New Roman"/>
          <w:sz w:val="24"/>
          <w:szCs w:val="24"/>
        </w:rPr>
        <w:t>Γ函数，λ=1+1/K，Γ(λ)</w:t>
      </w:r>
      <w:r>
        <w:rPr>
          <w:rFonts w:hint="eastAsia" w:ascii="Times New Roman" w:hAnsi="Times New Roman"/>
          <w:sz w:val="24"/>
          <w:szCs w:val="24"/>
        </w:rPr>
        <w:t>函数数值取值见</w:t>
      </w:r>
      <w:r>
        <w:rPr>
          <w:rFonts w:ascii="Times New Roman" w:hAnsi="Times New Roman"/>
          <w:sz w:val="24"/>
          <w:szCs w:val="24"/>
        </w:rPr>
        <w:t>GB/T3840-1991</w:t>
      </w:r>
      <w:r>
        <w:rPr>
          <w:rFonts w:hint="eastAsia" w:ascii="Times New Roman" w:hAnsi="Times New Roman"/>
          <w:sz w:val="24"/>
          <w:szCs w:val="24"/>
        </w:rPr>
        <w:t>附录C；</w:t>
      </w:r>
    </w:p>
    <w:p w14:paraId="2C8E388E">
      <w:pPr>
        <w:spacing w:line="360" w:lineRule="auto"/>
        <w:ind w:firstLine="480" w:firstLineChars="200"/>
        <w:rPr>
          <w:rFonts w:ascii="Times New Roman" w:hAnsi="Times New Roman"/>
          <w:sz w:val="24"/>
          <w:szCs w:val="24"/>
        </w:rPr>
      </w:pPr>
      <w:r>
        <w:rPr>
          <w:rFonts w:hint="eastAsia" w:ascii="Times New Roman" w:hAnsi="Times New Roman"/>
          <w:sz w:val="24"/>
          <w:szCs w:val="24"/>
        </w:rPr>
        <w:t>V</w:t>
      </w:r>
      <w:r>
        <w:rPr>
          <w:rFonts w:ascii="Times New Roman" w:hAnsi="Times New Roman"/>
          <w:spacing w:val="-2"/>
          <w:kern w:val="0"/>
          <w:sz w:val="24"/>
          <w:szCs w:val="24"/>
        </w:rPr>
        <w:t>——</w:t>
      </w:r>
      <w:r>
        <w:rPr>
          <w:rFonts w:hint="eastAsia" w:ascii="Times New Roman" w:hAnsi="Times New Roman"/>
          <w:sz w:val="24"/>
          <w:szCs w:val="24"/>
        </w:rPr>
        <w:t>排气筒出口高度处环境多年平均风速，V可通过下式计算：</w:t>
      </w:r>
    </w:p>
    <w:p w14:paraId="671C5A7A">
      <w:pPr>
        <w:spacing w:line="360" w:lineRule="auto"/>
        <w:ind w:firstLine="480" w:firstLineChars="200"/>
        <w:jc w:val="center"/>
        <w:rPr>
          <w:rFonts w:ascii="Times New Roman" w:hAnsi="Times New Roman"/>
          <w:sz w:val="24"/>
          <w:szCs w:val="24"/>
        </w:rPr>
      </w:pPr>
      <m:oMathPara>
        <m:oMath>
          <m:r>
            <m:rPr/>
            <w:rPr>
              <w:rFonts w:hint="eastAsia" w:ascii="Cambria Math" w:hAnsi="Cambria Math"/>
              <w:sz w:val="24"/>
              <w:szCs w:val="24"/>
            </w:rPr>
            <m:t>V</m:t>
          </m:r>
          <m:r>
            <m:rPr/>
            <w:rPr>
              <w:rFonts w:ascii="Cambria Math" w:hAnsi="Cambria Math"/>
              <w:sz w:val="24"/>
              <w:szCs w:val="24"/>
            </w:rPr>
            <m:t>=</m:t>
          </m:r>
          <m:sSub>
            <m:sSubPr>
              <m:ctrlPr>
                <w:rPr>
                  <w:rFonts w:ascii="Cambria Math" w:hAnsi="Cambria Math"/>
                  <w:i/>
                  <w:sz w:val="24"/>
                  <w:szCs w:val="24"/>
                </w:rPr>
              </m:ctrlPr>
            </m:sSubPr>
            <m:e>
              <m:r>
                <m:rPr/>
                <w:rPr>
                  <w:rFonts w:hint="eastAsia" w:ascii="Cambria Math" w:hAnsi="Cambria Math"/>
                  <w:sz w:val="24"/>
                  <w:szCs w:val="24"/>
                </w:rPr>
                <m:t>V</m:t>
              </m:r>
              <m:ctrlPr>
                <w:rPr>
                  <w:rFonts w:ascii="Cambria Math" w:hAnsi="Cambria Math"/>
                  <w:i/>
                  <w:sz w:val="24"/>
                  <w:szCs w:val="24"/>
                </w:rPr>
              </m:ctrlPr>
            </m:e>
            <m:sub>
              <m:r>
                <m:rPr/>
                <w:rPr>
                  <w:rFonts w:ascii="Cambria Math" w:hAnsi="Cambria Math"/>
                  <w:sz w:val="24"/>
                  <w:szCs w:val="24"/>
                </w:rPr>
                <m:t>0</m:t>
              </m:r>
              <m:ctrlPr>
                <w:rPr>
                  <w:rFonts w:ascii="Cambria Math" w:hAnsi="Cambria Math"/>
                  <w:i/>
                  <w:sz w:val="24"/>
                  <w:szCs w:val="24"/>
                </w:rPr>
              </m:ctrlPr>
            </m:sub>
          </m:sSub>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r>
                        <m:rPr/>
                        <w:rPr>
                          <w:rFonts w:hint="eastAsia" w:ascii="Cambria Math" w:hAnsi="Cambria Math"/>
                          <w:sz w:val="24"/>
                          <w:szCs w:val="24"/>
                        </w:rPr>
                        <m:t>Z</m:t>
                      </m:r>
                      <m:ctrlPr>
                        <w:rPr>
                          <w:rFonts w:ascii="Cambria Math" w:hAnsi="Cambria Math"/>
                          <w:i/>
                          <w:sz w:val="24"/>
                          <w:szCs w:val="24"/>
                        </w:rPr>
                      </m:ctrlPr>
                    </m:num>
                    <m:den>
                      <m:sSub>
                        <m:sSubPr>
                          <m:ctrlPr>
                            <w:rPr>
                              <w:rFonts w:ascii="Cambria Math" w:hAnsi="Cambria Math"/>
                              <w:i/>
                              <w:sz w:val="24"/>
                              <w:szCs w:val="24"/>
                            </w:rPr>
                          </m:ctrlPr>
                        </m:sSubPr>
                        <m:e>
                          <m:r>
                            <m:rPr/>
                            <w:rPr>
                              <w:rFonts w:hint="eastAsia" w:ascii="Cambria Math" w:hAnsi="Cambria Math"/>
                              <w:sz w:val="24"/>
                              <w:szCs w:val="24"/>
                            </w:rPr>
                            <m:t>Z</m:t>
                          </m:r>
                          <m:ctrlPr>
                            <w:rPr>
                              <w:rFonts w:ascii="Cambria Math" w:hAnsi="Cambria Math"/>
                              <w:i/>
                              <w:sz w:val="24"/>
                              <w:szCs w:val="24"/>
                            </w:rPr>
                          </m:ctrlPr>
                        </m:e>
                        <m:sub>
                          <m:r>
                            <m:rPr/>
                            <w:rPr>
                              <w:rFonts w:ascii="Cambria Math" w:hAnsi="Cambria Math"/>
                              <w:sz w:val="24"/>
                              <w:szCs w:val="24"/>
                            </w:rPr>
                            <m:t>0</m:t>
                          </m:r>
                          <m:ctrlPr>
                            <w:rPr>
                              <w:rFonts w:ascii="Cambria Math" w:hAnsi="Cambria Math"/>
                              <w:i/>
                              <w:sz w:val="24"/>
                              <w:szCs w:val="24"/>
                            </w:rPr>
                          </m:ctrlPr>
                        </m:sub>
                      </m:sSub>
                      <m:ctrlPr>
                        <w:rPr>
                          <w:rFonts w:ascii="Cambria Math" w:hAnsi="Cambria Math"/>
                          <w:i/>
                          <w:sz w:val="24"/>
                          <w:szCs w:val="24"/>
                        </w:rPr>
                      </m:ctrlPr>
                    </m:den>
                  </m:f>
                  <m:ctrlPr>
                    <w:rPr>
                      <w:rFonts w:ascii="Cambria Math" w:hAnsi="Cambria Math"/>
                      <w:i/>
                      <w:sz w:val="24"/>
                      <w:szCs w:val="24"/>
                    </w:rPr>
                  </m:ctrlPr>
                </m:e>
              </m:d>
              <m:ctrlPr>
                <w:rPr>
                  <w:rFonts w:ascii="Cambria Math" w:hAnsi="Cambria Math"/>
                  <w:i/>
                  <w:sz w:val="24"/>
                  <w:szCs w:val="24"/>
                </w:rPr>
              </m:ctrlPr>
            </m:e>
            <m:sup>
              <m:r>
                <m:rPr/>
                <w:rPr>
                  <w:rFonts w:hint="eastAsia" w:ascii="Cambria Math" w:hAnsi="Cambria Math"/>
                  <w:sz w:val="24"/>
                  <w:szCs w:val="24"/>
                </w:rPr>
                <m:t>m</m:t>
              </m:r>
              <m:ctrlPr>
                <w:rPr>
                  <w:rFonts w:ascii="Cambria Math" w:hAnsi="Cambria Math"/>
                  <w:i/>
                  <w:sz w:val="24"/>
                  <w:szCs w:val="24"/>
                </w:rPr>
              </m:ctrlPr>
            </m:sup>
          </m:sSup>
        </m:oMath>
      </m:oMathPara>
    </w:p>
    <w:p w14:paraId="45C7F1AE">
      <w:pPr>
        <w:spacing w:line="360" w:lineRule="auto"/>
        <w:ind w:firstLine="480" w:firstLineChars="200"/>
        <w:rPr>
          <w:rFonts w:ascii="Times New Roman" w:hAnsi="Times New Roman"/>
          <w:sz w:val="24"/>
          <w:szCs w:val="24"/>
        </w:rPr>
      </w:pPr>
      <w:r>
        <w:rPr>
          <w:rFonts w:hint="eastAsia" w:ascii="Times New Roman" w:hAnsi="Times New Roman"/>
          <w:sz w:val="24"/>
          <w:szCs w:val="24"/>
        </w:rPr>
        <w:t>V</w:t>
      </w:r>
      <w:r>
        <w:rPr>
          <w:rFonts w:hint="eastAsia" w:ascii="Times New Roman" w:hAnsi="Times New Roman"/>
          <w:sz w:val="24"/>
          <w:szCs w:val="24"/>
          <w:vertAlign w:val="subscript"/>
        </w:rPr>
        <w:t>0</w:t>
      </w:r>
      <w:r>
        <w:rPr>
          <w:rFonts w:ascii="Times New Roman" w:hAnsi="Times New Roman"/>
          <w:spacing w:val="-2"/>
          <w:kern w:val="0"/>
          <w:sz w:val="24"/>
          <w:szCs w:val="24"/>
        </w:rPr>
        <w:t>——</w:t>
      </w:r>
      <w:r>
        <w:rPr>
          <w:rFonts w:hint="eastAsia" w:ascii="Times New Roman" w:hAnsi="Times New Roman"/>
          <w:sz w:val="24"/>
          <w:szCs w:val="24"/>
        </w:rPr>
        <w:t>地面多年平均风速，钦州市取2.2m/s；</w:t>
      </w:r>
    </w:p>
    <w:p w14:paraId="228F879D">
      <w:pPr>
        <w:spacing w:line="360" w:lineRule="auto"/>
        <w:ind w:firstLine="480" w:firstLineChars="200"/>
        <w:rPr>
          <w:rFonts w:ascii="Times New Roman" w:hAnsi="Times New Roman"/>
          <w:sz w:val="24"/>
          <w:szCs w:val="24"/>
        </w:rPr>
      </w:pPr>
      <w:r>
        <w:rPr>
          <w:rFonts w:hint="eastAsia" w:ascii="Times New Roman" w:hAnsi="Times New Roman"/>
          <w:sz w:val="24"/>
          <w:szCs w:val="24"/>
        </w:rPr>
        <w:t>Z</w:t>
      </w:r>
      <w:r>
        <w:rPr>
          <w:rFonts w:hint="eastAsia" w:ascii="Times New Roman" w:hAnsi="Times New Roman"/>
          <w:sz w:val="24"/>
          <w:szCs w:val="24"/>
          <w:vertAlign w:val="subscript"/>
        </w:rPr>
        <w:t>0</w:t>
      </w:r>
      <w:r>
        <w:rPr>
          <w:rFonts w:ascii="Times New Roman" w:hAnsi="Times New Roman"/>
          <w:spacing w:val="-2"/>
          <w:kern w:val="0"/>
          <w:sz w:val="24"/>
          <w:szCs w:val="24"/>
        </w:rPr>
        <w:t>——</w:t>
      </w:r>
      <w:r>
        <w:rPr>
          <w:rFonts w:hint="eastAsia" w:ascii="Times New Roman" w:hAnsi="Times New Roman"/>
          <w:sz w:val="24"/>
          <w:szCs w:val="24"/>
        </w:rPr>
        <w:t>地面风速测风仪高度，m，取1m；</w:t>
      </w:r>
    </w:p>
    <w:p w14:paraId="77525EFC">
      <w:pPr>
        <w:spacing w:line="360" w:lineRule="auto"/>
        <w:ind w:firstLine="480" w:firstLineChars="200"/>
        <w:rPr>
          <w:rFonts w:ascii="Times New Roman" w:hAnsi="Times New Roman"/>
          <w:sz w:val="24"/>
          <w:szCs w:val="24"/>
        </w:rPr>
      </w:pPr>
      <w:r>
        <w:rPr>
          <w:rFonts w:hint="eastAsia" w:ascii="Times New Roman" w:hAnsi="Times New Roman"/>
          <w:sz w:val="24"/>
          <w:szCs w:val="24"/>
        </w:rPr>
        <w:t>Z</w:t>
      </w:r>
      <w:r>
        <w:rPr>
          <w:rFonts w:ascii="Times New Roman" w:hAnsi="Times New Roman"/>
          <w:spacing w:val="-2"/>
          <w:kern w:val="0"/>
          <w:sz w:val="24"/>
          <w:szCs w:val="24"/>
        </w:rPr>
        <w:t>——</w:t>
      </w:r>
      <w:r>
        <w:rPr>
          <w:rFonts w:hint="eastAsia" w:ascii="Times New Roman" w:hAnsi="Times New Roman"/>
          <w:spacing w:val="-2"/>
          <w:kern w:val="0"/>
          <w:sz w:val="24"/>
          <w:szCs w:val="24"/>
        </w:rPr>
        <w:t>排气筒出口处</w:t>
      </w:r>
      <w:r>
        <w:rPr>
          <w:rFonts w:hint="eastAsia" w:ascii="Times New Roman" w:hAnsi="Times New Roman"/>
          <w:sz w:val="24"/>
          <w:szCs w:val="24"/>
        </w:rPr>
        <w:t>高度，m；</w:t>
      </w:r>
    </w:p>
    <w:p w14:paraId="2E12D84B">
      <w:pPr>
        <w:spacing w:line="360" w:lineRule="auto"/>
        <w:ind w:firstLine="480" w:firstLineChars="200"/>
        <w:rPr>
          <w:rFonts w:ascii="Times New Roman" w:hAnsi="Times New Roman"/>
          <w:sz w:val="24"/>
          <w:szCs w:val="24"/>
        </w:rPr>
      </w:pPr>
      <w:r>
        <w:rPr>
          <w:rFonts w:hint="eastAsia" w:ascii="Times New Roman" w:hAnsi="Times New Roman"/>
          <w:sz w:val="24"/>
          <w:szCs w:val="24"/>
        </w:rPr>
        <w:t>m</w:t>
      </w:r>
      <w:r>
        <w:rPr>
          <w:rFonts w:ascii="Times New Roman" w:hAnsi="Times New Roman"/>
          <w:spacing w:val="-2"/>
          <w:kern w:val="0"/>
          <w:sz w:val="24"/>
          <w:szCs w:val="24"/>
        </w:rPr>
        <w:t>——</w:t>
      </w:r>
      <w:r>
        <w:rPr>
          <w:rFonts w:hint="eastAsia" w:ascii="Times New Roman" w:hAnsi="Times New Roman"/>
          <w:sz w:val="24"/>
          <w:szCs w:val="24"/>
        </w:rPr>
        <w:t>风廓线幂指数值，城市稳定度D下取值0.25。</w:t>
      </w:r>
    </w:p>
    <w:p w14:paraId="24007AB5">
      <w:pPr>
        <w:pStyle w:val="8"/>
        <w:numPr>
          <w:ilvl w:val="4"/>
          <w:numId w:val="3"/>
        </w:numPr>
        <w:rPr>
          <w:sz w:val="24"/>
          <w:szCs w:val="24"/>
        </w:rPr>
      </w:pPr>
      <w:r>
        <w:rPr>
          <w:rFonts w:hint="eastAsia"/>
          <w:sz w:val="24"/>
          <w:szCs w:val="24"/>
        </w:rPr>
        <w:t>项目Vc、Vs、1.5Vc计算结果一览表</w:t>
      </w:r>
    </w:p>
    <w:tbl>
      <w:tblPr>
        <w:tblStyle w:val="88"/>
        <w:tblW w:w="904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5" w:type="dxa"/>
          <w:bottom w:w="0" w:type="dxa"/>
          <w:right w:w="15" w:type="dxa"/>
        </w:tblCellMar>
      </w:tblPr>
      <w:tblGrid>
        <w:gridCol w:w="1755"/>
        <w:gridCol w:w="1034"/>
        <w:gridCol w:w="1233"/>
        <w:gridCol w:w="1765"/>
        <w:gridCol w:w="982"/>
        <w:gridCol w:w="1027"/>
        <w:gridCol w:w="1244"/>
      </w:tblGrid>
      <w:tr w14:paraId="145D78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5" w:type="dxa"/>
            <w:bottom w:w="0" w:type="dxa"/>
            <w:right w:w="15" w:type="dxa"/>
          </w:tblCellMar>
        </w:tblPrEx>
        <w:trPr>
          <w:trHeight w:val="340" w:hRule="atLeast"/>
          <w:jc w:val="center"/>
        </w:trPr>
        <w:tc>
          <w:tcPr>
            <w:tcW w:w="1755" w:type="dxa"/>
            <w:vAlign w:val="center"/>
          </w:tcPr>
          <w:p w14:paraId="417033D7">
            <w:pPr>
              <w:widowControl/>
              <w:jc w:val="center"/>
              <w:textAlignment w:val="center"/>
              <w:rPr>
                <w:rFonts w:ascii="Times New Roman" w:hAnsi="Times New Roman"/>
                <w:b/>
                <w:szCs w:val="21"/>
              </w:rPr>
            </w:pPr>
            <w:r>
              <w:rPr>
                <w:rFonts w:ascii="Times New Roman" w:hAnsi="Times New Roman"/>
                <w:b/>
                <w:kern w:val="0"/>
                <w:szCs w:val="21"/>
                <w:lang w:bidi="ar"/>
              </w:rPr>
              <w:t>排气筒编号</w:t>
            </w:r>
          </w:p>
        </w:tc>
        <w:tc>
          <w:tcPr>
            <w:tcW w:w="1034" w:type="dxa"/>
            <w:vAlign w:val="center"/>
          </w:tcPr>
          <w:p w14:paraId="0881A0E4">
            <w:pPr>
              <w:widowControl/>
              <w:jc w:val="center"/>
              <w:textAlignment w:val="center"/>
              <w:rPr>
                <w:rFonts w:ascii="Times New Roman" w:hAnsi="Times New Roman"/>
                <w:b/>
                <w:szCs w:val="21"/>
              </w:rPr>
            </w:pPr>
            <w:r>
              <w:rPr>
                <w:rFonts w:ascii="Times New Roman" w:hAnsi="Times New Roman"/>
                <w:b/>
                <w:kern w:val="0"/>
                <w:szCs w:val="21"/>
                <w:lang w:bidi="ar"/>
              </w:rPr>
              <w:t>高度(m)</w:t>
            </w:r>
          </w:p>
        </w:tc>
        <w:tc>
          <w:tcPr>
            <w:tcW w:w="1233" w:type="dxa"/>
            <w:vAlign w:val="center"/>
          </w:tcPr>
          <w:p w14:paraId="7005FFE0">
            <w:pPr>
              <w:widowControl/>
              <w:jc w:val="center"/>
              <w:textAlignment w:val="center"/>
              <w:rPr>
                <w:rFonts w:ascii="Times New Roman" w:hAnsi="Times New Roman"/>
                <w:b/>
                <w:kern w:val="0"/>
                <w:szCs w:val="21"/>
                <w:lang w:bidi="ar"/>
              </w:rPr>
            </w:pPr>
            <w:r>
              <w:rPr>
                <w:rFonts w:ascii="Times New Roman" w:hAnsi="Times New Roman"/>
                <w:b/>
                <w:kern w:val="0"/>
                <w:szCs w:val="21"/>
                <w:lang w:bidi="ar"/>
              </w:rPr>
              <w:t>内径(m)</w:t>
            </w:r>
          </w:p>
        </w:tc>
        <w:tc>
          <w:tcPr>
            <w:tcW w:w="1765" w:type="dxa"/>
            <w:vAlign w:val="center"/>
          </w:tcPr>
          <w:p w14:paraId="3136254B">
            <w:pPr>
              <w:widowControl/>
              <w:jc w:val="center"/>
              <w:textAlignment w:val="center"/>
              <w:rPr>
                <w:rFonts w:ascii="Times New Roman" w:hAnsi="Times New Roman"/>
                <w:b/>
                <w:szCs w:val="21"/>
              </w:rPr>
            </w:pPr>
            <w:r>
              <w:rPr>
                <w:rFonts w:ascii="Times New Roman" w:hAnsi="Times New Roman"/>
                <w:b/>
                <w:kern w:val="0"/>
                <w:szCs w:val="21"/>
                <w:lang w:bidi="ar"/>
              </w:rPr>
              <w:t>排气量(</w:t>
            </w:r>
            <w:r>
              <w:rPr>
                <w:rFonts w:ascii="Times New Roman" w:hAnsi="Times New Roman"/>
                <w:b/>
                <w:bCs/>
                <w:szCs w:val="21"/>
              </w:rPr>
              <w:t>m</w:t>
            </w:r>
            <w:r>
              <w:rPr>
                <w:rFonts w:ascii="Times New Roman" w:hAnsi="Times New Roman"/>
                <w:b/>
                <w:bCs/>
                <w:szCs w:val="21"/>
                <w:vertAlign w:val="superscript"/>
              </w:rPr>
              <w:t>3</w:t>
            </w:r>
            <w:r>
              <w:rPr>
                <w:rFonts w:ascii="Times New Roman" w:hAnsi="Times New Roman"/>
                <w:b/>
                <w:bCs/>
                <w:szCs w:val="21"/>
              </w:rPr>
              <w:t>/s</w:t>
            </w:r>
            <w:r>
              <w:rPr>
                <w:rFonts w:ascii="Times New Roman" w:hAnsi="Times New Roman"/>
                <w:b/>
                <w:kern w:val="0"/>
                <w:szCs w:val="21"/>
                <w:lang w:bidi="ar"/>
              </w:rPr>
              <w:t>)</w:t>
            </w:r>
          </w:p>
        </w:tc>
        <w:tc>
          <w:tcPr>
            <w:tcW w:w="982" w:type="dxa"/>
            <w:vAlign w:val="center"/>
          </w:tcPr>
          <w:p w14:paraId="05417DE6">
            <w:pPr>
              <w:widowControl/>
              <w:jc w:val="center"/>
              <w:rPr>
                <w:rFonts w:ascii="Times New Roman" w:hAnsi="Times New Roman"/>
                <w:b/>
                <w:kern w:val="0"/>
                <w:szCs w:val="21"/>
                <w:lang w:bidi="ar"/>
              </w:rPr>
            </w:pPr>
            <w:r>
              <w:rPr>
                <w:rFonts w:ascii="Times New Roman" w:hAnsi="Times New Roman"/>
                <w:b/>
                <w:szCs w:val="21"/>
                <w:lang w:val="zh-CN"/>
              </w:rPr>
              <w:t>Vc</w:t>
            </w:r>
            <w:r>
              <w:rPr>
                <w:rFonts w:ascii="Times New Roman" w:hAnsi="Times New Roman"/>
                <w:b/>
                <w:kern w:val="0"/>
                <w:szCs w:val="21"/>
                <w:lang w:bidi="ar"/>
              </w:rPr>
              <w:t>(</w:t>
            </w:r>
            <w:r>
              <w:rPr>
                <w:rFonts w:ascii="Times New Roman" w:hAnsi="Times New Roman"/>
                <w:b/>
                <w:bCs/>
                <w:szCs w:val="21"/>
              </w:rPr>
              <w:t>m/s</w:t>
            </w:r>
            <w:r>
              <w:rPr>
                <w:rFonts w:ascii="Times New Roman" w:hAnsi="Times New Roman"/>
                <w:b/>
                <w:kern w:val="0"/>
                <w:szCs w:val="21"/>
                <w:lang w:bidi="ar"/>
              </w:rPr>
              <w:t>)</w:t>
            </w:r>
          </w:p>
        </w:tc>
        <w:tc>
          <w:tcPr>
            <w:tcW w:w="1027" w:type="dxa"/>
            <w:vAlign w:val="center"/>
          </w:tcPr>
          <w:p w14:paraId="3C879741">
            <w:pPr>
              <w:widowControl/>
              <w:jc w:val="center"/>
              <w:rPr>
                <w:rFonts w:ascii="Times New Roman" w:hAnsi="Times New Roman"/>
                <w:b/>
                <w:kern w:val="0"/>
                <w:szCs w:val="21"/>
                <w:lang w:bidi="ar"/>
              </w:rPr>
            </w:pPr>
            <w:r>
              <w:rPr>
                <w:rFonts w:ascii="Times New Roman" w:hAnsi="Times New Roman"/>
                <w:b/>
                <w:szCs w:val="21"/>
                <w:lang w:val="zh-CN"/>
              </w:rPr>
              <w:t>Vs</w:t>
            </w:r>
            <w:r>
              <w:rPr>
                <w:rFonts w:ascii="Times New Roman" w:hAnsi="Times New Roman"/>
                <w:b/>
                <w:kern w:val="0"/>
                <w:szCs w:val="21"/>
                <w:lang w:bidi="ar"/>
              </w:rPr>
              <w:t>(</w:t>
            </w:r>
            <w:r>
              <w:rPr>
                <w:rFonts w:ascii="Times New Roman" w:hAnsi="Times New Roman"/>
                <w:b/>
                <w:bCs/>
                <w:szCs w:val="21"/>
              </w:rPr>
              <w:t>m/s</w:t>
            </w:r>
            <w:r>
              <w:rPr>
                <w:rFonts w:ascii="Times New Roman" w:hAnsi="Times New Roman"/>
                <w:b/>
                <w:kern w:val="0"/>
                <w:szCs w:val="21"/>
                <w:lang w:bidi="ar"/>
              </w:rPr>
              <w:t>)</w:t>
            </w:r>
          </w:p>
        </w:tc>
        <w:tc>
          <w:tcPr>
            <w:tcW w:w="1244" w:type="dxa"/>
            <w:vAlign w:val="center"/>
          </w:tcPr>
          <w:p w14:paraId="38C26305">
            <w:pPr>
              <w:widowControl/>
              <w:jc w:val="center"/>
              <w:rPr>
                <w:rFonts w:ascii="Times New Roman" w:hAnsi="Times New Roman"/>
                <w:b/>
                <w:kern w:val="0"/>
                <w:szCs w:val="21"/>
                <w:lang w:bidi="ar"/>
              </w:rPr>
            </w:pPr>
            <w:r>
              <w:rPr>
                <w:rFonts w:ascii="Times New Roman" w:hAnsi="Times New Roman"/>
                <w:b/>
                <w:szCs w:val="21"/>
              </w:rPr>
              <w:t>1.5</w:t>
            </w:r>
            <w:r>
              <w:rPr>
                <w:rFonts w:ascii="Times New Roman" w:hAnsi="Times New Roman"/>
                <w:b/>
                <w:szCs w:val="21"/>
                <w:lang w:val="zh-CN"/>
              </w:rPr>
              <w:t>Vc</w:t>
            </w:r>
          </w:p>
        </w:tc>
      </w:tr>
      <w:tr w14:paraId="1AC364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5" w:type="dxa"/>
            <w:bottom w:w="0" w:type="dxa"/>
            <w:right w:w="15" w:type="dxa"/>
          </w:tblCellMar>
        </w:tblPrEx>
        <w:trPr>
          <w:trHeight w:val="340" w:hRule="atLeast"/>
          <w:jc w:val="center"/>
        </w:trPr>
        <w:tc>
          <w:tcPr>
            <w:tcW w:w="1755" w:type="dxa"/>
            <w:vAlign w:val="center"/>
          </w:tcPr>
          <w:p w14:paraId="60E2D879">
            <w:pPr>
              <w:widowControl/>
              <w:jc w:val="center"/>
              <w:textAlignment w:val="center"/>
              <w:rPr>
                <w:rFonts w:ascii="Times New Roman" w:hAnsi="Times New Roman"/>
                <w:kern w:val="0"/>
                <w:szCs w:val="21"/>
                <w:lang w:bidi="ar"/>
              </w:rPr>
            </w:pPr>
            <w:r>
              <w:rPr>
                <w:rFonts w:ascii="Times New Roman" w:hAnsi="Times New Roman"/>
                <w:kern w:val="0"/>
                <w:szCs w:val="21"/>
                <w:lang w:bidi="ar"/>
              </w:rPr>
              <w:t>DA001排气筒</w:t>
            </w:r>
          </w:p>
        </w:tc>
        <w:tc>
          <w:tcPr>
            <w:tcW w:w="1034" w:type="dxa"/>
            <w:vAlign w:val="center"/>
          </w:tcPr>
          <w:p w14:paraId="79978E18">
            <w:pPr>
              <w:widowControl/>
              <w:jc w:val="center"/>
              <w:rPr>
                <w:rFonts w:ascii="Times New Roman" w:hAnsi="Times New Roman"/>
                <w:kern w:val="0"/>
                <w:szCs w:val="21"/>
              </w:rPr>
            </w:pPr>
            <w:r>
              <w:rPr>
                <w:rFonts w:hint="eastAsia" w:ascii="Times New Roman" w:hAnsi="Times New Roman"/>
                <w:kern w:val="0"/>
                <w:szCs w:val="21"/>
              </w:rPr>
              <w:t>19</w:t>
            </w:r>
          </w:p>
        </w:tc>
        <w:tc>
          <w:tcPr>
            <w:tcW w:w="1233" w:type="dxa"/>
            <w:vAlign w:val="center"/>
          </w:tcPr>
          <w:p w14:paraId="46331D63">
            <w:pPr>
              <w:widowControl/>
              <w:jc w:val="center"/>
              <w:rPr>
                <w:rFonts w:ascii="Times New Roman" w:hAnsi="Times New Roman"/>
                <w:kern w:val="0"/>
                <w:szCs w:val="21"/>
              </w:rPr>
            </w:pPr>
            <w:r>
              <w:rPr>
                <w:rFonts w:hint="eastAsia" w:ascii="Times New Roman" w:hAnsi="Times New Roman"/>
                <w:kern w:val="0"/>
                <w:szCs w:val="21"/>
              </w:rPr>
              <w:t>0.3</w:t>
            </w:r>
          </w:p>
        </w:tc>
        <w:tc>
          <w:tcPr>
            <w:tcW w:w="1765" w:type="dxa"/>
            <w:vAlign w:val="center"/>
          </w:tcPr>
          <w:p w14:paraId="31FB43BF">
            <w:pPr>
              <w:widowControl/>
              <w:jc w:val="center"/>
              <w:rPr>
                <w:rFonts w:ascii="Times New Roman" w:hAnsi="Times New Roman"/>
                <w:kern w:val="0"/>
                <w:szCs w:val="21"/>
              </w:rPr>
            </w:pPr>
            <w:r>
              <w:rPr>
                <w:rFonts w:hint="eastAsia" w:ascii="Times New Roman" w:hAnsi="Times New Roman"/>
                <w:kern w:val="0"/>
                <w:szCs w:val="21"/>
              </w:rPr>
              <w:t>1.3889</w:t>
            </w:r>
          </w:p>
        </w:tc>
        <w:tc>
          <w:tcPr>
            <w:tcW w:w="982" w:type="dxa"/>
            <w:vAlign w:val="center"/>
          </w:tcPr>
          <w:p w14:paraId="0F62B5A1">
            <w:pPr>
              <w:widowControl/>
              <w:jc w:val="center"/>
              <w:rPr>
                <w:rFonts w:ascii="Times New Roman" w:hAnsi="Times New Roman"/>
                <w:kern w:val="0"/>
                <w:szCs w:val="21"/>
              </w:rPr>
            </w:pPr>
            <w:r>
              <w:rPr>
                <w:rFonts w:hint="eastAsia" w:ascii="Times New Roman" w:hAnsi="Times New Roman"/>
                <w:kern w:val="0"/>
                <w:szCs w:val="21"/>
              </w:rPr>
              <w:t>5.44</w:t>
            </w:r>
          </w:p>
        </w:tc>
        <w:tc>
          <w:tcPr>
            <w:tcW w:w="1027" w:type="dxa"/>
            <w:vAlign w:val="center"/>
          </w:tcPr>
          <w:p w14:paraId="58DEA0A7">
            <w:pPr>
              <w:widowControl/>
              <w:jc w:val="center"/>
              <w:rPr>
                <w:rFonts w:ascii="Times New Roman" w:hAnsi="Times New Roman"/>
                <w:kern w:val="0"/>
                <w:szCs w:val="21"/>
              </w:rPr>
            </w:pPr>
            <w:r>
              <w:rPr>
                <w:rFonts w:hint="eastAsia" w:ascii="Times New Roman" w:hAnsi="Times New Roman"/>
                <w:kern w:val="0"/>
                <w:szCs w:val="21"/>
              </w:rPr>
              <w:t>19.65</w:t>
            </w:r>
          </w:p>
        </w:tc>
        <w:tc>
          <w:tcPr>
            <w:tcW w:w="1244" w:type="dxa"/>
            <w:vAlign w:val="center"/>
          </w:tcPr>
          <w:p w14:paraId="6FC6053A">
            <w:pPr>
              <w:widowControl/>
              <w:jc w:val="center"/>
              <w:textAlignment w:val="center"/>
              <w:rPr>
                <w:rFonts w:ascii="Times New Roman" w:hAnsi="Times New Roman"/>
                <w:kern w:val="0"/>
                <w:szCs w:val="21"/>
              </w:rPr>
            </w:pPr>
            <w:r>
              <w:rPr>
                <w:rFonts w:hint="eastAsia" w:ascii="Times New Roman" w:hAnsi="Times New Roman"/>
                <w:kern w:val="0"/>
                <w:szCs w:val="21"/>
              </w:rPr>
              <w:t>8.16</w:t>
            </w:r>
          </w:p>
        </w:tc>
      </w:tr>
      <w:tr w14:paraId="379D2C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5" w:type="dxa"/>
            <w:bottom w:w="0" w:type="dxa"/>
            <w:right w:w="15" w:type="dxa"/>
          </w:tblCellMar>
        </w:tblPrEx>
        <w:trPr>
          <w:trHeight w:val="340" w:hRule="atLeast"/>
          <w:jc w:val="center"/>
        </w:trPr>
        <w:tc>
          <w:tcPr>
            <w:tcW w:w="1755" w:type="dxa"/>
            <w:vAlign w:val="center"/>
          </w:tcPr>
          <w:p w14:paraId="54FCFC21">
            <w:pPr>
              <w:widowControl/>
              <w:jc w:val="center"/>
              <w:textAlignment w:val="center"/>
              <w:rPr>
                <w:rFonts w:ascii="Times New Roman" w:hAnsi="Times New Roman"/>
                <w:kern w:val="0"/>
                <w:szCs w:val="21"/>
                <w:lang w:bidi="ar"/>
              </w:rPr>
            </w:pPr>
            <w:r>
              <w:rPr>
                <w:rFonts w:ascii="Times New Roman" w:hAnsi="Times New Roman"/>
                <w:kern w:val="0"/>
                <w:szCs w:val="21"/>
                <w:lang w:bidi="ar"/>
              </w:rPr>
              <w:t>DA002排气筒</w:t>
            </w:r>
          </w:p>
        </w:tc>
        <w:tc>
          <w:tcPr>
            <w:tcW w:w="1034" w:type="dxa"/>
            <w:vAlign w:val="center"/>
          </w:tcPr>
          <w:p w14:paraId="08616ACA">
            <w:pPr>
              <w:widowControl/>
              <w:jc w:val="center"/>
              <w:rPr>
                <w:rFonts w:ascii="Times New Roman" w:hAnsi="Times New Roman"/>
                <w:kern w:val="0"/>
                <w:szCs w:val="21"/>
                <w:u w:val="single"/>
              </w:rPr>
            </w:pPr>
            <w:r>
              <w:rPr>
                <w:rFonts w:hint="eastAsia" w:ascii="Times New Roman" w:hAnsi="Times New Roman"/>
                <w:kern w:val="0"/>
                <w:szCs w:val="21"/>
                <w:u w:val="single"/>
              </w:rPr>
              <w:t>19</w:t>
            </w:r>
          </w:p>
        </w:tc>
        <w:tc>
          <w:tcPr>
            <w:tcW w:w="1233" w:type="dxa"/>
            <w:vAlign w:val="center"/>
          </w:tcPr>
          <w:p w14:paraId="1C4A70F8">
            <w:pPr>
              <w:widowControl/>
              <w:jc w:val="center"/>
              <w:rPr>
                <w:rFonts w:ascii="Times New Roman" w:hAnsi="Times New Roman"/>
                <w:kern w:val="0"/>
                <w:szCs w:val="21"/>
                <w:u w:val="single"/>
              </w:rPr>
            </w:pPr>
            <w:r>
              <w:rPr>
                <w:rFonts w:hint="eastAsia" w:ascii="Times New Roman" w:hAnsi="Times New Roman"/>
                <w:kern w:val="0"/>
                <w:szCs w:val="21"/>
                <w:u w:val="single"/>
              </w:rPr>
              <w:t>0.4</w:t>
            </w:r>
          </w:p>
        </w:tc>
        <w:tc>
          <w:tcPr>
            <w:tcW w:w="1765" w:type="dxa"/>
          </w:tcPr>
          <w:p w14:paraId="6EDCACAA">
            <w:pPr>
              <w:widowControl/>
              <w:jc w:val="center"/>
              <w:rPr>
                <w:rFonts w:ascii="Times New Roman" w:hAnsi="Times New Roman"/>
                <w:kern w:val="0"/>
                <w:szCs w:val="21"/>
                <w:u w:val="single"/>
              </w:rPr>
            </w:pPr>
            <w:r>
              <w:rPr>
                <w:rFonts w:hint="eastAsia" w:ascii="Times New Roman" w:hAnsi="Times New Roman"/>
                <w:kern w:val="0"/>
                <w:szCs w:val="21"/>
                <w:u w:val="single"/>
              </w:rPr>
              <w:t>2.2222</w:t>
            </w:r>
          </w:p>
        </w:tc>
        <w:tc>
          <w:tcPr>
            <w:tcW w:w="982" w:type="dxa"/>
            <w:vAlign w:val="center"/>
          </w:tcPr>
          <w:p w14:paraId="22D8D60B">
            <w:pPr>
              <w:widowControl/>
              <w:jc w:val="center"/>
              <w:rPr>
                <w:rFonts w:ascii="Times New Roman" w:hAnsi="Times New Roman"/>
                <w:kern w:val="0"/>
                <w:szCs w:val="21"/>
                <w:u w:val="single"/>
              </w:rPr>
            </w:pPr>
            <w:r>
              <w:rPr>
                <w:rFonts w:hint="eastAsia" w:ascii="Times New Roman" w:hAnsi="Times New Roman"/>
                <w:kern w:val="0"/>
                <w:szCs w:val="21"/>
                <w:u w:val="single"/>
              </w:rPr>
              <w:t>5.44</w:t>
            </w:r>
          </w:p>
        </w:tc>
        <w:tc>
          <w:tcPr>
            <w:tcW w:w="1027" w:type="dxa"/>
            <w:vAlign w:val="center"/>
          </w:tcPr>
          <w:p w14:paraId="73982734">
            <w:pPr>
              <w:widowControl/>
              <w:jc w:val="center"/>
              <w:rPr>
                <w:rFonts w:ascii="Times New Roman" w:hAnsi="Times New Roman"/>
                <w:kern w:val="0"/>
                <w:szCs w:val="21"/>
                <w:u w:val="single"/>
              </w:rPr>
            </w:pPr>
            <w:r>
              <w:rPr>
                <w:rFonts w:hint="eastAsia" w:ascii="Times New Roman" w:hAnsi="Times New Roman"/>
                <w:kern w:val="0"/>
                <w:szCs w:val="21"/>
                <w:u w:val="single"/>
              </w:rPr>
              <w:t>17.68</w:t>
            </w:r>
          </w:p>
        </w:tc>
        <w:tc>
          <w:tcPr>
            <w:tcW w:w="1244" w:type="dxa"/>
            <w:vAlign w:val="center"/>
          </w:tcPr>
          <w:p w14:paraId="2F24F379">
            <w:pPr>
              <w:widowControl/>
              <w:jc w:val="center"/>
              <w:textAlignment w:val="center"/>
              <w:rPr>
                <w:rFonts w:ascii="Times New Roman" w:hAnsi="Times New Roman"/>
                <w:kern w:val="0"/>
                <w:szCs w:val="21"/>
                <w:u w:val="single"/>
              </w:rPr>
            </w:pPr>
            <w:r>
              <w:rPr>
                <w:rFonts w:ascii="Times New Roman" w:hAnsi="Times New Roman"/>
                <w:kern w:val="0"/>
                <w:szCs w:val="21"/>
                <w:u w:val="single"/>
              </w:rPr>
              <w:t>8.16</w:t>
            </w:r>
          </w:p>
        </w:tc>
      </w:tr>
      <w:tr w14:paraId="3B46A9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5" w:type="dxa"/>
            <w:bottom w:w="0" w:type="dxa"/>
            <w:right w:w="15" w:type="dxa"/>
          </w:tblCellMar>
        </w:tblPrEx>
        <w:trPr>
          <w:trHeight w:val="340" w:hRule="atLeast"/>
          <w:jc w:val="center"/>
        </w:trPr>
        <w:tc>
          <w:tcPr>
            <w:tcW w:w="1755" w:type="dxa"/>
            <w:vAlign w:val="center"/>
          </w:tcPr>
          <w:p w14:paraId="23D1038C">
            <w:pPr>
              <w:widowControl/>
              <w:jc w:val="center"/>
              <w:textAlignment w:val="center"/>
              <w:rPr>
                <w:rFonts w:ascii="Times New Roman" w:hAnsi="Times New Roman"/>
                <w:kern w:val="0"/>
                <w:szCs w:val="21"/>
                <w:lang w:bidi="ar"/>
              </w:rPr>
            </w:pPr>
            <w:r>
              <w:rPr>
                <w:rFonts w:ascii="Times New Roman" w:hAnsi="Times New Roman"/>
                <w:kern w:val="0"/>
                <w:szCs w:val="21"/>
                <w:lang w:bidi="ar"/>
              </w:rPr>
              <w:t>DA003排气筒</w:t>
            </w:r>
          </w:p>
        </w:tc>
        <w:tc>
          <w:tcPr>
            <w:tcW w:w="1034" w:type="dxa"/>
            <w:vAlign w:val="center"/>
          </w:tcPr>
          <w:p w14:paraId="2481D2F9">
            <w:pPr>
              <w:widowControl/>
              <w:jc w:val="center"/>
              <w:rPr>
                <w:rFonts w:ascii="Times New Roman" w:hAnsi="Times New Roman"/>
                <w:kern w:val="0"/>
                <w:szCs w:val="21"/>
                <w:u w:val="single"/>
              </w:rPr>
            </w:pPr>
            <w:r>
              <w:rPr>
                <w:rFonts w:hint="eastAsia" w:ascii="Times New Roman" w:hAnsi="Times New Roman"/>
                <w:kern w:val="0"/>
                <w:szCs w:val="21"/>
                <w:u w:val="single"/>
              </w:rPr>
              <w:t>19</w:t>
            </w:r>
          </w:p>
        </w:tc>
        <w:tc>
          <w:tcPr>
            <w:tcW w:w="1233" w:type="dxa"/>
            <w:vAlign w:val="center"/>
          </w:tcPr>
          <w:p w14:paraId="23876E61">
            <w:pPr>
              <w:widowControl/>
              <w:jc w:val="center"/>
              <w:rPr>
                <w:rFonts w:ascii="Times New Roman" w:hAnsi="Times New Roman"/>
                <w:kern w:val="0"/>
                <w:szCs w:val="21"/>
                <w:u w:val="single"/>
              </w:rPr>
            </w:pPr>
            <w:r>
              <w:rPr>
                <w:rFonts w:hint="eastAsia" w:ascii="Times New Roman" w:hAnsi="Times New Roman"/>
                <w:kern w:val="0"/>
                <w:szCs w:val="21"/>
                <w:u w:val="single"/>
              </w:rPr>
              <w:t>0.4</w:t>
            </w:r>
          </w:p>
        </w:tc>
        <w:tc>
          <w:tcPr>
            <w:tcW w:w="1765" w:type="dxa"/>
          </w:tcPr>
          <w:p w14:paraId="1DA24380">
            <w:pPr>
              <w:widowControl/>
              <w:jc w:val="center"/>
              <w:rPr>
                <w:rFonts w:ascii="Times New Roman" w:hAnsi="Times New Roman"/>
                <w:kern w:val="0"/>
                <w:szCs w:val="21"/>
                <w:u w:val="single"/>
              </w:rPr>
            </w:pPr>
            <w:r>
              <w:rPr>
                <w:rFonts w:hint="eastAsia" w:ascii="Times New Roman" w:hAnsi="Times New Roman"/>
                <w:kern w:val="0"/>
                <w:szCs w:val="21"/>
                <w:u w:val="single"/>
              </w:rPr>
              <w:t>2.2222</w:t>
            </w:r>
          </w:p>
        </w:tc>
        <w:tc>
          <w:tcPr>
            <w:tcW w:w="982" w:type="dxa"/>
            <w:vAlign w:val="center"/>
          </w:tcPr>
          <w:p w14:paraId="75044B2E">
            <w:pPr>
              <w:widowControl/>
              <w:jc w:val="center"/>
              <w:rPr>
                <w:rFonts w:ascii="Times New Roman" w:hAnsi="Times New Roman"/>
                <w:kern w:val="0"/>
                <w:szCs w:val="21"/>
                <w:u w:val="single"/>
              </w:rPr>
            </w:pPr>
            <w:r>
              <w:rPr>
                <w:rFonts w:hint="eastAsia" w:ascii="Times New Roman" w:hAnsi="Times New Roman"/>
                <w:kern w:val="0"/>
                <w:szCs w:val="21"/>
                <w:u w:val="single"/>
              </w:rPr>
              <w:t>5.44</w:t>
            </w:r>
          </w:p>
        </w:tc>
        <w:tc>
          <w:tcPr>
            <w:tcW w:w="1027" w:type="dxa"/>
            <w:vAlign w:val="center"/>
          </w:tcPr>
          <w:p w14:paraId="40C52111">
            <w:pPr>
              <w:widowControl/>
              <w:jc w:val="center"/>
              <w:rPr>
                <w:rFonts w:ascii="Times New Roman" w:hAnsi="Times New Roman"/>
                <w:kern w:val="0"/>
                <w:szCs w:val="21"/>
                <w:u w:val="single"/>
              </w:rPr>
            </w:pPr>
            <w:r>
              <w:rPr>
                <w:rFonts w:hint="eastAsia" w:ascii="Times New Roman" w:hAnsi="Times New Roman"/>
                <w:kern w:val="0"/>
                <w:szCs w:val="21"/>
                <w:u w:val="single"/>
              </w:rPr>
              <w:t>17.68</w:t>
            </w:r>
          </w:p>
        </w:tc>
        <w:tc>
          <w:tcPr>
            <w:tcW w:w="1244" w:type="dxa"/>
            <w:vAlign w:val="center"/>
          </w:tcPr>
          <w:p w14:paraId="65925EAB">
            <w:pPr>
              <w:widowControl/>
              <w:jc w:val="center"/>
              <w:textAlignment w:val="center"/>
              <w:rPr>
                <w:rFonts w:ascii="Times New Roman" w:hAnsi="Times New Roman"/>
                <w:kern w:val="0"/>
                <w:szCs w:val="21"/>
                <w:u w:val="single"/>
              </w:rPr>
            </w:pPr>
            <w:r>
              <w:rPr>
                <w:rFonts w:ascii="Times New Roman" w:hAnsi="Times New Roman"/>
                <w:kern w:val="0"/>
                <w:szCs w:val="21"/>
                <w:u w:val="single"/>
              </w:rPr>
              <w:t>8.16</w:t>
            </w:r>
          </w:p>
        </w:tc>
      </w:tr>
    </w:tbl>
    <w:p w14:paraId="20E6415C">
      <w:pPr>
        <w:spacing w:line="360" w:lineRule="auto"/>
        <w:ind w:firstLine="480" w:firstLineChars="200"/>
        <w:rPr>
          <w:rFonts w:ascii="Times New Roman" w:hAnsi="Times New Roman"/>
          <w:sz w:val="24"/>
          <w:szCs w:val="24"/>
        </w:rPr>
      </w:pPr>
    </w:p>
    <w:p w14:paraId="3C661EEB">
      <w:pPr>
        <w:spacing w:line="360" w:lineRule="auto"/>
        <w:ind w:firstLine="480" w:firstLineChars="200"/>
        <w:rPr>
          <w:rFonts w:ascii="Times New Roman" w:hAnsi="Times New Roman"/>
          <w:sz w:val="24"/>
          <w:szCs w:val="24"/>
        </w:rPr>
      </w:pPr>
      <w:r>
        <w:rPr>
          <w:rFonts w:ascii="Times New Roman" w:hAnsi="Times New Roman"/>
          <w:sz w:val="24"/>
          <w:szCs w:val="24"/>
        </w:rPr>
        <w:t>项目排气筒出口处烟气速度Vs在各类稳定度条件下均大于按照《制定地方大气污染物排放标准的技术方法》（GB/T3840-1991）计算出风速Vc的1.5倍，符合标准的要求。</w:t>
      </w:r>
    </w:p>
    <w:p w14:paraId="34BCF590">
      <w:pPr>
        <w:spacing w:line="360" w:lineRule="auto"/>
        <w:ind w:firstLine="480" w:firstLineChars="200"/>
        <w:rPr>
          <w:rFonts w:ascii="Times New Roman" w:hAnsi="Times New Roman"/>
          <w:sz w:val="24"/>
          <w:szCs w:val="24"/>
        </w:rPr>
      </w:pPr>
      <w:r>
        <w:rPr>
          <w:rFonts w:ascii="Times New Roman" w:hAnsi="Times New Roman"/>
          <w:sz w:val="24"/>
          <w:szCs w:val="24"/>
        </w:rPr>
        <w:t>综上所述，从环境影响角度来看，项目排气筒的设计高度、出口风速等设置基本合理。</w:t>
      </w:r>
    </w:p>
    <w:p w14:paraId="50256722">
      <w:pPr>
        <w:pStyle w:val="6"/>
        <w:numPr>
          <w:ilvl w:val="2"/>
          <w:numId w:val="3"/>
        </w:numPr>
      </w:pPr>
      <w:r>
        <w:t>小结</w:t>
      </w:r>
    </w:p>
    <w:p w14:paraId="45F26AAD">
      <w:pPr>
        <w:tabs>
          <w:tab w:val="left" w:pos="900"/>
        </w:tabs>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项目主要大气污染源为烘干炉烟气、生产车间粉尘、物料运输扬尘等。项目烘干炉</w:t>
      </w:r>
      <w:r>
        <w:rPr>
          <w:rFonts w:hint="eastAsia" w:ascii="Times New Roman" w:hAnsi="Times New Roman"/>
          <w:spacing w:val="-2"/>
          <w:kern w:val="0"/>
          <w:sz w:val="24"/>
          <w:szCs w:val="24"/>
        </w:rPr>
        <w:t>采用1套</w:t>
      </w:r>
      <w:r>
        <w:rPr>
          <w:rFonts w:ascii="Times New Roman" w:hAnsi="Times New Roman"/>
          <w:spacing w:val="-2"/>
          <w:kern w:val="0"/>
          <w:sz w:val="24"/>
          <w:szCs w:val="24"/>
        </w:rPr>
        <w:t>袋式除尘器处理后通过</w:t>
      </w:r>
      <w:r>
        <w:rPr>
          <w:rFonts w:hint="eastAsia" w:ascii="Times New Roman" w:hAnsi="Times New Roman"/>
          <w:spacing w:val="-2"/>
          <w:kern w:val="0"/>
          <w:sz w:val="24"/>
          <w:szCs w:val="24"/>
        </w:rPr>
        <w:t>1</w:t>
      </w:r>
      <w:r>
        <w:rPr>
          <w:rFonts w:ascii="Times New Roman" w:hAnsi="Times New Roman"/>
          <w:spacing w:val="-2"/>
          <w:kern w:val="0"/>
          <w:sz w:val="24"/>
          <w:szCs w:val="24"/>
        </w:rPr>
        <w:t>根1</w:t>
      </w:r>
      <w:r>
        <w:rPr>
          <w:rFonts w:hint="eastAsia" w:ascii="Times New Roman" w:hAnsi="Times New Roman"/>
          <w:spacing w:val="-2"/>
          <w:kern w:val="0"/>
          <w:sz w:val="24"/>
          <w:szCs w:val="24"/>
        </w:rPr>
        <w:t>9</w:t>
      </w:r>
      <w:r>
        <w:rPr>
          <w:rFonts w:ascii="Times New Roman" w:hAnsi="Times New Roman"/>
          <w:spacing w:val="-2"/>
          <w:kern w:val="0"/>
          <w:sz w:val="24"/>
          <w:szCs w:val="24"/>
        </w:rPr>
        <w:t>m排气筒排放，</w:t>
      </w:r>
      <w:r>
        <w:rPr>
          <w:rFonts w:hint="eastAsia" w:ascii="Times New Roman" w:hAnsi="Times New Roman"/>
          <w:spacing w:val="-2"/>
          <w:kern w:val="0"/>
          <w:sz w:val="24"/>
          <w:szCs w:val="24"/>
        </w:rPr>
        <w:t>项目生产车间粉尘采用2套</w:t>
      </w:r>
      <w:r>
        <w:rPr>
          <w:rFonts w:ascii="Times New Roman" w:hAnsi="Times New Roman"/>
          <w:spacing w:val="-2"/>
          <w:kern w:val="0"/>
          <w:sz w:val="24"/>
          <w:szCs w:val="24"/>
        </w:rPr>
        <w:t>袋式除尘器处理后通过</w:t>
      </w:r>
      <w:r>
        <w:rPr>
          <w:rFonts w:hint="eastAsia" w:ascii="Times New Roman" w:hAnsi="Times New Roman"/>
          <w:spacing w:val="-2"/>
          <w:kern w:val="0"/>
          <w:sz w:val="24"/>
          <w:szCs w:val="24"/>
        </w:rPr>
        <w:t>2</w:t>
      </w:r>
      <w:r>
        <w:rPr>
          <w:rFonts w:ascii="Times New Roman" w:hAnsi="Times New Roman"/>
          <w:spacing w:val="-2"/>
          <w:kern w:val="0"/>
          <w:sz w:val="24"/>
          <w:szCs w:val="24"/>
        </w:rPr>
        <w:t>根1</w:t>
      </w:r>
      <w:r>
        <w:rPr>
          <w:rFonts w:hint="eastAsia" w:ascii="Times New Roman" w:hAnsi="Times New Roman"/>
          <w:spacing w:val="-2"/>
          <w:kern w:val="0"/>
          <w:sz w:val="24"/>
          <w:szCs w:val="24"/>
        </w:rPr>
        <w:t>9</w:t>
      </w:r>
      <w:r>
        <w:rPr>
          <w:rFonts w:ascii="Times New Roman" w:hAnsi="Times New Roman"/>
          <w:spacing w:val="-2"/>
          <w:kern w:val="0"/>
          <w:sz w:val="24"/>
          <w:szCs w:val="24"/>
        </w:rPr>
        <w:t>m排气筒排放，物料运输时期采取洒水降尘。经采取相应的环保措施后，经采用估算模型预测，项目排放的各大气污染物最大落地浓度均未达到标准值的10%，对周围环境的影响不大。</w:t>
      </w:r>
    </w:p>
    <w:p w14:paraId="7FF35B31">
      <w:pPr>
        <w:pStyle w:val="5"/>
        <w:numPr>
          <w:ilvl w:val="1"/>
          <w:numId w:val="3"/>
        </w:numPr>
      </w:pPr>
      <w:bookmarkStart w:id="203" w:name="_Toc18695"/>
      <w:bookmarkStart w:id="204" w:name="_Toc415564635"/>
      <w:bookmarkStart w:id="205" w:name="_Toc368170021"/>
      <w:r>
        <w:t>地表水环境影响分析</w:t>
      </w:r>
      <w:bookmarkEnd w:id="203"/>
      <w:bookmarkEnd w:id="204"/>
      <w:bookmarkEnd w:id="205"/>
    </w:p>
    <w:p w14:paraId="35FE59AB">
      <w:pPr>
        <w:pStyle w:val="6"/>
        <w:numPr>
          <w:ilvl w:val="2"/>
          <w:numId w:val="3"/>
        </w:numPr>
      </w:pPr>
      <w:r>
        <w:t>地表水环境影响评价</w:t>
      </w:r>
    </w:p>
    <w:p w14:paraId="79C2BA20">
      <w:pPr>
        <w:spacing w:line="360" w:lineRule="auto"/>
        <w:ind w:firstLine="480" w:firstLineChars="200"/>
        <w:rPr>
          <w:rFonts w:ascii="Times New Roman" w:hAnsi="Times New Roman"/>
          <w:sz w:val="24"/>
          <w:szCs w:val="21"/>
        </w:rPr>
      </w:pPr>
      <w:r>
        <w:rPr>
          <w:rFonts w:ascii="Times New Roman" w:hAnsi="Times New Roman"/>
          <w:sz w:val="24"/>
          <w:szCs w:val="24"/>
        </w:rPr>
        <w:t>本项目采用干式磁选工艺对原料进行分选加工，原料毛矿无需进行清洗，生产过程中无需用水，毛矿含水率不高，烘干后的水分蒸发到空气中，并且原料均存放于厂房内，在堆存过程中也不产生渗滤液。项目运营期的用水主要是工作人员工作期间的生活用水</w:t>
      </w:r>
      <w:r>
        <w:rPr>
          <w:rFonts w:ascii="Times New Roman" w:hAnsi="Times New Roman"/>
          <w:sz w:val="24"/>
          <w:szCs w:val="21"/>
        </w:rPr>
        <w:t>。</w:t>
      </w:r>
    </w:p>
    <w:p w14:paraId="3E6B68FE">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根据工程分析，项目劳动定员10人，员工均不在厂内住宿，产生生活污水量为120m</w:t>
      </w:r>
      <w:r>
        <w:rPr>
          <w:rFonts w:ascii="Times New Roman" w:hAnsi="Times New Roman"/>
          <w:spacing w:val="-2"/>
          <w:kern w:val="0"/>
          <w:sz w:val="24"/>
          <w:szCs w:val="24"/>
          <w:vertAlign w:val="superscript"/>
        </w:rPr>
        <w:t>3</w:t>
      </w:r>
      <w:r>
        <w:rPr>
          <w:rFonts w:ascii="Times New Roman" w:hAnsi="Times New Roman"/>
          <w:spacing w:val="-2"/>
          <w:kern w:val="0"/>
          <w:sz w:val="24"/>
          <w:szCs w:val="24"/>
        </w:rPr>
        <w:t>/a，主要污染物为COD、BOD</w:t>
      </w:r>
      <w:r>
        <w:rPr>
          <w:rFonts w:ascii="Times New Roman" w:hAnsi="Times New Roman"/>
          <w:spacing w:val="-2"/>
          <w:kern w:val="0"/>
          <w:sz w:val="24"/>
          <w:szCs w:val="24"/>
          <w:vertAlign w:val="subscript"/>
        </w:rPr>
        <w:t>5</w:t>
      </w:r>
      <w:r>
        <w:rPr>
          <w:rFonts w:ascii="Times New Roman" w:hAnsi="Times New Roman"/>
          <w:spacing w:val="-2"/>
          <w:kern w:val="0"/>
          <w:sz w:val="24"/>
          <w:szCs w:val="24"/>
        </w:rPr>
        <w:t>、NH</w:t>
      </w:r>
      <w:r>
        <w:rPr>
          <w:rFonts w:ascii="Times New Roman" w:hAnsi="Times New Roman"/>
          <w:spacing w:val="-2"/>
          <w:kern w:val="0"/>
          <w:sz w:val="24"/>
          <w:szCs w:val="24"/>
          <w:vertAlign w:val="subscript"/>
        </w:rPr>
        <w:t>3</w:t>
      </w:r>
      <w:r>
        <w:rPr>
          <w:rFonts w:ascii="Times New Roman" w:hAnsi="Times New Roman"/>
          <w:spacing w:val="-2"/>
          <w:kern w:val="0"/>
          <w:sz w:val="24"/>
          <w:szCs w:val="24"/>
        </w:rPr>
        <w:t>-N、SS等。生活污水采用化粪池处理达到《污水综合排放标准》（GB8978-1996）三级标准后排入市政污水管网送钦州港大榄坪污水处理厂进一步处理，对周边海域海水水质影响不大。</w:t>
      </w:r>
    </w:p>
    <w:p w14:paraId="39A7AC6B">
      <w:pPr>
        <w:pStyle w:val="6"/>
        <w:numPr>
          <w:ilvl w:val="2"/>
          <w:numId w:val="3"/>
        </w:numPr>
      </w:pPr>
      <w:r>
        <w:t>废水依托钦州港大榄坪污水处理厂可行性</w:t>
      </w:r>
    </w:p>
    <w:p w14:paraId="708E5E08">
      <w:pPr>
        <w:spacing w:line="360" w:lineRule="auto"/>
        <w:ind w:firstLine="474" w:firstLineChars="200"/>
        <w:rPr>
          <w:rFonts w:ascii="Times New Roman" w:hAnsi="Times New Roman"/>
          <w:b/>
          <w:bCs/>
          <w:spacing w:val="-2"/>
          <w:kern w:val="0"/>
          <w:sz w:val="24"/>
          <w:szCs w:val="24"/>
        </w:rPr>
      </w:pPr>
      <w:r>
        <w:rPr>
          <w:rFonts w:ascii="Times New Roman" w:hAnsi="Times New Roman"/>
          <w:b/>
          <w:bCs/>
          <w:spacing w:val="-2"/>
          <w:kern w:val="0"/>
          <w:sz w:val="24"/>
          <w:szCs w:val="24"/>
        </w:rPr>
        <w:t>（1）钦州港大榄坪污水处理厂基本情况</w:t>
      </w:r>
    </w:p>
    <w:p w14:paraId="20BA5EF5">
      <w:pPr>
        <w:tabs>
          <w:tab w:val="left" w:pos="900"/>
        </w:tabs>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钦州市大榄坪污水处理厂位于钦州市钦州港区大榄坪综合物流加工区，服务范围覆盖广西钦州保税港区。大榄坪污水处理厂建设分为近期5万m</w:t>
      </w:r>
      <w:r>
        <w:rPr>
          <w:rFonts w:ascii="Times New Roman" w:hAnsi="Times New Roman"/>
          <w:spacing w:val="-2"/>
          <w:kern w:val="0"/>
          <w:sz w:val="24"/>
          <w:szCs w:val="24"/>
          <w:vertAlign w:val="superscript"/>
        </w:rPr>
        <w:t>3</w:t>
      </w:r>
      <w:r>
        <w:rPr>
          <w:rFonts w:ascii="Times New Roman" w:hAnsi="Times New Roman"/>
          <w:spacing w:val="-2"/>
          <w:kern w:val="0"/>
          <w:sz w:val="24"/>
          <w:szCs w:val="24"/>
        </w:rPr>
        <w:t>/d和远期20万m</w:t>
      </w:r>
      <w:r>
        <w:rPr>
          <w:rFonts w:ascii="Times New Roman" w:hAnsi="Times New Roman"/>
          <w:spacing w:val="-2"/>
          <w:kern w:val="0"/>
          <w:sz w:val="24"/>
          <w:szCs w:val="24"/>
          <w:vertAlign w:val="superscript"/>
        </w:rPr>
        <w:t>3</w:t>
      </w:r>
      <w:r>
        <w:rPr>
          <w:rFonts w:ascii="Times New Roman" w:hAnsi="Times New Roman"/>
          <w:spacing w:val="-2"/>
          <w:kern w:val="0"/>
          <w:sz w:val="24"/>
          <w:szCs w:val="24"/>
        </w:rPr>
        <w:t>/d 两个阶段，近期工程已于2016 年投入运行，项目占地面积40020m</w:t>
      </w:r>
      <w:r>
        <w:rPr>
          <w:rFonts w:ascii="Times New Roman" w:hAnsi="Times New Roman"/>
          <w:spacing w:val="-2"/>
          <w:kern w:val="0"/>
          <w:sz w:val="24"/>
          <w:szCs w:val="24"/>
          <w:vertAlign w:val="superscript"/>
        </w:rPr>
        <w:t>2</w:t>
      </w:r>
      <w:r>
        <w:rPr>
          <w:rFonts w:ascii="Times New Roman" w:hAnsi="Times New Roman"/>
          <w:spacing w:val="-2"/>
          <w:kern w:val="0"/>
          <w:sz w:val="24"/>
          <w:szCs w:val="24"/>
        </w:rPr>
        <w:t>，</w:t>
      </w:r>
      <w:bookmarkStart w:id="206" w:name="OLE_LINK9"/>
      <w:r>
        <w:rPr>
          <w:rFonts w:ascii="Times New Roman" w:hAnsi="Times New Roman"/>
          <w:spacing w:val="-2"/>
          <w:kern w:val="0"/>
          <w:sz w:val="24"/>
          <w:szCs w:val="24"/>
        </w:rPr>
        <w:t>采用</w:t>
      </w:r>
      <w:r>
        <w:rPr>
          <w:rFonts w:ascii="宋体" w:hAnsi="宋体"/>
          <w:spacing w:val="-2"/>
          <w:kern w:val="0"/>
          <w:sz w:val="24"/>
          <w:szCs w:val="24"/>
        </w:rPr>
        <w:t>“</w:t>
      </w:r>
      <w:r>
        <w:rPr>
          <w:rFonts w:ascii="Times New Roman" w:hAnsi="Times New Roman"/>
          <w:spacing w:val="-2"/>
          <w:kern w:val="0"/>
          <w:sz w:val="24"/>
          <w:szCs w:val="24"/>
        </w:rPr>
        <w:t>A/A/O曝气氧化沟+化学辅助除磷</w:t>
      </w:r>
      <w:r>
        <w:rPr>
          <w:rFonts w:ascii="宋体" w:hAnsi="宋体"/>
          <w:spacing w:val="-2"/>
          <w:kern w:val="0"/>
          <w:sz w:val="24"/>
          <w:szCs w:val="24"/>
        </w:rPr>
        <w:t>”</w:t>
      </w:r>
      <w:r>
        <w:rPr>
          <w:rFonts w:ascii="Times New Roman" w:hAnsi="Times New Roman"/>
          <w:spacing w:val="-2"/>
          <w:kern w:val="0"/>
          <w:sz w:val="24"/>
          <w:szCs w:val="24"/>
        </w:rPr>
        <w:t>工艺</w:t>
      </w:r>
      <w:bookmarkEnd w:id="206"/>
      <w:r>
        <w:rPr>
          <w:rFonts w:ascii="Times New Roman" w:hAnsi="Times New Roman"/>
          <w:spacing w:val="-2"/>
          <w:kern w:val="0"/>
          <w:sz w:val="24"/>
          <w:szCs w:val="24"/>
        </w:rPr>
        <w:t>处理生活污水，设计进水水质</w:t>
      </w:r>
      <w:r>
        <w:rPr>
          <w:rFonts w:hint="eastAsia" w:ascii="Times New Roman" w:hAnsi="Times New Roman"/>
          <w:spacing w:val="-2"/>
          <w:kern w:val="0"/>
          <w:sz w:val="24"/>
          <w:szCs w:val="24"/>
        </w:rPr>
        <w:t>为化学需氧量450mg/L、五日生化需氧量200mg/L、悬浮物300mg/L、氨氮35mg/L</w:t>
      </w:r>
      <w:r>
        <w:rPr>
          <w:rFonts w:ascii="Times New Roman" w:hAnsi="Times New Roman"/>
          <w:spacing w:val="-2"/>
          <w:kern w:val="0"/>
          <w:sz w:val="24"/>
          <w:szCs w:val="24"/>
        </w:rPr>
        <w:t>，设计处理后出水达到《城镇污水处理厂污染物排放标准》中一级A标准，排放去向为钦州港大榄坪污水深海排放区（A2排放区）。</w:t>
      </w:r>
    </w:p>
    <w:p w14:paraId="28D98ED5">
      <w:pPr>
        <w:tabs>
          <w:tab w:val="left" w:pos="900"/>
        </w:tabs>
        <w:spacing w:line="360" w:lineRule="auto"/>
        <w:ind w:firstLine="474" w:firstLineChars="200"/>
        <w:rPr>
          <w:rFonts w:ascii="Times New Roman" w:hAnsi="Times New Roman"/>
          <w:b/>
          <w:bCs/>
          <w:spacing w:val="-2"/>
          <w:kern w:val="0"/>
          <w:sz w:val="24"/>
          <w:szCs w:val="24"/>
        </w:rPr>
      </w:pPr>
      <w:r>
        <w:rPr>
          <w:rFonts w:ascii="Times New Roman" w:hAnsi="Times New Roman"/>
          <w:b/>
          <w:bCs/>
          <w:spacing w:val="-2"/>
          <w:kern w:val="0"/>
          <w:sz w:val="24"/>
          <w:szCs w:val="24"/>
        </w:rPr>
        <w:t>（2）水量水质接纳可行性分析</w:t>
      </w:r>
    </w:p>
    <w:p w14:paraId="6AB1CF96">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项目不排放生产废水，生活污水水质成分简单，不含其他有毒有害或腐蚀性物质，不会对管道产生腐蚀的现象。项目生活污水经化粪池处理后，排水浓度可达到《污水综合排放标准》（GB8978-1996）三级标准</w:t>
      </w:r>
      <w:r>
        <w:rPr>
          <w:rFonts w:hint="eastAsia" w:ascii="Times New Roman" w:hAnsi="Times New Roman"/>
          <w:spacing w:val="-2"/>
          <w:kern w:val="0"/>
          <w:sz w:val="24"/>
          <w:szCs w:val="24"/>
          <w:u w:val="single"/>
        </w:rPr>
        <w:t>及钦州港大榄坪污水处理厂进水标准</w:t>
      </w:r>
      <w:r>
        <w:rPr>
          <w:rFonts w:ascii="Times New Roman" w:hAnsi="Times New Roman"/>
          <w:spacing w:val="-2"/>
          <w:kern w:val="0"/>
          <w:sz w:val="24"/>
          <w:szCs w:val="24"/>
        </w:rPr>
        <w:t>，项目废水符合大榄坪污水处理厂的进水水质要求，因此，项目排放的废水对市政污水管道和污水处理厂的构筑物不会有特殊的腐蚀影响，不会影响污水处理厂的进水水质，不会对其造成太大冲击。项目生活污水排放浓度详见表4.3-1。</w:t>
      </w:r>
    </w:p>
    <w:p w14:paraId="4109B2DB">
      <w:pPr>
        <w:pStyle w:val="8"/>
        <w:numPr>
          <w:ilvl w:val="4"/>
          <w:numId w:val="3"/>
        </w:numPr>
        <w:rPr>
          <w:sz w:val="24"/>
          <w:szCs w:val="24"/>
        </w:rPr>
      </w:pPr>
      <w:r>
        <w:rPr>
          <w:sz w:val="24"/>
          <w:szCs w:val="24"/>
        </w:rPr>
        <w:t>项目生活污水排放浓度情况</w:t>
      </w:r>
    </w:p>
    <w:tbl>
      <w:tblPr>
        <w:tblStyle w:val="88"/>
        <w:tblW w:w="904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104"/>
        <w:gridCol w:w="2124"/>
        <w:gridCol w:w="953"/>
        <w:gridCol w:w="953"/>
        <w:gridCol w:w="953"/>
        <w:gridCol w:w="953"/>
      </w:tblGrid>
      <w:tr w14:paraId="388DAA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228" w:type="dxa"/>
            <w:gridSpan w:val="2"/>
            <w:vAlign w:val="center"/>
          </w:tcPr>
          <w:p w14:paraId="2C1F418B">
            <w:pPr>
              <w:widowControl/>
              <w:jc w:val="center"/>
              <w:rPr>
                <w:rFonts w:ascii="Times New Roman" w:hAnsi="Times New Roman"/>
                <w:b/>
                <w:bCs/>
                <w:kern w:val="0"/>
                <w:szCs w:val="21"/>
              </w:rPr>
            </w:pPr>
            <w:r>
              <w:rPr>
                <w:rFonts w:ascii="Times New Roman" w:hAnsi="Times New Roman"/>
                <w:b/>
                <w:bCs/>
                <w:kern w:val="0"/>
                <w:szCs w:val="21"/>
              </w:rPr>
              <w:t>项目</w:t>
            </w:r>
          </w:p>
        </w:tc>
        <w:tc>
          <w:tcPr>
            <w:tcW w:w="953" w:type="dxa"/>
            <w:vAlign w:val="center"/>
          </w:tcPr>
          <w:p w14:paraId="46223DFF">
            <w:pPr>
              <w:widowControl/>
              <w:jc w:val="center"/>
              <w:rPr>
                <w:rFonts w:ascii="Times New Roman" w:hAnsi="Times New Roman"/>
                <w:kern w:val="0"/>
                <w:szCs w:val="21"/>
              </w:rPr>
            </w:pPr>
            <w:r>
              <w:rPr>
                <w:rFonts w:ascii="Times New Roman" w:hAnsi="Times New Roman"/>
                <w:b/>
                <w:bCs/>
                <w:kern w:val="0"/>
                <w:szCs w:val="21"/>
              </w:rPr>
              <w:t>COD</w:t>
            </w:r>
          </w:p>
        </w:tc>
        <w:tc>
          <w:tcPr>
            <w:tcW w:w="953" w:type="dxa"/>
            <w:vAlign w:val="center"/>
          </w:tcPr>
          <w:p w14:paraId="2AB14AF0">
            <w:pPr>
              <w:jc w:val="center"/>
              <w:rPr>
                <w:rFonts w:ascii="Times New Roman" w:hAnsi="Times New Roman"/>
                <w:kern w:val="0"/>
                <w:szCs w:val="21"/>
              </w:rPr>
            </w:pPr>
            <w:r>
              <w:rPr>
                <w:rFonts w:ascii="Times New Roman" w:hAnsi="Times New Roman"/>
                <w:b/>
                <w:bCs/>
                <w:kern w:val="0"/>
                <w:szCs w:val="21"/>
              </w:rPr>
              <w:t>BOD</w:t>
            </w:r>
            <w:r>
              <w:rPr>
                <w:rFonts w:ascii="Times New Roman" w:hAnsi="Times New Roman"/>
                <w:b/>
                <w:bCs/>
                <w:kern w:val="0"/>
                <w:szCs w:val="21"/>
                <w:vertAlign w:val="subscript"/>
              </w:rPr>
              <w:t>5</w:t>
            </w:r>
          </w:p>
        </w:tc>
        <w:tc>
          <w:tcPr>
            <w:tcW w:w="953" w:type="dxa"/>
            <w:vAlign w:val="center"/>
          </w:tcPr>
          <w:p w14:paraId="6E9490DB">
            <w:pPr>
              <w:jc w:val="center"/>
              <w:rPr>
                <w:rFonts w:ascii="Times New Roman" w:hAnsi="Times New Roman"/>
                <w:kern w:val="0"/>
                <w:szCs w:val="21"/>
              </w:rPr>
            </w:pPr>
            <w:r>
              <w:rPr>
                <w:rFonts w:ascii="Times New Roman" w:hAnsi="Times New Roman"/>
                <w:b/>
                <w:bCs/>
                <w:kern w:val="0"/>
                <w:szCs w:val="21"/>
              </w:rPr>
              <w:t>SS</w:t>
            </w:r>
          </w:p>
        </w:tc>
        <w:tc>
          <w:tcPr>
            <w:tcW w:w="953" w:type="dxa"/>
            <w:vAlign w:val="center"/>
          </w:tcPr>
          <w:p w14:paraId="54862030">
            <w:pPr>
              <w:jc w:val="center"/>
              <w:rPr>
                <w:rFonts w:ascii="Times New Roman" w:hAnsi="Times New Roman"/>
                <w:kern w:val="0"/>
                <w:szCs w:val="21"/>
              </w:rPr>
            </w:pPr>
            <w:r>
              <w:rPr>
                <w:rFonts w:ascii="Times New Roman" w:hAnsi="Times New Roman"/>
                <w:b/>
                <w:bCs/>
                <w:kern w:val="0"/>
                <w:szCs w:val="21"/>
              </w:rPr>
              <w:t>NH</w:t>
            </w:r>
            <w:r>
              <w:rPr>
                <w:rFonts w:ascii="Times New Roman" w:hAnsi="Times New Roman"/>
                <w:b/>
                <w:bCs/>
                <w:kern w:val="0"/>
                <w:szCs w:val="21"/>
                <w:vertAlign w:val="subscript"/>
              </w:rPr>
              <w:t>3</w:t>
            </w:r>
            <w:r>
              <w:rPr>
                <w:rFonts w:ascii="Times New Roman" w:hAnsi="Times New Roman"/>
                <w:b/>
                <w:bCs/>
                <w:kern w:val="0"/>
                <w:szCs w:val="21"/>
              </w:rPr>
              <w:t>-N</w:t>
            </w:r>
          </w:p>
        </w:tc>
      </w:tr>
      <w:tr w14:paraId="217472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104" w:type="dxa"/>
            <w:vMerge w:val="restart"/>
            <w:vAlign w:val="center"/>
          </w:tcPr>
          <w:p w14:paraId="2DCE1605">
            <w:pPr>
              <w:widowControl/>
              <w:jc w:val="center"/>
              <w:rPr>
                <w:rFonts w:ascii="Times New Roman" w:hAnsi="Times New Roman"/>
                <w:kern w:val="0"/>
                <w:szCs w:val="21"/>
              </w:rPr>
            </w:pPr>
            <w:r>
              <w:rPr>
                <w:rFonts w:ascii="Times New Roman" w:hAnsi="Times New Roman"/>
                <w:kern w:val="0"/>
                <w:szCs w:val="21"/>
              </w:rPr>
              <w:t>项目生活污水</w:t>
            </w:r>
          </w:p>
        </w:tc>
        <w:tc>
          <w:tcPr>
            <w:tcW w:w="2124" w:type="dxa"/>
            <w:vAlign w:val="center"/>
          </w:tcPr>
          <w:p w14:paraId="562F7BEE">
            <w:pPr>
              <w:widowControl/>
              <w:jc w:val="center"/>
              <w:rPr>
                <w:rFonts w:ascii="Times New Roman" w:hAnsi="Times New Roman"/>
                <w:kern w:val="0"/>
                <w:szCs w:val="21"/>
              </w:rPr>
            </w:pPr>
            <w:r>
              <w:rPr>
                <w:rFonts w:ascii="Times New Roman" w:hAnsi="Times New Roman"/>
                <w:kern w:val="0"/>
                <w:szCs w:val="21"/>
              </w:rPr>
              <w:t>产生浓度（mg/L）</w:t>
            </w:r>
          </w:p>
        </w:tc>
        <w:tc>
          <w:tcPr>
            <w:tcW w:w="953" w:type="dxa"/>
            <w:vAlign w:val="center"/>
          </w:tcPr>
          <w:p w14:paraId="76B2498D">
            <w:pPr>
              <w:widowControl/>
              <w:jc w:val="center"/>
              <w:rPr>
                <w:rFonts w:ascii="Times New Roman" w:hAnsi="Times New Roman"/>
                <w:kern w:val="0"/>
                <w:szCs w:val="21"/>
              </w:rPr>
            </w:pPr>
            <w:r>
              <w:rPr>
                <w:rFonts w:ascii="Times New Roman" w:hAnsi="Times New Roman"/>
                <w:kern w:val="0"/>
                <w:szCs w:val="21"/>
              </w:rPr>
              <w:t>394</w:t>
            </w:r>
          </w:p>
        </w:tc>
        <w:tc>
          <w:tcPr>
            <w:tcW w:w="953" w:type="dxa"/>
            <w:vAlign w:val="center"/>
          </w:tcPr>
          <w:p w14:paraId="30BC9C3C">
            <w:pPr>
              <w:jc w:val="center"/>
              <w:rPr>
                <w:rFonts w:ascii="Times New Roman" w:hAnsi="Times New Roman"/>
                <w:kern w:val="0"/>
                <w:szCs w:val="21"/>
              </w:rPr>
            </w:pPr>
            <w:r>
              <w:rPr>
                <w:rFonts w:ascii="Times New Roman" w:hAnsi="Times New Roman"/>
                <w:kern w:val="0"/>
                <w:szCs w:val="21"/>
              </w:rPr>
              <w:t>173</w:t>
            </w:r>
          </w:p>
        </w:tc>
        <w:tc>
          <w:tcPr>
            <w:tcW w:w="953" w:type="dxa"/>
            <w:vAlign w:val="center"/>
          </w:tcPr>
          <w:p w14:paraId="4EC286EF">
            <w:pPr>
              <w:jc w:val="center"/>
              <w:rPr>
                <w:rFonts w:ascii="Times New Roman" w:hAnsi="Times New Roman"/>
                <w:kern w:val="0"/>
                <w:szCs w:val="21"/>
              </w:rPr>
            </w:pPr>
            <w:r>
              <w:rPr>
                <w:rFonts w:ascii="Times New Roman" w:hAnsi="Times New Roman"/>
                <w:kern w:val="0"/>
                <w:szCs w:val="21"/>
              </w:rPr>
              <w:t>200</w:t>
            </w:r>
          </w:p>
        </w:tc>
        <w:tc>
          <w:tcPr>
            <w:tcW w:w="953" w:type="dxa"/>
            <w:vAlign w:val="center"/>
          </w:tcPr>
          <w:p w14:paraId="17BF5033">
            <w:pPr>
              <w:jc w:val="center"/>
              <w:rPr>
                <w:rFonts w:ascii="Times New Roman" w:hAnsi="Times New Roman"/>
                <w:kern w:val="0"/>
                <w:szCs w:val="21"/>
              </w:rPr>
            </w:pPr>
            <w:r>
              <w:rPr>
                <w:rFonts w:ascii="Times New Roman" w:hAnsi="Times New Roman"/>
                <w:kern w:val="0"/>
                <w:szCs w:val="21"/>
              </w:rPr>
              <w:t>30</w:t>
            </w:r>
          </w:p>
        </w:tc>
      </w:tr>
      <w:tr w14:paraId="668FF2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104" w:type="dxa"/>
            <w:vMerge w:val="continue"/>
            <w:vAlign w:val="center"/>
          </w:tcPr>
          <w:p w14:paraId="0B47EEB6">
            <w:pPr>
              <w:widowControl/>
              <w:jc w:val="center"/>
              <w:rPr>
                <w:rFonts w:ascii="Times New Roman" w:hAnsi="Times New Roman"/>
                <w:kern w:val="0"/>
                <w:szCs w:val="21"/>
              </w:rPr>
            </w:pPr>
          </w:p>
        </w:tc>
        <w:tc>
          <w:tcPr>
            <w:tcW w:w="2124" w:type="dxa"/>
            <w:vAlign w:val="center"/>
          </w:tcPr>
          <w:p w14:paraId="619D6002">
            <w:pPr>
              <w:widowControl/>
              <w:jc w:val="center"/>
              <w:rPr>
                <w:rFonts w:ascii="Times New Roman" w:hAnsi="Times New Roman"/>
                <w:kern w:val="0"/>
                <w:szCs w:val="21"/>
              </w:rPr>
            </w:pPr>
            <w:r>
              <w:rPr>
                <w:rFonts w:ascii="Times New Roman" w:hAnsi="Times New Roman"/>
                <w:kern w:val="0"/>
                <w:szCs w:val="21"/>
              </w:rPr>
              <w:t>排放浓度（mg/L）</w:t>
            </w:r>
          </w:p>
        </w:tc>
        <w:tc>
          <w:tcPr>
            <w:tcW w:w="953" w:type="dxa"/>
            <w:vAlign w:val="center"/>
          </w:tcPr>
          <w:p w14:paraId="6D7906CA">
            <w:pPr>
              <w:widowControl/>
              <w:jc w:val="center"/>
              <w:rPr>
                <w:rFonts w:ascii="Times New Roman" w:hAnsi="Times New Roman"/>
                <w:kern w:val="0"/>
                <w:szCs w:val="21"/>
              </w:rPr>
            </w:pPr>
            <w:r>
              <w:rPr>
                <w:rFonts w:ascii="Times New Roman" w:hAnsi="Times New Roman"/>
                <w:kern w:val="0"/>
                <w:szCs w:val="21"/>
              </w:rPr>
              <w:t>197</w:t>
            </w:r>
          </w:p>
        </w:tc>
        <w:tc>
          <w:tcPr>
            <w:tcW w:w="953" w:type="dxa"/>
            <w:vAlign w:val="center"/>
          </w:tcPr>
          <w:p w14:paraId="570659F5">
            <w:pPr>
              <w:jc w:val="center"/>
              <w:rPr>
                <w:rFonts w:ascii="Times New Roman" w:hAnsi="Times New Roman"/>
                <w:kern w:val="0"/>
                <w:szCs w:val="21"/>
              </w:rPr>
            </w:pPr>
            <w:r>
              <w:rPr>
                <w:rFonts w:ascii="Times New Roman" w:hAnsi="Times New Roman"/>
                <w:kern w:val="0"/>
                <w:szCs w:val="21"/>
              </w:rPr>
              <w:t>69</w:t>
            </w:r>
          </w:p>
        </w:tc>
        <w:tc>
          <w:tcPr>
            <w:tcW w:w="953" w:type="dxa"/>
            <w:vAlign w:val="center"/>
          </w:tcPr>
          <w:p w14:paraId="29B5FF78">
            <w:pPr>
              <w:jc w:val="center"/>
              <w:rPr>
                <w:rFonts w:ascii="Times New Roman" w:hAnsi="Times New Roman"/>
                <w:kern w:val="0"/>
                <w:szCs w:val="21"/>
              </w:rPr>
            </w:pPr>
            <w:r>
              <w:rPr>
                <w:rFonts w:ascii="Times New Roman" w:hAnsi="Times New Roman"/>
                <w:kern w:val="0"/>
                <w:szCs w:val="21"/>
              </w:rPr>
              <w:t>60</w:t>
            </w:r>
          </w:p>
        </w:tc>
        <w:tc>
          <w:tcPr>
            <w:tcW w:w="953" w:type="dxa"/>
            <w:vAlign w:val="center"/>
          </w:tcPr>
          <w:p w14:paraId="461674E9">
            <w:pPr>
              <w:jc w:val="center"/>
              <w:rPr>
                <w:rFonts w:ascii="Times New Roman" w:hAnsi="Times New Roman"/>
                <w:kern w:val="0"/>
                <w:szCs w:val="21"/>
              </w:rPr>
            </w:pPr>
            <w:r>
              <w:rPr>
                <w:rFonts w:ascii="Times New Roman" w:hAnsi="Times New Roman"/>
                <w:kern w:val="0"/>
                <w:szCs w:val="21"/>
              </w:rPr>
              <w:t>27</w:t>
            </w:r>
          </w:p>
        </w:tc>
      </w:tr>
      <w:tr w14:paraId="4E5308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104" w:type="dxa"/>
            <w:vAlign w:val="center"/>
          </w:tcPr>
          <w:p w14:paraId="3B469E2A">
            <w:pPr>
              <w:widowControl/>
              <w:jc w:val="center"/>
              <w:rPr>
                <w:rFonts w:ascii="Times New Roman" w:hAnsi="Times New Roman"/>
                <w:kern w:val="0"/>
                <w:szCs w:val="21"/>
              </w:rPr>
            </w:pPr>
            <w:r>
              <w:rPr>
                <w:rFonts w:ascii="Times New Roman" w:hAnsi="Times New Roman"/>
                <w:kern w:val="0"/>
                <w:szCs w:val="21"/>
              </w:rPr>
              <w:t>《污水综合排放标准》（GB8978-1996）</w:t>
            </w:r>
          </w:p>
        </w:tc>
        <w:tc>
          <w:tcPr>
            <w:tcW w:w="2124" w:type="dxa"/>
            <w:vAlign w:val="center"/>
          </w:tcPr>
          <w:p w14:paraId="1F2E943E">
            <w:pPr>
              <w:widowControl/>
              <w:jc w:val="center"/>
              <w:rPr>
                <w:rFonts w:ascii="Times New Roman" w:hAnsi="Times New Roman"/>
                <w:kern w:val="0"/>
                <w:szCs w:val="21"/>
              </w:rPr>
            </w:pPr>
            <w:r>
              <w:rPr>
                <w:rFonts w:ascii="Times New Roman" w:hAnsi="Times New Roman"/>
                <w:kern w:val="0"/>
                <w:szCs w:val="21"/>
              </w:rPr>
              <w:t>三级标准（mg/L）</w:t>
            </w:r>
          </w:p>
        </w:tc>
        <w:tc>
          <w:tcPr>
            <w:tcW w:w="953" w:type="dxa"/>
            <w:vAlign w:val="center"/>
          </w:tcPr>
          <w:p w14:paraId="58F9BFFA">
            <w:pPr>
              <w:widowControl/>
              <w:jc w:val="center"/>
              <w:rPr>
                <w:rFonts w:ascii="Times New Roman" w:hAnsi="Times New Roman"/>
                <w:kern w:val="0"/>
                <w:szCs w:val="21"/>
              </w:rPr>
            </w:pPr>
            <w:r>
              <w:rPr>
                <w:rFonts w:ascii="Times New Roman" w:hAnsi="Times New Roman"/>
                <w:kern w:val="0"/>
                <w:szCs w:val="21"/>
              </w:rPr>
              <w:t>500</w:t>
            </w:r>
          </w:p>
        </w:tc>
        <w:tc>
          <w:tcPr>
            <w:tcW w:w="953" w:type="dxa"/>
            <w:vAlign w:val="center"/>
          </w:tcPr>
          <w:p w14:paraId="0046AF2B">
            <w:pPr>
              <w:jc w:val="center"/>
              <w:rPr>
                <w:rFonts w:ascii="Times New Roman" w:hAnsi="Times New Roman"/>
                <w:kern w:val="0"/>
                <w:szCs w:val="21"/>
              </w:rPr>
            </w:pPr>
            <w:r>
              <w:rPr>
                <w:rFonts w:ascii="Times New Roman" w:hAnsi="Times New Roman"/>
                <w:kern w:val="0"/>
                <w:szCs w:val="21"/>
              </w:rPr>
              <w:t>300</w:t>
            </w:r>
          </w:p>
        </w:tc>
        <w:tc>
          <w:tcPr>
            <w:tcW w:w="953" w:type="dxa"/>
            <w:vAlign w:val="center"/>
          </w:tcPr>
          <w:p w14:paraId="32BAB3D4">
            <w:pPr>
              <w:jc w:val="center"/>
              <w:rPr>
                <w:rFonts w:ascii="Times New Roman" w:hAnsi="Times New Roman"/>
                <w:kern w:val="0"/>
                <w:szCs w:val="21"/>
              </w:rPr>
            </w:pPr>
            <w:r>
              <w:rPr>
                <w:rFonts w:ascii="Times New Roman" w:hAnsi="Times New Roman"/>
                <w:kern w:val="0"/>
                <w:szCs w:val="21"/>
              </w:rPr>
              <w:t>400</w:t>
            </w:r>
          </w:p>
        </w:tc>
        <w:tc>
          <w:tcPr>
            <w:tcW w:w="953" w:type="dxa"/>
            <w:vAlign w:val="center"/>
          </w:tcPr>
          <w:p w14:paraId="3F919021">
            <w:pPr>
              <w:jc w:val="center"/>
              <w:rPr>
                <w:rFonts w:ascii="Times New Roman" w:hAnsi="Times New Roman"/>
                <w:kern w:val="0"/>
                <w:szCs w:val="21"/>
              </w:rPr>
            </w:pPr>
            <w:r>
              <w:rPr>
                <w:rFonts w:ascii="Times New Roman" w:hAnsi="Times New Roman"/>
                <w:kern w:val="0"/>
                <w:szCs w:val="21"/>
              </w:rPr>
              <w:t>/</w:t>
            </w:r>
          </w:p>
        </w:tc>
      </w:tr>
      <w:tr w14:paraId="5AD6EA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104" w:type="dxa"/>
            <w:vAlign w:val="center"/>
          </w:tcPr>
          <w:p w14:paraId="4B384759">
            <w:pPr>
              <w:widowControl/>
              <w:jc w:val="center"/>
              <w:rPr>
                <w:rFonts w:ascii="Times New Roman" w:hAnsi="Times New Roman"/>
                <w:kern w:val="0"/>
                <w:szCs w:val="21"/>
              </w:rPr>
            </w:pPr>
            <w:r>
              <w:rPr>
                <w:rFonts w:hint="eastAsia" w:ascii="Times New Roman" w:hAnsi="Times New Roman"/>
                <w:kern w:val="0"/>
                <w:szCs w:val="21"/>
                <w:u w:val="single"/>
              </w:rPr>
              <w:t>钦州港大榄坪污水处理厂进水标准</w:t>
            </w:r>
          </w:p>
        </w:tc>
        <w:tc>
          <w:tcPr>
            <w:tcW w:w="2124" w:type="dxa"/>
            <w:vAlign w:val="center"/>
          </w:tcPr>
          <w:p w14:paraId="491609B5">
            <w:pPr>
              <w:widowControl/>
              <w:jc w:val="center"/>
              <w:rPr>
                <w:rFonts w:ascii="Times New Roman" w:hAnsi="Times New Roman"/>
                <w:kern w:val="0"/>
                <w:szCs w:val="21"/>
              </w:rPr>
            </w:pPr>
            <w:r>
              <w:rPr>
                <w:rFonts w:hint="eastAsia" w:ascii="Times New Roman" w:hAnsi="Times New Roman"/>
                <w:kern w:val="0"/>
                <w:szCs w:val="21"/>
                <w:u w:val="single"/>
              </w:rPr>
              <w:t>进水标准</w:t>
            </w:r>
          </w:p>
        </w:tc>
        <w:tc>
          <w:tcPr>
            <w:tcW w:w="953" w:type="dxa"/>
            <w:vAlign w:val="center"/>
          </w:tcPr>
          <w:p w14:paraId="6D7F3F91">
            <w:pPr>
              <w:widowControl/>
              <w:jc w:val="center"/>
              <w:rPr>
                <w:rFonts w:ascii="Times New Roman" w:hAnsi="Times New Roman"/>
                <w:kern w:val="0"/>
                <w:szCs w:val="21"/>
              </w:rPr>
            </w:pPr>
            <w:r>
              <w:rPr>
                <w:rFonts w:hint="eastAsia" w:ascii="Times New Roman" w:hAnsi="Times New Roman"/>
                <w:kern w:val="0"/>
                <w:szCs w:val="21"/>
                <w:u w:val="single"/>
              </w:rPr>
              <w:t>450</w:t>
            </w:r>
          </w:p>
        </w:tc>
        <w:tc>
          <w:tcPr>
            <w:tcW w:w="953" w:type="dxa"/>
            <w:vAlign w:val="center"/>
          </w:tcPr>
          <w:p w14:paraId="45B67D36">
            <w:pPr>
              <w:jc w:val="center"/>
              <w:rPr>
                <w:rFonts w:ascii="Times New Roman" w:hAnsi="Times New Roman"/>
                <w:kern w:val="0"/>
                <w:szCs w:val="21"/>
              </w:rPr>
            </w:pPr>
            <w:r>
              <w:rPr>
                <w:rFonts w:hint="eastAsia" w:ascii="Times New Roman" w:hAnsi="Times New Roman"/>
                <w:kern w:val="0"/>
                <w:szCs w:val="21"/>
                <w:u w:val="single"/>
              </w:rPr>
              <w:t>200</w:t>
            </w:r>
          </w:p>
        </w:tc>
        <w:tc>
          <w:tcPr>
            <w:tcW w:w="953" w:type="dxa"/>
            <w:vAlign w:val="center"/>
          </w:tcPr>
          <w:p w14:paraId="04EE4AE0">
            <w:pPr>
              <w:jc w:val="center"/>
              <w:rPr>
                <w:rFonts w:ascii="Times New Roman" w:hAnsi="Times New Roman"/>
                <w:kern w:val="0"/>
                <w:szCs w:val="21"/>
              </w:rPr>
            </w:pPr>
            <w:r>
              <w:rPr>
                <w:rFonts w:hint="eastAsia" w:ascii="Times New Roman" w:hAnsi="Times New Roman"/>
                <w:kern w:val="0"/>
                <w:szCs w:val="21"/>
                <w:u w:val="single"/>
              </w:rPr>
              <w:t>300</w:t>
            </w:r>
          </w:p>
        </w:tc>
        <w:tc>
          <w:tcPr>
            <w:tcW w:w="953" w:type="dxa"/>
            <w:vAlign w:val="center"/>
          </w:tcPr>
          <w:p w14:paraId="44BB2713">
            <w:pPr>
              <w:jc w:val="center"/>
              <w:rPr>
                <w:rFonts w:ascii="Times New Roman" w:hAnsi="Times New Roman"/>
                <w:kern w:val="0"/>
                <w:szCs w:val="21"/>
              </w:rPr>
            </w:pPr>
            <w:r>
              <w:rPr>
                <w:rFonts w:hint="eastAsia" w:ascii="Times New Roman" w:hAnsi="Times New Roman"/>
                <w:kern w:val="0"/>
                <w:szCs w:val="21"/>
                <w:u w:val="single"/>
              </w:rPr>
              <w:t>35</w:t>
            </w:r>
          </w:p>
        </w:tc>
      </w:tr>
      <w:tr w14:paraId="4B5F97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228" w:type="dxa"/>
            <w:gridSpan w:val="2"/>
            <w:vAlign w:val="center"/>
          </w:tcPr>
          <w:p w14:paraId="626B67B3">
            <w:pPr>
              <w:widowControl/>
              <w:jc w:val="center"/>
              <w:rPr>
                <w:rFonts w:ascii="Times New Roman" w:hAnsi="Times New Roman"/>
                <w:kern w:val="0"/>
                <w:szCs w:val="21"/>
              </w:rPr>
            </w:pPr>
            <w:r>
              <w:rPr>
                <w:rFonts w:ascii="Times New Roman" w:hAnsi="Times New Roman"/>
                <w:kern w:val="0"/>
                <w:szCs w:val="21"/>
              </w:rPr>
              <w:t>排放浓度达标情况</w:t>
            </w:r>
          </w:p>
        </w:tc>
        <w:tc>
          <w:tcPr>
            <w:tcW w:w="953" w:type="dxa"/>
            <w:vAlign w:val="center"/>
          </w:tcPr>
          <w:p w14:paraId="4D762115">
            <w:pPr>
              <w:widowControl/>
              <w:jc w:val="center"/>
              <w:rPr>
                <w:rFonts w:ascii="Times New Roman" w:hAnsi="Times New Roman"/>
                <w:kern w:val="0"/>
                <w:szCs w:val="21"/>
              </w:rPr>
            </w:pPr>
            <w:r>
              <w:rPr>
                <w:rFonts w:ascii="Times New Roman" w:hAnsi="Times New Roman"/>
                <w:kern w:val="0"/>
                <w:szCs w:val="21"/>
              </w:rPr>
              <w:t>达标</w:t>
            </w:r>
          </w:p>
        </w:tc>
        <w:tc>
          <w:tcPr>
            <w:tcW w:w="953" w:type="dxa"/>
            <w:vAlign w:val="center"/>
          </w:tcPr>
          <w:p w14:paraId="47E0016A">
            <w:pPr>
              <w:jc w:val="center"/>
              <w:rPr>
                <w:rFonts w:ascii="Times New Roman" w:hAnsi="Times New Roman"/>
                <w:kern w:val="0"/>
                <w:szCs w:val="21"/>
              </w:rPr>
            </w:pPr>
            <w:r>
              <w:rPr>
                <w:rFonts w:ascii="Times New Roman" w:hAnsi="Times New Roman"/>
                <w:kern w:val="0"/>
                <w:szCs w:val="21"/>
              </w:rPr>
              <w:t>达标</w:t>
            </w:r>
          </w:p>
        </w:tc>
        <w:tc>
          <w:tcPr>
            <w:tcW w:w="953" w:type="dxa"/>
            <w:vAlign w:val="center"/>
          </w:tcPr>
          <w:p w14:paraId="77A310BA">
            <w:pPr>
              <w:jc w:val="center"/>
              <w:rPr>
                <w:rFonts w:ascii="Times New Roman" w:hAnsi="Times New Roman"/>
                <w:kern w:val="0"/>
                <w:szCs w:val="21"/>
              </w:rPr>
            </w:pPr>
            <w:r>
              <w:rPr>
                <w:rFonts w:ascii="Times New Roman" w:hAnsi="Times New Roman"/>
                <w:kern w:val="0"/>
                <w:szCs w:val="21"/>
              </w:rPr>
              <w:t>达标</w:t>
            </w:r>
          </w:p>
        </w:tc>
        <w:tc>
          <w:tcPr>
            <w:tcW w:w="953" w:type="dxa"/>
            <w:vAlign w:val="center"/>
          </w:tcPr>
          <w:p w14:paraId="45C5ABE0">
            <w:pPr>
              <w:jc w:val="center"/>
              <w:rPr>
                <w:rFonts w:ascii="Times New Roman" w:hAnsi="Times New Roman"/>
                <w:kern w:val="0"/>
                <w:szCs w:val="21"/>
              </w:rPr>
            </w:pPr>
            <w:r>
              <w:rPr>
                <w:rFonts w:ascii="Times New Roman" w:hAnsi="Times New Roman"/>
                <w:kern w:val="0"/>
                <w:szCs w:val="21"/>
              </w:rPr>
              <w:t>达标</w:t>
            </w:r>
          </w:p>
        </w:tc>
      </w:tr>
    </w:tbl>
    <w:p w14:paraId="2D401AE4">
      <w:pPr>
        <w:tabs>
          <w:tab w:val="left" w:pos="900"/>
        </w:tabs>
        <w:spacing w:line="360" w:lineRule="auto"/>
        <w:ind w:firstLine="472" w:firstLineChars="200"/>
        <w:rPr>
          <w:rFonts w:ascii="Times New Roman" w:hAnsi="Times New Roman"/>
          <w:spacing w:val="-2"/>
          <w:kern w:val="0"/>
          <w:sz w:val="24"/>
          <w:szCs w:val="24"/>
        </w:rPr>
      </w:pPr>
    </w:p>
    <w:p w14:paraId="0F5479D1">
      <w:pPr>
        <w:spacing w:after="4" w:line="372" w:lineRule="auto"/>
        <w:ind w:left="-15" w:firstLine="480"/>
        <w:rPr>
          <w:rFonts w:ascii="Times New Roman" w:hAnsi="Times New Roman"/>
          <w:spacing w:val="-2"/>
          <w:kern w:val="0"/>
          <w:sz w:val="24"/>
          <w:szCs w:val="24"/>
        </w:rPr>
      </w:pPr>
      <w:r>
        <w:rPr>
          <w:rFonts w:ascii="Times New Roman" w:hAnsi="Times New Roman"/>
          <w:sz w:val="24"/>
        </w:rPr>
        <w:t>项目废水排放量为</w:t>
      </w:r>
      <w:r>
        <w:rPr>
          <w:rFonts w:ascii="Times New Roman" w:hAnsi="Times New Roman" w:eastAsiaTheme="minorEastAsia"/>
          <w:sz w:val="24"/>
        </w:rPr>
        <w:t>0.4</w:t>
      </w:r>
      <w:r>
        <w:rPr>
          <w:rFonts w:ascii="Times New Roman" w:hAnsi="Times New Roman" w:eastAsia="Times New Roman"/>
          <w:sz w:val="24"/>
        </w:rPr>
        <w:t>m</w:t>
      </w:r>
      <w:r>
        <w:rPr>
          <w:rFonts w:ascii="Times New Roman" w:hAnsi="Times New Roman" w:eastAsia="Times New Roman"/>
          <w:sz w:val="24"/>
          <w:vertAlign w:val="superscript"/>
        </w:rPr>
        <w:t>3</w:t>
      </w:r>
      <w:r>
        <w:rPr>
          <w:rFonts w:ascii="Times New Roman" w:hAnsi="Times New Roman" w:eastAsia="Times New Roman"/>
          <w:sz w:val="24"/>
        </w:rPr>
        <w:t>/d</w:t>
      </w:r>
      <w:r>
        <w:rPr>
          <w:rFonts w:ascii="Times New Roman" w:hAnsi="Times New Roman"/>
          <w:sz w:val="24"/>
        </w:rPr>
        <w:t>，钦州市大榄坪污水处理厂一期规模为</w:t>
      </w:r>
      <w:r>
        <w:rPr>
          <w:rFonts w:ascii="Times New Roman" w:hAnsi="Times New Roman" w:eastAsia="Times New Roman"/>
          <w:sz w:val="24"/>
        </w:rPr>
        <w:t>5</w:t>
      </w:r>
      <w:r>
        <w:rPr>
          <w:rFonts w:ascii="Times New Roman" w:hAnsi="Times New Roman"/>
          <w:sz w:val="24"/>
        </w:rPr>
        <w:t>万</w:t>
      </w:r>
      <w:r>
        <w:rPr>
          <w:rFonts w:ascii="Times New Roman" w:hAnsi="Times New Roman" w:eastAsia="Times New Roman"/>
          <w:sz w:val="24"/>
        </w:rPr>
        <w:t>m</w:t>
      </w:r>
      <w:r>
        <w:rPr>
          <w:rFonts w:ascii="Times New Roman" w:hAnsi="Times New Roman" w:eastAsia="Times New Roman"/>
          <w:sz w:val="24"/>
          <w:vertAlign w:val="superscript"/>
        </w:rPr>
        <w:t>3</w:t>
      </w:r>
      <w:r>
        <w:rPr>
          <w:rFonts w:ascii="Times New Roman" w:hAnsi="Times New Roman" w:eastAsia="Times New Roman"/>
          <w:sz w:val="24"/>
        </w:rPr>
        <w:t>/d</w:t>
      </w:r>
      <w:r>
        <w:rPr>
          <w:rFonts w:ascii="Times New Roman" w:hAnsi="Times New Roman"/>
          <w:sz w:val="24"/>
        </w:rPr>
        <w:t>，远期（</w:t>
      </w:r>
      <w:r>
        <w:rPr>
          <w:rFonts w:ascii="Times New Roman" w:hAnsi="Times New Roman" w:eastAsia="Times New Roman"/>
          <w:sz w:val="24"/>
        </w:rPr>
        <w:t xml:space="preserve">2025 </w:t>
      </w:r>
      <w:r>
        <w:rPr>
          <w:rFonts w:ascii="Times New Roman" w:hAnsi="Times New Roman"/>
          <w:sz w:val="24"/>
        </w:rPr>
        <w:t>年）规划达到</w:t>
      </w:r>
      <w:r>
        <w:rPr>
          <w:rFonts w:ascii="Times New Roman" w:hAnsi="Times New Roman" w:eastAsia="Times New Roman"/>
          <w:sz w:val="24"/>
        </w:rPr>
        <w:t xml:space="preserve">25 </w:t>
      </w:r>
      <w:r>
        <w:rPr>
          <w:rFonts w:ascii="Times New Roman" w:hAnsi="Times New Roman"/>
          <w:sz w:val="24"/>
        </w:rPr>
        <w:t>万</w:t>
      </w:r>
      <w:r>
        <w:rPr>
          <w:rFonts w:ascii="Times New Roman" w:hAnsi="Times New Roman" w:eastAsia="Times New Roman"/>
          <w:sz w:val="24"/>
        </w:rPr>
        <w:t>m</w:t>
      </w:r>
      <w:r>
        <w:rPr>
          <w:rFonts w:ascii="Times New Roman" w:hAnsi="Times New Roman" w:eastAsia="Times New Roman"/>
          <w:sz w:val="24"/>
          <w:vertAlign w:val="superscript"/>
        </w:rPr>
        <w:t>3</w:t>
      </w:r>
      <w:r>
        <w:rPr>
          <w:rFonts w:ascii="Times New Roman" w:hAnsi="Times New Roman" w:eastAsia="Times New Roman"/>
          <w:sz w:val="24"/>
        </w:rPr>
        <w:t>/d</w:t>
      </w:r>
      <w:r>
        <w:rPr>
          <w:rFonts w:ascii="Times New Roman" w:hAnsi="Times New Roman"/>
          <w:sz w:val="24"/>
        </w:rPr>
        <w:t>，</w:t>
      </w:r>
      <w:r>
        <w:rPr>
          <w:rFonts w:ascii="Times New Roman" w:hAnsi="Times New Roman"/>
          <w:sz w:val="24"/>
          <w:u w:val="single"/>
        </w:rPr>
        <w:t>目前日处理废水量约为</w:t>
      </w:r>
      <w:r>
        <w:rPr>
          <w:rFonts w:hint="eastAsia" w:ascii="Times New Roman" w:hAnsi="Times New Roman" w:eastAsiaTheme="minorEastAsia"/>
          <w:sz w:val="24"/>
          <w:u w:val="single"/>
        </w:rPr>
        <w:t>4000</w:t>
      </w:r>
      <w:r>
        <w:rPr>
          <w:rFonts w:ascii="Times New Roman" w:hAnsi="Times New Roman" w:eastAsia="Times New Roman"/>
          <w:sz w:val="24"/>
          <w:u w:val="single"/>
        </w:rPr>
        <w:t>m</w:t>
      </w:r>
      <w:r>
        <w:rPr>
          <w:rFonts w:ascii="Times New Roman" w:hAnsi="Times New Roman" w:eastAsia="Times New Roman"/>
          <w:sz w:val="24"/>
          <w:u w:val="single"/>
          <w:vertAlign w:val="superscript"/>
        </w:rPr>
        <w:t>3</w:t>
      </w:r>
      <w:r>
        <w:rPr>
          <w:rFonts w:ascii="Times New Roman" w:hAnsi="Times New Roman" w:eastAsia="Times New Roman"/>
          <w:sz w:val="24"/>
          <w:u w:val="single"/>
        </w:rPr>
        <w:t>/d</w:t>
      </w:r>
      <w:r>
        <w:rPr>
          <w:rFonts w:hint="eastAsia" w:ascii="宋体" w:hAnsi="宋体" w:cs="宋体"/>
          <w:sz w:val="24"/>
          <w:u w:val="single"/>
        </w:rPr>
        <w:t>，有富余处理能力接纳项目的废水</w:t>
      </w:r>
      <w:r>
        <w:rPr>
          <w:rFonts w:ascii="Times New Roman" w:hAnsi="Times New Roman"/>
          <w:sz w:val="24"/>
          <w:u w:val="single"/>
        </w:rPr>
        <w:t>。</w:t>
      </w:r>
      <w:r>
        <w:rPr>
          <w:rFonts w:ascii="Times New Roman" w:hAnsi="Times New Roman"/>
          <w:sz w:val="24"/>
        </w:rPr>
        <w:t>项目废水仅占污水处理厂一期处理规模的</w:t>
      </w:r>
      <w:r>
        <w:rPr>
          <w:rFonts w:ascii="Times New Roman" w:hAnsi="Times New Roman" w:eastAsia="Times New Roman"/>
          <w:sz w:val="24"/>
        </w:rPr>
        <w:t>0.</w:t>
      </w:r>
      <w:r>
        <w:rPr>
          <w:rFonts w:ascii="Times New Roman" w:hAnsi="Times New Roman" w:eastAsiaTheme="minorEastAsia"/>
          <w:sz w:val="24"/>
        </w:rPr>
        <w:t>0008</w:t>
      </w:r>
      <w:r>
        <w:rPr>
          <w:rFonts w:ascii="Times New Roman" w:hAnsi="Times New Roman" w:eastAsia="Times New Roman"/>
          <w:sz w:val="24"/>
        </w:rPr>
        <w:t>%</w:t>
      </w:r>
      <w:r>
        <w:rPr>
          <w:rFonts w:ascii="Times New Roman" w:hAnsi="Times New Roman"/>
          <w:sz w:val="24"/>
        </w:rPr>
        <w:t>、占污水处理厂二期处理规模的</w:t>
      </w:r>
      <w:r>
        <w:rPr>
          <w:rFonts w:ascii="Times New Roman" w:hAnsi="Times New Roman" w:eastAsia="Times New Roman"/>
          <w:sz w:val="24"/>
        </w:rPr>
        <w:t>0.0</w:t>
      </w:r>
      <w:r>
        <w:rPr>
          <w:rFonts w:ascii="Times New Roman" w:hAnsi="Times New Roman" w:eastAsiaTheme="minorEastAsia"/>
          <w:sz w:val="24"/>
        </w:rPr>
        <w:t>002</w:t>
      </w:r>
      <w:r>
        <w:rPr>
          <w:rFonts w:ascii="Times New Roman" w:hAnsi="Times New Roman" w:eastAsia="Times New Roman"/>
          <w:sz w:val="24"/>
        </w:rPr>
        <w:t>%</w:t>
      </w:r>
      <w:r>
        <w:rPr>
          <w:rFonts w:ascii="Times New Roman" w:hAnsi="Times New Roman"/>
          <w:sz w:val="24"/>
        </w:rPr>
        <w:t>，占比很小，大榄坪污水处理厂剩余容量可接纳本项目生活污水排放量，所以本项目废水不会在水量上对污水处理厂造成冲击。</w:t>
      </w:r>
    </w:p>
    <w:p w14:paraId="36D20A5D">
      <w:pPr>
        <w:tabs>
          <w:tab w:val="left" w:pos="900"/>
        </w:tabs>
        <w:spacing w:line="360" w:lineRule="auto"/>
        <w:ind w:firstLine="474" w:firstLineChars="200"/>
        <w:rPr>
          <w:rFonts w:ascii="Times New Roman" w:hAnsi="Times New Roman"/>
          <w:b/>
          <w:bCs/>
          <w:spacing w:val="-2"/>
          <w:kern w:val="0"/>
          <w:sz w:val="24"/>
          <w:szCs w:val="24"/>
        </w:rPr>
      </w:pPr>
      <w:r>
        <w:rPr>
          <w:rFonts w:ascii="Times New Roman" w:hAnsi="Times New Roman"/>
          <w:b/>
          <w:bCs/>
          <w:spacing w:val="-2"/>
          <w:kern w:val="0"/>
          <w:sz w:val="24"/>
          <w:szCs w:val="24"/>
        </w:rPr>
        <w:t>（3）依托网管可行性分析</w:t>
      </w:r>
    </w:p>
    <w:p w14:paraId="32E4578B">
      <w:pPr>
        <w:spacing w:after="4" w:line="372" w:lineRule="auto"/>
        <w:ind w:left="-15" w:firstLine="480"/>
        <w:rPr>
          <w:rFonts w:ascii="Times New Roman" w:hAnsi="Times New Roman"/>
          <w:sz w:val="24"/>
        </w:rPr>
      </w:pPr>
      <w:bookmarkStart w:id="207" w:name="_Hlk154757420"/>
      <w:r>
        <w:rPr>
          <w:rFonts w:ascii="Times New Roman" w:hAnsi="Times New Roman"/>
          <w:sz w:val="24"/>
        </w:rPr>
        <w:t>大榄坪污水处理厂收纳范围西起规划的金鼓江航道，东至鹿耳环江，北至规划环珠东大街，南至规划第八大街，配套新DN300</w:t>
      </w:r>
      <w:r>
        <w:rPr>
          <w:rFonts w:hint="eastAsia" w:ascii="Times New Roman" w:hAnsi="Times New Roman"/>
          <w:sz w:val="24"/>
        </w:rPr>
        <w:t>～</w:t>
      </w:r>
      <w:r>
        <w:rPr>
          <w:rFonts w:ascii="Times New Roman" w:hAnsi="Times New Roman"/>
          <w:sz w:val="24"/>
        </w:rPr>
        <w:t>DN2000 污水管总长67.70km。项目位于大榄坪污水处理厂收纳范围内，项目周边园区污水管网已建成，可接入园区污水管网。</w:t>
      </w:r>
      <w:bookmarkEnd w:id="207"/>
    </w:p>
    <w:p w14:paraId="7CFF4D74">
      <w:pPr>
        <w:spacing w:after="4" w:line="372" w:lineRule="auto"/>
        <w:ind w:left="-15" w:firstLine="480"/>
        <w:rPr>
          <w:rFonts w:ascii="Times New Roman" w:hAnsi="Times New Roman"/>
          <w:sz w:val="24"/>
        </w:rPr>
      </w:pPr>
      <w:r>
        <w:rPr>
          <w:rFonts w:ascii="Times New Roman" w:hAnsi="Times New Roman"/>
          <w:spacing w:val="-2"/>
          <w:kern w:val="0"/>
          <w:sz w:val="24"/>
          <w:szCs w:val="24"/>
        </w:rPr>
        <w:t>综上所述，本项目在大榄坪污水处理厂的服务范围内，项目生活污水产生量较少，经化粪池处理后排污市政污水管网送</w:t>
      </w:r>
      <w:bookmarkStart w:id="208" w:name="OLE_LINK6"/>
      <w:r>
        <w:rPr>
          <w:rFonts w:ascii="Times New Roman" w:hAnsi="Times New Roman"/>
          <w:spacing w:val="-2"/>
          <w:kern w:val="0"/>
          <w:sz w:val="24"/>
          <w:szCs w:val="24"/>
        </w:rPr>
        <w:t>大榄坪污水处理厂</w:t>
      </w:r>
      <w:bookmarkEnd w:id="208"/>
      <w:r>
        <w:rPr>
          <w:rFonts w:ascii="Times New Roman" w:hAnsi="Times New Roman"/>
          <w:spacing w:val="-2"/>
          <w:kern w:val="0"/>
          <w:sz w:val="24"/>
          <w:szCs w:val="24"/>
        </w:rPr>
        <w:t>进一步处理，对大榄坪污水处理厂的负荷冲击性小，依托大榄坪污水处理厂处理是可行的。</w:t>
      </w:r>
    </w:p>
    <w:p w14:paraId="694B52CD">
      <w:pPr>
        <w:keepNext/>
        <w:keepLines/>
        <w:spacing w:line="360" w:lineRule="auto"/>
        <w:outlineLvl w:val="2"/>
        <w:rPr>
          <w:rFonts w:ascii="Times New Roman" w:hAnsi="Times New Roman" w:eastAsia="黑体"/>
          <w:b/>
          <w:bCs/>
          <w:spacing w:val="-2"/>
          <w:kern w:val="0"/>
          <w:sz w:val="24"/>
          <w:szCs w:val="24"/>
        </w:rPr>
      </w:pPr>
      <w:r>
        <w:rPr>
          <w:rFonts w:ascii="Times New Roman" w:hAnsi="Times New Roman" w:eastAsia="黑体"/>
          <w:b/>
          <w:bCs/>
          <w:spacing w:val="-2"/>
          <w:kern w:val="0"/>
          <w:sz w:val="24"/>
          <w:szCs w:val="24"/>
        </w:rPr>
        <w:t>4.3.5小结</w:t>
      </w:r>
    </w:p>
    <w:p w14:paraId="09B45F76">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项目不产生生产废水，生活污水排入</w:t>
      </w:r>
      <w:bookmarkStart w:id="209" w:name="OLE_LINK5"/>
      <w:r>
        <w:rPr>
          <w:rFonts w:ascii="Times New Roman" w:hAnsi="Times New Roman"/>
          <w:spacing w:val="-2"/>
          <w:kern w:val="0"/>
          <w:sz w:val="24"/>
          <w:szCs w:val="24"/>
        </w:rPr>
        <w:t>钦州大榄坪污水处理厂</w:t>
      </w:r>
      <w:bookmarkEnd w:id="209"/>
      <w:r>
        <w:rPr>
          <w:rFonts w:ascii="Times New Roman" w:hAnsi="Times New Roman"/>
          <w:spacing w:val="-2"/>
          <w:kern w:val="0"/>
          <w:sz w:val="24"/>
          <w:szCs w:val="24"/>
        </w:rPr>
        <w:t>处理后达标深海排放，对周边地表水体影响不大，建设项目地表水环境影响可接受。</w:t>
      </w:r>
    </w:p>
    <w:p w14:paraId="67BEF54D">
      <w:pPr>
        <w:pStyle w:val="5"/>
        <w:numPr>
          <w:ilvl w:val="1"/>
          <w:numId w:val="3"/>
        </w:numPr>
      </w:pPr>
      <w:bookmarkStart w:id="210" w:name="_Toc368170022"/>
      <w:bookmarkStart w:id="211" w:name="_Toc2422"/>
      <w:bookmarkStart w:id="212" w:name="_Toc415564636"/>
      <w:r>
        <w:t>地下水环境影响分析</w:t>
      </w:r>
      <w:bookmarkEnd w:id="210"/>
      <w:bookmarkEnd w:id="211"/>
      <w:bookmarkEnd w:id="212"/>
    </w:p>
    <w:p w14:paraId="23D57719">
      <w:pPr>
        <w:pStyle w:val="6"/>
        <w:numPr>
          <w:ilvl w:val="2"/>
          <w:numId w:val="3"/>
        </w:numPr>
      </w:pPr>
      <w:bookmarkStart w:id="213" w:name="_Toc478487106"/>
      <w:bookmarkStart w:id="214" w:name="_Toc368170023"/>
      <w:r>
        <w:t>水文地质条件</w:t>
      </w:r>
    </w:p>
    <w:p w14:paraId="4F46B1AE">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根据区域1/20万钦州幅水文地图分析，钦州市地下水类型主要为松散岩类孔隙水、碎屑岩类裂隙孔隙水、泥质粉砂岩类构造裂隙水和基岩裂隙水等四大类型。区域地下水主要为碎屑岩类裂隙孔隙水，地下水补给主要是降雨的垂直补给和地表水侧向补给，其径流排泄总体上是由北向南。</w:t>
      </w:r>
    </w:p>
    <w:p w14:paraId="661B3182">
      <w:pPr>
        <w:spacing w:line="360" w:lineRule="auto"/>
        <w:ind w:firstLine="472" w:firstLineChars="200"/>
        <w:rPr>
          <w:rFonts w:ascii="Times New Roman" w:hAnsi="Times New Roman"/>
          <w:spacing w:val="-2"/>
          <w:kern w:val="0"/>
          <w:sz w:val="24"/>
          <w:szCs w:val="24"/>
          <w:u w:val="single"/>
        </w:rPr>
      </w:pPr>
      <w:r>
        <w:rPr>
          <w:rFonts w:ascii="Times New Roman" w:hAnsi="Times New Roman"/>
          <w:spacing w:val="-2"/>
          <w:kern w:val="0"/>
          <w:sz w:val="24"/>
          <w:szCs w:val="24"/>
        </w:rPr>
        <w:t>项目所在地的广西钦州保税港区用地原为海域，现状地形是经人工吹填砂形成，水文地质条件受吹填施工过程的影响较大，由于项目陆域形成的特殊性使项目区域的水文地质条件可能存在与水文地质发展规律不相符的情况。</w:t>
      </w:r>
      <w:r>
        <w:rPr>
          <w:rFonts w:hint="eastAsia" w:ascii="Times New Roman" w:hAnsi="Times New Roman"/>
          <w:spacing w:val="-2"/>
          <w:kern w:val="0"/>
          <w:sz w:val="24"/>
          <w:szCs w:val="24"/>
          <w:u w:val="single"/>
        </w:rPr>
        <w:t>该区域目前无</w:t>
      </w:r>
      <w:r>
        <w:rPr>
          <w:rFonts w:ascii="Times New Roman" w:hAnsi="Times New Roman"/>
          <w:spacing w:val="-2"/>
          <w:kern w:val="0"/>
          <w:sz w:val="24"/>
          <w:szCs w:val="24"/>
          <w:u w:val="single"/>
        </w:rPr>
        <w:t>水文地质</w:t>
      </w:r>
      <w:r>
        <w:rPr>
          <w:rFonts w:hint="eastAsia" w:ascii="Times New Roman" w:hAnsi="Times New Roman"/>
          <w:spacing w:val="-2"/>
          <w:kern w:val="0"/>
          <w:sz w:val="24"/>
          <w:szCs w:val="24"/>
          <w:u w:val="single"/>
        </w:rPr>
        <w:t>历史资料，区域地下水的发展受填海底层的影响，又有一定的随机性。因此</w:t>
      </w:r>
      <w:r>
        <w:rPr>
          <w:rFonts w:ascii="Times New Roman" w:hAnsi="Times New Roman"/>
          <w:spacing w:val="-2"/>
          <w:kern w:val="0"/>
          <w:sz w:val="24"/>
          <w:szCs w:val="24"/>
          <w:u w:val="single"/>
        </w:rPr>
        <w:t>区域的水文地质情况参考目前与填海成陆区相接壤的区域的水文地质资料，</w:t>
      </w:r>
      <w:r>
        <w:rPr>
          <w:rFonts w:hint="eastAsia" w:ascii="Times New Roman" w:hAnsi="Times New Roman"/>
          <w:spacing w:val="-2"/>
          <w:kern w:val="0"/>
          <w:sz w:val="24"/>
          <w:szCs w:val="24"/>
          <w:u w:val="single"/>
        </w:rPr>
        <w:t>结合项目所在区域三面环海的半岛地形，再</w:t>
      </w:r>
      <w:r>
        <w:rPr>
          <w:rFonts w:ascii="Times New Roman" w:hAnsi="Times New Roman"/>
          <w:spacing w:val="-2"/>
          <w:kern w:val="0"/>
          <w:sz w:val="24"/>
          <w:szCs w:val="24"/>
          <w:u w:val="single"/>
        </w:rPr>
        <w:t>结合该临海区域的地下水补给、径流、排泄一般特征规律，判断项目所在的吹填成陆的半岛区域的地下水总体延续由北向南的主要方向，同时也存在向西南、东南方向排泄到钦州湾海域。</w:t>
      </w:r>
    </w:p>
    <w:p w14:paraId="3C472523">
      <w:pPr>
        <w:pStyle w:val="6"/>
        <w:numPr>
          <w:ilvl w:val="2"/>
          <w:numId w:val="3"/>
        </w:numPr>
      </w:pPr>
      <w:r>
        <w:t>污染途径分析</w:t>
      </w:r>
    </w:p>
    <w:p w14:paraId="1068928C">
      <w:pPr>
        <w:spacing w:line="360" w:lineRule="auto"/>
        <w:ind w:firstLine="474" w:firstLineChars="200"/>
        <w:rPr>
          <w:rFonts w:ascii="Times New Roman" w:hAnsi="Times New Roman"/>
          <w:b/>
          <w:bCs/>
          <w:spacing w:val="-2"/>
          <w:kern w:val="0"/>
          <w:sz w:val="24"/>
          <w:szCs w:val="24"/>
        </w:rPr>
      </w:pPr>
      <w:r>
        <w:rPr>
          <w:rFonts w:ascii="Times New Roman" w:hAnsi="Times New Roman"/>
          <w:b/>
          <w:bCs/>
          <w:spacing w:val="-2"/>
          <w:kern w:val="0"/>
          <w:sz w:val="24"/>
          <w:szCs w:val="24"/>
        </w:rPr>
        <w:t>（1）污染因子的迁移、转化规律</w:t>
      </w:r>
    </w:p>
    <w:p w14:paraId="16CACEBE">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地下水的污染主要是污染物通过土层垂直下渗首先经过表土，再进入包气带，在包气带污染可以得到一定程度的净化，有机污染物可以通过生物作用降解，不能被净化或固定的污染物随入渗水进入地下水层。</w:t>
      </w:r>
    </w:p>
    <w:p w14:paraId="7D6A063E">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无机物在自然界不能降解，在下渗的过程中靠吸附或生成难溶化合物滞留于土层中。废水中的主要污染物COD、NH</w:t>
      </w:r>
      <w:r>
        <w:rPr>
          <w:rFonts w:ascii="Times New Roman" w:hAnsi="Times New Roman"/>
          <w:spacing w:val="-2"/>
          <w:kern w:val="0"/>
          <w:sz w:val="24"/>
          <w:szCs w:val="24"/>
          <w:vertAlign w:val="subscript"/>
        </w:rPr>
        <w:t>3</w:t>
      </w:r>
      <w:r>
        <w:rPr>
          <w:rFonts w:ascii="Times New Roman" w:hAnsi="Times New Roman"/>
          <w:spacing w:val="-2"/>
          <w:kern w:val="0"/>
          <w:sz w:val="24"/>
          <w:szCs w:val="24"/>
        </w:rPr>
        <w:t>-N、粪大肠菌群及有机物在下渗过程中靠吸附或生成难溶化合物滞留于土层中，在细菌或微生物的作用下发生分解而去除。</w:t>
      </w:r>
    </w:p>
    <w:p w14:paraId="677E73B4">
      <w:pPr>
        <w:spacing w:line="360" w:lineRule="auto"/>
        <w:ind w:firstLine="474" w:firstLineChars="200"/>
        <w:rPr>
          <w:rFonts w:ascii="Times New Roman" w:hAnsi="Times New Roman"/>
          <w:b/>
          <w:bCs/>
          <w:spacing w:val="-2"/>
          <w:kern w:val="0"/>
          <w:sz w:val="24"/>
          <w:szCs w:val="24"/>
        </w:rPr>
      </w:pPr>
      <w:r>
        <w:rPr>
          <w:rFonts w:ascii="Times New Roman" w:hAnsi="Times New Roman"/>
          <w:b/>
          <w:bCs/>
          <w:spacing w:val="-2"/>
          <w:kern w:val="0"/>
          <w:sz w:val="24"/>
          <w:szCs w:val="24"/>
        </w:rPr>
        <w:t>（2）地下水的污染途径</w:t>
      </w:r>
    </w:p>
    <w:p w14:paraId="7929B1E7">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地下水污染途径通常有：通过生产车间及地面渗入地下；通过厂内污水管网及污水处理设施渗入地下；通过厂外排水管网渗入地下；通过降雨将污染物带入地下。废水对地下水的影响程度与排污强度和该区域土壤、水文地质条件等因素有关。通过对区域水文地质条件分析知，规划区所在地域地表土壤防渗能力一般，防止地下水污染的主要措施是切断污染物进入地下水环境的途径，包括：企业生产车间地面及处理设施均做防渗处理；污水排放管道采取水泥防渗管道；厂区及车间地面进行硬化、采取“雨污分流，清污分流”的排水措施同时对初期雨水进行收集处理。按规范采取防渗处理措施后，可控制污染物渗入地下对区域地下水的污染。</w:t>
      </w:r>
    </w:p>
    <w:p w14:paraId="4F9AF23D">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本项目租用广西钦州保税区创大冷链物流公司的3号仓库进行建设，仓库位于广西钦州保税区创大冷链物流公司进口汽车仓储物流园内。目前进口汽车仓储物流园区内地面均已硬化，配套的电气工程、给排水工程、照明工程、消防工程等均已完善，园区内的雨水、污水等室外给排水设施均已投入使用，并具有较好的可靠性，水环境风险程度较低。</w:t>
      </w:r>
    </w:p>
    <w:p w14:paraId="064BE9CD">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项目建成后生产区均在厂房内，厂房采用封闭式设计，地面均进行了硬化及防渗处理，物料堆存均在车间内无雨水淋溶情况，并且项目生产过程中无需用水，仅有少量的工作人员的生活污水产生。项目生活污水通过化粪池处理后，利用进口汽车仓储物流园内的室外污水排水系统，排到市政污水管网，园区内的污水系统完善，区域市政污水管网服务范围已覆盖，项目生活污水不会出现污水外泄的情况。</w:t>
      </w:r>
    </w:p>
    <w:p w14:paraId="29551692">
      <w:pPr>
        <w:spacing w:line="360" w:lineRule="auto"/>
        <w:ind w:firstLine="480" w:firstLineChars="200"/>
        <w:rPr>
          <w:rFonts w:ascii="Times New Roman" w:hAnsi="Times New Roman"/>
          <w:spacing w:val="-2"/>
          <w:kern w:val="0"/>
          <w:sz w:val="24"/>
          <w:szCs w:val="24"/>
        </w:rPr>
      </w:pPr>
      <w:r>
        <w:rPr>
          <w:rFonts w:ascii="Times New Roman" w:hAnsi="Times New Roman"/>
          <w:sz w:val="24"/>
          <w:szCs w:val="24"/>
        </w:rPr>
        <w:t>项目生产线及物料堆放用地均布置在车间内，无新增室外建筑物。项目用地内的雨水主要为车间顶棚雨水，车间顶棚雨水依托广西钦州保税区创大冷链物流公司的3号仓库屋面雨水系统收集，屋面雨水汇入创大进口汽车仓储物流园雨水系统后排</w:t>
      </w:r>
      <w:r>
        <w:rPr>
          <w:rFonts w:hint="eastAsia" w:ascii="Times New Roman" w:hAnsi="Times New Roman"/>
          <w:sz w:val="24"/>
          <w:szCs w:val="24"/>
        </w:rPr>
        <w:t>入</w:t>
      </w:r>
      <w:r>
        <w:rPr>
          <w:rFonts w:ascii="Times New Roman" w:hAnsi="Times New Roman"/>
          <w:sz w:val="24"/>
          <w:szCs w:val="24"/>
        </w:rPr>
        <w:t>市政雨水管网。</w:t>
      </w:r>
    </w:p>
    <w:p w14:paraId="404FA240">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综上所述，在本项目投产运行后，项目生活污水、顶棚雨水均可依托广西钦州保税区创大冷链物流公司进口汽车仓储物流园内完善的室外排水设施，接入市政给排水系统，基本无废水下渗的污染途径，正常情况下不会对地下水环境产生负面影响。</w:t>
      </w:r>
    </w:p>
    <w:p w14:paraId="4A104877">
      <w:pPr>
        <w:pStyle w:val="6"/>
        <w:numPr>
          <w:ilvl w:val="2"/>
          <w:numId w:val="3"/>
        </w:numPr>
      </w:pPr>
      <w:r>
        <w:t>地下水</w:t>
      </w:r>
      <w:r>
        <w:rPr>
          <w:rFonts w:hint="eastAsia"/>
        </w:rPr>
        <w:t>环境</w:t>
      </w:r>
      <w:r>
        <w:t>影响</w:t>
      </w:r>
      <w:r>
        <w:rPr>
          <w:rFonts w:hint="eastAsia"/>
        </w:rPr>
        <w:t>分析</w:t>
      </w:r>
    </w:p>
    <w:p w14:paraId="6DB8E78D">
      <w:pPr>
        <w:spacing w:line="360" w:lineRule="auto"/>
        <w:ind w:firstLine="472" w:firstLineChars="200"/>
        <w:rPr>
          <w:rFonts w:ascii="Times New Roman" w:hAnsi="Times New Roman"/>
          <w:spacing w:val="-2"/>
          <w:kern w:val="0"/>
          <w:sz w:val="24"/>
          <w:szCs w:val="24"/>
          <w:u w:val="single"/>
        </w:rPr>
      </w:pPr>
      <w:r>
        <w:rPr>
          <w:rFonts w:hint="eastAsia" w:ascii="Times New Roman" w:hAnsi="Times New Roman"/>
          <w:spacing w:val="-2"/>
          <w:kern w:val="0"/>
          <w:sz w:val="24"/>
          <w:szCs w:val="24"/>
          <w:u w:val="single"/>
        </w:rPr>
        <w:t>项目生产工艺采用干式磁选，无选矿废水等产生，本项目生产人员10人并且采用2班制生产，仅有少量的生活污水产生。项目生活污水经化粪池处理后通过创大物流园区的污水管</w:t>
      </w:r>
      <w:r>
        <w:rPr>
          <w:rFonts w:hint="eastAsia" w:ascii="Times New Roman" w:hAnsi="Times New Roman"/>
          <w:spacing w:val="-2"/>
          <w:kern w:val="0"/>
          <w:sz w:val="24"/>
          <w:szCs w:val="24"/>
          <w:u w:val="single"/>
          <w:lang w:eastAsia="zh-CN"/>
        </w:rPr>
        <w:t>排入</w:t>
      </w:r>
      <w:r>
        <w:rPr>
          <w:rFonts w:hint="eastAsia" w:ascii="Times New Roman" w:hAnsi="Times New Roman"/>
          <w:spacing w:val="-2"/>
          <w:kern w:val="0"/>
          <w:sz w:val="24"/>
          <w:szCs w:val="24"/>
          <w:u w:val="single"/>
        </w:rPr>
        <w:t>市政污水管网。项目不存在生产废水污染地下水的途径，且本项目下游无居民区，最近的居民区为上游方向2100m处的保税港区企业职业配套生活区，该生活区饮用水源为市政供水管网自来水。项目运营期少量的生活污水即使发生极端情况发生泄漏时，只有较微量的COD、氨氮的影响，对周边的地下水影响较小。</w:t>
      </w:r>
    </w:p>
    <w:p w14:paraId="699802C2">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项目所在区域为吹填成陆区域，吹填前为浅海地貌，区域内无原有的用水设</w:t>
      </w:r>
      <w:r>
        <w:rPr>
          <w:rFonts w:hint="eastAsia" w:ascii="Times New Roman" w:hAnsi="Times New Roman"/>
          <w:spacing w:val="-2"/>
          <w:kern w:val="0"/>
          <w:sz w:val="24"/>
          <w:szCs w:val="24"/>
          <w:lang w:eastAsia="zh-CN"/>
        </w:rPr>
        <w:t>施和</w:t>
      </w:r>
      <w:r>
        <w:rPr>
          <w:rFonts w:ascii="Times New Roman" w:hAnsi="Times New Roman"/>
          <w:spacing w:val="-2"/>
          <w:kern w:val="0"/>
          <w:sz w:val="24"/>
          <w:szCs w:val="24"/>
        </w:rPr>
        <w:t>用水单位等，区域吹填成陆后，区域内用水由与填海成陆区相接壤的钦南区区域的供水管网进行供给，区域内未设置用水资源开采设施或海水淡化设施，项目所在场地及周边区域无集中式地下水水源保护区。区域主要以工业、物流仓储、港口用地为主，仅有少量配套的办公区及宿舍，办公区及宿舍区均以钦南区的市政供水管网自来水为饮用水源。根据吹填成陆区域的地下水由北向南排泄入海的地下水流向，项目地下水下游区域均为工业、物流仓储企业，无居民区及地下水取水单位，</w:t>
      </w:r>
      <w:r>
        <w:rPr>
          <w:rFonts w:hint="eastAsia" w:ascii="Times New Roman" w:hAnsi="Times New Roman"/>
          <w:spacing w:val="-2"/>
          <w:kern w:val="0"/>
          <w:sz w:val="24"/>
          <w:szCs w:val="24"/>
        </w:rPr>
        <w:t>在正常工况下</w:t>
      </w:r>
      <w:r>
        <w:rPr>
          <w:rFonts w:ascii="Times New Roman" w:hAnsi="Times New Roman"/>
          <w:spacing w:val="-2"/>
          <w:kern w:val="0"/>
          <w:sz w:val="24"/>
          <w:szCs w:val="24"/>
        </w:rPr>
        <w:t>项目不存在废水下渗影响下游水资源的污染途径。</w:t>
      </w:r>
    </w:p>
    <w:p w14:paraId="07AEB41B">
      <w:pPr>
        <w:keepNext/>
        <w:keepLines/>
        <w:spacing w:line="360" w:lineRule="auto"/>
        <w:outlineLvl w:val="2"/>
        <w:rPr>
          <w:rFonts w:ascii="Times New Roman" w:hAnsi="Times New Roman"/>
          <w:spacing w:val="-2"/>
          <w:kern w:val="0"/>
          <w:sz w:val="24"/>
          <w:szCs w:val="24"/>
        </w:rPr>
      </w:pPr>
      <w:bookmarkStart w:id="215" w:name="_Toc361690420"/>
      <w:bookmarkStart w:id="216" w:name="_Toc5680"/>
      <w:bookmarkStart w:id="217" w:name="_Toc361690542"/>
      <w:r>
        <w:rPr>
          <w:rFonts w:ascii="Times New Roman" w:hAnsi="Times New Roman" w:eastAsia="黑体"/>
          <w:b/>
          <w:bCs/>
          <w:spacing w:val="-2"/>
          <w:kern w:val="0"/>
          <w:sz w:val="24"/>
          <w:szCs w:val="24"/>
        </w:rPr>
        <w:t>4.4.6小结</w:t>
      </w:r>
    </w:p>
    <w:p w14:paraId="54402B4D">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项目生产过程中无需用水，厂房采用封闭式设计，地面均进行了硬化及防渗处理，物料堆存均在车间内无雨水淋溶情况，仅产生少量的工作人员生活污水。生活污水可依托创大冷链物流公司进口汽车仓储物流园内完善的室外排水设施，接入市政给排水系统，基本无废水下渗的污染途径；项目所在的填海成陆区地下水下游区域无用水单位及居民区，正常情况下不会对地下水环境产生负面影响。</w:t>
      </w:r>
    </w:p>
    <w:bookmarkEnd w:id="215"/>
    <w:bookmarkEnd w:id="216"/>
    <w:bookmarkEnd w:id="217"/>
    <w:p w14:paraId="3CCA0B5B">
      <w:pPr>
        <w:pStyle w:val="5"/>
        <w:numPr>
          <w:ilvl w:val="1"/>
          <w:numId w:val="3"/>
        </w:numPr>
      </w:pPr>
      <w:bookmarkStart w:id="218" w:name="_Toc29225"/>
      <w:r>
        <w:t>声环境影响分析</w:t>
      </w:r>
      <w:bookmarkEnd w:id="213"/>
      <w:bookmarkEnd w:id="214"/>
      <w:bookmarkEnd w:id="218"/>
    </w:p>
    <w:p w14:paraId="2E22687E">
      <w:pPr>
        <w:pStyle w:val="6"/>
        <w:numPr>
          <w:ilvl w:val="2"/>
          <w:numId w:val="3"/>
        </w:numPr>
      </w:pPr>
      <w:r>
        <w:t>噪声源强</w:t>
      </w:r>
    </w:p>
    <w:p w14:paraId="790F79B8">
      <w:pPr>
        <w:autoSpaceDE w:val="0"/>
        <w:autoSpaceDN w:val="0"/>
        <w:adjustRightInd w:val="0"/>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项目噪声污染源主要为</w:t>
      </w:r>
      <w:r>
        <w:rPr>
          <w:rFonts w:ascii="Times New Roman" w:hAnsi="Times New Roman"/>
          <w:spacing w:val="-2"/>
          <w:kern w:val="0"/>
          <w:sz w:val="24"/>
          <w:szCs w:val="20"/>
        </w:rPr>
        <w:t>磁选机、烘干炉及引风机、除尘器配套风机等。项目选用低噪声设备，生产设备采取基础减震、厂房隔声、风机独立隔声间等方式降低噪声源强。</w:t>
      </w:r>
      <w:r>
        <w:rPr>
          <w:rFonts w:ascii="Times New Roman" w:hAnsi="Times New Roman"/>
          <w:spacing w:val="-2"/>
          <w:kern w:val="0"/>
          <w:sz w:val="24"/>
          <w:szCs w:val="24"/>
        </w:rPr>
        <w:t>主要噪声源强见</w:t>
      </w:r>
      <w:r>
        <w:rPr>
          <w:rFonts w:hint="eastAsia" w:ascii="Times New Roman" w:hAnsi="Times New Roman"/>
          <w:spacing w:val="-2"/>
          <w:kern w:val="0"/>
          <w:sz w:val="24"/>
          <w:szCs w:val="24"/>
        </w:rPr>
        <w:t>章节2.3.4，项目主要声源与厂房的平面关系见</w:t>
      </w:r>
      <w:r>
        <w:rPr>
          <w:rFonts w:ascii="Times New Roman" w:hAnsi="Times New Roman"/>
          <w:spacing w:val="-2"/>
          <w:kern w:val="0"/>
          <w:sz w:val="24"/>
          <w:szCs w:val="24"/>
        </w:rPr>
        <w:t>表</w:t>
      </w:r>
      <w:r>
        <w:rPr>
          <w:rFonts w:hint="eastAsia" w:ascii="Times New Roman" w:hAnsi="Times New Roman"/>
          <w:spacing w:val="-2"/>
          <w:kern w:val="0"/>
          <w:sz w:val="24"/>
          <w:szCs w:val="24"/>
        </w:rPr>
        <w:t>4.5-1</w:t>
      </w:r>
      <w:r>
        <w:rPr>
          <w:rFonts w:ascii="Times New Roman" w:hAnsi="Times New Roman"/>
          <w:spacing w:val="-2"/>
          <w:kern w:val="0"/>
          <w:sz w:val="24"/>
          <w:szCs w:val="24"/>
        </w:rPr>
        <w:t>。</w:t>
      </w:r>
    </w:p>
    <w:p w14:paraId="61BD80C7">
      <w:pPr>
        <w:pStyle w:val="8"/>
        <w:numPr>
          <w:ilvl w:val="4"/>
          <w:numId w:val="4"/>
        </w:numPr>
        <w:rPr>
          <w:sz w:val="24"/>
          <w:szCs w:val="24"/>
        </w:rPr>
      </w:pPr>
      <w:bookmarkStart w:id="219" w:name="_Toc490059231"/>
      <w:r>
        <w:rPr>
          <w:sz w:val="24"/>
          <w:szCs w:val="24"/>
        </w:rPr>
        <w:t>项目设备噪声源与厂房边界的距离</w:t>
      </w:r>
    </w:p>
    <w:tbl>
      <w:tblPr>
        <w:tblStyle w:val="88"/>
        <w:tblW w:w="8875" w:type="dxa"/>
        <w:tblInd w:w="0"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108" w:type="dxa"/>
          <w:bottom w:w="0" w:type="dxa"/>
          <w:right w:w="108" w:type="dxa"/>
        </w:tblCellMar>
      </w:tblPr>
      <w:tblGrid>
        <w:gridCol w:w="1686"/>
        <w:gridCol w:w="2410"/>
        <w:gridCol w:w="1194"/>
        <w:gridCol w:w="1195"/>
        <w:gridCol w:w="1195"/>
        <w:gridCol w:w="1195"/>
      </w:tblGrid>
      <w:tr w14:paraId="58F43A2E">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1686" w:type="dxa"/>
            <w:vMerge w:val="restart"/>
            <w:tcBorders>
              <w:top w:val="single" w:color="000000" w:sz="12" w:space="0"/>
              <w:left w:val="single" w:color="000000" w:sz="12" w:space="0"/>
              <w:bottom w:val="single" w:color="000000" w:sz="2" w:space="0"/>
              <w:right w:val="single" w:color="000000" w:sz="2" w:space="0"/>
            </w:tcBorders>
            <w:vAlign w:val="center"/>
          </w:tcPr>
          <w:p w14:paraId="3E0232BA">
            <w:pPr>
              <w:jc w:val="center"/>
              <w:rPr>
                <w:rFonts w:ascii="Times New Roman" w:hAnsi="Times New Roman"/>
                <w:spacing w:val="-2"/>
                <w:kern w:val="0"/>
                <w:szCs w:val="21"/>
              </w:rPr>
            </w:pPr>
            <w:r>
              <w:rPr>
                <w:rFonts w:ascii="Times New Roman" w:hAnsi="Times New Roman"/>
                <w:b/>
                <w:bCs/>
                <w:spacing w:val="-2"/>
                <w:kern w:val="0"/>
                <w:szCs w:val="21"/>
              </w:rPr>
              <w:t>车间名称</w:t>
            </w:r>
          </w:p>
        </w:tc>
        <w:tc>
          <w:tcPr>
            <w:tcW w:w="2410" w:type="dxa"/>
            <w:vMerge w:val="restart"/>
            <w:tcBorders>
              <w:top w:val="single" w:color="000000" w:sz="12" w:space="0"/>
              <w:left w:val="single" w:color="000000" w:sz="2" w:space="0"/>
              <w:bottom w:val="single" w:color="000000" w:sz="2" w:space="0"/>
              <w:right w:val="single" w:color="000000" w:sz="2" w:space="0"/>
            </w:tcBorders>
            <w:vAlign w:val="center"/>
          </w:tcPr>
          <w:p w14:paraId="7560DAA4">
            <w:pPr>
              <w:jc w:val="center"/>
              <w:rPr>
                <w:rFonts w:ascii="Times New Roman" w:hAnsi="Times New Roman"/>
                <w:spacing w:val="-2"/>
                <w:kern w:val="0"/>
                <w:szCs w:val="21"/>
              </w:rPr>
            </w:pPr>
            <w:r>
              <w:rPr>
                <w:rFonts w:ascii="Times New Roman" w:hAnsi="Times New Roman"/>
                <w:b/>
                <w:bCs/>
                <w:spacing w:val="-2"/>
                <w:kern w:val="0"/>
                <w:szCs w:val="21"/>
              </w:rPr>
              <w:t>主要噪声源</w:t>
            </w:r>
          </w:p>
        </w:tc>
        <w:tc>
          <w:tcPr>
            <w:tcW w:w="4779" w:type="dxa"/>
            <w:gridSpan w:val="4"/>
            <w:tcBorders>
              <w:top w:val="single" w:color="000000" w:sz="12" w:space="0"/>
              <w:left w:val="single" w:color="000000" w:sz="2" w:space="0"/>
              <w:bottom w:val="single" w:color="000000" w:sz="2" w:space="0"/>
              <w:right w:val="single" w:color="000000" w:sz="12" w:space="0"/>
            </w:tcBorders>
            <w:vAlign w:val="center"/>
          </w:tcPr>
          <w:p w14:paraId="1FB0B3F3">
            <w:pPr>
              <w:jc w:val="center"/>
              <w:rPr>
                <w:rFonts w:ascii="Times New Roman" w:hAnsi="Times New Roman"/>
                <w:b/>
                <w:bCs/>
                <w:spacing w:val="-2"/>
                <w:kern w:val="0"/>
                <w:szCs w:val="21"/>
              </w:rPr>
            </w:pPr>
            <w:r>
              <w:rPr>
                <w:rFonts w:ascii="Times New Roman" w:hAnsi="Times New Roman"/>
                <w:b/>
                <w:bCs/>
                <w:spacing w:val="-2"/>
                <w:kern w:val="0"/>
                <w:szCs w:val="21"/>
              </w:rPr>
              <w:t>与厂房边界距离（m）</w:t>
            </w:r>
          </w:p>
        </w:tc>
      </w:tr>
      <w:tr w14:paraId="2251F03F">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1686" w:type="dxa"/>
            <w:vMerge w:val="continue"/>
            <w:tcBorders>
              <w:top w:val="single" w:color="000000" w:sz="12" w:space="0"/>
              <w:left w:val="single" w:color="000000" w:sz="12" w:space="0"/>
              <w:bottom w:val="single" w:color="000000" w:sz="2" w:space="0"/>
              <w:right w:val="single" w:color="000000" w:sz="2" w:space="0"/>
            </w:tcBorders>
            <w:vAlign w:val="center"/>
          </w:tcPr>
          <w:p w14:paraId="2C68ECCD">
            <w:pPr>
              <w:widowControl/>
              <w:jc w:val="left"/>
              <w:rPr>
                <w:rFonts w:ascii="Times New Roman" w:hAnsi="Times New Roman"/>
                <w:spacing w:val="-2"/>
                <w:kern w:val="0"/>
                <w:szCs w:val="21"/>
              </w:rPr>
            </w:pPr>
          </w:p>
        </w:tc>
        <w:tc>
          <w:tcPr>
            <w:tcW w:w="2410" w:type="dxa"/>
            <w:vMerge w:val="continue"/>
            <w:tcBorders>
              <w:top w:val="single" w:color="000000" w:sz="12" w:space="0"/>
              <w:left w:val="single" w:color="000000" w:sz="2" w:space="0"/>
              <w:bottom w:val="single" w:color="000000" w:sz="2" w:space="0"/>
              <w:right w:val="single" w:color="000000" w:sz="2" w:space="0"/>
            </w:tcBorders>
            <w:vAlign w:val="center"/>
          </w:tcPr>
          <w:p w14:paraId="50513223">
            <w:pPr>
              <w:widowControl/>
              <w:jc w:val="left"/>
              <w:rPr>
                <w:rFonts w:ascii="Times New Roman" w:hAnsi="Times New Roman"/>
                <w:spacing w:val="-2"/>
                <w:kern w:val="0"/>
                <w:szCs w:val="21"/>
              </w:rPr>
            </w:pPr>
          </w:p>
        </w:tc>
        <w:tc>
          <w:tcPr>
            <w:tcW w:w="1194" w:type="dxa"/>
            <w:tcBorders>
              <w:top w:val="single" w:color="000000" w:sz="2" w:space="0"/>
              <w:left w:val="single" w:color="000000" w:sz="2" w:space="0"/>
              <w:bottom w:val="single" w:color="000000" w:sz="2" w:space="0"/>
              <w:right w:val="single" w:color="000000" w:sz="2" w:space="0"/>
            </w:tcBorders>
            <w:vAlign w:val="center"/>
          </w:tcPr>
          <w:p w14:paraId="55FD555C">
            <w:pPr>
              <w:jc w:val="center"/>
              <w:rPr>
                <w:rFonts w:ascii="Times New Roman" w:hAnsi="Times New Roman"/>
                <w:b/>
                <w:bCs/>
                <w:spacing w:val="-2"/>
                <w:kern w:val="0"/>
                <w:szCs w:val="21"/>
              </w:rPr>
            </w:pPr>
            <w:r>
              <w:rPr>
                <w:rFonts w:ascii="Times New Roman" w:hAnsi="Times New Roman"/>
                <w:b/>
                <w:bCs/>
                <w:spacing w:val="-2"/>
                <w:kern w:val="0"/>
                <w:szCs w:val="21"/>
              </w:rPr>
              <w:t>东边界</w:t>
            </w:r>
          </w:p>
        </w:tc>
        <w:tc>
          <w:tcPr>
            <w:tcW w:w="1195" w:type="dxa"/>
            <w:tcBorders>
              <w:top w:val="single" w:color="000000" w:sz="2" w:space="0"/>
              <w:left w:val="single" w:color="000000" w:sz="2" w:space="0"/>
              <w:bottom w:val="single" w:color="000000" w:sz="2" w:space="0"/>
              <w:right w:val="single" w:color="000000" w:sz="2" w:space="0"/>
            </w:tcBorders>
            <w:vAlign w:val="center"/>
          </w:tcPr>
          <w:p w14:paraId="72C092CB">
            <w:pPr>
              <w:jc w:val="center"/>
              <w:rPr>
                <w:rFonts w:ascii="Times New Roman" w:hAnsi="Times New Roman"/>
                <w:b/>
                <w:bCs/>
                <w:spacing w:val="-2"/>
                <w:kern w:val="0"/>
                <w:szCs w:val="21"/>
              </w:rPr>
            </w:pPr>
            <w:r>
              <w:rPr>
                <w:rFonts w:ascii="Times New Roman" w:hAnsi="Times New Roman"/>
                <w:b/>
                <w:bCs/>
                <w:spacing w:val="-2"/>
                <w:kern w:val="0"/>
                <w:szCs w:val="21"/>
              </w:rPr>
              <w:t>南边界</w:t>
            </w:r>
          </w:p>
        </w:tc>
        <w:tc>
          <w:tcPr>
            <w:tcW w:w="1195" w:type="dxa"/>
            <w:tcBorders>
              <w:top w:val="single" w:color="000000" w:sz="2" w:space="0"/>
              <w:left w:val="single" w:color="000000" w:sz="2" w:space="0"/>
              <w:bottom w:val="single" w:color="000000" w:sz="2" w:space="0"/>
              <w:right w:val="single" w:color="000000" w:sz="2" w:space="0"/>
            </w:tcBorders>
            <w:vAlign w:val="center"/>
          </w:tcPr>
          <w:p w14:paraId="60CC76EC">
            <w:pPr>
              <w:jc w:val="center"/>
              <w:rPr>
                <w:rFonts w:ascii="Times New Roman" w:hAnsi="Times New Roman"/>
                <w:b/>
                <w:bCs/>
                <w:spacing w:val="-2"/>
                <w:kern w:val="0"/>
                <w:szCs w:val="21"/>
              </w:rPr>
            </w:pPr>
            <w:r>
              <w:rPr>
                <w:rFonts w:ascii="Times New Roman" w:hAnsi="Times New Roman"/>
                <w:b/>
                <w:bCs/>
                <w:spacing w:val="-2"/>
                <w:kern w:val="0"/>
                <w:szCs w:val="21"/>
              </w:rPr>
              <w:t>西边界</w:t>
            </w:r>
          </w:p>
        </w:tc>
        <w:tc>
          <w:tcPr>
            <w:tcW w:w="1195" w:type="dxa"/>
            <w:tcBorders>
              <w:top w:val="single" w:color="000000" w:sz="2" w:space="0"/>
              <w:left w:val="single" w:color="000000" w:sz="2" w:space="0"/>
              <w:bottom w:val="single" w:color="000000" w:sz="2" w:space="0"/>
              <w:right w:val="single" w:color="000000" w:sz="12" w:space="0"/>
            </w:tcBorders>
            <w:vAlign w:val="center"/>
          </w:tcPr>
          <w:p w14:paraId="1EFB1B45">
            <w:pPr>
              <w:jc w:val="center"/>
              <w:rPr>
                <w:rFonts w:ascii="Times New Roman" w:hAnsi="Times New Roman"/>
                <w:b/>
                <w:bCs/>
                <w:spacing w:val="-2"/>
                <w:kern w:val="0"/>
                <w:szCs w:val="21"/>
              </w:rPr>
            </w:pPr>
            <w:r>
              <w:rPr>
                <w:rFonts w:ascii="Times New Roman" w:hAnsi="Times New Roman"/>
                <w:b/>
                <w:bCs/>
                <w:spacing w:val="-2"/>
                <w:kern w:val="0"/>
                <w:szCs w:val="21"/>
              </w:rPr>
              <w:t>北边界</w:t>
            </w:r>
          </w:p>
        </w:tc>
      </w:tr>
      <w:tr w14:paraId="4CD97661">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1686" w:type="dxa"/>
            <w:vMerge w:val="restart"/>
            <w:tcBorders>
              <w:top w:val="single" w:color="000000" w:sz="2" w:space="0"/>
              <w:left w:val="single" w:color="000000" w:sz="12" w:space="0"/>
              <w:right w:val="single" w:color="000000" w:sz="2" w:space="0"/>
            </w:tcBorders>
            <w:vAlign w:val="center"/>
          </w:tcPr>
          <w:p w14:paraId="3C7A73FC">
            <w:pPr>
              <w:jc w:val="center"/>
              <w:rPr>
                <w:rFonts w:ascii="Times New Roman" w:hAnsi="Times New Roman"/>
                <w:spacing w:val="-2"/>
                <w:kern w:val="0"/>
                <w:szCs w:val="21"/>
              </w:rPr>
            </w:pPr>
            <w:r>
              <w:rPr>
                <w:rFonts w:ascii="Times New Roman" w:hAnsi="Times New Roman"/>
                <w:spacing w:val="-2"/>
                <w:kern w:val="0"/>
                <w:szCs w:val="21"/>
              </w:rPr>
              <w:t>1#原料处理车间</w:t>
            </w:r>
          </w:p>
        </w:tc>
        <w:tc>
          <w:tcPr>
            <w:tcW w:w="2410" w:type="dxa"/>
            <w:tcBorders>
              <w:top w:val="single" w:color="000000" w:sz="2" w:space="0"/>
              <w:left w:val="single" w:color="000000" w:sz="2" w:space="0"/>
              <w:bottom w:val="single" w:color="000000" w:sz="2" w:space="0"/>
              <w:right w:val="single" w:color="000000" w:sz="2" w:space="0"/>
            </w:tcBorders>
            <w:vAlign w:val="center"/>
          </w:tcPr>
          <w:p w14:paraId="40C04EE2">
            <w:pPr>
              <w:jc w:val="center"/>
              <w:rPr>
                <w:rFonts w:ascii="Times New Roman" w:hAnsi="Times New Roman"/>
                <w:kern w:val="0"/>
                <w:szCs w:val="21"/>
              </w:rPr>
            </w:pPr>
            <w:r>
              <w:rPr>
                <w:rFonts w:ascii="Times New Roman" w:hAnsi="Times New Roman"/>
                <w:spacing w:val="-2"/>
                <w:kern w:val="0"/>
                <w:szCs w:val="21"/>
              </w:rPr>
              <w:t>烘干机</w:t>
            </w:r>
          </w:p>
        </w:tc>
        <w:tc>
          <w:tcPr>
            <w:tcW w:w="1194" w:type="dxa"/>
            <w:tcBorders>
              <w:top w:val="single" w:color="000000" w:sz="2" w:space="0"/>
              <w:left w:val="single" w:color="000000" w:sz="2" w:space="0"/>
              <w:bottom w:val="single" w:color="000000" w:sz="2" w:space="0"/>
              <w:right w:val="single" w:color="000000" w:sz="2" w:space="0"/>
            </w:tcBorders>
            <w:vAlign w:val="center"/>
          </w:tcPr>
          <w:p w14:paraId="2C9F00C1">
            <w:pPr>
              <w:widowControl/>
              <w:jc w:val="center"/>
              <w:rPr>
                <w:rFonts w:ascii="Times New Roman" w:hAnsi="Times New Roman"/>
                <w:spacing w:val="-2"/>
                <w:kern w:val="0"/>
                <w:szCs w:val="21"/>
              </w:rPr>
            </w:pPr>
            <w:r>
              <w:rPr>
                <w:rFonts w:ascii="Times New Roman" w:hAnsi="Times New Roman" w:eastAsia="等线"/>
                <w:szCs w:val="21"/>
              </w:rPr>
              <w:t>63</w:t>
            </w:r>
          </w:p>
        </w:tc>
        <w:tc>
          <w:tcPr>
            <w:tcW w:w="1195" w:type="dxa"/>
            <w:tcBorders>
              <w:top w:val="single" w:color="000000" w:sz="2" w:space="0"/>
              <w:left w:val="single" w:color="000000" w:sz="2" w:space="0"/>
              <w:bottom w:val="single" w:color="000000" w:sz="2" w:space="0"/>
              <w:right w:val="single" w:color="000000" w:sz="2" w:space="0"/>
            </w:tcBorders>
            <w:vAlign w:val="center"/>
          </w:tcPr>
          <w:p w14:paraId="6AECBEFB">
            <w:pPr>
              <w:widowControl/>
              <w:jc w:val="center"/>
              <w:rPr>
                <w:rFonts w:ascii="Times New Roman" w:hAnsi="Times New Roman"/>
                <w:spacing w:val="-2"/>
                <w:kern w:val="0"/>
                <w:szCs w:val="21"/>
              </w:rPr>
            </w:pPr>
            <w:r>
              <w:rPr>
                <w:rFonts w:ascii="Times New Roman" w:hAnsi="Times New Roman" w:eastAsia="等线"/>
                <w:szCs w:val="21"/>
              </w:rPr>
              <w:t>15.6</w:t>
            </w:r>
          </w:p>
        </w:tc>
        <w:tc>
          <w:tcPr>
            <w:tcW w:w="1195" w:type="dxa"/>
            <w:tcBorders>
              <w:top w:val="single" w:color="000000" w:sz="2" w:space="0"/>
              <w:left w:val="single" w:color="000000" w:sz="2" w:space="0"/>
              <w:bottom w:val="single" w:color="000000" w:sz="2" w:space="0"/>
              <w:right w:val="single" w:color="000000" w:sz="2" w:space="0"/>
            </w:tcBorders>
            <w:vAlign w:val="center"/>
          </w:tcPr>
          <w:p w14:paraId="17679F58">
            <w:pPr>
              <w:widowControl/>
              <w:jc w:val="center"/>
              <w:rPr>
                <w:rFonts w:ascii="Times New Roman" w:hAnsi="Times New Roman"/>
                <w:spacing w:val="-2"/>
                <w:kern w:val="0"/>
                <w:szCs w:val="21"/>
              </w:rPr>
            </w:pPr>
            <w:r>
              <w:rPr>
                <w:rFonts w:ascii="Times New Roman" w:hAnsi="Times New Roman" w:eastAsia="等线"/>
                <w:szCs w:val="21"/>
              </w:rPr>
              <w:t>46.2</w:t>
            </w:r>
          </w:p>
        </w:tc>
        <w:tc>
          <w:tcPr>
            <w:tcW w:w="1195" w:type="dxa"/>
            <w:tcBorders>
              <w:top w:val="single" w:color="000000" w:sz="2" w:space="0"/>
              <w:left w:val="single" w:color="000000" w:sz="2" w:space="0"/>
              <w:bottom w:val="single" w:color="000000" w:sz="2" w:space="0"/>
              <w:right w:val="single" w:color="000000" w:sz="12" w:space="0"/>
            </w:tcBorders>
            <w:vAlign w:val="center"/>
          </w:tcPr>
          <w:p w14:paraId="7D58A5B1">
            <w:pPr>
              <w:widowControl/>
              <w:jc w:val="center"/>
              <w:rPr>
                <w:rFonts w:ascii="Times New Roman" w:hAnsi="Times New Roman"/>
                <w:spacing w:val="-2"/>
                <w:kern w:val="0"/>
                <w:szCs w:val="21"/>
              </w:rPr>
            </w:pPr>
            <w:r>
              <w:rPr>
                <w:rFonts w:ascii="Times New Roman" w:hAnsi="Times New Roman" w:eastAsia="等线"/>
                <w:szCs w:val="21"/>
              </w:rPr>
              <w:t>6</w:t>
            </w:r>
          </w:p>
        </w:tc>
      </w:tr>
      <w:tr w14:paraId="4A88F86B">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1686" w:type="dxa"/>
            <w:vMerge w:val="continue"/>
            <w:tcBorders>
              <w:left w:val="single" w:color="000000" w:sz="12" w:space="0"/>
              <w:right w:val="single" w:color="000000" w:sz="2" w:space="0"/>
            </w:tcBorders>
            <w:vAlign w:val="center"/>
          </w:tcPr>
          <w:p w14:paraId="4D9F4379">
            <w:pPr>
              <w:widowControl/>
              <w:jc w:val="center"/>
              <w:rPr>
                <w:rFonts w:ascii="Times New Roman" w:hAnsi="Times New Roman"/>
                <w:spacing w:val="-2"/>
                <w:kern w:val="0"/>
                <w:szCs w:val="21"/>
              </w:rPr>
            </w:pPr>
          </w:p>
        </w:tc>
        <w:tc>
          <w:tcPr>
            <w:tcW w:w="2410" w:type="dxa"/>
            <w:tcBorders>
              <w:top w:val="single" w:color="000000" w:sz="2" w:space="0"/>
              <w:left w:val="single" w:color="000000" w:sz="2" w:space="0"/>
              <w:bottom w:val="single" w:color="000000" w:sz="2" w:space="0"/>
              <w:right w:val="single" w:color="000000" w:sz="2" w:space="0"/>
            </w:tcBorders>
            <w:vAlign w:val="center"/>
          </w:tcPr>
          <w:p w14:paraId="71EC69CC">
            <w:pPr>
              <w:widowControl/>
              <w:jc w:val="center"/>
              <w:rPr>
                <w:rFonts w:ascii="Times New Roman" w:hAnsi="Times New Roman"/>
                <w:spacing w:val="-2"/>
                <w:kern w:val="0"/>
                <w:szCs w:val="21"/>
              </w:rPr>
            </w:pPr>
            <w:r>
              <w:rPr>
                <w:rFonts w:ascii="Times New Roman" w:hAnsi="Times New Roman"/>
                <w:spacing w:val="-2"/>
                <w:kern w:val="0"/>
                <w:szCs w:val="21"/>
              </w:rPr>
              <w:t>皮带输送机</w:t>
            </w:r>
          </w:p>
        </w:tc>
        <w:tc>
          <w:tcPr>
            <w:tcW w:w="1194" w:type="dxa"/>
            <w:tcBorders>
              <w:top w:val="single" w:color="000000" w:sz="2" w:space="0"/>
              <w:left w:val="single" w:color="000000" w:sz="2" w:space="0"/>
              <w:bottom w:val="single" w:color="000000" w:sz="2" w:space="0"/>
              <w:right w:val="single" w:color="000000" w:sz="2" w:space="0"/>
            </w:tcBorders>
            <w:vAlign w:val="center"/>
          </w:tcPr>
          <w:p w14:paraId="15A3A615">
            <w:pPr>
              <w:widowControl/>
              <w:jc w:val="center"/>
              <w:rPr>
                <w:rFonts w:ascii="Times New Roman" w:hAnsi="Times New Roman"/>
                <w:spacing w:val="-2"/>
                <w:kern w:val="0"/>
                <w:szCs w:val="21"/>
              </w:rPr>
            </w:pPr>
            <w:r>
              <w:rPr>
                <w:rFonts w:ascii="Times New Roman" w:hAnsi="Times New Roman" w:eastAsia="等线"/>
                <w:szCs w:val="21"/>
              </w:rPr>
              <w:t>63</w:t>
            </w:r>
          </w:p>
        </w:tc>
        <w:tc>
          <w:tcPr>
            <w:tcW w:w="1195" w:type="dxa"/>
            <w:tcBorders>
              <w:top w:val="single" w:color="000000" w:sz="2" w:space="0"/>
              <w:left w:val="single" w:color="000000" w:sz="2" w:space="0"/>
              <w:bottom w:val="single" w:color="000000" w:sz="2" w:space="0"/>
              <w:right w:val="single" w:color="000000" w:sz="2" w:space="0"/>
            </w:tcBorders>
            <w:vAlign w:val="center"/>
          </w:tcPr>
          <w:p w14:paraId="4227278E">
            <w:pPr>
              <w:widowControl/>
              <w:jc w:val="center"/>
              <w:rPr>
                <w:rFonts w:ascii="Times New Roman" w:hAnsi="Times New Roman"/>
                <w:spacing w:val="-2"/>
                <w:kern w:val="0"/>
                <w:szCs w:val="21"/>
              </w:rPr>
            </w:pPr>
            <w:r>
              <w:rPr>
                <w:rFonts w:ascii="Times New Roman" w:hAnsi="Times New Roman" w:eastAsia="等线"/>
                <w:szCs w:val="21"/>
              </w:rPr>
              <w:t>15.6</w:t>
            </w:r>
          </w:p>
        </w:tc>
        <w:tc>
          <w:tcPr>
            <w:tcW w:w="1195" w:type="dxa"/>
            <w:tcBorders>
              <w:top w:val="single" w:color="000000" w:sz="2" w:space="0"/>
              <w:left w:val="single" w:color="000000" w:sz="2" w:space="0"/>
              <w:bottom w:val="single" w:color="000000" w:sz="2" w:space="0"/>
              <w:right w:val="single" w:color="000000" w:sz="2" w:space="0"/>
            </w:tcBorders>
            <w:vAlign w:val="center"/>
          </w:tcPr>
          <w:p w14:paraId="732547B4">
            <w:pPr>
              <w:widowControl/>
              <w:jc w:val="center"/>
              <w:rPr>
                <w:rFonts w:ascii="Times New Roman" w:hAnsi="Times New Roman"/>
                <w:spacing w:val="-2"/>
                <w:kern w:val="0"/>
                <w:szCs w:val="21"/>
              </w:rPr>
            </w:pPr>
            <w:r>
              <w:rPr>
                <w:rFonts w:ascii="Times New Roman" w:hAnsi="Times New Roman" w:eastAsia="等线"/>
                <w:szCs w:val="21"/>
              </w:rPr>
              <w:t>46.2</w:t>
            </w:r>
          </w:p>
        </w:tc>
        <w:tc>
          <w:tcPr>
            <w:tcW w:w="1195" w:type="dxa"/>
            <w:tcBorders>
              <w:top w:val="single" w:color="000000" w:sz="2" w:space="0"/>
              <w:left w:val="single" w:color="000000" w:sz="2" w:space="0"/>
              <w:bottom w:val="single" w:color="000000" w:sz="2" w:space="0"/>
              <w:right w:val="single" w:color="000000" w:sz="12" w:space="0"/>
            </w:tcBorders>
            <w:vAlign w:val="center"/>
          </w:tcPr>
          <w:p w14:paraId="783CAB6A">
            <w:pPr>
              <w:widowControl/>
              <w:jc w:val="center"/>
              <w:rPr>
                <w:rFonts w:ascii="Times New Roman" w:hAnsi="Times New Roman"/>
                <w:spacing w:val="-2"/>
                <w:kern w:val="0"/>
                <w:szCs w:val="21"/>
              </w:rPr>
            </w:pPr>
            <w:r>
              <w:rPr>
                <w:rFonts w:ascii="Times New Roman" w:hAnsi="Times New Roman" w:eastAsia="等线"/>
                <w:szCs w:val="21"/>
              </w:rPr>
              <w:t>6</w:t>
            </w:r>
          </w:p>
        </w:tc>
      </w:tr>
      <w:tr w14:paraId="627DC93A">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1686" w:type="dxa"/>
            <w:vMerge w:val="continue"/>
            <w:tcBorders>
              <w:left w:val="single" w:color="000000" w:sz="12" w:space="0"/>
              <w:right w:val="single" w:color="000000" w:sz="2" w:space="0"/>
            </w:tcBorders>
            <w:vAlign w:val="center"/>
          </w:tcPr>
          <w:p w14:paraId="03AF04E8">
            <w:pPr>
              <w:widowControl/>
              <w:jc w:val="center"/>
              <w:rPr>
                <w:rFonts w:ascii="Times New Roman" w:hAnsi="Times New Roman"/>
                <w:spacing w:val="-2"/>
                <w:kern w:val="0"/>
                <w:szCs w:val="21"/>
              </w:rPr>
            </w:pPr>
          </w:p>
        </w:tc>
        <w:tc>
          <w:tcPr>
            <w:tcW w:w="2410" w:type="dxa"/>
            <w:tcBorders>
              <w:top w:val="single" w:color="000000" w:sz="2" w:space="0"/>
              <w:left w:val="single" w:color="000000" w:sz="2" w:space="0"/>
              <w:bottom w:val="single" w:color="000000" w:sz="2" w:space="0"/>
              <w:right w:val="single" w:color="000000" w:sz="2" w:space="0"/>
            </w:tcBorders>
            <w:vAlign w:val="center"/>
          </w:tcPr>
          <w:p w14:paraId="6C5BD833">
            <w:pPr>
              <w:widowControl/>
              <w:jc w:val="center"/>
              <w:rPr>
                <w:rFonts w:ascii="Times New Roman" w:hAnsi="Times New Roman"/>
                <w:spacing w:val="-2"/>
                <w:kern w:val="0"/>
                <w:szCs w:val="21"/>
              </w:rPr>
            </w:pPr>
            <w:r>
              <w:rPr>
                <w:rFonts w:ascii="Times New Roman" w:hAnsi="Times New Roman"/>
                <w:spacing w:val="-2"/>
                <w:kern w:val="0"/>
                <w:szCs w:val="21"/>
              </w:rPr>
              <w:t>装载机</w:t>
            </w:r>
          </w:p>
        </w:tc>
        <w:tc>
          <w:tcPr>
            <w:tcW w:w="1194" w:type="dxa"/>
            <w:tcBorders>
              <w:top w:val="single" w:color="000000" w:sz="2" w:space="0"/>
              <w:left w:val="single" w:color="000000" w:sz="2" w:space="0"/>
              <w:bottom w:val="single" w:color="000000" w:sz="2" w:space="0"/>
              <w:right w:val="single" w:color="000000" w:sz="2" w:space="0"/>
            </w:tcBorders>
            <w:vAlign w:val="center"/>
          </w:tcPr>
          <w:p w14:paraId="1A8204E8">
            <w:pPr>
              <w:widowControl/>
              <w:jc w:val="center"/>
              <w:rPr>
                <w:rFonts w:ascii="Times New Roman" w:hAnsi="Times New Roman"/>
                <w:spacing w:val="-2"/>
                <w:kern w:val="0"/>
                <w:szCs w:val="21"/>
              </w:rPr>
            </w:pPr>
            <w:r>
              <w:rPr>
                <w:rFonts w:ascii="Times New Roman" w:hAnsi="Times New Roman" w:eastAsia="等线"/>
                <w:szCs w:val="21"/>
              </w:rPr>
              <w:t>81.9</w:t>
            </w:r>
          </w:p>
        </w:tc>
        <w:tc>
          <w:tcPr>
            <w:tcW w:w="1195" w:type="dxa"/>
            <w:tcBorders>
              <w:top w:val="single" w:color="000000" w:sz="2" w:space="0"/>
              <w:left w:val="single" w:color="000000" w:sz="2" w:space="0"/>
              <w:bottom w:val="single" w:color="000000" w:sz="2" w:space="0"/>
              <w:right w:val="single" w:color="000000" w:sz="2" w:space="0"/>
            </w:tcBorders>
            <w:vAlign w:val="center"/>
          </w:tcPr>
          <w:p w14:paraId="0902ECCF">
            <w:pPr>
              <w:widowControl/>
              <w:jc w:val="center"/>
              <w:rPr>
                <w:rFonts w:ascii="Times New Roman" w:hAnsi="Times New Roman"/>
                <w:spacing w:val="-2"/>
                <w:kern w:val="0"/>
                <w:szCs w:val="21"/>
              </w:rPr>
            </w:pPr>
            <w:r>
              <w:rPr>
                <w:rFonts w:ascii="Times New Roman" w:hAnsi="Times New Roman" w:eastAsia="等线"/>
                <w:szCs w:val="21"/>
              </w:rPr>
              <w:t>10.8</w:t>
            </w:r>
          </w:p>
        </w:tc>
        <w:tc>
          <w:tcPr>
            <w:tcW w:w="1195" w:type="dxa"/>
            <w:tcBorders>
              <w:top w:val="single" w:color="000000" w:sz="2" w:space="0"/>
              <w:left w:val="single" w:color="000000" w:sz="2" w:space="0"/>
              <w:bottom w:val="single" w:color="000000" w:sz="2" w:space="0"/>
              <w:right w:val="single" w:color="000000" w:sz="2" w:space="0"/>
            </w:tcBorders>
            <w:vAlign w:val="center"/>
          </w:tcPr>
          <w:p w14:paraId="50438156">
            <w:pPr>
              <w:widowControl/>
              <w:jc w:val="center"/>
              <w:rPr>
                <w:rFonts w:ascii="Times New Roman" w:hAnsi="Times New Roman"/>
                <w:spacing w:val="-2"/>
                <w:kern w:val="0"/>
                <w:szCs w:val="21"/>
              </w:rPr>
            </w:pPr>
            <w:r>
              <w:rPr>
                <w:rFonts w:ascii="Times New Roman" w:hAnsi="Times New Roman" w:eastAsia="等线"/>
                <w:szCs w:val="21"/>
              </w:rPr>
              <w:t>27.3</w:t>
            </w:r>
          </w:p>
        </w:tc>
        <w:tc>
          <w:tcPr>
            <w:tcW w:w="1195" w:type="dxa"/>
            <w:tcBorders>
              <w:top w:val="single" w:color="000000" w:sz="2" w:space="0"/>
              <w:left w:val="single" w:color="000000" w:sz="2" w:space="0"/>
              <w:bottom w:val="single" w:color="000000" w:sz="2" w:space="0"/>
              <w:right w:val="single" w:color="000000" w:sz="12" w:space="0"/>
            </w:tcBorders>
            <w:vAlign w:val="center"/>
          </w:tcPr>
          <w:p w14:paraId="48C5ACAA">
            <w:pPr>
              <w:widowControl/>
              <w:jc w:val="center"/>
              <w:rPr>
                <w:rFonts w:ascii="Times New Roman" w:hAnsi="Times New Roman"/>
                <w:spacing w:val="-2"/>
                <w:kern w:val="0"/>
                <w:szCs w:val="21"/>
              </w:rPr>
            </w:pPr>
            <w:r>
              <w:rPr>
                <w:rFonts w:ascii="Times New Roman" w:hAnsi="Times New Roman" w:eastAsia="等线"/>
                <w:szCs w:val="21"/>
              </w:rPr>
              <w:t>10.8</w:t>
            </w:r>
          </w:p>
        </w:tc>
      </w:tr>
      <w:tr w14:paraId="229E017F">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1686" w:type="dxa"/>
            <w:vMerge w:val="continue"/>
            <w:tcBorders>
              <w:left w:val="single" w:color="000000" w:sz="12" w:space="0"/>
              <w:right w:val="single" w:color="000000" w:sz="2" w:space="0"/>
            </w:tcBorders>
            <w:vAlign w:val="center"/>
          </w:tcPr>
          <w:p w14:paraId="0E9D9D40">
            <w:pPr>
              <w:widowControl/>
              <w:jc w:val="center"/>
              <w:rPr>
                <w:rFonts w:ascii="Times New Roman" w:hAnsi="Times New Roman"/>
                <w:spacing w:val="-2"/>
                <w:kern w:val="0"/>
                <w:szCs w:val="21"/>
              </w:rPr>
            </w:pPr>
          </w:p>
        </w:tc>
        <w:tc>
          <w:tcPr>
            <w:tcW w:w="2410" w:type="dxa"/>
            <w:tcBorders>
              <w:top w:val="single" w:color="000000" w:sz="2" w:space="0"/>
              <w:left w:val="single" w:color="000000" w:sz="2" w:space="0"/>
              <w:bottom w:val="single" w:color="000000" w:sz="2" w:space="0"/>
              <w:right w:val="single" w:color="000000" w:sz="2" w:space="0"/>
            </w:tcBorders>
            <w:vAlign w:val="center"/>
          </w:tcPr>
          <w:p w14:paraId="4FA6584C">
            <w:pPr>
              <w:widowControl/>
              <w:jc w:val="center"/>
              <w:rPr>
                <w:rFonts w:ascii="Times New Roman" w:hAnsi="Times New Roman"/>
                <w:spacing w:val="-2"/>
                <w:kern w:val="0"/>
                <w:szCs w:val="21"/>
              </w:rPr>
            </w:pPr>
            <w:r>
              <w:rPr>
                <w:rFonts w:ascii="Times New Roman" w:hAnsi="Times New Roman"/>
                <w:spacing w:val="-2"/>
                <w:kern w:val="0"/>
                <w:szCs w:val="21"/>
              </w:rPr>
              <w:t>烘干炉引风机</w:t>
            </w:r>
          </w:p>
        </w:tc>
        <w:tc>
          <w:tcPr>
            <w:tcW w:w="1194" w:type="dxa"/>
            <w:tcBorders>
              <w:top w:val="single" w:color="000000" w:sz="2" w:space="0"/>
              <w:left w:val="single" w:color="000000" w:sz="2" w:space="0"/>
              <w:bottom w:val="single" w:color="000000" w:sz="2" w:space="0"/>
              <w:right w:val="single" w:color="000000" w:sz="2" w:space="0"/>
            </w:tcBorders>
            <w:vAlign w:val="center"/>
          </w:tcPr>
          <w:p w14:paraId="3B96305B">
            <w:pPr>
              <w:widowControl/>
              <w:jc w:val="center"/>
              <w:rPr>
                <w:rFonts w:ascii="Times New Roman" w:hAnsi="Times New Roman"/>
                <w:spacing w:val="-2"/>
                <w:kern w:val="0"/>
                <w:szCs w:val="21"/>
              </w:rPr>
            </w:pPr>
            <w:r>
              <w:rPr>
                <w:rFonts w:ascii="Times New Roman" w:hAnsi="Times New Roman" w:eastAsia="等线"/>
                <w:szCs w:val="21"/>
              </w:rPr>
              <w:t>71.3</w:t>
            </w:r>
          </w:p>
        </w:tc>
        <w:tc>
          <w:tcPr>
            <w:tcW w:w="1195" w:type="dxa"/>
            <w:tcBorders>
              <w:top w:val="single" w:color="000000" w:sz="2" w:space="0"/>
              <w:left w:val="single" w:color="000000" w:sz="2" w:space="0"/>
              <w:bottom w:val="single" w:color="000000" w:sz="2" w:space="0"/>
              <w:right w:val="single" w:color="000000" w:sz="2" w:space="0"/>
            </w:tcBorders>
            <w:vAlign w:val="center"/>
          </w:tcPr>
          <w:p w14:paraId="0BC9D73F">
            <w:pPr>
              <w:widowControl/>
              <w:jc w:val="center"/>
              <w:rPr>
                <w:rFonts w:ascii="Times New Roman" w:hAnsi="Times New Roman"/>
                <w:spacing w:val="-2"/>
                <w:kern w:val="0"/>
                <w:szCs w:val="21"/>
              </w:rPr>
            </w:pPr>
            <w:r>
              <w:rPr>
                <w:rFonts w:ascii="Times New Roman" w:hAnsi="Times New Roman" w:eastAsia="等线"/>
                <w:szCs w:val="21"/>
              </w:rPr>
              <w:t>19.6</w:t>
            </w:r>
          </w:p>
        </w:tc>
        <w:tc>
          <w:tcPr>
            <w:tcW w:w="1195" w:type="dxa"/>
            <w:tcBorders>
              <w:top w:val="single" w:color="000000" w:sz="2" w:space="0"/>
              <w:left w:val="single" w:color="000000" w:sz="2" w:space="0"/>
              <w:bottom w:val="single" w:color="000000" w:sz="2" w:space="0"/>
              <w:right w:val="single" w:color="000000" w:sz="2" w:space="0"/>
            </w:tcBorders>
            <w:vAlign w:val="center"/>
          </w:tcPr>
          <w:p w14:paraId="59534A9A">
            <w:pPr>
              <w:widowControl/>
              <w:jc w:val="center"/>
              <w:rPr>
                <w:rFonts w:ascii="Times New Roman" w:hAnsi="Times New Roman"/>
                <w:spacing w:val="-2"/>
                <w:kern w:val="0"/>
                <w:szCs w:val="21"/>
              </w:rPr>
            </w:pPr>
            <w:r>
              <w:rPr>
                <w:rFonts w:ascii="Times New Roman" w:hAnsi="Times New Roman" w:eastAsia="等线"/>
                <w:szCs w:val="21"/>
              </w:rPr>
              <w:t>37.9</w:t>
            </w:r>
          </w:p>
        </w:tc>
        <w:tc>
          <w:tcPr>
            <w:tcW w:w="1195" w:type="dxa"/>
            <w:tcBorders>
              <w:top w:val="single" w:color="000000" w:sz="2" w:space="0"/>
              <w:left w:val="single" w:color="000000" w:sz="2" w:space="0"/>
              <w:bottom w:val="single" w:color="000000" w:sz="2" w:space="0"/>
              <w:right w:val="single" w:color="000000" w:sz="12" w:space="0"/>
            </w:tcBorders>
            <w:vAlign w:val="center"/>
          </w:tcPr>
          <w:p w14:paraId="6B61D10E">
            <w:pPr>
              <w:widowControl/>
              <w:jc w:val="center"/>
              <w:rPr>
                <w:rFonts w:ascii="Times New Roman" w:hAnsi="Times New Roman"/>
                <w:spacing w:val="-2"/>
                <w:kern w:val="0"/>
                <w:szCs w:val="21"/>
              </w:rPr>
            </w:pPr>
            <w:r>
              <w:rPr>
                <w:rFonts w:ascii="Times New Roman" w:hAnsi="Times New Roman" w:eastAsia="等线"/>
                <w:szCs w:val="21"/>
              </w:rPr>
              <w:t>2</w:t>
            </w:r>
          </w:p>
        </w:tc>
      </w:tr>
      <w:tr w14:paraId="2B010CB4">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1686" w:type="dxa"/>
            <w:vMerge w:val="continue"/>
            <w:tcBorders>
              <w:left w:val="single" w:color="000000" w:sz="12" w:space="0"/>
              <w:right w:val="single" w:color="000000" w:sz="2" w:space="0"/>
            </w:tcBorders>
            <w:vAlign w:val="center"/>
          </w:tcPr>
          <w:p w14:paraId="22AC1EE9">
            <w:pPr>
              <w:widowControl/>
              <w:jc w:val="center"/>
              <w:rPr>
                <w:rFonts w:ascii="Times New Roman" w:hAnsi="Times New Roman"/>
                <w:spacing w:val="-2"/>
                <w:kern w:val="0"/>
                <w:szCs w:val="21"/>
              </w:rPr>
            </w:pPr>
          </w:p>
        </w:tc>
        <w:tc>
          <w:tcPr>
            <w:tcW w:w="2410" w:type="dxa"/>
            <w:tcBorders>
              <w:top w:val="single" w:color="000000" w:sz="2" w:space="0"/>
              <w:left w:val="single" w:color="000000" w:sz="2" w:space="0"/>
              <w:bottom w:val="single" w:color="000000" w:sz="2" w:space="0"/>
              <w:right w:val="single" w:color="000000" w:sz="2" w:space="0"/>
            </w:tcBorders>
            <w:vAlign w:val="center"/>
          </w:tcPr>
          <w:p w14:paraId="402A85D8">
            <w:pPr>
              <w:widowControl/>
              <w:jc w:val="center"/>
              <w:rPr>
                <w:rFonts w:ascii="Times New Roman" w:hAnsi="Times New Roman"/>
                <w:spacing w:val="-2"/>
                <w:kern w:val="0"/>
                <w:szCs w:val="21"/>
              </w:rPr>
            </w:pPr>
            <w:r>
              <w:rPr>
                <w:rFonts w:ascii="Times New Roman" w:hAnsi="Times New Roman"/>
                <w:spacing w:val="-2"/>
                <w:kern w:val="0"/>
                <w:szCs w:val="21"/>
              </w:rPr>
              <w:t>烘干炉除尘器风机</w:t>
            </w:r>
          </w:p>
        </w:tc>
        <w:tc>
          <w:tcPr>
            <w:tcW w:w="1194" w:type="dxa"/>
            <w:tcBorders>
              <w:top w:val="single" w:color="000000" w:sz="2" w:space="0"/>
              <w:left w:val="single" w:color="000000" w:sz="2" w:space="0"/>
              <w:bottom w:val="single" w:color="000000" w:sz="2" w:space="0"/>
              <w:right w:val="single" w:color="000000" w:sz="2" w:space="0"/>
            </w:tcBorders>
            <w:vAlign w:val="center"/>
          </w:tcPr>
          <w:p w14:paraId="3A5D87F6">
            <w:pPr>
              <w:widowControl/>
              <w:jc w:val="center"/>
              <w:rPr>
                <w:rFonts w:ascii="Times New Roman" w:hAnsi="Times New Roman" w:eastAsia="等线"/>
                <w:szCs w:val="21"/>
              </w:rPr>
            </w:pPr>
            <w:r>
              <w:rPr>
                <w:rFonts w:ascii="Times New Roman" w:hAnsi="Times New Roman" w:eastAsia="等线"/>
                <w:szCs w:val="21"/>
              </w:rPr>
              <w:t>67.3</w:t>
            </w:r>
          </w:p>
        </w:tc>
        <w:tc>
          <w:tcPr>
            <w:tcW w:w="1195" w:type="dxa"/>
            <w:tcBorders>
              <w:top w:val="single" w:color="000000" w:sz="2" w:space="0"/>
              <w:left w:val="single" w:color="000000" w:sz="2" w:space="0"/>
              <w:bottom w:val="single" w:color="000000" w:sz="2" w:space="0"/>
              <w:right w:val="single" w:color="000000" w:sz="2" w:space="0"/>
            </w:tcBorders>
            <w:vAlign w:val="center"/>
          </w:tcPr>
          <w:p w14:paraId="3135AFB3">
            <w:pPr>
              <w:widowControl/>
              <w:jc w:val="center"/>
              <w:rPr>
                <w:rFonts w:ascii="Times New Roman" w:hAnsi="Times New Roman" w:eastAsia="等线"/>
                <w:szCs w:val="21"/>
              </w:rPr>
            </w:pPr>
            <w:r>
              <w:rPr>
                <w:rFonts w:ascii="Times New Roman" w:hAnsi="Times New Roman" w:eastAsia="等线"/>
                <w:szCs w:val="21"/>
              </w:rPr>
              <w:t>19.6</w:t>
            </w:r>
          </w:p>
        </w:tc>
        <w:tc>
          <w:tcPr>
            <w:tcW w:w="1195" w:type="dxa"/>
            <w:tcBorders>
              <w:top w:val="single" w:color="000000" w:sz="2" w:space="0"/>
              <w:left w:val="single" w:color="000000" w:sz="2" w:space="0"/>
              <w:bottom w:val="single" w:color="000000" w:sz="2" w:space="0"/>
              <w:right w:val="single" w:color="000000" w:sz="2" w:space="0"/>
            </w:tcBorders>
            <w:vAlign w:val="center"/>
          </w:tcPr>
          <w:p w14:paraId="73A23CDE">
            <w:pPr>
              <w:widowControl/>
              <w:jc w:val="center"/>
              <w:rPr>
                <w:rFonts w:ascii="Times New Roman" w:hAnsi="Times New Roman" w:eastAsia="等线"/>
                <w:szCs w:val="21"/>
              </w:rPr>
            </w:pPr>
            <w:r>
              <w:rPr>
                <w:rFonts w:ascii="Times New Roman" w:hAnsi="Times New Roman" w:eastAsia="等线"/>
                <w:szCs w:val="21"/>
              </w:rPr>
              <w:t>41.9</w:t>
            </w:r>
          </w:p>
        </w:tc>
        <w:tc>
          <w:tcPr>
            <w:tcW w:w="1195" w:type="dxa"/>
            <w:tcBorders>
              <w:top w:val="single" w:color="000000" w:sz="2" w:space="0"/>
              <w:left w:val="single" w:color="000000" w:sz="2" w:space="0"/>
              <w:bottom w:val="single" w:color="000000" w:sz="2" w:space="0"/>
              <w:right w:val="single" w:color="000000" w:sz="12" w:space="0"/>
            </w:tcBorders>
            <w:vAlign w:val="center"/>
          </w:tcPr>
          <w:p w14:paraId="3205FE7F">
            <w:pPr>
              <w:widowControl/>
              <w:jc w:val="center"/>
              <w:rPr>
                <w:rFonts w:ascii="Times New Roman" w:hAnsi="Times New Roman" w:eastAsia="等线"/>
                <w:szCs w:val="21"/>
              </w:rPr>
            </w:pPr>
            <w:r>
              <w:rPr>
                <w:rFonts w:ascii="Times New Roman" w:hAnsi="Times New Roman" w:eastAsia="等线"/>
                <w:szCs w:val="21"/>
              </w:rPr>
              <w:t>2</w:t>
            </w:r>
          </w:p>
        </w:tc>
      </w:tr>
      <w:tr w14:paraId="0914BAE8">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1686" w:type="dxa"/>
            <w:vMerge w:val="continue"/>
            <w:tcBorders>
              <w:left w:val="single" w:color="000000" w:sz="12" w:space="0"/>
              <w:bottom w:val="single" w:color="000000" w:sz="2" w:space="0"/>
              <w:right w:val="single" w:color="000000" w:sz="2" w:space="0"/>
            </w:tcBorders>
            <w:vAlign w:val="center"/>
          </w:tcPr>
          <w:p w14:paraId="62512291">
            <w:pPr>
              <w:widowControl/>
              <w:jc w:val="center"/>
              <w:rPr>
                <w:rFonts w:ascii="Times New Roman" w:hAnsi="Times New Roman"/>
                <w:spacing w:val="-2"/>
                <w:kern w:val="0"/>
                <w:szCs w:val="21"/>
              </w:rPr>
            </w:pPr>
          </w:p>
        </w:tc>
        <w:tc>
          <w:tcPr>
            <w:tcW w:w="2410" w:type="dxa"/>
            <w:tcBorders>
              <w:top w:val="single" w:color="000000" w:sz="2" w:space="0"/>
              <w:left w:val="single" w:color="000000" w:sz="2" w:space="0"/>
              <w:bottom w:val="single" w:color="000000" w:sz="2" w:space="0"/>
              <w:right w:val="single" w:color="000000" w:sz="2" w:space="0"/>
            </w:tcBorders>
            <w:vAlign w:val="center"/>
          </w:tcPr>
          <w:p w14:paraId="5DA7F1F6">
            <w:pPr>
              <w:widowControl/>
              <w:jc w:val="center"/>
              <w:rPr>
                <w:rFonts w:ascii="Times New Roman" w:hAnsi="Times New Roman"/>
                <w:spacing w:val="-2"/>
                <w:kern w:val="0"/>
                <w:szCs w:val="21"/>
              </w:rPr>
            </w:pPr>
            <w:r>
              <w:rPr>
                <w:rFonts w:hint="eastAsia" w:ascii="Times New Roman" w:hAnsi="Times New Roman"/>
                <w:spacing w:val="-2"/>
                <w:kern w:val="0"/>
                <w:szCs w:val="21"/>
              </w:rPr>
              <w:t>1#</w:t>
            </w:r>
            <w:r>
              <w:rPr>
                <w:rFonts w:ascii="Times New Roman" w:hAnsi="Times New Roman"/>
                <w:spacing w:val="-2"/>
                <w:kern w:val="0"/>
                <w:szCs w:val="21"/>
              </w:rPr>
              <w:t>车间粉尘除尘器风机</w:t>
            </w:r>
          </w:p>
        </w:tc>
        <w:tc>
          <w:tcPr>
            <w:tcW w:w="1194" w:type="dxa"/>
            <w:tcBorders>
              <w:top w:val="single" w:color="000000" w:sz="2" w:space="0"/>
              <w:left w:val="single" w:color="000000" w:sz="2" w:space="0"/>
              <w:bottom w:val="single" w:color="000000" w:sz="2" w:space="0"/>
              <w:right w:val="single" w:color="000000" w:sz="2" w:space="0"/>
            </w:tcBorders>
            <w:vAlign w:val="center"/>
          </w:tcPr>
          <w:p w14:paraId="0EFA49AE">
            <w:pPr>
              <w:widowControl/>
              <w:jc w:val="center"/>
              <w:rPr>
                <w:rFonts w:ascii="Times New Roman" w:hAnsi="Times New Roman"/>
                <w:spacing w:val="-2"/>
                <w:kern w:val="0"/>
                <w:szCs w:val="21"/>
              </w:rPr>
            </w:pPr>
            <w:r>
              <w:rPr>
                <w:rFonts w:ascii="Times New Roman" w:hAnsi="Times New Roman" w:eastAsia="等线"/>
                <w:szCs w:val="21"/>
              </w:rPr>
              <w:t>60.8</w:t>
            </w:r>
          </w:p>
        </w:tc>
        <w:tc>
          <w:tcPr>
            <w:tcW w:w="1195" w:type="dxa"/>
            <w:tcBorders>
              <w:top w:val="single" w:color="000000" w:sz="2" w:space="0"/>
              <w:left w:val="single" w:color="000000" w:sz="2" w:space="0"/>
              <w:bottom w:val="single" w:color="000000" w:sz="2" w:space="0"/>
              <w:right w:val="single" w:color="000000" w:sz="2" w:space="0"/>
            </w:tcBorders>
            <w:vAlign w:val="center"/>
          </w:tcPr>
          <w:p w14:paraId="32E94D7C">
            <w:pPr>
              <w:widowControl/>
              <w:jc w:val="center"/>
              <w:rPr>
                <w:rFonts w:ascii="Times New Roman" w:hAnsi="Times New Roman"/>
                <w:spacing w:val="-2"/>
                <w:kern w:val="0"/>
                <w:szCs w:val="21"/>
              </w:rPr>
            </w:pPr>
            <w:r>
              <w:rPr>
                <w:rFonts w:ascii="Times New Roman" w:hAnsi="Times New Roman" w:eastAsia="等线"/>
                <w:szCs w:val="21"/>
              </w:rPr>
              <w:t>19.6</w:t>
            </w:r>
          </w:p>
        </w:tc>
        <w:tc>
          <w:tcPr>
            <w:tcW w:w="1195" w:type="dxa"/>
            <w:tcBorders>
              <w:top w:val="single" w:color="000000" w:sz="2" w:space="0"/>
              <w:left w:val="single" w:color="000000" w:sz="2" w:space="0"/>
              <w:bottom w:val="single" w:color="000000" w:sz="2" w:space="0"/>
              <w:right w:val="single" w:color="000000" w:sz="2" w:space="0"/>
            </w:tcBorders>
            <w:vAlign w:val="center"/>
          </w:tcPr>
          <w:p w14:paraId="3B4E6D82">
            <w:pPr>
              <w:widowControl/>
              <w:jc w:val="center"/>
              <w:rPr>
                <w:rFonts w:ascii="Times New Roman" w:hAnsi="Times New Roman"/>
                <w:spacing w:val="-2"/>
                <w:kern w:val="0"/>
                <w:szCs w:val="21"/>
              </w:rPr>
            </w:pPr>
            <w:r>
              <w:rPr>
                <w:rFonts w:ascii="Times New Roman" w:hAnsi="Times New Roman" w:eastAsia="等线"/>
                <w:szCs w:val="21"/>
              </w:rPr>
              <w:t>48.4</w:t>
            </w:r>
          </w:p>
        </w:tc>
        <w:tc>
          <w:tcPr>
            <w:tcW w:w="1195" w:type="dxa"/>
            <w:tcBorders>
              <w:top w:val="single" w:color="000000" w:sz="2" w:space="0"/>
              <w:left w:val="single" w:color="000000" w:sz="2" w:space="0"/>
              <w:bottom w:val="single" w:color="000000" w:sz="2" w:space="0"/>
              <w:right w:val="single" w:color="000000" w:sz="12" w:space="0"/>
            </w:tcBorders>
            <w:vAlign w:val="center"/>
          </w:tcPr>
          <w:p w14:paraId="4ACBD770">
            <w:pPr>
              <w:widowControl/>
              <w:jc w:val="center"/>
              <w:rPr>
                <w:rFonts w:ascii="Times New Roman" w:hAnsi="Times New Roman"/>
                <w:spacing w:val="-2"/>
                <w:kern w:val="0"/>
                <w:szCs w:val="21"/>
              </w:rPr>
            </w:pPr>
            <w:r>
              <w:rPr>
                <w:rFonts w:ascii="Times New Roman" w:hAnsi="Times New Roman" w:eastAsia="等线"/>
                <w:szCs w:val="21"/>
              </w:rPr>
              <w:t>2</w:t>
            </w:r>
          </w:p>
        </w:tc>
      </w:tr>
      <w:tr w14:paraId="2BBD6CE9">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75" w:hRule="atLeast"/>
        </w:trPr>
        <w:tc>
          <w:tcPr>
            <w:tcW w:w="1686" w:type="dxa"/>
            <w:vMerge w:val="restart"/>
            <w:tcBorders>
              <w:top w:val="single" w:color="000000" w:sz="2" w:space="0"/>
              <w:left w:val="single" w:color="000000" w:sz="12" w:space="0"/>
              <w:right w:val="single" w:color="000000" w:sz="2" w:space="0"/>
            </w:tcBorders>
            <w:vAlign w:val="center"/>
          </w:tcPr>
          <w:p w14:paraId="7B531A3D">
            <w:pPr>
              <w:widowControl/>
              <w:jc w:val="center"/>
              <w:rPr>
                <w:rFonts w:ascii="Times New Roman" w:hAnsi="Times New Roman"/>
                <w:spacing w:val="-2"/>
                <w:kern w:val="0"/>
                <w:szCs w:val="21"/>
              </w:rPr>
            </w:pPr>
            <w:r>
              <w:rPr>
                <w:rFonts w:ascii="Times New Roman" w:hAnsi="Times New Roman"/>
                <w:spacing w:val="-2"/>
                <w:kern w:val="0"/>
                <w:szCs w:val="21"/>
              </w:rPr>
              <w:t>2#分选车间</w:t>
            </w:r>
          </w:p>
        </w:tc>
        <w:tc>
          <w:tcPr>
            <w:tcW w:w="2410" w:type="dxa"/>
            <w:tcBorders>
              <w:top w:val="single" w:color="000000" w:sz="2" w:space="0"/>
              <w:left w:val="single" w:color="000000" w:sz="2" w:space="0"/>
              <w:right w:val="single" w:color="000000" w:sz="2" w:space="0"/>
            </w:tcBorders>
            <w:vAlign w:val="center"/>
          </w:tcPr>
          <w:p w14:paraId="3E228CB2">
            <w:pPr>
              <w:jc w:val="center"/>
              <w:rPr>
                <w:rFonts w:ascii="Times New Roman" w:hAnsi="Times New Roman"/>
                <w:spacing w:val="-2"/>
                <w:kern w:val="0"/>
                <w:szCs w:val="21"/>
              </w:rPr>
            </w:pPr>
            <w:r>
              <w:rPr>
                <w:rFonts w:ascii="Times New Roman" w:hAnsi="Times New Roman"/>
                <w:spacing w:val="-2"/>
                <w:kern w:val="0"/>
                <w:szCs w:val="21"/>
              </w:rPr>
              <w:t>皮带输送机1</w:t>
            </w:r>
          </w:p>
        </w:tc>
        <w:tc>
          <w:tcPr>
            <w:tcW w:w="1194" w:type="dxa"/>
            <w:tcBorders>
              <w:top w:val="single" w:color="000000" w:sz="2" w:space="0"/>
              <w:left w:val="single" w:color="000000" w:sz="2" w:space="0"/>
              <w:right w:val="single" w:color="000000" w:sz="2" w:space="0"/>
            </w:tcBorders>
            <w:vAlign w:val="center"/>
          </w:tcPr>
          <w:p w14:paraId="4E7C704A">
            <w:pPr>
              <w:jc w:val="center"/>
              <w:rPr>
                <w:rFonts w:ascii="Times New Roman" w:hAnsi="Times New Roman"/>
                <w:spacing w:val="-2"/>
                <w:kern w:val="0"/>
                <w:szCs w:val="21"/>
              </w:rPr>
            </w:pPr>
            <w:r>
              <w:rPr>
                <w:rFonts w:ascii="Times New Roman" w:hAnsi="Times New Roman" w:eastAsia="等线"/>
                <w:szCs w:val="21"/>
              </w:rPr>
              <w:t>29.4</w:t>
            </w:r>
          </w:p>
        </w:tc>
        <w:tc>
          <w:tcPr>
            <w:tcW w:w="1195" w:type="dxa"/>
            <w:tcBorders>
              <w:top w:val="single" w:color="000000" w:sz="2" w:space="0"/>
              <w:left w:val="single" w:color="000000" w:sz="2" w:space="0"/>
              <w:right w:val="single" w:color="000000" w:sz="2" w:space="0"/>
            </w:tcBorders>
            <w:vAlign w:val="center"/>
          </w:tcPr>
          <w:p w14:paraId="16ECA8BE">
            <w:pPr>
              <w:jc w:val="center"/>
              <w:rPr>
                <w:rFonts w:ascii="Times New Roman" w:hAnsi="Times New Roman"/>
                <w:spacing w:val="-2"/>
                <w:kern w:val="0"/>
                <w:szCs w:val="21"/>
              </w:rPr>
            </w:pPr>
            <w:r>
              <w:rPr>
                <w:rFonts w:ascii="Times New Roman" w:hAnsi="Times New Roman" w:eastAsia="等线"/>
                <w:szCs w:val="21"/>
              </w:rPr>
              <w:t>18</w:t>
            </w:r>
          </w:p>
        </w:tc>
        <w:tc>
          <w:tcPr>
            <w:tcW w:w="1195" w:type="dxa"/>
            <w:tcBorders>
              <w:top w:val="single" w:color="000000" w:sz="2" w:space="0"/>
              <w:left w:val="single" w:color="000000" w:sz="2" w:space="0"/>
              <w:right w:val="single" w:color="000000" w:sz="2" w:space="0"/>
            </w:tcBorders>
            <w:vAlign w:val="center"/>
          </w:tcPr>
          <w:p w14:paraId="10123D0B">
            <w:pPr>
              <w:jc w:val="center"/>
              <w:rPr>
                <w:rFonts w:ascii="Times New Roman" w:hAnsi="Times New Roman"/>
                <w:spacing w:val="-2"/>
                <w:kern w:val="0"/>
                <w:szCs w:val="21"/>
              </w:rPr>
            </w:pPr>
            <w:r>
              <w:rPr>
                <w:rFonts w:ascii="Times New Roman" w:hAnsi="Times New Roman" w:eastAsia="等线"/>
                <w:szCs w:val="21"/>
              </w:rPr>
              <w:t>79.8</w:t>
            </w:r>
          </w:p>
        </w:tc>
        <w:tc>
          <w:tcPr>
            <w:tcW w:w="1195" w:type="dxa"/>
            <w:tcBorders>
              <w:top w:val="single" w:color="000000" w:sz="2" w:space="0"/>
              <w:left w:val="single" w:color="000000" w:sz="2" w:space="0"/>
              <w:right w:val="single" w:color="000000" w:sz="12" w:space="0"/>
            </w:tcBorders>
            <w:vAlign w:val="center"/>
          </w:tcPr>
          <w:p w14:paraId="26BC956E">
            <w:pPr>
              <w:jc w:val="center"/>
              <w:rPr>
                <w:rFonts w:ascii="Times New Roman" w:hAnsi="Times New Roman"/>
                <w:spacing w:val="-2"/>
                <w:kern w:val="0"/>
                <w:szCs w:val="21"/>
              </w:rPr>
            </w:pPr>
            <w:r>
              <w:rPr>
                <w:rFonts w:ascii="Times New Roman" w:hAnsi="Times New Roman" w:eastAsia="等线"/>
                <w:szCs w:val="21"/>
              </w:rPr>
              <w:t>3.6</w:t>
            </w:r>
          </w:p>
        </w:tc>
      </w:tr>
      <w:tr w14:paraId="6F8F0572">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1686" w:type="dxa"/>
            <w:vMerge w:val="continue"/>
            <w:tcBorders>
              <w:left w:val="single" w:color="000000" w:sz="12" w:space="0"/>
              <w:right w:val="single" w:color="000000" w:sz="2" w:space="0"/>
            </w:tcBorders>
            <w:vAlign w:val="center"/>
          </w:tcPr>
          <w:p w14:paraId="1D07F938">
            <w:pPr>
              <w:widowControl/>
              <w:jc w:val="center"/>
              <w:rPr>
                <w:rFonts w:ascii="Times New Roman" w:hAnsi="Times New Roman"/>
                <w:spacing w:val="-2"/>
                <w:kern w:val="0"/>
                <w:szCs w:val="21"/>
              </w:rPr>
            </w:pPr>
          </w:p>
        </w:tc>
        <w:tc>
          <w:tcPr>
            <w:tcW w:w="2410" w:type="dxa"/>
            <w:tcBorders>
              <w:top w:val="single" w:color="000000" w:sz="2" w:space="0"/>
              <w:left w:val="single" w:color="000000" w:sz="2" w:space="0"/>
              <w:bottom w:val="single" w:color="000000" w:sz="2" w:space="0"/>
              <w:right w:val="single" w:color="000000" w:sz="2" w:space="0"/>
            </w:tcBorders>
            <w:vAlign w:val="center"/>
          </w:tcPr>
          <w:p w14:paraId="55F09343">
            <w:pPr>
              <w:widowControl/>
              <w:jc w:val="center"/>
              <w:rPr>
                <w:rFonts w:ascii="Times New Roman" w:hAnsi="Times New Roman"/>
                <w:spacing w:val="-2"/>
                <w:kern w:val="0"/>
                <w:szCs w:val="21"/>
              </w:rPr>
            </w:pPr>
            <w:r>
              <w:rPr>
                <w:rFonts w:ascii="Times New Roman" w:hAnsi="Times New Roman"/>
                <w:spacing w:val="-2"/>
                <w:kern w:val="0"/>
                <w:szCs w:val="21"/>
              </w:rPr>
              <w:t>皮带输送机2</w:t>
            </w:r>
          </w:p>
        </w:tc>
        <w:tc>
          <w:tcPr>
            <w:tcW w:w="1194" w:type="dxa"/>
            <w:tcBorders>
              <w:top w:val="single" w:color="000000" w:sz="2" w:space="0"/>
              <w:left w:val="single" w:color="000000" w:sz="2" w:space="0"/>
              <w:bottom w:val="single" w:color="000000" w:sz="2" w:space="0"/>
              <w:right w:val="single" w:color="000000" w:sz="2" w:space="0"/>
            </w:tcBorders>
            <w:vAlign w:val="center"/>
          </w:tcPr>
          <w:p w14:paraId="094E5AD8">
            <w:pPr>
              <w:widowControl/>
              <w:jc w:val="center"/>
              <w:rPr>
                <w:rFonts w:ascii="Times New Roman" w:hAnsi="Times New Roman"/>
                <w:spacing w:val="-2"/>
                <w:kern w:val="0"/>
                <w:szCs w:val="21"/>
              </w:rPr>
            </w:pPr>
            <w:r>
              <w:rPr>
                <w:rFonts w:ascii="Times New Roman" w:hAnsi="Times New Roman" w:eastAsia="等线"/>
                <w:szCs w:val="21"/>
              </w:rPr>
              <w:t>29.4</w:t>
            </w:r>
          </w:p>
        </w:tc>
        <w:tc>
          <w:tcPr>
            <w:tcW w:w="1195" w:type="dxa"/>
            <w:tcBorders>
              <w:top w:val="single" w:color="000000" w:sz="2" w:space="0"/>
              <w:left w:val="single" w:color="000000" w:sz="2" w:space="0"/>
              <w:bottom w:val="single" w:color="000000" w:sz="2" w:space="0"/>
              <w:right w:val="single" w:color="000000" w:sz="2" w:space="0"/>
            </w:tcBorders>
            <w:vAlign w:val="center"/>
          </w:tcPr>
          <w:p w14:paraId="1DFFBA5B">
            <w:pPr>
              <w:widowControl/>
              <w:jc w:val="center"/>
              <w:rPr>
                <w:rFonts w:ascii="Times New Roman" w:hAnsi="Times New Roman"/>
                <w:spacing w:val="-2"/>
                <w:kern w:val="0"/>
                <w:szCs w:val="21"/>
              </w:rPr>
            </w:pPr>
            <w:r>
              <w:rPr>
                <w:rFonts w:ascii="Times New Roman" w:hAnsi="Times New Roman" w:eastAsia="等线"/>
                <w:szCs w:val="21"/>
              </w:rPr>
              <w:t>3.6</w:t>
            </w:r>
          </w:p>
        </w:tc>
        <w:tc>
          <w:tcPr>
            <w:tcW w:w="1195" w:type="dxa"/>
            <w:tcBorders>
              <w:top w:val="single" w:color="000000" w:sz="2" w:space="0"/>
              <w:left w:val="single" w:color="000000" w:sz="2" w:space="0"/>
              <w:bottom w:val="single" w:color="000000" w:sz="2" w:space="0"/>
              <w:right w:val="single" w:color="000000" w:sz="2" w:space="0"/>
            </w:tcBorders>
            <w:vAlign w:val="center"/>
          </w:tcPr>
          <w:p w14:paraId="769CFD23">
            <w:pPr>
              <w:widowControl/>
              <w:jc w:val="center"/>
              <w:rPr>
                <w:rFonts w:ascii="Times New Roman" w:hAnsi="Times New Roman"/>
                <w:spacing w:val="-2"/>
                <w:kern w:val="0"/>
                <w:szCs w:val="21"/>
              </w:rPr>
            </w:pPr>
            <w:r>
              <w:rPr>
                <w:rFonts w:ascii="Times New Roman" w:hAnsi="Times New Roman" w:eastAsia="等线"/>
                <w:szCs w:val="21"/>
              </w:rPr>
              <w:t>79.8</w:t>
            </w:r>
          </w:p>
        </w:tc>
        <w:tc>
          <w:tcPr>
            <w:tcW w:w="1195" w:type="dxa"/>
            <w:tcBorders>
              <w:top w:val="single" w:color="000000" w:sz="2" w:space="0"/>
              <w:left w:val="single" w:color="000000" w:sz="2" w:space="0"/>
              <w:bottom w:val="single" w:color="000000" w:sz="2" w:space="0"/>
              <w:right w:val="single" w:color="000000" w:sz="12" w:space="0"/>
            </w:tcBorders>
            <w:vAlign w:val="center"/>
          </w:tcPr>
          <w:p w14:paraId="7FA81DE0">
            <w:pPr>
              <w:widowControl/>
              <w:jc w:val="center"/>
              <w:rPr>
                <w:rFonts w:ascii="Times New Roman" w:hAnsi="Times New Roman"/>
                <w:spacing w:val="-2"/>
                <w:kern w:val="0"/>
                <w:szCs w:val="21"/>
              </w:rPr>
            </w:pPr>
            <w:r>
              <w:rPr>
                <w:rFonts w:ascii="Times New Roman" w:hAnsi="Times New Roman" w:eastAsia="等线"/>
                <w:szCs w:val="21"/>
              </w:rPr>
              <w:t>18</w:t>
            </w:r>
          </w:p>
        </w:tc>
      </w:tr>
      <w:tr w14:paraId="2A5DF82F">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1686" w:type="dxa"/>
            <w:vMerge w:val="continue"/>
            <w:tcBorders>
              <w:left w:val="single" w:color="000000" w:sz="12" w:space="0"/>
              <w:right w:val="single" w:color="000000" w:sz="2" w:space="0"/>
            </w:tcBorders>
            <w:vAlign w:val="center"/>
          </w:tcPr>
          <w:p w14:paraId="5CD0D5FB">
            <w:pPr>
              <w:widowControl/>
              <w:jc w:val="center"/>
              <w:rPr>
                <w:rFonts w:ascii="Times New Roman" w:hAnsi="Times New Roman"/>
                <w:spacing w:val="-2"/>
                <w:kern w:val="0"/>
                <w:szCs w:val="21"/>
              </w:rPr>
            </w:pPr>
          </w:p>
        </w:tc>
        <w:tc>
          <w:tcPr>
            <w:tcW w:w="2410" w:type="dxa"/>
            <w:tcBorders>
              <w:top w:val="single" w:color="000000" w:sz="2" w:space="0"/>
              <w:left w:val="single" w:color="000000" w:sz="2" w:space="0"/>
              <w:bottom w:val="single" w:color="000000" w:sz="2" w:space="0"/>
              <w:right w:val="single" w:color="000000" w:sz="2" w:space="0"/>
            </w:tcBorders>
            <w:vAlign w:val="center"/>
          </w:tcPr>
          <w:p w14:paraId="52ADE9DB">
            <w:pPr>
              <w:widowControl/>
              <w:jc w:val="center"/>
              <w:rPr>
                <w:rFonts w:ascii="Times New Roman" w:hAnsi="Times New Roman"/>
                <w:spacing w:val="-2"/>
                <w:kern w:val="0"/>
                <w:szCs w:val="21"/>
              </w:rPr>
            </w:pPr>
            <w:r>
              <w:rPr>
                <w:rFonts w:ascii="Times New Roman" w:hAnsi="Times New Roman"/>
                <w:spacing w:val="-2"/>
                <w:kern w:val="0"/>
                <w:szCs w:val="21"/>
              </w:rPr>
              <w:t>磁选机1</w:t>
            </w:r>
          </w:p>
        </w:tc>
        <w:tc>
          <w:tcPr>
            <w:tcW w:w="1194" w:type="dxa"/>
            <w:tcBorders>
              <w:top w:val="single" w:color="000000" w:sz="2" w:space="0"/>
              <w:left w:val="single" w:color="000000" w:sz="2" w:space="0"/>
              <w:bottom w:val="single" w:color="000000" w:sz="2" w:space="0"/>
              <w:right w:val="single" w:color="000000" w:sz="2" w:space="0"/>
            </w:tcBorders>
            <w:vAlign w:val="center"/>
          </w:tcPr>
          <w:p w14:paraId="74F15112">
            <w:pPr>
              <w:widowControl/>
              <w:jc w:val="center"/>
              <w:rPr>
                <w:rFonts w:ascii="Times New Roman" w:hAnsi="Times New Roman"/>
                <w:spacing w:val="-2"/>
                <w:kern w:val="0"/>
                <w:szCs w:val="21"/>
              </w:rPr>
            </w:pPr>
            <w:r>
              <w:rPr>
                <w:rFonts w:ascii="Times New Roman" w:hAnsi="Times New Roman" w:eastAsia="等线"/>
                <w:szCs w:val="21"/>
              </w:rPr>
              <w:t>29.4</w:t>
            </w:r>
          </w:p>
        </w:tc>
        <w:tc>
          <w:tcPr>
            <w:tcW w:w="1195" w:type="dxa"/>
            <w:tcBorders>
              <w:top w:val="single" w:color="000000" w:sz="2" w:space="0"/>
              <w:left w:val="single" w:color="000000" w:sz="2" w:space="0"/>
              <w:bottom w:val="single" w:color="000000" w:sz="2" w:space="0"/>
              <w:right w:val="single" w:color="000000" w:sz="2" w:space="0"/>
            </w:tcBorders>
            <w:vAlign w:val="center"/>
          </w:tcPr>
          <w:p w14:paraId="68C0098F">
            <w:pPr>
              <w:widowControl/>
              <w:jc w:val="center"/>
              <w:rPr>
                <w:rFonts w:ascii="Times New Roman" w:hAnsi="Times New Roman"/>
                <w:spacing w:val="-2"/>
                <w:kern w:val="0"/>
                <w:szCs w:val="21"/>
              </w:rPr>
            </w:pPr>
            <w:r>
              <w:rPr>
                <w:rFonts w:ascii="Times New Roman" w:hAnsi="Times New Roman" w:eastAsia="等线"/>
                <w:szCs w:val="21"/>
              </w:rPr>
              <w:t>18</w:t>
            </w:r>
          </w:p>
        </w:tc>
        <w:tc>
          <w:tcPr>
            <w:tcW w:w="1195" w:type="dxa"/>
            <w:tcBorders>
              <w:top w:val="single" w:color="000000" w:sz="2" w:space="0"/>
              <w:left w:val="single" w:color="000000" w:sz="2" w:space="0"/>
              <w:bottom w:val="single" w:color="000000" w:sz="2" w:space="0"/>
              <w:right w:val="single" w:color="000000" w:sz="2" w:space="0"/>
            </w:tcBorders>
            <w:vAlign w:val="center"/>
          </w:tcPr>
          <w:p w14:paraId="2A3BB40D">
            <w:pPr>
              <w:widowControl/>
              <w:jc w:val="center"/>
              <w:rPr>
                <w:rFonts w:ascii="Times New Roman" w:hAnsi="Times New Roman"/>
                <w:spacing w:val="-2"/>
                <w:kern w:val="0"/>
                <w:szCs w:val="21"/>
              </w:rPr>
            </w:pPr>
            <w:r>
              <w:rPr>
                <w:rFonts w:ascii="Times New Roman" w:hAnsi="Times New Roman" w:eastAsia="等线"/>
                <w:szCs w:val="21"/>
              </w:rPr>
              <w:t>79.8</w:t>
            </w:r>
          </w:p>
        </w:tc>
        <w:tc>
          <w:tcPr>
            <w:tcW w:w="1195" w:type="dxa"/>
            <w:tcBorders>
              <w:top w:val="single" w:color="000000" w:sz="2" w:space="0"/>
              <w:left w:val="single" w:color="000000" w:sz="2" w:space="0"/>
              <w:bottom w:val="single" w:color="000000" w:sz="2" w:space="0"/>
              <w:right w:val="single" w:color="000000" w:sz="12" w:space="0"/>
            </w:tcBorders>
            <w:vAlign w:val="center"/>
          </w:tcPr>
          <w:p w14:paraId="4F772F4A">
            <w:pPr>
              <w:widowControl/>
              <w:jc w:val="center"/>
              <w:rPr>
                <w:rFonts w:ascii="Times New Roman" w:hAnsi="Times New Roman"/>
                <w:spacing w:val="-2"/>
                <w:kern w:val="0"/>
                <w:szCs w:val="21"/>
              </w:rPr>
            </w:pPr>
            <w:r>
              <w:rPr>
                <w:rFonts w:ascii="Times New Roman" w:hAnsi="Times New Roman" w:eastAsia="等线"/>
                <w:szCs w:val="21"/>
              </w:rPr>
              <w:t>3.6</w:t>
            </w:r>
          </w:p>
        </w:tc>
      </w:tr>
      <w:tr w14:paraId="337F63CC">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1686" w:type="dxa"/>
            <w:vMerge w:val="continue"/>
            <w:tcBorders>
              <w:left w:val="single" w:color="000000" w:sz="12" w:space="0"/>
              <w:right w:val="single" w:color="000000" w:sz="2" w:space="0"/>
            </w:tcBorders>
            <w:vAlign w:val="center"/>
          </w:tcPr>
          <w:p w14:paraId="7206F5CB">
            <w:pPr>
              <w:widowControl/>
              <w:jc w:val="center"/>
              <w:rPr>
                <w:rFonts w:ascii="Times New Roman" w:hAnsi="Times New Roman"/>
                <w:spacing w:val="-2"/>
                <w:kern w:val="0"/>
                <w:szCs w:val="21"/>
              </w:rPr>
            </w:pPr>
          </w:p>
        </w:tc>
        <w:tc>
          <w:tcPr>
            <w:tcW w:w="2410" w:type="dxa"/>
            <w:tcBorders>
              <w:top w:val="single" w:color="000000" w:sz="2" w:space="0"/>
              <w:left w:val="single" w:color="000000" w:sz="2" w:space="0"/>
              <w:bottom w:val="single" w:color="000000" w:sz="2" w:space="0"/>
              <w:right w:val="single" w:color="000000" w:sz="2" w:space="0"/>
            </w:tcBorders>
            <w:vAlign w:val="center"/>
          </w:tcPr>
          <w:p w14:paraId="10105AF8">
            <w:pPr>
              <w:widowControl/>
              <w:jc w:val="center"/>
              <w:rPr>
                <w:rFonts w:ascii="Times New Roman" w:hAnsi="Times New Roman"/>
                <w:spacing w:val="-2"/>
                <w:kern w:val="0"/>
                <w:szCs w:val="21"/>
              </w:rPr>
            </w:pPr>
            <w:r>
              <w:rPr>
                <w:rFonts w:ascii="Times New Roman" w:hAnsi="Times New Roman"/>
                <w:spacing w:val="-2"/>
                <w:kern w:val="0"/>
                <w:szCs w:val="21"/>
              </w:rPr>
              <w:t>磁选机2</w:t>
            </w:r>
          </w:p>
        </w:tc>
        <w:tc>
          <w:tcPr>
            <w:tcW w:w="1194" w:type="dxa"/>
            <w:tcBorders>
              <w:top w:val="single" w:color="000000" w:sz="2" w:space="0"/>
              <w:left w:val="single" w:color="000000" w:sz="2" w:space="0"/>
              <w:bottom w:val="single" w:color="000000" w:sz="2" w:space="0"/>
              <w:right w:val="single" w:color="000000" w:sz="2" w:space="0"/>
            </w:tcBorders>
            <w:vAlign w:val="center"/>
          </w:tcPr>
          <w:p w14:paraId="5E7E9710">
            <w:pPr>
              <w:widowControl/>
              <w:jc w:val="center"/>
              <w:rPr>
                <w:rFonts w:ascii="Times New Roman" w:hAnsi="Times New Roman"/>
                <w:spacing w:val="-2"/>
                <w:kern w:val="0"/>
                <w:szCs w:val="21"/>
              </w:rPr>
            </w:pPr>
            <w:r>
              <w:rPr>
                <w:rFonts w:ascii="Times New Roman" w:hAnsi="Times New Roman" w:eastAsia="等线"/>
                <w:szCs w:val="21"/>
              </w:rPr>
              <w:t>29.4</w:t>
            </w:r>
          </w:p>
        </w:tc>
        <w:tc>
          <w:tcPr>
            <w:tcW w:w="1195" w:type="dxa"/>
            <w:tcBorders>
              <w:top w:val="single" w:color="000000" w:sz="2" w:space="0"/>
              <w:left w:val="single" w:color="000000" w:sz="2" w:space="0"/>
              <w:bottom w:val="single" w:color="000000" w:sz="2" w:space="0"/>
              <w:right w:val="single" w:color="000000" w:sz="2" w:space="0"/>
            </w:tcBorders>
            <w:vAlign w:val="center"/>
          </w:tcPr>
          <w:p w14:paraId="397618C7">
            <w:pPr>
              <w:widowControl/>
              <w:jc w:val="center"/>
              <w:rPr>
                <w:rFonts w:ascii="Times New Roman" w:hAnsi="Times New Roman"/>
                <w:spacing w:val="-2"/>
                <w:kern w:val="0"/>
                <w:szCs w:val="21"/>
              </w:rPr>
            </w:pPr>
            <w:r>
              <w:rPr>
                <w:rFonts w:ascii="Times New Roman" w:hAnsi="Times New Roman" w:eastAsia="等线"/>
                <w:szCs w:val="21"/>
              </w:rPr>
              <w:t>3.6</w:t>
            </w:r>
          </w:p>
        </w:tc>
        <w:tc>
          <w:tcPr>
            <w:tcW w:w="1195" w:type="dxa"/>
            <w:tcBorders>
              <w:top w:val="single" w:color="000000" w:sz="2" w:space="0"/>
              <w:left w:val="single" w:color="000000" w:sz="2" w:space="0"/>
              <w:bottom w:val="single" w:color="000000" w:sz="2" w:space="0"/>
              <w:right w:val="single" w:color="000000" w:sz="2" w:space="0"/>
            </w:tcBorders>
            <w:vAlign w:val="center"/>
          </w:tcPr>
          <w:p w14:paraId="02A16D94">
            <w:pPr>
              <w:widowControl/>
              <w:jc w:val="center"/>
              <w:rPr>
                <w:rFonts w:ascii="Times New Roman" w:hAnsi="Times New Roman"/>
                <w:spacing w:val="-2"/>
                <w:kern w:val="0"/>
                <w:szCs w:val="21"/>
              </w:rPr>
            </w:pPr>
            <w:r>
              <w:rPr>
                <w:rFonts w:ascii="Times New Roman" w:hAnsi="Times New Roman" w:eastAsia="等线"/>
                <w:szCs w:val="21"/>
              </w:rPr>
              <w:t>79.8</w:t>
            </w:r>
          </w:p>
        </w:tc>
        <w:tc>
          <w:tcPr>
            <w:tcW w:w="1195" w:type="dxa"/>
            <w:tcBorders>
              <w:top w:val="single" w:color="000000" w:sz="2" w:space="0"/>
              <w:left w:val="single" w:color="000000" w:sz="2" w:space="0"/>
              <w:bottom w:val="single" w:color="000000" w:sz="2" w:space="0"/>
              <w:right w:val="single" w:color="000000" w:sz="12" w:space="0"/>
            </w:tcBorders>
            <w:vAlign w:val="center"/>
          </w:tcPr>
          <w:p w14:paraId="05F56DBB">
            <w:pPr>
              <w:widowControl/>
              <w:jc w:val="center"/>
              <w:rPr>
                <w:rFonts w:ascii="Times New Roman" w:hAnsi="Times New Roman"/>
                <w:spacing w:val="-2"/>
                <w:kern w:val="0"/>
                <w:szCs w:val="21"/>
              </w:rPr>
            </w:pPr>
            <w:r>
              <w:rPr>
                <w:rFonts w:ascii="Times New Roman" w:hAnsi="Times New Roman" w:eastAsia="等线"/>
                <w:szCs w:val="21"/>
              </w:rPr>
              <w:t>18</w:t>
            </w:r>
          </w:p>
        </w:tc>
      </w:tr>
      <w:tr w14:paraId="606218B3">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1686" w:type="dxa"/>
            <w:vMerge w:val="continue"/>
            <w:tcBorders>
              <w:left w:val="single" w:color="000000" w:sz="12" w:space="0"/>
              <w:right w:val="single" w:color="000000" w:sz="2" w:space="0"/>
            </w:tcBorders>
            <w:vAlign w:val="center"/>
          </w:tcPr>
          <w:p w14:paraId="392450CF">
            <w:pPr>
              <w:widowControl/>
              <w:jc w:val="center"/>
              <w:rPr>
                <w:rFonts w:ascii="Times New Roman" w:hAnsi="Times New Roman"/>
                <w:spacing w:val="-2"/>
                <w:kern w:val="0"/>
                <w:szCs w:val="21"/>
              </w:rPr>
            </w:pPr>
          </w:p>
        </w:tc>
        <w:tc>
          <w:tcPr>
            <w:tcW w:w="2410" w:type="dxa"/>
            <w:tcBorders>
              <w:top w:val="single" w:color="000000" w:sz="2" w:space="0"/>
              <w:left w:val="single" w:color="000000" w:sz="2" w:space="0"/>
              <w:bottom w:val="single" w:color="000000" w:sz="2" w:space="0"/>
              <w:right w:val="single" w:color="000000" w:sz="2" w:space="0"/>
            </w:tcBorders>
            <w:vAlign w:val="center"/>
          </w:tcPr>
          <w:p w14:paraId="413CD946">
            <w:pPr>
              <w:widowControl/>
              <w:jc w:val="center"/>
              <w:rPr>
                <w:rFonts w:ascii="Times New Roman" w:hAnsi="Times New Roman"/>
                <w:spacing w:val="-2"/>
                <w:kern w:val="0"/>
                <w:szCs w:val="21"/>
              </w:rPr>
            </w:pPr>
            <w:r>
              <w:rPr>
                <w:rFonts w:ascii="Times New Roman" w:hAnsi="Times New Roman"/>
                <w:spacing w:val="-2"/>
                <w:kern w:val="0"/>
                <w:szCs w:val="21"/>
              </w:rPr>
              <w:t>装载机</w:t>
            </w:r>
          </w:p>
        </w:tc>
        <w:tc>
          <w:tcPr>
            <w:tcW w:w="1194" w:type="dxa"/>
            <w:tcBorders>
              <w:top w:val="single" w:color="000000" w:sz="2" w:space="0"/>
              <w:left w:val="single" w:color="000000" w:sz="2" w:space="0"/>
              <w:bottom w:val="single" w:color="000000" w:sz="2" w:space="0"/>
              <w:right w:val="single" w:color="000000" w:sz="2" w:space="0"/>
            </w:tcBorders>
            <w:vAlign w:val="center"/>
          </w:tcPr>
          <w:p w14:paraId="566819E9">
            <w:pPr>
              <w:widowControl/>
              <w:jc w:val="center"/>
              <w:rPr>
                <w:rFonts w:ascii="Times New Roman" w:hAnsi="Times New Roman"/>
                <w:spacing w:val="-2"/>
                <w:kern w:val="0"/>
                <w:szCs w:val="21"/>
              </w:rPr>
            </w:pPr>
            <w:r>
              <w:rPr>
                <w:rFonts w:ascii="Times New Roman" w:hAnsi="Times New Roman" w:eastAsia="等线"/>
                <w:szCs w:val="21"/>
              </w:rPr>
              <w:t>27.3</w:t>
            </w:r>
          </w:p>
        </w:tc>
        <w:tc>
          <w:tcPr>
            <w:tcW w:w="1195" w:type="dxa"/>
            <w:tcBorders>
              <w:top w:val="single" w:color="000000" w:sz="2" w:space="0"/>
              <w:left w:val="single" w:color="000000" w:sz="2" w:space="0"/>
              <w:bottom w:val="single" w:color="000000" w:sz="2" w:space="0"/>
              <w:right w:val="single" w:color="000000" w:sz="2" w:space="0"/>
            </w:tcBorders>
            <w:vAlign w:val="center"/>
          </w:tcPr>
          <w:p w14:paraId="72B6E46C">
            <w:pPr>
              <w:widowControl/>
              <w:jc w:val="center"/>
              <w:rPr>
                <w:rFonts w:ascii="Times New Roman" w:hAnsi="Times New Roman"/>
                <w:spacing w:val="-2"/>
                <w:kern w:val="0"/>
                <w:szCs w:val="21"/>
              </w:rPr>
            </w:pPr>
            <w:r>
              <w:rPr>
                <w:rFonts w:ascii="Times New Roman" w:hAnsi="Times New Roman" w:eastAsia="等线"/>
                <w:szCs w:val="21"/>
              </w:rPr>
              <w:t>10.8</w:t>
            </w:r>
          </w:p>
        </w:tc>
        <w:tc>
          <w:tcPr>
            <w:tcW w:w="1195" w:type="dxa"/>
            <w:tcBorders>
              <w:top w:val="single" w:color="000000" w:sz="2" w:space="0"/>
              <w:left w:val="single" w:color="000000" w:sz="2" w:space="0"/>
              <w:bottom w:val="single" w:color="000000" w:sz="2" w:space="0"/>
              <w:right w:val="single" w:color="000000" w:sz="2" w:space="0"/>
            </w:tcBorders>
            <w:vAlign w:val="center"/>
          </w:tcPr>
          <w:p w14:paraId="6D65E8D6">
            <w:pPr>
              <w:widowControl/>
              <w:jc w:val="center"/>
              <w:rPr>
                <w:rFonts w:ascii="Times New Roman" w:hAnsi="Times New Roman"/>
                <w:spacing w:val="-2"/>
                <w:kern w:val="0"/>
                <w:szCs w:val="21"/>
              </w:rPr>
            </w:pPr>
            <w:r>
              <w:rPr>
                <w:rFonts w:ascii="Times New Roman" w:hAnsi="Times New Roman" w:eastAsia="等线"/>
                <w:szCs w:val="21"/>
              </w:rPr>
              <w:t>81.9</w:t>
            </w:r>
          </w:p>
        </w:tc>
        <w:tc>
          <w:tcPr>
            <w:tcW w:w="1195" w:type="dxa"/>
            <w:tcBorders>
              <w:top w:val="single" w:color="000000" w:sz="2" w:space="0"/>
              <w:left w:val="single" w:color="000000" w:sz="2" w:space="0"/>
              <w:bottom w:val="single" w:color="000000" w:sz="2" w:space="0"/>
              <w:right w:val="single" w:color="000000" w:sz="12" w:space="0"/>
            </w:tcBorders>
            <w:vAlign w:val="center"/>
          </w:tcPr>
          <w:p w14:paraId="79A23F44">
            <w:pPr>
              <w:widowControl/>
              <w:jc w:val="center"/>
              <w:rPr>
                <w:rFonts w:ascii="Times New Roman" w:hAnsi="Times New Roman"/>
                <w:spacing w:val="-2"/>
                <w:kern w:val="0"/>
                <w:szCs w:val="21"/>
              </w:rPr>
            </w:pPr>
            <w:r>
              <w:rPr>
                <w:rFonts w:ascii="Times New Roman" w:hAnsi="Times New Roman" w:eastAsia="等线"/>
                <w:szCs w:val="21"/>
              </w:rPr>
              <w:t>10.8</w:t>
            </w:r>
          </w:p>
        </w:tc>
      </w:tr>
      <w:tr w14:paraId="612062AB">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1686" w:type="dxa"/>
            <w:vMerge w:val="continue"/>
            <w:tcBorders>
              <w:left w:val="single" w:color="000000" w:sz="12" w:space="0"/>
              <w:bottom w:val="single" w:color="000000" w:sz="2" w:space="0"/>
              <w:right w:val="single" w:color="000000" w:sz="2" w:space="0"/>
            </w:tcBorders>
            <w:vAlign w:val="center"/>
          </w:tcPr>
          <w:p w14:paraId="2E5A74C1">
            <w:pPr>
              <w:widowControl/>
              <w:jc w:val="center"/>
              <w:rPr>
                <w:rFonts w:ascii="Times New Roman" w:hAnsi="Times New Roman"/>
                <w:spacing w:val="-2"/>
                <w:kern w:val="0"/>
                <w:szCs w:val="21"/>
              </w:rPr>
            </w:pPr>
          </w:p>
        </w:tc>
        <w:tc>
          <w:tcPr>
            <w:tcW w:w="2410" w:type="dxa"/>
            <w:tcBorders>
              <w:top w:val="single" w:color="000000" w:sz="2" w:space="0"/>
              <w:left w:val="single" w:color="000000" w:sz="2" w:space="0"/>
              <w:bottom w:val="single" w:color="000000" w:sz="2" w:space="0"/>
              <w:right w:val="single" w:color="000000" w:sz="2" w:space="0"/>
            </w:tcBorders>
            <w:vAlign w:val="center"/>
          </w:tcPr>
          <w:p w14:paraId="5F3DCEE7">
            <w:pPr>
              <w:widowControl/>
              <w:jc w:val="center"/>
              <w:rPr>
                <w:rFonts w:ascii="Times New Roman" w:hAnsi="Times New Roman"/>
                <w:spacing w:val="-2"/>
                <w:kern w:val="0"/>
                <w:szCs w:val="21"/>
              </w:rPr>
            </w:pPr>
            <w:r>
              <w:rPr>
                <w:rFonts w:hint="eastAsia" w:ascii="Times New Roman" w:hAnsi="Times New Roman"/>
                <w:spacing w:val="-2"/>
                <w:kern w:val="0"/>
                <w:szCs w:val="21"/>
              </w:rPr>
              <w:t>2#</w:t>
            </w:r>
            <w:r>
              <w:rPr>
                <w:rFonts w:ascii="Times New Roman" w:hAnsi="Times New Roman"/>
                <w:spacing w:val="-2"/>
                <w:kern w:val="0"/>
                <w:szCs w:val="21"/>
              </w:rPr>
              <w:t>车间粉尘除尘器风机</w:t>
            </w:r>
          </w:p>
        </w:tc>
        <w:tc>
          <w:tcPr>
            <w:tcW w:w="1194" w:type="dxa"/>
            <w:tcBorders>
              <w:top w:val="single" w:color="000000" w:sz="2" w:space="0"/>
              <w:left w:val="single" w:color="000000" w:sz="2" w:space="0"/>
              <w:bottom w:val="single" w:color="000000" w:sz="2" w:space="0"/>
              <w:right w:val="single" w:color="000000" w:sz="2" w:space="0"/>
            </w:tcBorders>
            <w:vAlign w:val="center"/>
          </w:tcPr>
          <w:p w14:paraId="613755FF">
            <w:pPr>
              <w:widowControl/>
              <w:jc w:val="center"/>
              <w:rPr>
                <w:rFonts w:ascii="Times New Roman" w:hAnsi="Times New Roman"/>
                <w:spacing w:val="-2"/>
                <w:kern w:val="0"/>
                <w:szCs w:val="21"/>
              </w:rPr>
            </w:pPr>
            <w:r>
              <w:rPr>
                <w:rFonts w:ascii="Times New Roman" w:hAnsi="Times New Roman" w:eastAsia="等线"/>
                <w:szCs w:val="21"/>
              </w:rPr>
              <w:t>39.4</w:t>
            </w:r>
          </w:p>
        </w:tc>
        <w:tc>
          <w:tcPr>
            <w:tcW w:w="1195" w:type="dxa"/>
            <w:tcBorders>
              <w:top w:val="single" w:color="000000" w:sz="2" w:space="0"/>
              <w:left w:val="single" w:color="000000" w:sz="2" w:space="0"/>
              <w:bottom w:val="single" w:color="000000" w:sz="2" w:space="0"/>
              <w:right w:val="single" w:color="000000" w:sz="2" w:space="0"/>
            </w:tcBorders>
            <w:vAlign w:val="center"/>
          </w:tcPr>
          <w:p w14:paraId="22EB0EED">
            <w:pPr>
              <w:widowControl/>
              <w:jc w:val="center"/>
              <w:rPr>
                <w:rFonts w:ascii="Times New Roman" w:hAnsi="Times New Roman"/>
                <w:spacing w:val="-2"/>
                <w:kern w:val="0"/>
                <w:szCs w:val="21"/>
              </w:rPr>
            </w:pPr>
            <w:r>
              <w:rPr>
                <w:rFonts w:ascii="Times New Roman" w:hAnsi="Times New Roman" w:eastAsia="等线"/>
                <w:szCs w:val="21"/>
              </w:rPr>
              <w:t>19.6</w:t>
            </w:r>
          </w:p>
        </w:tc>
        <w:tc>
          <w:tcPr>
            <w:tcW w:w="1195" w:type="dxa"/>
            <w:tcBorders>
              <w:top w:val="single" w:color="000000" w:sz="2" w:space="0"/>
              <w:left w:val="single" w:color="000000" w:sz="2" w:space="0"/>
              <w:bottom w:val="single" w:color="000000" w:sz="2" w:space="0"/>
              <w:right w:val="single" w:color="000000" w:sz="2" w:space="0"/>
            </w:tcBorders>
            <w:vAlign w:val="center"/>
          </w:tcPr>
          <w:p w14:paraId="2EA8542B">
            <w:pPr>
              <w:widowControl/>
              <w:jc w:val="center"/>
              <w:rPr>
                <w:rFonts w:ascii="Times New Roman" w:hAnsi="Times New Roman"/>
                <w:spacing w:val="-2"/>
                <w:kern w:val="0"/>
                <w:szCs w:val="21"/>
              </w:rPr>
            </w:pPr>
            <w:r>
              <w:rPr>
                <w:rFonts w:ascii="Times New Roman" w:hAnsi="Times New Roman" w:eastAsia="等线"/>
                <w:szCs w:val="21"/>
              </w:rPr>
              <w:t>69.8</w:t>
            </w:r>
          </w:p>
        </w:tc>
        <w:tc>
          <w:tcPr>
            <w:tcW w:w="1195" w:type="dxa"/>
            <w:tcBorders>
              <w:top w:val="single" w:color="000000" w:sz="2" w:space="0"/>
              <w:left w:val="single" w:color="000000" w:sz="2" w:space="0"/>
              <w:bottom w:val="single" w:color="000000" w:sz="2" w:space="0"/>
              <w:right w:val="single" w:color="000000" w:sz="12" w:space="0"/>
            </w:tcBorders>
            <w:vAlign w:val="center"/>
          </w:tcPr>
          <w:p w14:paraId="0AB1C6B2">
            <w:pPr>
              <w:widowControl/>
              <w:jc w:val="center"/>
              <w:rPr>
                <w:rFonts w:ascii="Times New Roman" w:hAnsi="Times New Roman"/>
                <w:spacing w:val="-2"/>
                <w:kern w:val="0"/>
                <w:szCs w:val="21"/>
              </w:rPr>
            </w:pPr>
            <w:r>
              <w:rPr>
                <w:rFonts w:ascii="Times New Roman" w:hAnsi="Times New Roman" w:eastAsia="等线"/>
                <w:szCs w:val="21"/>
              </w:rPr>
              <w:t>2</w:t>
            </w:r>
          </w:p>
        </w:tc>
      </w:tr>
    </w:tbl>
    <w:p w14:paraId="32762951">
      <w:pPr>
        <w:autoSpaceDE w:val="0"/>
        <w:autoSpaceDN w:val="0"/>
        <w:adjustRightInd w:val="0"/>
        <w:spacing w:line="360" w:lineRule="auto"/>
        <w:ind w:firstLine="420" w:firstLineChars="200"/>
        <w:rPr>
          <w:rFonts w:ascii="Times New Roman" w:hAnsi="Times New Roman"/>
        </w:rPr>
      </w:pPr>
    </w:p>
    <w:p w14:paraId="7A1BD12E">
      <w:pPr>
        <w:pStyle w:val="6"/>
        <w:numPr>
          <w:ilvl w:val="2"/>
          <w:numId w:val="3"/>
        </w:numPr>
      </w:pPr>
      <w:r>
        <w:t>预测内容</w:t>
      </w:r>
      <w:bookmarkEnd w:id="219"/>
    </w:p>
    <w:p w14:paraId="1834B9DD">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本项目所用设备均选用低噪声设备，并采取了相应的噪声污染防治措施。根据声源的特征和所在位置，估算各声源对各预测点产生的贡献值。</w:t>
      </w:r>
    </w:p>
    <w:p w14:paraId="39CB1958">
      <w:pPr>
        <w:pStyle w:val="6"/>
        <w:numPr>
          <w:ilvl w:val="2"/>
          <w:numId w:val="3"/>
        </w:numPr>
      </w:pPr>
      <w:bookmarkStart w:id="220" w:name="_Toc490059232"/>
      <w:r>
        <w:t>预测模式</w:t>
      </w:r>
      <w:bookmarkEnd w:id="220"/>
    </w:p>
    <w:p w14:paraId="3F981870">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根据《环境影响评价技术导则 声环境》（HJ2.4-2021），声环境影响预测，一般采用声源的倍频带声功率级、A声功率级或靠近声源某一位置的倍频带声压级、A声级来预测计算距声源不同距离的声级。工业声源有室外和室内两种声源，应分别计算。</w:t>
      </w:r>
    </w:p>
    <w:p w14:paraId="48EE67DD">
      <w:pPr>
        <w:pStyle w:val="7"/>
        <w:numPr>
          <w:ilvl w:val="3"/>
          <w:numId w:val="3"/>
        </w:numPr>
      </w:pPr>
      <w:r>
        <w:t>室外声源在预测点产生的声级计算模型</w:t>
      </w:r>
    </w:p>
    <w:p w14:paraId="7D1367B1">
      <w:pPr>
        <w:autoSpaceDE w:val="0"/>
        <w:autoSpaceDN w:val="0"/>
        <w:adjustRightInd w:val="0"/>
        <w:spacing w:line="360" w:lineRule="auto"/>
        <w:ind w:firstLine="474" w:firstLineChars="200"/>
        <w:rPr>
          <w:rFonts w:ascii="Times New Roman" w:hAnsi="Times New Roman"/>
          <w:b/>
          <w:bCs/>
          <w:spacing w:val="-2"/>
          <w:kern w:val="0"/>
          <w:sz w:val="24"/>
          <w:szCs w:val="24"/>
        </w:rPr>
      </w:pPr>
      <w:r>
        <w:rPr>
          <w:rFonts w:ascii="Times New Roman" w:hAnsi="Times New Roman"/>
          <w:b/>
          <w:bCs/>
          <w:spacing w:val="-2"/>
          <w:kern w:val="0"/>
          <w:sz w:val="24"/>
          <w:szCs w:val="24"/>
        </w:rPr>
        <w:t>（1）户外声传播的衰减基本公式</w:t>
      </w:r>
    </w:p>
    <w:p w14:paraId="6C7DEC68">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户外声传播衰减包括几何发散（A</w:t>
      </w:r>
      <w:r>
        <w:rPr>
          <w:rFonts w:ascii="Times New Roman" w:hAnsi="Times New Roman"/>
          <w:spacing w:val="-2"/>
          <w:kern w:val="0"/>
          <w:sz w:val="24"/>
          <w:szCs w:val="24"/>
          <w:vertAlign w:val="subscript"/>
        </w:rPr>
        <w:t>div</w:t>
      </w:r>
      <w:r>
        <w:rPr>
          <w:rFonts w:ascii="Times New Roman" w:hAnsi="Times New Roman"/>
          <w:spacing w:val="-2"/>
          <w:kern w:val="0"/>
          <w:sz w:val="24"/>
          <w:szCs w:val="24"/>
        </w:rPr>
        <w:t>）、大气吸收（A</w:t>
      </w:r>
      <w:r>
        <w:rPr>
          <w:rFonts w:ascii="Times New Roman" w:hAnsi="Times New Roman"/>
          <w:spacing w:val="-2"/>
          <w:kern w:val="0"/>
          <w:sz w:val="24"/>
          <w:szCs w:val="24"/>
          <w:vertAlign w:val="subscript"/>
        </w:rPr>
        <w:t>atm</w:t>
      </w:r>
      <w:r>
        <w:rPr>
          <w:rFonts w:ascii="Times New Roman" w:hAnsi="Times New Roman"/>
          <w:spacing w:val="-2"/>
          <w:kern w:val="0"/>
          <w:sz w:val="24"/>
          <w:szCs w:val="24"/>
        </w:rPr>
        <w:t>）、地面效应（A</w:t>
      </w:r>
      <w:r>
        <w:rPr>
          <w:rFonts w:ascii="Times New Roman" w:hAnsi="Times New Roman"/>
          <w:spacing w:val="-2"/>
          <w:kern w:val="0"/>
          <w:sz w:val="24"/>
          <w:szCs w:val="24"/>
          <w:vertAlign w:val="subscript"/>
        </w:rPr>
        <w:t>gr</w:t>
      </w:r>
      <w:r>
        <w:rPr>
          <w:rFonts w:ascii="Times New Roman" w:hAnsi="Times New Roman"/>
          <w:spacing w:val="-2"/>
          <w:kern w:val="0"/>
          <w:sz w:val="24"/>
          <w:szCs w:val="24"/>
        </w:rPr>
        <w:t>）、障碍物屏蔽（A</w:t>
      </w:r>
      <w:r>
        <w:rPr>
          <w:rFonts w:ascii="Times New Roman" w:hAnsi="Times New Roman"/>
          <w:spacing w:val="-2"/>
          <w:kern w:val="0"/>
          <w:sz w:val="24"/>
          <w:szCs w:val="24"/>
          <w:vertAlign w:val="subscript"/>
        </w:rPr>
        <w:t>bar</w:t>
      </w:r>
      <w:r>
        <w:rPr>
          <w:rFonts w:ascii="Times New Roman" w:hAnsi="Times New Roman"/>
          <w:spacing w:val="-2"/>
          <w:kern w:val="0"/>
          <w:sz w:val="24"/>
          <w:szCs w:val="24"/>
        </w:rPr>
        <w:t>）、其他多方面效应（A</w:t>
      </w:r>
      <w:r>
        <w:rPr>
          <w:rFonts w:ascii="Times New Roman" w:hAnsi="Times New Roman"/>
          <w:spacing w:val="-2"/>
          <w:kern w:val="0"/>
          <w:sz w:val="24"/>
          <w:szCs w:val="24"/>
          <w:vertAlign w:val="subscript"/>
        </w:rPr>
        <w:t>misc</w:t>
      </w:r>
      <w:r>
        <w:rPr>
          <w:rFonts w:ascii="Times New Roman" w:hAnsi="Times New Roman"/>
          <w:spacing w:val="-2"/>
          <w:kern w:val="0"/>
          <w:sz w:val="24"/>
          <w:szCs w:val="24"/>
        </w:rPr>
        <w:t>）引起的衰减。</w:t>
      </w:r>
    </w:p>
    <w:p w14:paraId="35E33C68">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A）在环境影响评价中，应根据声源声功率级或参考位置处的声压级、户外声传播衰减，计算预测点的声级，分别按以下两个公式计算。</w:t>
      </w:r>
    </w:p>
    <w:p w14:paraId="6991278A">
      <w:pPr>
        <w:spacing w:line="360" w:lineRule="auto"/>
        <w:ind w:firstLine="480" w:firstLineChars="200"/>
        <w:jc w:val="center"/>
        <w:rPr>
          <w:rFonts w:ascii="Times New Roman" w:hAnsi="Times New Roman"/>
          <w:sz w:val="24"/>
          <w:szCs w:val="24"/>
        </w:rPr>
      </w:pPr>
      <m:oMathPara>
        <m:oMath>
          <m:sSub>
            <m:sSubPr>
              <m:ctrlPr>
                <w:rPr>
                  <w:rFonts w:ascii="Cambria Math" w:hAnsi="Cambria Math"/>
                  <w:i/>
                  <w:sz w:val="24"/>
                  <w:szCs w:val="24"/>
                </w:rPr>
              </m:ctrlPr>
            </m:sSubPr>
            <m:e>
              <m:r>
                <m:rPr/>
                <w:rPr>
                  <w:rFonts w:ascii="Cambria Math" w:hAnsi="Cambria Math"/>
                  <w:sz w:val="24"/>
                  <w:szCs w:val="24"/>
                </w:rPr>
                <m:t>L</m:t>
              </m:r>
              <m:ctrlPr>
                <w:rPr>
                  <w:rFonts w:ascii="Cambria Math" w:hAnsi="Cambria Math"/>
                  <w:i/>
                  <w:sz w:val="24"/>
                  <w:szCs w:val="24"/>
                </w:rPr>
              </m:ctrlPr>
            </m:e>
            <m:sub>
              <m:r>
                <m:rPr/>
                <w:rPr>
                  <w:rFonts w:ascii="Cambria Math" w:hAnsi="Cambria Math"/>
                  <w:sz w:val="24"/>
                  <w:szCs w:val="24"/>
                </w:rPr>
                <m:t>p</m:t>
              </m:r>
              <m:ctrlPr>
                <w:rPr>
                  <w:rFonts w:ascii="Cambria Math" w:hAnsi="Cambria Math"/>
                  <w:i/>
                  <w:sz w:val="24"/>
                  <w:szCs w:val="24"/>
                </w:rPr>
              </m:ctrlPr>
            </m:sub>
          </m:sSub>
          <m:d>
            <m:dPr>
              <m:ctrlPr>
                <w:rPr>
                  <w:rFonts w:ascii="Cambria Math" w:hAnsi="Cambria Math"/>
                  <w:i/>
                  <w:sz w:val="24"/>
                  <w:szCs w:val="24"/>
                </w:rPr>
              </m:ctrlPr>
            </m:dPr>
            <m:e>
              <m:r>
                <m:rPr/>
                <w:rPr>
                  <w:rFonts w:ascii="Cambria Math" w:hAnsi="Cambria Math"/>
                  <w:sz w:val="24"/>
                  <w:szCs w:val="24"/>
                </w:rPr>
                <m:t>r</m:t>
              </m:r>
              <m:ctrlPr>
                <w:rPr>
                  <w:rFonts w:ascii="Cambria Math" w:hAnsi="Cambria Math"/>
                  <w:i/>
                  <w:sz w:val="24"/>
                  <w:szCs w:val="24"/>
                </w:rPr>
              </m:ctrlPr>
            </m:e>
          </m:d>
          <m:r>
            <m:rPr/>
            <w:rPr>
              <w:rFonts w:ascii="Cambria Math" w:hAnsi="Cambria Math"/>
              <w:sz w:val="24"/>
              <w:szCs w:val="24"/>
            </w:rPr>
            <m:t>=</m:t>
          </m:r>
          <m:sSub>
            <m:sSubPr>
              <m:ctrlPr>
                <w:rPr>
                  <w:rFonts w:ascii="Cambria Math" w:hAnsi="Cambria Math"/>
                  <w:i/>
                  <w:sz w:val="24"/>
                  <w:szCs w:val="24"/>
                </w:rPr>
              </m:ctrlPr>
            </m:sSubPr>
            <m:e>
              <m:r>
                <m:rPr/>
                <w:rPr>
                  <w:rFonts w:ascii="Cambria Math" w:hAnsi="Cambria Math"/>
                  <w:sz w:val="24"/>
                  <w:szCs w:val="24"/>
                </w:rPr>
                <m:t>L</m:t>
              </m:r>
              <m:ctrlPr>
                <w:rPr>
                  <w:rFonts w:ascii="Cambria Math" w:hAnsi="Cambria Math"/>
                  <w:i/>
                  <w:sz w:val="24"/>
                  <w:szCs w:val="24"/>
                </w:rPr>
              </m:ctrlPr>
            </m:e>
            <m:sub>
              <m:r>
                <m:rPr/>
                <w:rPr>
                  <w:rFonts w:ascii="Cambria Math" w:hAnsi="Cambria Math"/>
                  <w:sz w:val="24"/>
                  <w:szCs w:val="24"/>
                </w:rPr>
                <m:t>w</m:t>
              </m:r>
              <m:ctrlPr>
                <w:rPr>
                  <w:rFonts w:ascii="Cambria Math" w:hAnsi="Cambria Math"/>
                  <w:i/>
                  <w:sz w:val="24"/>
                  <w:szCs w:val="24"/>
                </w:rPr>
              </m:ctrlPr>
            </m:sub>
          </m:sSub>
          <m:r>
            <m:rPr/>
            <w:rPr>
              <w:rFonts w:ascii="Cambria Math" w:hAnsi="Cambria Math"/>
              <w:sz w:val="24"/>
              <w:szCs w:val="24"/>
            </w:rPr>
            <m:t>+</m:t>
          </m:r>
          <m:sSub>
            <m:sSubPr>
              <m:ctrlPr>
                <w:rPr>
                  <w:rFonts w:ascii="Cambria Math" w:hAnsi="Cambria Math"/>
                  <w:i/>
                  <w:sz w:val="24"/>
                  <w:szCs w:val="24"/>
                </w:rPr>
              </m:ctrlPr>
            </m:sSubPr>
            <m:e>
              <m:r>
                <m:rPr/>
                <w:rPr>
                  <w:rFonts w:ascii="Cambria Math" w:hAnsi="Cambria Math"/>
                  <w:sz w:val="24"/>
                  <w:szCs w:val="24"/>
                </w:rPr>
                <m:t>D</m:t>
              </m:r>
              <m:ctrlPr>
                <w:rPr>
                  <w:rFonts w:ascii="Cambria Math" w:hAnsi="Cambria Math"/>
                  <w:i/>
                  <w:sz w:val="24"/>
                  <w:szCs w:val="24"/>
                </w:rPr>
              </m:ctrlPr>
            </m:e>
            <m:sub>
              <m:r>
                <m:rPr/>
                <w:rPr>
                  <w:rFonts w:ascii="Cambria Math" w:hAnsi="Cambria Math"/>
                  <w:sz w:val="24"/>
                  <w:szCs w:val="24"/>
                </w:rPr>
                <m:t>C</m:t>
              </m:r>
              <m:ctrlPr>
                <w:rPr>
                  <w:rFonts w:ascii="Cambria Math" w:hAnsi="Cambria Math"/>
                  <w:i/>
                  <w:sz w:val="24"/>
                  <w:szCs w:val="24"/>
                </w:rPr>
              </m:ctrlPr>
            </m:sub>
          </m:sSub>
          <m:r>
            <m:rPr/>
            <w:rPr>
              <w:rFonts w:ascii="Cambria Math" w:hAnsi="Cambria Math"/>
              <w:sz w:val="24"/>
              <w:szCs w:val="24"/>
            </w:rPr>
            <m:t>−</m:t>
          </m:r>
          <m:d>
            <m:dPr>
              <m:ctrlPr>
                <w:rPr>
                  <w:rFonts w:ascii="Cambria Math" w:hAnsi="Cambria Math"/>
                  <w:i/>
                  <w:sz w:val="24"/>
                  <w:szCs w:val="24"/>
                </w:rPr>
              </m:ctrlPr>
            </m:dPr>
            <m:e>
              <m:sSub>
                <m:sSubPr>
                  <m:ctrlPr>
                    <w:rPr>
                      <w:rFonts w:ascii="Cambria Math" w:hAnsi="Cambria Math"/>
                      <w:i/>
                      <w:sz w:val="24"/>
                      <w:szCs w:val="24"/>
                    </w:rPr>
                  </m:ctrlPr>
                </m:sSubPr>
                <m:e>
                  <m:r>
                    <m:rPr/>
                    <w:rPr>
                      <w:rFonts w:ascii="Cambria Math" w:hAnsi="Cambria Math"/>
                      <w:sz w:val="24"/>
                      <w:szCs w:val="24"/>
                    </w:rPr>
                    <m:t>A</m:t>
                  </m:r>
                  <m:ctrlPr>
                    <w:rPr>
                      <w:rFonts w:ascii="Cambria Math" w:hAnsi="Cambria Math"/>
                      <w:i/>
                      <w:sz w:val="24"/>
                      <w:szCs w:val="24"/>
                    </w:rPr>
                  </m:ctrlPr>
                </m:e>
                <m:sub>
                  <m:r>
                    <m:rPr/>
                    <w:rPr>
                      <w:rFonts w:ascii="Cambria Math" w:hAnsi="Cambria Math"/>
                      <w:sz w:val="24"/>
                      <w:szCs w:val="24"/>
                    </w:rPr>
                    <m:t>div</m:t>
                  </m:r>
                  <m:ctrlPr>
                    <w:rPr>
                      <w:rFonts w:ascii="Cambria Math" w:hAnsi="Cambria Math"/>
                      <w:i/>
                      <w:sz w:val="24"/>
                      <w:szCs w:val="24"/>
                    </w:rPr>
                  </m:ctrlPr>
                </m:sub>
              </m:sSub>
              <m:r>
                <m:rPr/>
                <w:rPr>
                  <w:rFonts w:ascii="Cambria Math" w:hAnsi="Cambria Math"/>
                  <w:sz w:val="24"/>
                  <w:szCs w:val="24"/>
                </w:rPr>
                <m:t>+</m:t>
              </m:r>
              <m:sSub>
                <m:sSubPr>
                  <m:ctrlPr>
                    <w:rPr>
                      <w:rFonts w:ascii="Cambria Math" w:hAnsi="Cambria Math"/>
                      <w:i/>
                      <w:sz w:val="24"/>
                      <w:szCs w:val="24"/>
                    </w:rPr>
                  </m:ctrlPr>
                </m:sSubPr>
                <m:e>
                  <m:r>
                    <m:rPr/>
                    <w:rPr>
                      <w:rFonts w:ascii="Cambria Math" w:hAnsi="Cambria Math"/>
                      <w:sz w:val="24"/>
                      <w:szCs w:val="24"/>
                    </w:rPr>
                    <m:t>A</m:t>
                  </m:r>
                  <m:ctrlPr>
                    <w:rPr>
                      <w:rFonts w:ascii="Cambria Math" w:hAnsi="Cambria Math"/>
                      <w:i/>
                      <w:sz w:val="24"/>
                      <w:szCs w:val="24"/>
                    </w:rPr>
                  </m:ctrlPr>
                </m:e>
                <m:sub>
                  <m:r>
                    <m:rPr/>
                    <w:rPr>
                      <w:rFonts w:ascii="Cambria Math" w:hAnsi="Cambria Math"/>
                      <w:sz w:val="24"/>
                      <w:szCs w:val="24"/>
                    </w:rPr>
                    <m:t>atm</m:t>
                  </m:r>
                  <m:ctrlPr>
                    <w:rPr>
                      <w:rFonts w:ascii="Cambria Math" w:hAnsi="Cambria Math"/>
                      <w:i/>
                      <w:sz w:val="24"/>
                      <w:szCs w:val="24"/>
                    </w:rPr>
                  </m:ctrlPr>
                </m:sub>
              </m:sSub>
              <m:r>
                <m:rPr/>
                <w:rPr>
                  <w:rFonts w:ascii="Cambria Math" w:hAnsi="Cambria Math"/>
                  <w:sz w:val="24"/>
                  <w:szCs w:val="24"/>
                </w:rPr>
                <m:t>+</m:t>
              </m:r>
              <m:sSub>
                <m:sSubPr>
                  <m:ctrlPr>
                    <w:rPr>
                      <w:rFonts w:ascii="Cambria Math" w:hAnsi="Cambria Math"/>
                      <w:i/>
                      <w:sz w:val="24"/>
                      <w:szCs w:val="24"/>
                    </w:rPr>
                  </m:ctrlPr>
                </m:sSubPr>
                <m:e>
                  <m:r>
                    <m:rPr/>
                    <w:rPr>
                      <w:rFonts w:ascii="Cambria Math" w:hAnsi="Cambria Math"/>
                      <w:sz w:val="24"/>
                      <w:szCs w:val="24"/>
                    </w:rPr>
                    <m:t>A</m:t>
                  </m:r>
                  <m:ctrlPr>
                    <w:rPr>
                      <w:rFonts w:ascii="Cambria Math" w:hAnsi="Cambria Math"/>
                      <w:i/>
                      <w:sz w:val="24"/>
                      <w:szCs w:val="24"/>
                    </w:rPr>
                  </m:ctrlPr>
                </m:e>
                <m:sub>
                  <m:r>
                    <m:rPr/>
                    <w:rPr>
                      <w:rFonts w:ascii="Cambria Math" w:hAnsi="Cambria Math"/>
                      <w:sz w:val="24"/>
                      <w:szCs w:val="24"/>
                    </w:rPr>
                    <m:t>ag</m:t>
                  </m:r>
                  <m:ctrlPr>
                    <w:rPr>
                      <w:rFonts w:ascii="Cambria Math" w:hAnsi="Cambria Math"/>
                      <w:i/>
                      <w:sz w:val="24"/>
                      <w:szCs w:val="24"/>
                    </w:rPr>
                  </m:ctrlPr>
                </m:sub>
              </m:sSub>
              <m:r>
                <m:rPr/>
                <w:rPr>
                  <w:rFonts w:ascii="Cambria Math" w:hAnsi="Cambria Math"/>
                  <w:sz w:val="24"/>
                  <w:szCs w:val="24"/>
                </w:rPr>
                <m:t>+</m:t>
              </m:r>
              <m:sSub>
                <m:sSubPr>
                  <m:ctrlPr>
                    <w:rPr>
                      <w:rFonts w:ascii="Cambria Math" w:hAnsi="Cambria Math"/>
                      <w:i/>
                      <w:sz w:val="24"/>
                      <w:szCs w:val="24"/>
                    </w:rPr>
                  </m:ctrlPr>
                </m:sSubPr>
                <m:e>
                  <m:r>
                    <m:rPr/>
                    <w:rPr>
                      <w:rFonts w:ascii="Cambria Math" w:hAnsi="Cambria Math"/>
                      <w:sz w:val="24"/>
                      <w:szCs w:val="24"/>
                    </w:rPr>
                    <m:t>A</m:t>
                  </m:r>
                  <m:ctrlPr>
                    <w:rPr>
                      <w:rFonts w:ascii="Cambria Math" w:hAnsi="Cambria Math"/>
                      <w:i/>
                      <w:sz w:val="24"/>
                      <w:szCs w:val="24"/>
                    </w:rPr>
                  </m:ctrlPr>
                </m:e>
                <m:sub>
                  <m:r>
                    <m:rPr/>
                    <w:rPr>
                      <w:rFonts w:ascii="Cambria Math" w:hAnsi="Cambria Math"/>
                      <w:sz w:val="24"/>
                      <w:szCs w:val="24"/>
                    </w:rPr>
                    <m:t>bar</m:t>
                  </m:r>
                  <m:ctrlPr>
                    <w:rPr>
                      <w:rFonts w:ascii="Cambria Math" w:hAnsi="Cambria Math"/>
                      <w:i/>
                      <w:sz w:val="24"/>
                      <w:szCs w:val="24"/>
                    </w:rPr>
                  </m:ctrlPr>
                </m:sub>
              </m:sSub>
              <m:r>
                <m:rPr/>
                <w:rPr>
                  <w:rFonts w:ascii="Cambria Math" w:hAnsi="Cambria Math"/>
                  <w:sz w:val="24"/>
                  <w:szCs w:val="24"/>
                </w:rPr>
                <m:t>+</m:t>
              </m:r>
              <m:sSub>
                <m:sSubPr>
                  <m:ctrlPr>
                    <w:rPr>
                      <w:rFonts w:ascii="Cambria Math" w:hAnsi="Cambria Math"/>
                      <w:i/>
                      <w:sz w:val="24"/>
                      <w:szCs w:val="24"/>
                    </w:rPr>
                  </m:ctrlPr>
                </m:sSubPr>
                <m:e>
                  <m:r>
                    <m:rPr/>
                    <w:rPr>
                      <w:rFonts w:ascii="Cambria Math" w:hAnsi="Cambria Math"/>
                      <w:sz w:val="24"/>
                      <w:szCs w:val="24"/>
                    </w:rPr>
                    <m:t>A</m:t>
                  </m:r>
                  <m:ctrlPr>
                    <w:rPr>
                      <w:rFonts w:ascii="Cambria Math" w:hAnsi="Cambria Math"/>
                      <w:i/>
                      <w:sz w:val="24"/>
                      <w:szCs w:val="24"/>
                    </w:rPr>
                  </m:ctrlPr>
                </m:e>
                <m:sub>
                  <m:r>
                    <m:rPr/>
                    <w:rPr>
                      <w:rFonts w:ascii="Cambria Math" w:hAnsi="Cambria Math"/>
                      <w:sz w:val="24"/>
                      <w:szCs w:val="24"/>
                    </w:rPr>
                    <m:t>misc</m:t>
                  </m:r>
                  <m:ctrlPr>
                    <w:rPr>
                      <w:rFonts w:ascii="Cambria Math" w:hAnsi="Cambria Math"/>
                      <w:i/>
                      <w:sz w:val="24"/>
                      <w:szCs w:val="24"/>
                    </w:rPr>
                  </m:ctrlPr>
                </m:sub>
              </m:sSub>
              <m:ctrlPr>
                <w:rPr>
                  <w:rFonts w:ascii="Cambria Math" w:hAnsi="Cambria Math"/>
                  <w:i/>
                  <w:sz w:val="24"/>
                  <w:szCs w:val="24"/>
                </w:rPr>
              </m:ctrlPr>
            </m:e>
          </m:d>
        </m:oMath>
      </m:oMathPara>
    </w:p>
    <w:p w14:paraId="00A6B719">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式中：</w:t>
      </w:r>
    </w:p>
    <w:p w14:paraId="16CAE505">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L</w:t>
      </w:r>
      <w:r>
        <w:rPr>
          <w:rFonts w:ascii="Times New Roman" w:hAnsi="Times New Roman"/>
          <w:spacing w:val="-2"/>
          <w:kern w:val="0"/>
          <w:sz w:val="24"/>
          <w:szCs w:val="24"/>
          <w:vertAlign w:val="subscript"/>
        </w:rPr>
        <w:t>p</w:t>
      </w:r>
      <w:r>
        <w:rPr>
          <w:rFonts w:ascii="Times New Roman" w:hAnsi="Times New Roman"/>
          <w:spacing w:val="-2"/>
          <w:kern w:val="0"/>
          <w:sz w:val="24"/>
          <w:szCs w:val="24"/>
        </w:rPr>
        <w:t>(r) ——预测点处声压级，dB；</w:t>
      </w:r>
    </w:p>
    <w:p w14:paraId="00C0A75F">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L</w:t>
      </w:r>
      <w:r>
        <w:rPr>
          <w:rFonts w:ascii="Times New Roman" w:hAnsi="Times New Roman"/>
          <w:spacing w:val="-2"/>
          <w:kern w:val="0"/>
          <w:sz w:val="24"/>
          <w:szCs w:val="24"/>
          <w:vertAlign w:val="subscript"/>
        </w:rPr>
        <w:t>w</w:t>
      </w:r>
      <w:r>
        <w:rPr>
          <w:rFonts w:ascii="Times New Roman" w:hAnsi="Times New Roman"/>
          <w:spacing w:val="-2"/>
          <w:kern w:val="0"/>
          <w:sz w:val="24"/>
          <w:szCs w:val="24"/>
        </w:rPr>
        <w:t xml:space="preserve"> ——由点声源产生的声功率级（A计权或倍频带），dB； </w:t>
      </w:r>
    </w:p>
    <w:p w14:paraId="79E1891D">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D</w:t>
      </w:r>
      <w:r>
        <w:rPr>
          <w:rFonts w:ascii="Times New Roman" w:hAnsi="Times New Roman"/>
          <w:spacing w:val="-2"/>
          <w:kern w:val="0"/>
          <w:sz w:val="24"/>
          <w:szCs w:val="24"/>
          <w:vertAlign w:val="subscript"/>
        </w:rPr>
        <w:t>C</w:t>
      </w:r>
      <w:r>
        <w:rPr>
          <w:rFonts w:ascii="Times New Roman" w:hAnsi="Times New Roman"/>
          <w:spacing w:val="-2"/>
          <w:kern w:val="0"/>
          <w:sz w:val="24"/>
          <w:szCs w:val="24"/>
        </w:rPr>
        <w:t xml:space="preserve"> ——指向性校正，它描述点声源的等效连续声压级与产生声功率级L</w:t>
      </w:r>
      <w:r>
        <w:rPr>
          <w:rFonts w:ascii="Times New Roman" w:hAnsi="Times New Roman"/>
          <w:spacing w:val="-2"/>
          <w:kern w:val="0"/>
          <w:sz w:val="24"/>
          <w:szCs w:val="24"/>
          <w:vertAlign w:val="subscript"/>
        </w:rPr>
        <w:t>w</w:t>
      </w:r>
      <w:r>
        <w:rPr>
          <w:rFonts w:ascii="Times New Roman" w:hAnsi="Times New Roman"/>
          <w:spacing w:val="-2"/>
          <w:kern w:val="0"/>
          <w:sz w:val="24"/>
          <w:szCs w:val="24"/>
        </w:rPr>
        <w:t xml:space="preserve">的全向点声源在规定方向的声级的偏差程度，dB； </w:t>
      </w:r>
    </w:p>
    <w:p w14:paraId="5C561C6D">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A</w:t>
      </w:r>
      <w:r>
        <w:rPr>
          <w:rFonts w:ascii="Times New Roman" w:hAnsi="Times New Roman"/>
          <w:spacing w:val="-2"/>
          <w:kern w:val="0"/>
          <w:sz w:val="24"/>
          <w:szCs w:val="24"/>
          <w:vertAlign w:val="subscript"/>
        </w:rPr>
        <w:t>div</w:t>
      </w:r>
      <w:r>
        <w:rPr>
          <w:rFonts w:ascii="Times New Roman" w:hAnsi="Times New Roman"/>
          <w:spacing w:val="-2"/>
          <w:kern w:val="0"/>
          <w:sz w:val="24"/>
          <w:szCs w:val="24"/>
        </w:rPr>
        <w:t xml:space="preserve"> ——几何发散引起的衰减，dB； </w:t>
      </w:r>
    </w:p>
    <w:p w14:paraId="6E8D6B2B">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A</w:t>
      </w:r>
      <w:r>
        <w:rPr>
          <w:rFonts w:ascii="Times New Roman" w:hAnsi="Times New Roman"/>
          <w:spacing w:val="-2"/>
          <w:kern w:val="0"/>
          <w:sz w:val="24"/>
          <w:szCs w:val="24"/>
          <w:vertAlign w:val="subscript"/>
        </w:rPr>
        <w:t>atm</w:t>
      </w:r>
      <w:r>
        <w:rPr>
          <w:rFonts w:ascii="Times New Roman" w:hAnsi="Times New Roman"/>
          <w:spacing w:val="-2"/>
          <w:kern w:val="0"/>
          <w:sz w:val="24"/>
          <w:szCs w:val="24"/>
        </w:rPr>
        <w:t xml:space="preserve"> ——大气吸收引起的衰减，dB； </w:t>
      </w:r>
    </w:p>
    <w:p w14:paraId="42554E33">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A</w:t>
      </w:r>
      <w:r>
        <w:rPr>
          <w:rFonts w:ascii="Times New Roman" w:hAnsi="Times New Roman"/>
          <w:spacing w:val="-2"/>
          <w:kern w:val="0"/>
          <w:sz w:val="24"/>
          <w:szCs w:val="24"/>
          <w:vertAlign w:val="subscript"/>
        </w:rPr>
        <w:t>gr</w:t>
      </w:r>
      <w:r>
        <w:rPr>
          <w:rFonts w:ascii="Times New Roman" w:hAnsi="Times New Roman"/>
          <w:spacing w:val="-2"/>
          <w:kern w:val="0"/>
          <w:sz w:val="24"/>
          <w:szCs w:val="24"/>
        </w:rPr>
        <w:t xml:space="preserve"> ——地面效应引起的衰减，dB； </w:t>
      </w:r>
    </w:p>
    <w:p w14:paraId="5DA5E4D9">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A</w:t>
      </w:r>
      <w:r>
        <w:rPr>
          <w:rFonts w:ascii="Times New Roman" w:hAnsi="Times New Roman"/>
          <w:spacing w:val="-2"/>
          <w:kern w:val="0"/>
          <w:sz w:val="24"/>
          <w:szCs w:val="24"/>
          <w:vertAlign w:val="subscript"/>
        </w:rPr>
        <w:t>bar</w:t>
      </w:r>
      <w:r>
        <w:rPr>
          <w:rFonts w:ascii="Times New Roman" w:hAnsi="Times New Roman"/>
          <w:spacing w:val="-2"/>
          <w:kern w:val="0"/>
          <w:sz w:val="24"/>
          <w:szCs w:val="24"/>
        </w:rPr>
        <w:t xml:space="preserve"> ——障碍物屏蔽引起的衰减，dB； </w:t>
      </w:r>
    </w:p>
    <w:p w14:paraId="40494F5E">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A</w:t>
      </w:r>
      <w:r>
        <w:rPr>
          <w:rFonts w:ascii="Times New Roman" w:hAnsi="Times New Roman"/>
          <w:spacing w:val="-2"/>
          <w:kern w:val="0"/>
          <w:sz w:val="24"/>
          <w:szCs w:val="24"/>
          <w:vertAlign w:val="subscript"/>
        </w:rPr>
        <w:t>misc</w:t>
      </w:r>
      <w:r>
        <w:rPr>
          <w:rFonts w:ascii="Times New Roman" w:hAnsi="Times New Roman"/>
          <w:spacing w:val="-2"/>
          <w:kern w:val="0"/>
          <w:sz w:val="24"/>
          <w:szCs w:val="24"/>
        </w:rPr>
        <w:t xml:space="preserve"> ——其他多方面效应引起的衰减，dB。</w:t>
      </w:r>
    </w:p>
    <w:p w14:paraId="5776B0A0">
      <w:pPr>
        <w:spacing w:line="360" w:lineRule="auto"/>
        <w:ind w:firstLine="480" w:firstLineChars="200"/>
        <w:jc w:val="center"/>
        <w:rPr>
          <w:rFonts w:ascii="Times New Roman" w:hAnsi="Times New Roman"/>
          <w:sz w:val="24"/>
          <w:szCs w:val="24"/>
        </w:rPr>
      </w:pPr>
      <m:oMathPara>
        <m:oMath>
          <m:sSub>
            <m:sSubPr>
              <m:ctrlPr>
                <w:rPr>
                  <w:rFonts w:ascii="Cambria Math" w:hAnsi="Cambria Math"/>
                  <w:i/>
                  <w:sz w:val="24"/>
                  <w:szCs w:val="24"/>
                </w:rPr>
              </m:ctrlPr>
            </m:sSubPr>
            <m:e>
              <m:r>
                <m:rPr/>
                <w:rPr>
                  <w:rFonts w:ascii="Cambria Math" w:hAnsi="Cambria Math"/>
                  <w:sz w:val="24"/>
                  <w:szCs w:val="24"/>
                </w:rPr>
                <m:t>L</m:t>
              </m:r>
              <m:ctrlPr>
                <w:rPr>
                  <w:rFonts w:ascii="Cambria Math" w:hAnsi="Cambria Math"/>
                  <w:i/>
                  <w:sz w:val="24"/>
                  <w:szCs w:val="24"/>
                </w:rPr>
              </m:ctrlPr>
            </m:e>
            <m:sub>
              <m:r>
                <m:rPr/>
                <w:rPr>
                  <w:rFonts w:ascii="Cambria Math" w:hAnsi="Cambria Math"/>
                  <w:sz w:val="24"/>
                  <w:szCs w:val="24"/>
                </w:rPr>
                <m:t>p</m:t>
              </m:r>
              <m:ctrlPr>
                <w:rPr>
                  <w:rFonts w:ascii="Cambria Math" w:hAnsi="Cambria Math"/>
                  <w:i/>
                  <w:sz w:val="24"/>
                  <w:szCs w:val="24"/>
                </w:rPr>
              </m:ctrlPr>
            </m:sub>
          </m:sSub>
          <m:d>
            <m:dPr>
              <m:ctrlPr>
                <w:rPr>
                  <w:rFonts w:ascii="Cambria Math" w:hAnsi="Cambria Math"/>
                  <w:i/>
                  <w:sz w:val="24"/>
                  <w:szCs w:val="24"/>
                </w:rPr>
              </m:ctrlPr>
            </m:dPr>
            <m:e>
              <m:r>
                <m:rPr/>
                <w:rPr>
                  <w:rFonts w:ascii="Cambria Math" w:hAnsi="Cambria Math"/>
                  <w:sz w:val="24"/>
                  <w:szCs w:val="24"/>
                </w:rPr>
                <m:t>r</m:t>
              </m:r>
              <m:ctrlPr>
                <w:rPr>
                  <w:rFonts w:ascii="Cambria Math" w:hAnsi="Cambria Math"/>
                  <w:i/>
                  <w:sz w:val="24"/>
                  <w:szCs w:val="24"/>
                </w:rPr>
              </m:ctrlPr>
            </m:e>
          </m:d>
          <m:r>
            <m:rPr/>
            <w:rPr>
              <w:rFonts w:ascii="Cambria Math" w:hAnsi="Cambria Math"/>
              <w:sz w:val="24"/>
              <w:szCs w:val="24"/>
            </w:rPr>
            <m:t>=</m:t>
          </m:r>
          <m:sSub>
            <m:sSubPr>
              <m:ctrlPr>
                <w:rPr>
                  <w:rFonts w:ascii="Cambria Math" w:hAnsi="Cambria Math"/>
                  <w:i/>
                  <w:sz w:val="24"/>
                  <w:szCs w:val="24"/>
                </w:rPr>
              </m:ctrlPr>
            </m:sSubPr>
            <m:e>
              <m:r>
                <m:rPr/>
                <w:rPr>
                  <w:rFonts w:ascii="Cambria Math" w:hAnsi="Cambria Math"/>
                  <w:sz w:val="24"/>
                  <w:szCs w:val="24"/>
                </w:rPr>
                <m:t>L</m:t>
              </m:r>
              <m:ctrlPr>
                <w:rPr>
                  <w:rFonts w:ascii="Cambria Math" w:hAnsi="Cambria Math"/>
                  <w:i/>
                  <w:sz w:val="24"/>
                  <w:szCs w:val="24"/>
                </w:rPr>
              </m:ctrlPr>
            </m:e>
            <m:sub>
              <m:r>
                <m:rPr/>
                <w:rPr>
                  <w:rFonts w:ascii="Cambria Math" w:hAnsi="Cambria Math"/>
                  <w:sz w:val="24"/>
                  <w:szCs w:val="24"/>
                </w:rPr>
                <m:t>p</m:t>
              </m:r>
              <m:ctrlPr>
                <w:rPr>
                  <w:rFonts w:ascii="Cambria Math" w:hAnsi="Cambria Math"/>
                  <w:i/>
                  <w:sz w:val="24"/>
                  <w:szCs w:val="24"/>
                </w:rPr>
              </m:ctrlPr>
            </m:sub>
          </m:sSub>
          <m:d>
            <m:dPr>
              <m:ctrlPr>
                <w:rPr>
                  <w:rFonts w:ascii="Cambria Math" w:hAnsi="Cambria Math"/>
                  <w:i/>
                  <w:sz w:val="24"/>
                  <w:szCs w:val="24"/>
                </w:rPr>
              </m:ctrlPr>
            </m:dPr>
            <m:e>
              <m:sSub>
                <m:sSubPr>
                  <m:ctrlPr>
                    <w:rPr>
                      <w:rFonts w:ascii="Cambria Math" w:hAnsi="Cambria Math"/>
                      <w:i/>
                      <w:sz w:val="24"/>
                      <w:szCs w:val="24"/>
                    </w:rPr>
                  </m:ctrlPr>
                </m:sSubPr>
                <m:e>
                  <m:r>
                    <m:rPr/>
                    <w:rPr>
                      <w:rFonts w:ascii="Cambria Math" w:hAnsi="Cambria Math"/>
                      <w:sz w:val="24"/>
                      <w:szCs w:val="24"/>
                    </w:rPr>
                    <m:t>r</m:t>
                  </m:r>
                  <m:ctrlPr>
                    <w:rPr>
                      <w:rFonts w:ascii="Cambria Math" w:hAnsi="Cambria Math"/>
                      <w:i/>
                      <w:sz w:val="24"/>
                      <w:szCs w:val="24"/>
                    </w:rPr>
                  </m:ctrlPr>
                </m:e>
                <m:sub>
                  <m:r>
                    <m:rPr/>
                    <w:rPr>
                      <w:rFonts w:ascii="Cambria Math" w:hAnsi="Cambria Math"/>
                      <w:sz w:val="24"/>
                      <w:szCs w:val="24"/>
                    </w:rPr>
                    <m:t>0</m:t>
                  </m:r>
                  <m:ctrlPr>
                    <w:rPr>
                      <w:rFonts w:ascii="Cambria Math" w:hAnsi="Cambria Math"/>
                      <w:i/>
                      <w:sz w:val="24"/>
                      <w:szCs w:val="24"/>
                    </w:rPr>
                  </m:ctrlPr>
                </m:sub>
              </m:sSub>
              <m:ctrlPr>
                <w:rPr>
                  <w:rFonts w:ascii="Cambria Math" w:hAnsi="Cambria Math"/>
                  <w:i/>
                  <w:sz w:val="24"/>
                  <w:szCs w:val="24"/>
                </w:rPr>
              </m:ctrlPr>
            </m:e>
          </m:d>
          <m:r>
            <m:rPr/>
            <w:rPr>
              <w:rFonts w:ascii="Cambria Math" w:hAnsi="Cambria Math"/>
              <w:sz w:val="24"/>
              <w:szCs w:val="24"/>
            </w:rPr>
            <m:t>+</m:t>
          </m:r>
          <m:sSub>
            <m:sSubPr>
              <m:ctrlPr>
                <w:rPr>
                  <w:rFonts w:ascii="Cambria Math" w:hAnsi="Cambria Math"/>
                  <w:i/>
                  <w:sz w:val="24"/>
                  <w:szCs w:val="24"/>
                </w:rPr>
              </m:ctrlPr>
            </m:sSubPr>
            <m:e>
              <m:r>
                <m:rPr/>
                <w:rPr>
                  <w:rFonts w:ascii="Cambria Math" w:hAnsi="Cambria Math"/>
                  <w:sz w:val="24"/>
                  <w:szCs w:val="24"/>
                </w:rPr>
                <m:t>D</m:t>
              </m:r>
              <m:ctrlPr>
                <w:rPr>
                  <w:rFonts w:ascii="Cambria Math" w:hAnsi="Cambria Math"/>
                  <w:i/>
                  <w:sz w:val="24"/>
                  <w:szCs w:val="24"/>
                </w:rPr>
              </m:ctrlPr>
            </m:e>
            <m:sub>
              <m:r>
                <m:rPr/>
                <w:rPr>
                  <w:rFonts w:ascii="Cambria Math" w:hAnsi="Cambria Math"/>
                  <w:sz w:val="24"/>
                  <w:szCs w:val="24"/>
                </w:rPr>
                <m:t>C</m:t>
              </m:r>
              <m:ctrlPr>
                <w:rPr>
                  <w:rFonts w:ascii="Cambria Math" w:hAnsi="Cambria Math"/>
                  <w:i/>
                  <w:sz w:val="24"/>
                  <w:szCs w:val="24"/>
                </w:rPr>
              </m:ctrlPr>
            </m:sub>
          </m:sSub>
          <m:r>
            <m:rPr/>
            <w:rPr>
              <w:rFonts w:ascii="Cambria Math" w:hAnsi="Cambria Math"/>
              <w:sz w:val="24"/>
              <w:szCs w:val="24"/>
            </w:rPr>
            <m:t>−</m:t>
          </m:r>
          <m:d>
            <m:dPr>
              <m:ctrlPr>
                <w:rPr>
                  <w:rFonts w:ascii="Cambria Math" w:hAnsi="Cambria Math"/>
                  <w:i/>
                  <w:sz w:val="24"/>
                  <w:szCs w:val="24"/>
                </w:rPr>
              </m:ctrlPr>
            </m:dPr>
            <m:e>
              <m:sSub>
                <m:sSubPr>
                  <m:ctrlPr>
                    <w:rPr>
                      <w:rFonts w:ascii="Cambria Math" w:hAnsi="Cambria Math"/>
                      <w:i/>
                      <w:sz w:val="24"/>
                      <w:szCs w:val="24"/>
                    </w:rPr>
                  </m:ctrlPr>
                </m:sSubPr>
                <m:e>
                  <m:r>
                    <m:rPr/>
                    <w:rPr>
                      <w:rFonts w:ascii="Cambria Math" w:hAnsi="Cambria Math"/>
                      <w:sz w:val="24"/>
                      <w:szCs w:val="24"/>
                    </w:rPr>
                    <m:t>A</m:t>
                  </m:r>
                  <m:ctrlPr>
                    <w:rPr>
                      <w:rFonts w:ascii="Cambria Math" w:hAnsi="Cambria Math"/>
                      <w:i/>
                      <w:sz w:val="24"/>
                      <w:szCs w:val="24"/>
                    </w:rPr>
                  </m:ctrlPr>
                </m:e>
                <m:sub>
                  <m:r>
                    <m:rPr/>
                    <w:rPr>
                      <w:rFonts w:ascii="Cambria Math" w:hAnsi="Cambria Math"/>
                      <w:sz w:val="24"/>
                      <w:szCs w:val="24"/>
                    </w:rPr>
                    <m:t>div</m:t>
                  </m:r>
                  <m:ctrlPr>
                    <w:rPr>
                      <w:rFonts w:ascii="Cambria Math" w:hAnsi="Cambria Math"/>
                      <w:i/>
                      <w:sz w:val="24"/>
                      <w:szCs w:val="24"/>
                    </w:rPr>
                  </m:ctrlPr>
                </m:sub>
              </m:sSub>
              <m:r>
                <m:rPr/>
                <w:rPr>
                  <w:rFonts w:ascii="Cambria Math" w:hAnsi="Cambria Math"/>
                  <w:sz w:val="24"/>
                  <w:szCs w:val="24"/>
                </w:rPr>
                <m:t>+</m:t>
              </m:r>
              <m:sSub>
                <m:sSubPr>
                  <m:ctrlPr>
                    <w:rPr>
                      <w:rFonts w:ascii="Cambria Math" w:hAnsi="Cambria Math"/>
                      <w:i/>
                      <w:sz w:val="24"/>
                      <w:szCs w:val="24"/>
                    </w:rPr>
                  </m:ctrlPr>
                </m:sSubPr>
                <m:e>
                  <m:r>
                    <m:rPr/>
                    <w:rPr>
                      <w:rFonts w:ascii="Cambria Math" w:hAnsi="Cambria Math"/>
                      <w:sz w:val="24"/>
                      <w:szCs w:val="24"/>
                    </w:rPr>
                    <m:t>A</m:t>
                  </m:r>
                  <m:ctrlPr>
                    <w:rPr>
                      <w:rFonts w:ascii="Cambria Math" w:hAnsi="Cambria Math"/>
                      <w:i/>
                      <w:sz w:val="24"/>
                      <w:szCs w:val="24"/>
                    </w:rPr>
                  </m:ctrlPr>
                </m:e>
                <m:sub>
                  <m:r>
                    <m:rPr/>
                    <w:rPr>
                      <w:rFonts w:ascii="Cambria Math" w:hAnsi="Cambria Math"/>
                      <w:sz w:val="24"/>
                      <w:szCs w:val="24"/>
                    </w:rPr>
                    <m:t>atm</m:t>
                  </m:r>
                  <m:ctrlPr>
                    <w:rPr>
                      <w:rFonts w:ascii="Cambria Math" w:hAnsi="Cambria Math"/>
                      <w:i/>
                      <w:sz w:val="24"/>
                      <w:szCs w:val="24"/>
                    </w:rPr>
                  </m:ctrlPr>
                </m:sub>
              </m:sSub>
              <m:r>
                <m:rPr/>
                <w:rPr>
                  <w:rFonts w:ascii="Cambria Math" w:hAnsi="Cambria Math"/>
                  <w:sz w:val="24"/>
                  <w:szCs w:val="24"/>
                </w:rPr>
                <m:t>+</m:t>
              </m:r>
              <m:sSub>
                <m:sSubPr>
                  <m:ctrlPr>
                    <w:rPr>
                      <w:rFonts w:ascii="Cambria Math" w:hAnsi="Cambria Math"/>
                      <w:i/>
                      <w:sz w:val="24"/>
                      <w:szCs w:val="24"/>
                    </w:rPr>
                  </m:ctrlPr>
                </m:sSubPr>
                <m:e>
                  <m:r>
                    <m:rPr/>
                    <w:rPr>
                      <w:rFonts w:ascii="Cambria Math" w:hAnsi="Cambria Math"/>
                      <w:sz w:val="24"/>
                      <w:szCs w:val="24"/>
                    </w:rPr>
                    <m:t>A</m:t>
                  </m:r>
                  <m:ctrlPr>
                    <w:rPr>
                      <w:rFonts w:ascii="Cambria Math" w:hAnsi="Cambria Math"/>
                      <w:i/>
                      <w:sz w:val="24"/>
                      <w:szCs w:val="24"/>
                    </w:rPr>
                  </m:ctrlPr>
                </m:e>
                <m:sub>
                  <m:r>
                    <m:rPr/>
                    <w:rPr>
                      <w:rFonts w:ascii="Cambria Math" w:hAnsi="Cambria Math"/>
                      <w:sz w:val="24"/>
                      <w:szCs w:val="24"/>
                    </w:rPr>
                    <m:t>ag</m:t>
                  </m:r>
                  <m:ctrlPr>
                    <w:rPr>
                      <w:rFonts w:ascii="Cambria Math" w:hAnsi="Cambria Math"/>
                      <w:i/>
                      <w:sz w:val="24"/>
                      <w:szCs w:val="24"/>
                    </w:rPr>
                  </m:ctrlPr>
                </m:sub>
              </m:sSub>
              <m:r>
                <m:rPr/>
                <w:rPr>
                  <w:rFonts w:ascii="Cambria Math" w:hAnsi="Cambria Math"/>
                  <w:sz w:val="24"/>
                  <w:szCs w:val="24"/>
                </w:rPr>
                <m:t>+</m:t>
              </m:r>
              <m:sSub>
                <m:sSubPr>
                  <m:ctrlPr>
                    <w:rPr>
                      <w:rFonts w:ascii="Cambria Math" w:hAnsi="Cambria Math"/>
                      <w:i/>
                      <w:sz w:val="24"/>
                      <w:szCs w:val="24"/>
                    </w:rPr>
                  </m:ctrlPr>
                </m:sSubPr>
                <m:e>
                  <m:r>
                    <m:rPr/>
                    <w:rPr>
                      <w:rFonts w:ascii="Cambria Math" w:hAnsi="Cambria Math"/>
                      <w:sz w:val="24"/>
                      <w:szCs w:val="24"/>
                    </w:rPr>
                    <m:t>A</m:t>
                  </m:r>
                  <m:ctrlPr>
                    <w:rPr>
                      <w:rFonts w:ascii="Cambria Math" w:hAnsi="Cambria Math"/>
                      <w:i/>
                      <w:sz w:val="24"/>
                      <w:szCs w:val="24"/>
                    </w:rPr>
                  </m:ctrlPr>
                </m:e>
                <m:sub>
                  <m:r>
                    <m:rPr/>
                    <w:rPr>
                      <w:rFonts w:ascii="Cambria Math" w:hAnsi="Cambria Math"/>
                      <w:sz w:val="24"/>
                      <w:szCs w:val="24"/>
                    </w:rPr>
                    <m:t>bar</m:t>
                  </m:r>
                  <m:ctrlPr>
                    <w:rPr>
                      <w:rFonts w:ascii="Cambria Math" w:hAnsi="Cambria Math"/>
                      <w:i/>
                      <w:sz w:val="24"/>
                      <w:szCs w:val="24"/>
                    </w:rPr>
                  </m:ctrlPr>
                </m:sub>
              </m:sSub>
              <m:r>
                <m:rPr/>
                <w:rPr>
                  <w:rFonts w:ascii="Cambria Math" w:hAnsi="Cambria Math"/>
                  <w:sz w:val="24"/>
                  <w:szCs w:val="24"/>
                </w:rPr>
                <m:t>+</m:t>
              </m:r>
              <m:sSub>
                <m:sSubPr>
                  <m:ctrlPr>
                    <w:rPr>
                      <w:rFonts w:ascii="Cambria Math" w:hAnsi="Cambria Math"/>
                      <w:i/>
                      <w:sz w:val="24"/>
                      <w:szCs w:val="24"/>
                    </w:rPr>
                  </m:ctrlPr>
                </m:sSubPr>
                <m:e>
                  <m:r>
                    <m:rPr/>
                    <w:rPr>
                      <w:rFonts w:ascii="Cambria Math" w:hAnsi="Cambria Math"/>
                      <w:sz w:val="24"/>
                      <w:szCs w:val="24"/>
                    </w:rPr>
                    <m:t>A</m:t>
                  </m:r>
                  <m:ctrlPr>
                    <w:rPr>
                      <w:rFonts w:ascii="Cambria Math" w:hAnsi="Cambria Math"/>
                      <w:i/>
                      <w:sz w:val="24"/>
                      <w:szCs w:val="24"/>
                    </w:rPr>
                  </m:ctrlPr>
                </m:e>
                <m:sub>
                  <m:r>
                    <m:rPr/>
                    <w:rPr>
                      <w:rFonts w:ascii="Cambria Math" w:hAnsi="Cambria Math"/>
                      <w:sz w:val="24"/>
                      <w:szCs w:val="24"/>
                    </w:rPr>
                    <m:t>misc</m:t>
                  </m:r>
                  <m:ctrlPr>
                    <w:rPr>
                      <w:rFonts w:ascii="Cambria Math" w:hAnsi="Cambria Math"/>
                      <w:i/>
                      <w:sz w:val="24"/>
                      <w:szCs w:val="24"/>
                    </w:rPr>
                  </m:ctrlPr>
                </m:sub>
              </m:sSub>
              <m:ctrlPr>
                <w:rPr>
                  <w:rFonts w:ascii="Cambria Math" w:hAnsi="Cambria Math"/>
                  <w:i/>
                  <w:sz w:val="24"/>
                  <w:szCs w:val="24"/>
                </w:rPr>
              </m:ctrlPr>
            </m:e>
          </m:d>
        </m:oMath>
      </m:oMathPara>
    </w:p>
    <w:p w14:paraId="7F62BE0B">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式中：</w:t>
      </w:r>
    </w:p>
    <w:p w14:paraId="0A21969F">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L</w:t>
      </w:r>
      <w:r>
        <w:rPr>
          <w:rFonts w:ascii="Times New Roman" w:hAnsi="Times New Roman"/>
          <w:spacing w:val="-2"/>
          <w:kern w:val="0"/>
          <w:sz w:val="24"/>
          <w:szCs w:val="24"/>
          <w:vertAlign w:val="subscript"/>
        </w:rPr>
        <w:t>p</w:t>
      </w:r>
      <w:r>
        <w:rPr>
          <w:rFonts w:ascii="Times New Roman" w:hAnsi="Times New Roman"/>
          <w:spacing w:val="-2"/>
          <w:kern w:val="0"/>
          <w:sz w:val="24"/>
          <w:szCs w:val="24"/>
        </w:rPr>
        <w:t xml:space="preserve">(r) ——预测点处声压级，dB； </w:t>
      </w:r>
    </w:p>
    <w:p w14:paraId="459C1785">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L</w:t>
      </w:r>
      <w:r>
        <w:rPr>
          <w:rFonts w:ascii="Times New Roman" w:hAnsi="Times New Roman"/>
          <w:spacing w:val="-2"/>
          <w:kern w:val="0"/>
          <w:sz w:val="24"/>
          <w:szCs w:val="24"/>
          <w:vertAlign w:val="subscript"/>
        </w:rPr>
        <w:t>p</w:t>
      </w:r>
      <w:r>
        <w:rPr>
          <w:rFonts w:ascii="Times New Roman" w:hAnsi="Times New Roman"/>
          <w:spacing w:val="-2"/>
          <w:kern w:val="0"/>
          <w:sz w:val="24"/>
          <w:szCs w:val="24"/>
        </w:rPr>
        <w:t>(r</w:t>
      </w:r>
      <w:r>
        <w:rPr>
          <w:rFonts w:ascii="Times New Roman" w:hAnsi="Times New Roman"/>
          <w:spacing w:val="-2"/>
          <w:kern w:val="0"/>
          <w:sz w:val="24"/>
          <w:szCs w:val="24"/>
          <w:vertAlign w:val="subscript"/>
        </w:rPr>
        <w:t>0</w:t>
      </w:r>
      <w:r>
        <w:rPr>
          <w:rFonts w:ascii="Times New Roman" w:hAnsi="Times New Roman"/>
          <w:spacing w:val="-2"/>
          <w:kern w:val="0"/>
          <w:sz w:val="24"/>
          <w:szCs w:val="24"/>
        </w:rPr>
        <w:t>) ——参考位置r</w:t>
      </w:r>
      <w:r>
        <w:rPr>
          <w:rFonts w:ascii="Times New Roman" w:hAnsi="Times New Roman"/>
          <w:spacing w:val="-2"/>
          <w:kern w:val="0"/>
          <w:sz w:val="24"/>
          <w:szCs w:val="24"/>
          <w:vertAlign w:val="subscript"/>
        </w:rPr>
        <w:t>0</w:t>
      </w:r>
      <w:r>
        <w:rPr>
          <w:rFonts w:ascii="Times New Roman" w:hAnsi="Times New Roman"/>
          <w:spacing w:val="-2"/>
          <w:kern w:val="0"/>
          <w:sz w:val="24"/>
          <w:szCs w:val="24"/>
        </w:rPr>
        <w:t xml:space="preserve">处的声压级，dB； </w:t>
      </w:r>
    </w:p>
    <w:p w14:paraId="103F2748">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D</w:t>
      </w:r>
      <w:r>
        <w:rPr>
          <w:rFonts w:ascii="Times New Roman" w:hAnsi="Times New Roman"/>
          <w:spacing w:val="-2"/>
          <w:kern w:val="0"/>
          <w:sz w:val="24"/>
          <w:szCs w:val="24"/>
          <w:vertAlign w:val="subscript"/>
        </w:rPr>
        <w:t>C</w:t>
      </w:r>
      <w:r>
        <w:rPr>
          <w:rFonts w:ascii="Times New Roman" w:hAnsi="Times New Roman"/>
          <w:spacing w:val="-2"/>
          <w:kern w:val="0"/>
          <w:sz w:val="24"/>
          <w:szCs w:val="24"/>
        </w:rPr>
        <w:t xml:space="preserve"> ——指向性校正，它描述点声源的等效连续声压级与产生声功率级L</w:t>
      </w:r>
      <w:r>
        <w:rPr>
          <w:rFonts w:ascii="Times New Roman" w:hAnsi="Times New Roman"/>
          <w:spacing w:val="-2"/>
          <w:kern w:val="0"/>
          <w:sz w:val="24"/>
          <w:szCs w:val="24"/>
          <w:vertAlign w:val="subscript"/>
        </w:rPr>
        <w:t>w</w:t>
      </w:r>
      <w:r>
        <w:rPr>
          <w:rFonts w:ascii="Times New Roman" w:hAnsi="Times New Roman"/>
          <w:spacing w:val="-2"/>
          <w:kern w:val="0"/>
          <w:sz w:val="24"/>
          <w:szCs w:val="24"/>
        </w:rPr>
        <w:t xml:space="preserve">的全向点声源在规定方向的声级的偏差程度，dB； </w:t>
      </w:r>
    </w:p>
    <w:p w14:paraId="61D2A017">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A</w:t>
      </w:r>
      <w:r>
        <w:rPr>
          <w:rFonts w:ascii="Times New Roman" w:hAnsi="Times New Roman"/>
          <w:spacing w:val="-2"/>
          <w:kern w:val="0"/>
          <w:sz w:val="24"/>
          <w:szCs w:val="24"/>
          <w:vertAlign w:val="subscript"/>
        </w:rPr>
        <w:t>div</w:t>
      </w:r>
      <w:r>
        <w:rPr>
          <w:rFonts w:ascii="Times New Roman" w:hAnsi="Times New Roman"/>
          <w:spacing w:val="-2"/>
          <w:kern w:val="0"/>
          <w:sz w:val="24"/>
          <w:szCs w:val="24"/>
        </w:rPr>
        <w:t xml:space="preserve"> ——几何发散引起的衰减，dB； </w:t>
      </w:r>
    </w:p>
    <w:p w14:paraId="68546F44">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A</w:t>
      </w:r>
      <w:r>
        <w:rPr>
          <w:rFonts w:ascii="Times New Roman" w:hAnsi="Times New Roman"/>
          <w:spacing w:val="-2"/>
          <w:kern w:val="0"/>
          <w:sz w:val="24"/>
          <w:szCs w:val="24"/>
          <w:vertAlign w:val="subscript"/>
        </w:rPr>
        <w:t>atm</w:t>
      </w:r>
      <w:r>
        <w:rPr>
          <w:rFonts w:ascii="Times New Roman" w:hAnsi="Times New Roman"/>
          <w:spacing w:val="-2"/>
          <w:kern w:val="0"/>
          <w:sz w:val="24"/>
          <w:szCs w:val="24"/>
        </w:rPr>
        <w:t xml:space="preserve"> ——大气吸收引起的衰减，dB； </w:t>
      </w:r>
    </w:p>
    <w:p w14:paraId="0A3D668A">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A</w:t>
      </w:r>
      <w:r>
        <w:rPr>
          <w:rFonts w:ascii="Times New Roman" w:hAnsi="Times New Roman"/>
          <w:spacing w:val="-2"/>
          <w:kern w:val="0"/>
          <w:sz w:val="24"/>
          <w:szCs w:val="24"/>
          <w:vertAlign w:val="subscript"/>
        </w:rPr>
        <w:t>gr</w:t>
      </w:r>
      <w:r>
        <w:rPr>
          <w:rFonts w:ascii="Times New Roman" w:hAnsi="Times New Roman"/>
          <w:spacing w:val="-2"/>
          <w:kern w:val="0"/>
          <w:sz w:val="24"/>
          <w:szCs w:val="24"/>
        </w:rPr>
        <w:t xml:space="preserve"> ——地面效应引起的衰减，dB； </w:t>
      </w:r>
    </w:p>
    <w:p w14:paraId="70935FA5">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A</w:t>
      </w:r>
      <w:r>
        <w:rPr>
          <w:rFonts w:ascii="Times New Roman" w:hAnsi="Times New Roman"/>
          <w:spacing w:val="-2"/>
          <w:kern w:val="0"/>
          <w:sz w:val="24"/>
          <w:szCs w:val="24"/>
          <w:vertAlign w:val="subscript"/>
        </w:rPr>
        <w:t>bar</w:t>
      </w:r>
      <w:r>
        <w:rPr>
          <w:rFonts w:ascii="Times New Roman" w:hAnsi="Times New Roman"/>
          <w:spacing w:val="-2"/>
          <w:kern w:val="0"/>
          <w:sz w:val="24"/>
          <w:szCs w:val="24"/>
        </w:rPr>
        <w:t xml:space="preserve"> ——障碍物屏蔽引起的衰减，dB； </w:t>
      </w:r>
    </w:p>
    <w:p w14:paraId="60C940E3">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A</w:t>
      </w:r>
      <w:r>
        <w:rPr>
          <w:rFonts w:ascii="Times New Roman" w:hAnsi="Times New Roman"/>
          <w:spacing w:val="-2"/>
          <w:kern w:val="0"/>
          <w:sz w:val="24"/>
          <w:szCs w:val="24"/>
          <w:vertAlign w:val="subscript"/>
        </w:rPr>
        <w:t>misc</w:t>
      </w:r>
      <w:r>
        <w:rPr>
          <w:rFonts w:ascii="Times New Roman" w:hAnsi="Times New Roman"/>
          <w:spacing w:val="-2"/>
          <w:kern w:val="0"/>
          <w:sz w:val="24"/>
          <w:szCs w:val="24"/>
        </w:rPr>
        <w:t xml:space="preserve"> ——其他多方面效应引起的衰减，dB。</w:t>
      </w:r>
    </w:p>
    <w:p w14:paraId="23CB3FB9">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B）预测点的A声级L</w:t>
      </w:r>
      <w:r>
        <w:rPr>
          <w:rFonts w:ascii="Times New Roman" w:hAnsi="Times New Roman"/>
          <w:spacing w:val="-2"/>
          <w:kern w:val="0"/>
          <w:sz w:val="24"/>
          <w:szCs w:val="24"/>
          <w:vertAlign w:val="subscript"/>
        </w:rPr>
        <w:t>A</w:t>
      </w:r>
      <w:r>
        <w:rPr>
          <w:rFonts w:ascii="Times New Roman" w:hAnsi="Times New Roman"/>
          <w:spacing w:val="-2"/>
          <w:kern w:val="0"/>
          <w:sz w:val="24"/>
          <w:szCs w:val="24"/>
        </w:rPr>
        <w:t>(r)可按下式计算，即将8个倍频带声压级合成，计算出预测点的A声级[L</w:t>
      </w:r>
      <w:r>
        <w:rPr>
          <w:rFonts w:ascii="Times New Roman" w:hAnsi="Times New Roman"/>
          <w:spacing w:val="-2"/>
          <w:kern w:val="0"/>
          <w:sz w:val="24"/>
          <w:szCs w:val="24"/>
          <w:vertAlign w:val="subscript"/>
        </w:rPr>
        <w:t>A</w:t>
      </w:r>
      <w:r>
        <w:rPr>
          <w:rFonts w:ascii="Times New Roman" w:hAnsi="Times New Roman"/>
          <w:spacing w:val="-2"/>
          <w:kern w:val="0"/>
          <w:sz w:val="24"/>
          <w:szCs w:val="24"/>
        </w:rPr>
        <w:t>(r)]。</w:t>
      </w:r>
    </w:p>
    <w:p w14:paraId="47586E54">
      <w:pPr>
        <w:spacing w:line="360" w:lineRule="auto"/>
        <w:ind w:firstLine="480" w:firstLineChars="200"/>
        <w:jc w:val="center"/>
        <w:rPr>
          <w:rFonts w:ascii="Times New Roman" w:hAnsi="Times New Roman"/>
          <w:sz w:val="24"/>
          <w:szCs w:val="24"/>
        </w:rPr>
      </w:pPr>
      <m:oMathPara>
        <m:oMath>
          <m:sSub>
            <m:sSubPr>
              <m:ctrlPr>
                <w:rPr>
                  <w:rFonts w:ascii="Cambria Math" w:hAnsi="Cambria Math"/>
                  <w:i/>
                  <w:sz w:val="24"/>
                  <w:szCs w:val="24"/>
                </w:rPr>
              </m:ctrlPr>
            </m:sSubPr>
            <m:e>
              <m:r>
                <m:rPr/>
                <w:rPr>
                  <w:rFonts w:ascii="Cambria Math" w:hAnsi="Cambria Math"/>
                  <w:sz w:val="24"/>
                  <w:szCs w:val="24"/>
                </w:rPr>
                <m:t>L</m:t>
              </m:r>
              <m:ctrlPr>
                <w:rPr>
                  <w:rFonts w:ascii="Cambria Math" w:hAnsi="Cambria Math"/>
                  <w:i/>
                  <w:sz w:val="24"/>
                  <w:szCs w:val="24"/>
                </w:rPr>
              </m:ctrlPr>
            </m:e>
            <m:sub>
              <m:r>
                <m:rPr/>
                <w:rPr>
                  <w:rFonts w:ascii="Cambria Math" w:hAnsi="Cambria Math"/>
                  <w:sz w:val="24"/>
                  <w:szCs w:val="24"/>
                </w:rPr>
                <m:t>A</m:t>
              </m:r>
              <m:ctrlPr>
                <w:rPr>
                  <w:rFonts w:ascii="Cambria Math" w:hAnsi="Cambria Math"/>
                  <w:i/>
                  <w:sz w:val="24"/>
                  <w:szCs w:val="24"/>
                </w:rPr>
              </m:ctrlPr>
            </m:sub>
          </m:sSub>
          <m:d>
            <m:dPr>
              <m:ctrlPr>
                <w:rPr>
                  <w:rFonts w:ascii="Cambria Math" w:hAnsi="Cambria Math"/>
                  <w:i/>
                  <w:sz w:val="24"/>
                  <w:szCs w:val="24"/>
                </w:rPr>
              </m:ctrlPr>
            </m:dPr>
            <m:e>
              <m:r>
                <m:rPr/>
                <w:rPr>
                  <w:rFonts w:ascii="Cambria Math" w:hAnsi="Cambria Math"/>
                  <w:sz w:val="24"/>
                  <w:szCs w:val="24"/>
                </w:rPr>
                <m:t>r</m:t>
              </m:r>
              <m:ctrlPr>
                <w:rPr>
                  <w:rFonts w:ascii="Cambria Math" w:hAnsi="Cambria Math"/>
                  <w:i/>
                  <w:sz w:val="24"/>
                  <w:szCs w:val="24"/>
                </w:rPr>
              </m:ctrlPr>
            </m:e>
          </m:d>
          <m:r>
            <m:rPr/>
            <w:rPr>
              <w:rFonts w:ascii="Cambria Math" w:hAnsi="Cambria Math"/>
              <w:sz w:val="24"/>
              <w:szCs w:val="24"/>
            </w:rPr>
            <m:t>=10lg</m:t>
          </m:r>
          <m:d>
            <m:dPr>
              <m:begChr m:val="{"/>
              <m:endChr m:val="}"/>
              <m:ctrlPr>
                <w:rPr>
                  <w:rFonts w:ascii="Cambria Math" w:hAnsi="Cambria Math"/>
                  <w:i/>
                  <w:sz w:val="24"/>
                  <w:szCs w:val="24"/>
                </w:rPr>
              </m:ctrlPr>
            </m:dPr>
            <m:e>
              <m:nary>
                <m:naryPr>
                  <m:chr m:val="∑"/>
                  <m:limLoc m:val="undOvr"/>
                  <m:ctrlPr>
                    <w:rPr>
                      <w:rFonts w:ascii="Cambria Math" w:hAnsi="Cambria Math"/>
                      <w:i/>
                      <w:sz w:val="24"/>
                      <w:szCs w:val="24"/>
                    </w:rPr>
                  </m:ctrlPr>
                </m:naryPr>
                <m:sub>
                  <m:r>
                    <m:rPr/>
                    <w:rPr>
                      <w:rFonts w:ascii="Cambria Math" w:hAnsi="Cambria Math"/>
                      <w:sz w:val="24"/>
                      <w:szCs w:val="24"/>
                    </w:rPr>
                    <m:t>i=1</m:t>
                  </m:r>
                  <m:ctrlPr>
                    <w:rPr>
                      <w:rFonts w:ascii="Cambria Math" w:hAnsi="Cambria Math"/>
                      <w:i/>
                      <w:sz w:val="24"/>
                      <w:szCs w:val="24"/>
                    </w:rPr>
                  </m:ctrlPr>
                </m:sub>
                <m:sup>
                  <m:r>
                    <m:rPr/>
                    <w:rPr>
                      <w:rFonts w:ascii="Cambria Math" w:hAnsi="Cambria Math"/>
                      <w:sz w:val="24"/>
                      <w:szCs w:val="24"/>
                    </w:rPr>
                    <m:t>8</m:t>
                  </m:r>
                  <m:ctrlPr>
                    <w:rPr>
                      <w:rFonts w:ascii="Cambria Math" w:hAnsi="Cambria Math"/>
                      <w:i/>
                      <w:sz w:val="24"/>
                      <w:szCs w:val="24"/>
                    </w:rPr>
                  </m:ctrlPr>
                </m:sup>
                <m:e>
                  <m:sSup>
                    <m:sSupPr>
                      <m:ctrlPr>
                        <w:rPr>
                          <w:rFonts w:ascii="Cambria Math" w:hAnsi="Cambria Math"/>
                          <w:i/>
                          <w:sz w:val="24"/>
                          <w:szCs w:val="24"/>
                        </w:rPr>
                      </m:ctrlPr>
                    </m:sSupPr>
                    <m:e>
                      <m:r>
                        <m:rPr/>
                        <w:rPr>
                          <w:rFonts w:ascii="Cambria Math" w:hAnsi="Cambria Math"/>
                          <w:sz w:val="24"/>
                          <w:szCs w:val="24"/>
                        </w:rPr>
                        <m:t>10</m:t>
                      </m:r>
                      <m:ctrlPr>
                        <w:rPr>
                          <w:rFonts w:ascii="Cambria Math" w:hAnsi="Cambria Math"/>
                          <w:i/>
                          <w:sz w:val="24"/>
                          <w:szCs w:val="24"/>
                        </w:rPr>
                      </m:ctrlPr>
                    </m:e>
                    <m:sup>
                      <m:r>
                        <m:rPr/>
                        <w:rPr>
                          <w:rFonts w:ascii="Cambria Math" w:hAnsi="Cambria Math"/>
                          <w:sz w:val="24"/>
                          <w:szCs w:val="24"/>
                        </w:rPr>
                        <m:t>0.1</m:t>
                      </m:r>
                      <m:d>
                        <m:dPr>
                          <m:begChr m:val="["/>
                          <m:endChr m:val="]"/>
                          <m:ctrlPr>
                            <w:rPr>
                              <w:rFonts w:ascii="Cambria Math" w:hAnsi="Cambria Math"/>
                              <w:i/>
                              <w:sz w:val="24"/>
                              <w:szCs w:val="24"/>
                            </w:rPr>
                          </m:ctrlPr>
                        </m:dPr>
                        <m:e>
                          <m:sSub>
                            <m:sSubPr>
                              <m:ctrlPr>
                                <w:rPr>
                                  <w:rFonts w:ascii="Cambria Math" w:hAnsi="Cambria Math"/>
                                  <w:i/>
                                  <w:sz w:val="24"/>
                                  <w:szCs w:val="24"/>
                                </w:rPr>
                              </m:ctrlPr>
                            </m:sSubPr>
                            <m:e>
                              <m:r>
                                <m:rPr/>
                                <w:rPr>
                                  <w:rFonts w:ascii="Cambria Math" w:hAnsi="Cambria Math"/>
                                  <w:sz w:val="24"/>
                                  <w:szCs w:val="24"/>
                                </w:rPr>
                                <m:t>L</m:t>
                              </m:r>
                              <m:ctrlPr>
                                <w:rPr>
                                  <w:rFonts w:ascii="Cambria Math" w:hAnsi="Cambria Math"/>
                                  <w:i/>
                                  <w:sz w:val="24"/>
                                  <w:szCs w:val="24"/>
                                </w:rPr>
                              </m:ctrlPr>
                            </m:e>
                            <m:sub>
                              <m:r>
                                <m:rPr/>
                                <w:rPr>
                                  <w:rFonts w:ascii="Cambria Math" w:hAnsi="Cambria Math"/>
                                  <w:sz w:val="24"/>
                                  <w:szCs w:val="24"/>
                                </w:rPr>
                                <m:t>pi</m:t>
                              </m:r>
                              <m:ctrlPr>
                                <w:rPr>
                                  <w:rFonts w:ascii="Cambria Math" w:hAnsi="Cambria Math"/>
                                  <w:i/>
                                  <w:sz w:val="24"/>
                                  <w:szCs w:val="24"/>
                                </w:rPr>
                              </m:ctrlPr>
                            </m:sub>
                          </m:sSub>
                          <m:d>
                            <m:dPr>
                              <m:ctrlPr>
                                <w:rPr>
                                  <w:rFonts w:ascii="Cambria Math" w:hAnsi="Cambria Math"/>
                                  <w:i/>
                                  <w:sz w:val="24"/>
                                  <w:szCs w:val="24"/>
                                </w:rPr>
                              </m:ctrlPr>
                            </m:dPr>
                            <m:e>
                              <m:r>
                                <m:rPr/>
                                <w:rPr>
                                  <w:rFonts w:ascii="Cambria Math" w:hAnsi="Cambria Math"/>
                                  <w:sz w:val="24"/>
                                  <w:szCs w:val="24"/>
                                </w:rPr>
                                <m:t>r</m:t>
                              </m:r>
                              <m:ctrlPr>
                                <w:rPr>
                                  <w:rFonts w:ascii="Cambria Math" w:hAnsi="Cambria Math"/>
                                  <w:i/>
                                  <w:sz w:val="24"/>
                                  <w:szCs w:val="24"/>
                                </w:rPr>
                              </m:ctrlPr>
                            </m:e>
                          </m:d>
                          <m:r>
                            <m:rPr/>
                            <w:rPr>
                              <w:rFonts w:ascii="Cambria Math" w:hAnsi="Cambria Math"/>
                              <w:sz w:val="24"/>
                              <w:szCs w:val="24"/>
                            </w:rPr>
                            <m:t>−∆</m:t>
                          </m:r>
                          <m:sSub>
                            <m:sSubPr>
                              <m:ctrlPr>
                                <w:rPr>
                                  <w:rFonts w:ascii="Cambria Math" w:hAnsi="Cambria Math"/>
                                  <w:i/>
                                  <w:sz w:val="24"/>
                                  <w:szCs w:val="24"/>
                                </w:rPr>
                              </m:ctrlPr>
                            </m:sSubPr>
                            <m:e>
                              <m:r>
                                <m:rPr/>
                                <w:rPr>
                                  <w:rFonts w:ascii="Cambria Math" w:hAnsi="Cambria Math"/>
                                  <w:sz w:val="24"/>
                                  <w:szCs w:val="24"/>
                                </w:rPr>
                                <m:t>L</m:t>
                              </m:r>
                              <m:ctrlPr>
                                <w:rPr>
                                  <w:rFonts w:ascii="Cambria Math" w:hAnsi="Cambria Math"/>
                                  <w:i/>
                                  <w:sz w:val="24"/>
                                  <w:szCs w:val="24"/>
                                </w:rPr>
                              </m:ctrlPr>
                            </m:e>
                            <m:sub>
                              <m:r>
                                <m:rPr/>
                                <w:rPr>
                                  <w:rFonts w:ascii="Cambria Math" w:hAnsi="Cambria Math"/>
                                  <w:sz w:val="24"/>
                                  <w:szCs w:val="24"/>
                                </w:rPr>
                                <m:t>i</m:t>
                              </m:r>
                              <m:ctrlPr>
                                <w:rPr>
                                  <w:rFonts w:ascii="Cambria Math" w:hAnsi="Cambria Math"/>
                                  <w:i/>
                                  <w:sz w:val="24"/>
                                  <w:szCs w:val="24"/>
                                </w:rPr>
                              </m:ctrlPr>
                            </m:sub>
                          </m:sSub>
                          <m:ctrlPr>
                            <w:rPr>
                              <w:rFonts w:ascii="Cambria Math" w:hAnsi="Cambria Math"/>
                              <w:i/>
                              <w:sz w:val="24"/>
                              <w:szCs w:val="24"/>
                            </w:rPr>
                          </m:ctrlPr>
                        </m:e>
                      </m:d>
                      <m:ctrlPr>
                        <w:rPr>
                          <w:rFonts w:ascii="Cambria Math" w:hAnsi="Cambria Math"/>
                          <w:i/>
                          <w:sz w:val="24"/>
                          <w:szCs w:val="24"/>
                        </w:rPr>
                      </m:ctrlPr>
                    </m:sup>
                  </m:sSup>
                  <m:ctrlPr>
                    <w:rPr>
                      <w:rFonts w:ascii="Cambria Math" w:hAnsi="Cambria Math"/>
                      <w:i/>
                      <w:sz w:val="24"/>
                      <w:szCs w:val="24"/>
                    </w:rPr>
                  </m:ctrlPr>
                </m:e>
              </m:nary>
              <m:ctrlPr>
                <w:rPr>
                  <w:rFonts w:ascii="Cambria Math" w:hAnsi="Cambria Math"/>
                  <w:i/>
                  <w:sz w:val="24"/>
                  <w:szCs w:val="24"/>
                </w:rPr>
              </m:ctrlPr>
            </m:e>
          </m:d>
        </m:oMath>
      </m:oMathPara>
    </w:p>
    <w:p w14:paraId="268D695B">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式中：</w:t>
      </w:r>
    </w:p>
    <w:p w14:paraId="1A0F7D8F">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L</w:t>
      </w:r>
      <w:r>
        <w:rPr>
          <w:rFonts w:ascii="Times New Roman" w:hAnsi="Times New Roman"/>
          <w:spacing w:val="-2"/>
          <w:kern w:val="0"/>
          <w:sz w:val="24"/>
          <w:szCs w:val="24"/>
          <w:vertAlign w:val="subscript"/>
        </w:rPr>
        <w:t>A</w:t>
      </w:r>
      <w:r>
        <w:rPr>
          <w:rFonts w:ascii="Times New Roman" w:hAnsi="Times New Roman"/>
          <w:spacing w:val="-2"/>
          <w:kern w:val="0"/>
          <w:sz w:val="24"/>
          <w:szCs w:val="24"/>
        </w:rPr>
        <w:t xml:space="preserve">(r) ——距声源r处的A声级，dB(A)； </w:t>
      </w:r>
    </w:p>
    <w:p w14:paraId="5F50A4F3">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L</w:t>
      </w:r>
      <w:r>
        <w:rPr>
          <w:rFonts w:ascii="Times New Roman" w:hAnsi="Times New Roman"/>
          <w:spacing w:val="-2"/>
          <w:kern w:val="0"/>
          <w:sz w:val="24"/>
          <w:szCs w:val="24"/>
          <w:vertAlign w:val="subscript"/>
        </w:rPr>
        <w:t>pi</w:t>
      </w:r>
      <w:r>
        <w:rPr>
          <w:rFonts w:ascii="Times New Roman" w:hAnsi="Times New Roman"/>
          <w:spacing w:val="-2"/>
          <w:kern w:val="0"/>
          <w:sz w:val="24"/>
          <w:szCs w:val="24"/>
        </w:rPr>
        <w:t xml:space="preserve">(r) ——预测点（r）处，第i倍频带声压级，dB； </w:t>
      </w:r>
    </w:p>
    <w:p w14:paraId="33D4DB7D">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ΔL</w:t>
      </w:r>
      <w:r>
        <w:rPr>
          <w:rFonts w:ascii="Times New Roman" w:hAnsi="Times New Roman"/>
          <w:spacing w:val="-2"/>
          <w:kern w:val="0"/>
          <w:sz w:val="24"/>
          <w:szCs w:val="24"/>
          <w:vertAlign w:val="subscript"/>
        </w:rPr>
        <w:t>i</w:t>
      </w:r>
      <w:r>
        <w:rPr>
          <w:rFonts w:ascii="Times New Roman" w:hAnsi="Times New Roman"/>
          <w:spacing w:val="-2"/>
          <w:kern w:val="0"/>
          <w:sz w:val="24"/>
          <w:szCs w:val="24"/>
        </w:rPr>
        <w:t xml:space="preserve"> ——第i倍频带的A计权网络修正值，dB。 </w:t>
      </w:r>
    </w:p>
    <w:p w14:paraId="07F522C1">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C）在只考虑几何发散衰减时，可按下式计算。</w:t>
      </w:r>
    </w:p>
    <w:p w14:paraId="6242FF82">
      <w:pPr>
        <w:spacing w:line="360" w:lineRule="auto"/>
        <w:ind w:firstLine="480" w:firstLineChars="200"/>
        <w:jc w:val="center"/>
        <w:rPr>
          <w:rFonts w:ascii="Times New Roman" w:hAnsi="Times New Roman"/>
          <w:sz w:val="24"/>
          <w:szCs w:val="24"/>
        </w:rPr>
      </w:pPr>
      <m:oMathPara>
        <m:oMath>
          <m:sSub>
            <m:sSubPr>
              <m:ctrlPr>
                <w:rPr>
                  <w:rFonts w:ascii="Cambria Math" w:hAnsi="Cambria Math"/>
                  <w:i/>
                  <w:sz w:val="24"/>
                  <w:szCs w:val="24"/>
                </w:rPr>
              </m:ctrlPr>
            </m:sSubPr>
            <m:e>
              <m:r>
                <m:rPr/>
                <w:rPr>
                  <w:rFonts w:ascii="Cambria Math" w:hAnsi="Cambria Math"/>
                  <w:sz w:val="24"/>
                  <w:szCs w:val="24"/>
                </w:rPr>
                <m:t>L</m:t>
              </m:r>
              <m:ctrlPr>
                <w:rPr>
                  <w:rFonts w:ascii="Cambria Math" w:hAnsi="Cambria Math"/>
                  <w:i/>
                  <w:sz w:val="24"/>
                  <w:szCs w:val="24"/>
                </w:rPr>
              </m:ctrlPr>
            </m:e>
            <m:sub>
              <m:r>
                <m:rPr/>
                <w:rPr>
                  <w:rFonts w:ascii="Cambria Math" w:hAnsi="Cambria Math"/>
                  <w:sz w:val="24"/>
                  <w:szCs w:val="24"/>
                </w:rPr>
                <m:t>A</m:t>
              </m:r>
              <m:ctrlPr>
                <w:rPr>
                  <w:rFonts w:ascii="Cambria Math" w:hAnsi="Cambria Math"/>
                  <w:i/>
                  <w:sz w:val="24"/>
                  <w:szCs w:val="24"/>
                </w:rPr>
              </m:ctrlPr>
            </m:sub>
          </m:sSub>
          <m:d>
            <m:dPr>
              <m:ctrlPr>
                <w:rPr>
                  <w:rFonts w:ascii="Cambria Math" w:hAnsi="Cambria Math"/>
                  <w:i/>
                  <w:sz w:val="24"/>
                  <w:szCs w:val="24"/>
                </w:rPr>
              </m:ctrlPr>
            </m:dPr>
            <m:e>
              <m:r>
                <m:rPr/>
                <w:rPr>
                  <w:rFonts w:ascii="Cambria Math" w:hAnsi="Cambria Math"/>
                  <w:sz w:val="24"/>
                  <w:szCs w:val="24"/>
                </w:rPr>
                <m:t>r</m:t>
              </m:r>
              <m:ctrlPr>
                <w:rPr>
                  <w:rFonts w:ascii="Cambria Math" w:hAnsi="Cambria Math"/>
                  <w:i/>
                  <w:sz w:val="24"/>
                  <w:szCs w:val="24"/>
                </w:rPr>
              </m:ctrlPr>
            </m:e>
          </m:d>
          <m:r>
            <m:rPr/>
            <w:rPr>
              <w:rFonts w:ascii="Cambria Math" w:hAnsi="Cambria Math"/>
              <w:sz w:val="24"/>
              <w:szCs w:val="24"/>
            </w:rPr>
            <m:t>=</m:t>
          </m:r>
          <m:sSub>
            <m:sSubPr>
              <m:ctrlPr>
                <w:rPr>
                  <w:rFonts w:ascii="Cambria Math" w:hAnsi="Cambria Math"/>
                  <w:i/>
                  <w:sz w:val="24"/>
                  <w:szCs w:val="24"/>
                </w:rPr>
              </m:ctrlPr>
            </m:sSubPr>
            <m:e>
              <m:r>
                <m:rPr/>
                <w:rPr>
                  <w:rFonts w:ascii="Cambria Math" w:hAnsi="Cambria Math"/>
                  <w:sz w:val="24"/>
                  <w:szCs w:val="24"/>
                </w:rPr>
                <m:t>L</m:t>
              </m:r>
              <m:ctrlPr>
                <w:rPr>
                  <w:rFonts w:ascii="Cambria Math" w:hAnsi="Cambria Math"/>
                  <w:i/>
                  <w:sz w:val="24"/>
                  <w:szCs w:val="24"/>
                </w:rPr>
              </m:ctrlPr>
            </m:e>
            <m:sub>
              <m:r>
                <m:rPr/>
                <w:rPr>
                  <w:rFonts w:ascii="Cambria Math" w:hAnsi="Cambria Math"/>
                  <w:sz w:val="24"/>
                  <w:szCs w:val="24"/>
                </w:rPr>
                <m:t>A</m:t>
              </m:r>
              <m:ctrlPr>
                <w:rPr>
                  <w:rFonts w:ascii="Cambria Math" w:hAnsi="Cambria Math"/>
                  <w:i/>
                  <w:sz w:val="24"/>
                  <w:szCs w:val="24"/>
                </w:rPr>
              </m:ctrlPr>
            </m:sub>
          </m:sSub>
          <m:d>
            <m:dPr>
              <m:ctrlPr>
                <w:rPr>
                  <w:rFonts w:ascii="Cambria Math" w:hAnsi="Cambria Math"/>
                  <w:i/>
                  <w:sz w:val="24"/>
                  <w:szCs w:val="24"/>
                </w:rPr>
              </m:ctrlPr>
            </m:dPr>
            <m:e>
              <m:sSub>
                <m:sSubPr>
                  <m:ctrlPr>
                    <w:rPr>
                      <w:rFonts w:ascii="Cambria Math" w:hAnsi="Cambria Math"/>
                      <w:i/>
                      <w:sz w:val="24"/>
                      <w:szCs w:val="24"/>
                    </w:rPr>
                  </m:ctrlPr>
                </m:sSubPr>
                <m:e>
                  <m:r>
                    <m:rPr/>
                    <w:rPr>
                      <w:rFonts w:ascii="Cambria Math" w:hAnsi="Cambria Math"/>
                      <w:sz w:val="24"/>
                      <w:szCs w:val="24"/>
                    </w:rPr>
                    <m:t>r</m:t>
                  </m:r>
                  <m:ctrlPr>
                    <w:rPr>
                      <w:rFonts w:ascii="Cambria Math" w:hAnsi="Cambria Math"/>
                      <w:i/>
                      <w:sz w:val="24"/>
                      <w:szCs w:val="24"/>
                    </w:rPr>
                  </m:ctrlPr>
                </m:e>
                <m:sub>
                  <m:r>
                    <m:rPr/>
                    <w:rPr>
                      <w:rFonts w:ascii="Cambria Math" w:hAnsi="Cambria Math"/>
                      <w:sz w:val="24"/>
                      <w:szCs w:val="24"/>
                    </w:rPr>
                    <m:t>0</m:t>
                  </m:r>
                  <m:ctrlPr>
                    <w:rPr>
                      <w:rFonts w:ascii="Cambria Math" w:hAnsi="Cambria Math"/>
                      <w:i/>
                      <w:sz w:val="24"/>
                      <w:szCs w:val="24"/>
                    </w:rPr>
                  </m:ctrlPr>
                </m:sub>
              </m:sSub>
              <m:ctrlPr>
                <w:rPr>
                  <w:rFonts w:ascii="Cambria Math" w:hAnsi="Cambria Math"/>
                  <w:i/>
                  <w:sz w:val="24"/>
                  <w:szCs w:val="24"/>
                </w:rPr>
              </m:ctrlPr>
            </m:e>
          </m:d>
          <m:r>
            <m:rPr/>
            <w:rPr>
              <w:rFonts w:ascii="Cambria Math" w:hAnsi="Cambria Math"/>
              <w:sz w:val="24"/>
              <w:szCs w:val="24"/>
            </w:rPr>
            <m:t>−</m:t>
          </m:r>
          <m:sSub>
            <m:sSubPr>
              <m:ctrlPr>
                <w:rPr>
                  <w:rFonts w:ascii="Cambria Math" w:hAnsi="Cambria Math"/>
                  <w:i/>
                  <w:sz w:val="24"/>
                  <w:szCs w:val="24"/>
                </w:rPr>
              </m:ctrlPr>
            </m:sSubPr>
            <m:e>
              <m:r>
                <m:rPr/>
                <w:rPr>
                  <w:rFonts w:ascii="Cambria Math" w:hAnsi="Cambria Math"/>
                  <w:sz w:val="24"/>
                  <w:szCs w:val="24"/>
                </w:rPr>
                <m:t>A</m:t>
              </m:r>
              <m:ctrlPr>
                <w:rPr>
                  <w:rFonts w:ascii="Cambria Math" w:hAnsi="Cambria Math"/>
                  <w:i/>
                  <w:sz w:val="24"/>
                  <w:szCs w:val="24"/>
                </w:rPr>
              </m:ctrlPr>
            </m:e>
            <m:sub>
              <m:r>
                <m:rPr/>
                <w:rPr>
                  <w:rFonts w:ascii="Cambria Math" w:hAnsi="Cambria Math"/>
                  <w:sz w:val="24"/>
                  <w:szCs w:val="24"/>
                </w:rPr>
                <m:t>div</m:t>
              </m:r>
              <m:ctrlPr>
                <w:rPr>
                  <w:rFonts w:ascii="Cambria Math" w:hAnsi="Cambria Math"/>
                  <w:i/>
                  <w:sz w:val="24"/>
                  <w:szCs w:val="24"/>
                </w:rPr>
              </m:ctrlPr>
            </m:sub>
          </m:sSub>
        </m:oMath>
      </m:oMathPara>
    </w:p>
    <w:p w14:paraId="3F50FD50">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式中：</w:t>
      </w:r>
    </w:p>
    <w:p w14:paraId="2112ACCC">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L</w:t>
      </w:r>
      <w:r>
        <w:rPr>
          <w:rFonts w:ascii="Times New Roman" w:hAnsi="Times New Roman"/>
          <w:spacing w:val="-2"/>
          <w:kern w:val="0"/>
          <w:sz w:val="24"/>
          <w:szCs w:val="24"/>
          <w:vertAlign w:val="subscript"/>
        </w:rPr>
        <w:t>A</w:t>
      </w:r>
      <w:r>
        <w:rPr>
          <w:rFonts w:ascii="Times New Roman" w:hAnsi="Times New Roman"/>
          <w:spacing w:val="-2"/>
          <w:kern w:val="0"/>
          <w:sz w:val="24"/>
          <w:szCs w:val="24"/>
        </w:rPr>
        <w:t xml:space="preserve">(r) ——距声源r处的A声级，dB(A)； </w:t>
      </w:r>
    </w:p>
    <w:p w14:paraId="647BD391">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L</w:t>
      </w:r>
      <w:r>
        <w:rPr>
          <w:rFonts w:ascii="Times New Roman" w:hAnsi="Times New Roman"/>
          <w:spacing w:val="-2"/>
          <w:kern w:val="0"/>
          <w:sz w:val="24"/>
          <w:szCs w:val="24"/>
          <w:vertAlign w:val="subscript"/>
        </w:rPr>
        <w:t>A</w:t>
      </w:r>
      <w:r>
        <w:rPr>
          <w:rFonts w:ascii="Times New Roman" w:hAnsi="Times New Roman"/>
          <w:spacing w:val="-2"/>
          <w:kern w:val="0"/>
          <w:sz w:val="24"/>
          <w:szCs w:val="24"/>
        </w:rPr>
        <w:t>(r</w:t>
      </w:r>
      <w:r>
        <w:rPr>
          <w:rFonts w:ascii="Times New Roman" w:hAnsi="Times New Roman"/>
          <w:spacing w:val="-2"/>
          <w:kern w:val="0"/>
          <w:sz w:val="24"/>
          <w:szCs w:val="24"/>
          <w:vertAlign w:val="subscript"/>
        </w:rPr>
        <w:t>0</w:t>
      </w:r>
      <w:r>
        <w:rPr>
          <w:rFonts w:ascii="Times New Roman" w:hAnsi="Times New Roman"/>
          <w:spacing w:val="-2"/>
          <w:kern w:val="0"/>
          <w:sz w:val="24"/>
          <w:szCs w:val="24"/>
        </w:rPr>
        <w:t>) ——参考位置r</w:t>
      </w:r>
      <w:r>
        <w:rPr>
          <w:rFonts w:ascii="Times New Roman" w:hAnsi="Times New Roman"/>
          <w:spacing w:val="-2"/>
          <w:kern w:val="0"/>
          <w:sz w:val="24"/>
          <w:szCs w:val="24"/>
          <w:vertAlign w:val="subscript"/>
        </w:rPr>
        <w:t>0</w:t>
      </w:r>
      <w:r>
        <w:rPr>
          <w:rFonts w:ascii="Times New Roman" w:hAnsi="Times New Roman"/>
          <w:spacing w:val="-2"/>
          <w:kern w:val="0"/>
          <w:sz w:val="24"/>
          <w:szCs w:val="24"/>
        </w:rPr>
        <w:t xml:space="preserve">处的A声级，dB(A)； </w:t>
      </w:r>
    </w:p>
    <w:p w14:paraId="7D704A1F">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A</w:t>
      </w:r>
      <w:r>
        <w:rPr>
          <w:rFonts w:ascii="Times New Roman" w:hAnsi="Times New Roman"/>
          <w:spacing w:val="-2"/>
          <w:kern w:val="0"/>
          <w:sz w:val="24"/>
          <w:szCs w:val="24"/>
          <w:vertAlign w:val="subscript"/>
        </w:rPr>
        <w:t>div</w:t>
      </w:r>
      <w:r>
        <w:rPr>
          <w:rFonts w:ascii="Times New Roman" w:hAnsi="Times New Roman"/>
          <w:spacing w:val="-2"/>
          <w:kern w:val="0"/>
          <w:sz w:val="24"/>
          <w:szCs w:val="24"/>
        </w:rPr>
        <w:t xml:space="preserve"> ——几何发散引起的衰减，dB。</w:t>
      </w:r>
    </w:p>
    <w:p w14:paraId="57D88F68">
      <w:pPr>
        <w:autoSpaceDE w:val="0"/>
        <w:autoSpaceDN w:val="0"/>
        <w:adjustRightInd w:val="0"/>
        <w:spacing w:line="360" w:lineRule="auto"/>
        <w:ind w:firstLine="474" w:firstLineChars="200"/>
        <w:rPr>
          <w:rFonts w:ascii="Times New Roman" w:hAnsi="Times New Roman"/>
          <w:b/>
          <w:bCs/>
          <w:spacing w:val="-2"/>
          <w:kern w:val="0"/>
          <w:sz w:val="24"/>
          <w:szCs w:val="24"/>
        </w:rPr>
      </w:pPr>
      <w:r>
        <w:rPr>
          <w:rFonts w:ascii="Times New Roman" w:hAnsi="Times New Roman"/>
          <w:b/>
          <w:bCs/>
          <w:spacing w:val="-2"/>
          <w:kern w:val="0"/>
          <w:sz w:val="24"/>
          <w:szCs w:val="24"/>
        </w:rPr>
        <w:t>（2）衰减项的计算</w:t>
      </w:r>
    </w:p>
    <w:p w14:paraId="2A026445">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几何发散引起的衰减（A</w:t>
      </w:r>
      <w:r>
        <w:rPr>
          <w:rFonts w:ascii="Times New Roman" w:hAnsi="Times New Roman"/>
          <w:spacing w:val="-2"/>
          <w:kern w:val="0"/>
          <w:sz w:val="24"/>
          <w:szCs w:val="24"/>
          <w:vertAlign w:val="subscript"/>
        </w:rPr>
        <w:t>div</w:t>
      </w:r>
      <w:r>
        <w:rPr>
          <w:rFonts w:ascii="Times New Roman" w:hAnsi="Times New Roman"/>
          <w:spacing w:val="-2"/>
          <w:kern w:val="0"/>
          <w:sz w:val="24"/>
          <w:szCs w:val="24"/>
        </w:rPr>
        <w:t>） 中点声源的几何发散衰减 ：</w:t>
      </w:r>
    </w:p>
    <w:p w14:paraId="38CD7C97">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 xml:space="preserve">A）无指向性点声源几何发散衰减 </w:t>
      </w:r>
    </w:p>
    <w:p w14:paraId="3E31784F">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无指向性点声源几何发散衰减的基本公式是：</w:t>
      </w:r>
    </w:p>
    <w:p w14:paraId="0AE1452C">
      <w:pPr>
        <w:spacing w:line="360" w:lineRule="auto"/>
        <w:ind w:firstLine="480" w:firstLineChars="200"/>
        <w:jc w:val="center"/>
        <w:rPr>
          <w:rFonts w:ascii="Times New Roman" w:hAnsi="Times New Roman"/>
          <w:sz w:val="24"/>
          <w:szCs w:val="24"/>
        </w:rPr>
      </w:pPr>
      <m:oMathPara>
        <m:oMath>
          <m:sSub>
            <m:sSubPr>
              <m:ctrlPr>
                <w:rPr>
                  <w:rFonts w:ascii="Cambria Math" w:hAnsi="Cambria Math"/>
                  <w:i/>
                  <w:sz w:val="24"/>
                  <w:szCs w:val="24"/>
                </w:rPr>
              </m:ctrlPr>
            </m:sSubPr>
            <m:e>
              <m:r>
                <m:rPr/>
                <w:rPr>
                  <w:rFonts w:ascii="Cambria Math" w:hAnsi="Cambria Math"/>
                  <w:sz w:val="24"/>
                  <w:szCs w:val="24"/>
                </w:rPr>
                <m:t>L</m:t>
              </m:r>
              <m:ctrlPr>
                <w:rPr>
                  <w:rFonts w:ascii="Cambria Math" w:hAnsi="Cambria Math"/>
                  <w:i/>
                  <w:sz w:val="24"/>
                  <w:szCs w:val="24"/>
                </w:rPr>
              </m:ctrlPr>
            </m:e>
            <m:sub>
              <m:r>
                <m:rPr/>
                <w:rPr>
                  <w:rFonts w:ascii="Cambria Math" w:hAnsi="Cambria Math"/>
                  <w:sz w:val="24"/>
                  <w:szCs w:val="24"/>
                </w:rPr>
                <m:t>p</m:t>
              </m:r>
              <m:ctrlPr>
                <w:rPr>
                  <w:rFonts w:ascii="Cambria Math" w:hAnsi="Cambria Math"/>
                  <w:i/>
                  <w:sz w:val="24"/>
                  <w:szCs w:val="24"/>
                </w:rPr>
              </m:ctrlPr>
            </m:sub>
          </m:sSub>
          <m:d>
            <m:dPr>
              <m:ctrlPr>
                <w:rPr>
                  <w:rFonts w:ascii="Cambria Math" w:hAnsi="Cambria Math"/>
                  <w:i/>
                  <w:sz w:val="24"/>
                  <w:szCs w:val="24"/>
                </w:rPr>
              </m:ctrlPr>
            </m:dPr>
            <m:e>
              <m:r>
                <m:rPr/>
                <w:rPr>
                  <w:rFonts w:ascii="Cambria Math" w:hAnsi="Cambria Math"/>
                  <w:sz w:val="24"/>
                  <w:szCs w:val="24"/>
                </w:rPr>
                <m:t>r</m:t>
              </m:r>
              <m:ctrlPr>
                <w:rPr>
                  <w:rFonts w:ascii="Cambria Math" w:hAnsi="Cambria Math"/>
                  <w:i/>
                  <w:sz w:val="24"/>
                  <w:szCs w:val="24"/>
                </w:rPr>
              </m:ctrlPr>
            </m:e>
          </m:d>
          <m:r>
            <m:rPr/>
            <w:rPr>
              <w:rFonts w:ascii="Cambria Math" w:hAnsi="Cambria Math"/>
              <w:sz w:val="24"/>
              <w:szCs w:val="24"/>
            </w:rPr>
            <m:t>=</m:t>
          </m:r>
          <m:sSub>
            <m:sSubPr>
              <m:ctrlPr>
                <w:rPr>
                  <w:rFonts w:ascii="Cambria Math" w:hAnsi="Cambria Math"/>
                  <w:i/>
                  <w:sz w:val="24"/>
                  <w:szCs w:val="24"/>
                </w:rPr>
              </m:ctrlPr>
            </m:sSubPr>
            <m:e>
              <m:r>
                <m:rPr/>
                <w:rPr>
                  <w:rFonts w:ascii="Cambria Math" w:hAnsi="Cambria Math"/>
                  <w:sz w:val="24"/>
                  <w:szCs w:val="24"/>
                </w:rPr>
                <m:t>L</m:t>
              </m:r>
              <m:ctrlPr>
                <w:rPr>
                  <w:rFonts w:ascii="Cambria Math" w:hAnsi="Cambria Math"/>
                  <w:i/>
                  <w:sz w:val="24"/>
                  <w:szCs w:val="24"/>
                </w:rPr>
              </m:ctrlPr>
            </m:e>
            <m:sub>
              <m:r>
                <m:rPr/>
                <w:rPr>
                  <w:rFonts w:ascii="Cambria Math" w:hAnsi="Cambria Math"/>
                  <w:sz w:val="24"/>
                  <w:szCs w:val="24"/>
                </w:rPr>
                <m:t>p</m:t>
              </m:r>
              <m:ctrlPr>
                <w:rPr>
                  <w:rFonts w:ascii="Cambria Math" w:hAnsi="Cambria Math"/>
                  <w:i/>
                  <w:sz w:val="24"/>
                  <w:szCs w:val="24"/>
                </w:rPr>
              </m:ctrlPr>
            </m:sub>
          </m:sSub>
          <m:d>
            <m:dPr>
              <m:ctrlPr>
                <w:rPr>
                  <w:rFonts w:ascii="Cambria Math" w:hAnsi="Cambria Math"/>
                  <w:i/>
                  <w:sz w:val="24"/>
                  <w:szCs w:val="24"/>
                </w:rPr>
              </m:ctrlPr>
            </m:dPr>
            <m:e>
              <m:sSub>
                <m:sSubPr>
                  <m:ctrlPr>
                    <w:rPr>
                      <w:rFonts w:ascii="Cambria Math" w:hAnsi="Cambria Math"/>
                      <w:i/>
                      <w:sz w:val="24"/>
                      <w:szCs w:val="24"/>
                    </w:rPr>
                  </m:ctrlPr>
                </m:sSubPr>
                <m:e>
                  <m:r>
                    <m:rPr/>
                    <w:rPr>
                      <w:rFonts w:ascii="Cambria Math" w:hAnsi="Cambria Math"/>
                      <w:sz w:val="24"/>
                      <w:szCs w:val="24"/>
                    </w:rPr>
                    <m:t>r</m:t>
                  </m:r>
                  <m:ctrlPr>
                    <w:rPr>
                      <w:rFonts w:ascii="Cambria Math" w:hAnsi="Cambria Math"/>
                      <w:i/>
                      <w:sz w:val="24"/>
                      <w:szCs w:val="24"/>
                    </w:rPr>
                  </m:ctrlPr>
                </m:e>
                <m:sub>
                  <m:r>
                    <m:rPr/>
                    <w:rPr>
                      <w:rFonts w:ascii="Cambria Math" w:hAnsi="Cambria Math"/>
                      <w:sz w:val="24"/>
                      <w:szCs w:val="24"/>
                    </w:rPr>
                    <m:t>0</m:t>
                  </m:r>
                  <m:ctrlPr>
                    <w:rPr>
                      <w:rFonts w:ascii="Cambria Math" w:hAnsi="Cambria Math"/>
                      <w:i/>
                      <w:sz w:val="24"/>
                      <w:szCs w:val="24"/>
                    </w:rPr>
                  </m:ctrlPr>
                </m:sub>
              </m:sSub>
              <m:ctrlPr>
                <w:rPr>
                  <w:rFonts w:ascii="Cambria Math" w:hAnsi="Cambria Math"/>
                  <w:i/>
                  <w:sz w:val="24"/>
                  <w:szCs w:val="24"/>
                </w:rPr>
              </m:ctrlPr>
            </m:e>
          </m:d>
          <m:r>
            <m:rPr/>
            <w:rPr>
              <w:rFonts w:ascii="Cambria Math" w:hAnsi="Cambria Math"/>
              <w:sz w:val="24"/>
              <w:szCs w:val="24"/>
            </w:rPr>
            <m:t>−20lg</m:t>
          </m:r>
          <m:d>
            <m:dPr>
              <m:ctrlPr>
                <w:rPr>
                  <w:rFonts w:ascii="Cambria Math" w:hAnsi="Cambria Math"/>
                  <w:i/>
                  <w:sz w:val="24"/>
                  <w:szCs w:val="24"/>
                </w:rPr>
              </m:ctrlPr>
            </m:dPr>
            <m:e>
              <m:r>
                <m:rPr/>
                <w:rPr>
                  <w:rFonts w:ascii="Cambria Math" w:hAnsi="Cambria Math"/>
                  <w:sz w:val="24"/>
                  <w:szCs w:val="24"/>
                </w:rPr>
                <m:t>r/</m:t>
              </m:r>
              <m:sSub>
                <m:sSubPr>
                  <m:ctrlPr>
                    <w:rPr>
                      <w:rFonts w:ascii="Cambria Math" w:hAnsi="Cambria Math"/>
                      <w:i/>
                      <w:sz w:val="24"/>
                      <w:szCs w:val="24"/>
                    </w:rPr>
                  </m:ctrlPr>
                </m:sSubPr>
                <m:e>
                  <m:r>
                    <m:rPr/>
                    <w:rPr>
                      <w:rFonts w:ascii="Cambria Math" w:hAnsi="Cambria Math"/>
                      <w:sz w:val="24"/>
                      <w:szCs w:val="24"/>
                    </w:rPr>
                    <m:t>r</m:t>
                  </m:r>
                  <m:ctrlPr>
                    <w:rPr>
                      <w:rFonts w:ascii="Cambria Math" w:hAnsi="Cambria Math"/>
                      <w:i/>
                      <w:sz w:val="24"/>
                      <w:szCs w:val="24"/>
                    </w:rPr>
                  </m:ctrlPr>
                </m:e>
                <m:sub>
                  <m:r>
                    <m:rPr/>
                    <w:rPr>
                      <w:rFonts w:ascii="Cambria Math" w:hAnsi="Cambria Math"/>
                      <w:sz w:val="24"/>
                      <w:szCs w:val="24"/>
                    </w:rPr>
                    <m:t>0</m:t>
                  </m:r>
                  <m:ctrlPr>
                    <w:rPr>
                      <w:rFonts w:ascii="Cambria Math" w:hAnsi="Cambria Math"/>
                      <w:i/>
                      <w:sz w:val="24"/>
                      <w:szCs w:val="24"/>
                    </w:rPr>
                  </m:ctrlPr>
                </m:sub>
              </m:sSub>
              <m:ctrlPr>
                <w:rPr>
                  <w:rFonts w:ascii="Cambria Math" w:hAnsi="Cambria Math"/>
                  <w:i/>
                  <w:sz w:val="24"/>
                  <w:szCs w:val="24"/>
                </w:rPr>
              </m:ctrlPr>
            </m:e>
          </m:d>
        </m:oMath>
      </m:oMathPara>
    </w:p>
    <w:p w14:paraId="7F274D9F">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式中：</w:t>
      </w:r>
    </w:p>
    <w:p w14:paraId="21D9C626">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L</w:t>
      </w:r>
      <w:r>
        <w:rPr>
          <w:rFonts w:ascii="Times New Roman" w:hAnsi="Times New Roman"/>
          <w:spacing w:val="-2"/>
          <w:kern w:val="0"/>
          <w:sz w:val="24"/>
          <w:szCs w:val="24"/>
          <w:vertAlign w:val="subscript"/>
        </w:rPr>
        <w:t>p</w:t>
      </w:r>
      <w:r>
        <w:rPr>
          <w:rFonts w:ascii="Times New Roman" w:hAnsi="Times New Roman"/>
          <w:spacing w:val="-2"/>
          <w:kern w:val="0"/>
          <w:sz w:val="24"/>
          <w:szCs w:val="24"/>
        </w:rPr>
        <w:t xml:space="preserve">(r) ——预测点处声压级，dB； </w:t>
      </w:r>
    </w:p>
    <w:p w14:paraId="3A935D2C">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L</w:t>
      </w:r>
      <w:r>
        <w:rPr>
          <w:rFonts w:ascii="Times New Roman" w:hAnsi="Times New Roman"/>
          <w:spacing w:val="-2"/>
          <w:kern w:val="0"/>
          <w:sz w:val="24"/>
          <w:szCs w:val="24"/>
          <w:vertAlign w:val="subscript"/>
        </w:rPr>
        <w:t>p</w:t>
      </w:r>
      <w:r>
        <w:rPr>
          <w:rFonts w:ascii="Times New Roman" w:hAnsi="Times New Roman"/>
          <w:spacing w:val="-2"/>
          <w:kern w:val="0"/>
          <w:sz w:val="24"/>
          <w:szCs w:val="24"/>
        </w:rPr>
        <w:t>(r</w:t>
      </w:r>
      <w:r>
        <w:rPr>
          <w:rFonts w:ascii="Times New Roman" w:hAnsi="Times New Roman"/>
          <w:spacing w:val="-2"/>
          <w:kern w:val="0"/>
          <w:sz w:val="24"/>
          <w:szCs w:val="24"/>
          <w:vertAlign w:val="subscript"/>
        </w:rPr>
        <w:t>0</w:t>
      </w:r>
      <w:r>
        <w:rPr>
          <w:rFonts w:ascii="Times New Roman" w:hAnsi="Times New Roman"/>
          <w:spacing w:val="-2"/>
          <w:kern w:val="0"/>
          <w:sz w:val="24"/>
          <w:szCs w:val="24"/>
        </w:rPr>
        <w:t>) ——参考位置r</w:t>
      </w:r>
      <w:r>
        <w:rPr>
          <w:rFonts w:ascii="Times New Roman" w:hAnsi="Times New Roman"/>
          <w:spacing w:val="-2"/>
          <w:kern w:val="0"/>
          <w:sz w:val="24"/>
          <w:szCs w:val="24"/>
          <w:vertAlign w:val="subscript"/>
        </w:rPr>
        <w:t>0</w:t>
      </w:r>
      <w:r>
        <w:rPr>
          <w:rFonts w:ascii="Times New Roman" w:hAnsi="Times New Roman"/>
          <w:spacing w:val="-2"/>
          <w:kern w:val="0"/>
          <w:sz w:val="24"/>
          <w:szCs w:val="24"/>
        </w:rPr>
        <w:t xml:space="preserve">处的声压级，dB； </w:t>
      </w:r>
    </w:p>
    <w:p w14:paraId="426A31C2">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 xml:space="preserve">r ——预测点距声源的距离； </w:t>
      </w:r>
    </w:p>
    <w:p w14:paraId="7F03B1F8">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r</w:t>
      </w:r>
      <w:r>
        <w:rPr>
          <w:rFonts w:ascii="Times New Roman" w:hAnsi="Times New Roman"/>
          <w:spacing w:val="-2"/>
          <w:kern w:val="0"/>
          <w:sz w:val="24"/>
          <w:szCs w:val="24"/>
          <w:vertAlign w:val="subscript"/>
        </w:rPr>
        <w:t>0</w:t>
      </w:r>
      <w:r>
        <w:rPr>
          <w:rFonts w:ascii="Times New Roman" w:hAnsi="Times New Roman"/>
          <w:spacing w:val="-2"/>
          <w:kern w:val="0"/>
          <w:sz w:val="24"/>
          <w:szCs w:val="24"/>
        </w:rPr>
        <w:t xml:space="preserve">——参考位置距声源的距离。 </w:t>
      </w:r>
    </w:p>
    <w:p w14:paraId="4BCF76C5">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上式中第二项表示了点声源的几何发散衰减：</w:t>
      </w:r>
    </w:p>
    <w:p w14:paraId="710C512F">
      <w:pPr>
        <w:spacing w:line="360" w:lineRule="auto"/>
        <w:ind w:firstLine="480" w:firstLineChars="200"/>
        <w:jc w:val="center"/>
        <w:rPr>
          <w:rFonts w:ascii="Times New Roman" w:hAnsi="Times New Roman"/>
          <w:sz w:val="24"/>
          <w:szCs w:val="24"/>
        </w:rPr>
      </w:pPr>
      <m:oMathPara>
        <m:oMath>
          <m:sSub>
            <m:sSubPr>
              <m:ctrlPr>
                <w:rPr>
                  <w:rFonts w:ascii="Cambria Math" w:hAnsi="Cambria Math"/>
                  <w:i/>
                  <w:sz w:val="24"/>
                  <w:szCs w:val="24"/>
                </w:rPr>
              </m:ctrlPr>
            </m:sSubPr>
            <m:e>
              <m:r>
                <m:rPr/>
                <w:rPr>
                  <w:rFonts w:ascii="Cambria Math" w:hAnsi="Cambria Math"/>
                  <w:sz w:val="24"/>
                  <w:szCs w:val="24"/>
                </w:rPr>
                <m:t>A</m:t>
              </m:r>
              <m:ctrlPr>
                <w:rPr>
                  <w:rFonts w:ascii="Cambria Math" w:hAnsi="Cambria Math"/>
                  <w:i/>
                  <w:sz w:val="24"/>
                  <w:szCs w:val="24"/>
                </w:rPr>
              </m:ctrlPr>
            </m:e>
            <m:sub>
              <m:r>
                <m:rPr/>
                <w:rPr>
                  <w:rFonts w:ascii="Cambria Math" w:hAnsi="Cambria Math"/>
                  <w:sz w:val="24"/>
                  <w:szCs w:val="24"/>
                </w:rPr>
                <m:t>div</m:t>
              </m:r>
              <m:ctrlPr>
                <w:rPr>
                  <w:rFonts w:ascii="Cambria Math" w:hAnsi="Cambria Math"/>
                  <w:i/>
                  <w:sz w:val="24"/>
                  <w:szCs w:val="24"/>
                </w:rPr>
              </m:ctrlPr>
            </m:sub>
          </m:sSub>
          <m:r>
            <m:rPr/>
            <w:rPr>
              <w:rFonts w:ascii="Cambria Math" w:hAnsi="Cambria Math"/>
              <w:sz w:val="24"/>
              <w:szCs w:val="24"/>
            </w:rPr>
            <m:t>=20lg</m:t>
          </m:r>
          <m:d>
            <m:dPr>
              <m:ctrlPr>
                <w:rPr>
                  <w:rFonts w:ascii="Cambria Math" w:hAnsi="Cambria Math"/>
                  <w:i/>
                  <w:sz w:val="24"/>
                  <w:szCs w:val="24"/>
                </w:rPr>
              </m:ctrlPr>
            </m:dPr>
            <m:e>
              <m:r>
                <m:rPr/>
                <w:rPr>
                  <w:rFonts w:ascii="Cambria Math" w:hAnsi="Cambria Math"/>
                  <w:sz w:val="24"/>
                  <w:szCs w:val="24"/>
                </w:rPr>
                <m:t>r/</m:t>
              </m:r>
              <m:sSub>
                <m:sSubPr>
                  <m:ctrlPr>
                    <w:rPr>
                      <w:rFonts w:ascii="Cambria Math" w:hAnsi="Cambria Math"/>
                      <w:i/>
                      <w:sz w:val="24"/>
                      <w:szCs w:val="24"/>
                    </w:rPr>
                  </m:ctrlPr>
                </m:sSubPr>
                <m:e>
                  <m:r>
                    <m:rPr/>
                    <w:rPr>
                      <w:rFonts w:ascii="Cambria Math" w:hAnsi="Cambria Math"/>
                      <w:sz w:val="24"/>
                      <w:szCs w:val="24"/>
                    </w:rPr>
                    <m:t>r</m:t>
                  </m:r>
                  <m:ctrlPr>
                    <w:rPr>
                      <w:rFonts w:ascii="Cambria Math" w:hAnsi="Cambria Math"/>
                      <w:i/>
                      <w:sz w:val="24"/>
                      <w:szCs w:val="24"/>
                    </w:rPr>
                  </m:ctrlPr>
                </m:e>
                <m:sub>
                  <m:r>
                    <m:rPr/>
                    <w:rPr>
                      <w:rFonts w:ascii="Cambria Math" w:hAnsi="Cambria Math"/>
                      <w:sz w:val="24"/>
                      <w:szCs w:val="24"/>
                    </w:rPr>
                    <m:t>0</m:t>
                  </m:r>
                  <m:ctrlPr>
                    <w:rPr>
                      <w:rFonts w:ascii="Cambria Math" w:hAnsi="Cambria Math"/>
                      <w:i/>
                      <w:sz w:val="24"/>
                      <w:szCs w:val="24"/>
                    </w:rPr>
                  </m:ctrlPr>
                </m:sub>
              </m:sSub>
              <m:ctrlPr>
                <w:rPr>
                  <w:rFonts w:ascii="Cambria Math" w:hAnsi="Cambria Math"/>
                  <w:i/>
                  <w:sz w:val="24"/>
                  <w:szCs w:val="24"/>
                </w:rPr>
              </m:ctrlPr>
            </m:e>
          </m:d>
        </m:oMath>
      </m:oMathPara>
    </w:p>
    <w:p w14:paraId="00936E51">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式中：</w:t>
      </w:r>
    </w:p>
    <w:p w14:paraId="32FBBED1">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A</w:t>
      </w:r>
      <w:r>
        <w:rPr>
          <w:rFonts w:ascii="Times New Roman" w:hAnsi="Times New Roman"/>
          <w:spacing w:val="-2"/>
          <w:kern w:val="0"/>
          <w:sz w:val="24"/>
          <w:szCs w:val="24"/>
          <w:vertAlign w:val="subscript"/>
        </w:rPr>
        <w:t>div</w:t>
      </w:r>
      <w:r>
        <w:rPr>
          <w:rFonts w:ascii="Times New Roman" w:hAnsi="Times New Roman"/>
          <w:spacing w:val="-2"/>
          <w:kern w:val="0"/>
          <w:sz w:val="24"/>
          <w:szCs w:val="24"/>
        </w:rPr>
        <w:t xml:space="preserve"> ——几何发散引起的衰减，dB； </w:t>
      </w:r>
    </w:p>
    <w:p w14:paraId="7ED423E7">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 xml:space="preserve">r ——预测点距声源的距离； </w:t>
      </w:r>
    </w:p>
    <w:p w14:paraId="2B72414E">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r</w:t>
      </w:r>
      <w:r>
        <w:rPr>
          <w:rFonts w:ascii="Times New Roman" w:hAnsi="Times New Roman"/>
          <w:spacing w:val="-2"/>
          <w:kern w:val="0"/>
          <w:sz w:val="24"/>
          <w:szCs w:val="24"/>
          <w:vertAlign w:val="subscript"/>
        </w:rPr>
        <w:t>0</w:t>
      </w:r>
      <w:r>
        <w:rPr>
          <w:rFonts w:ascii="Times New Roman" w:hAnsi="Times New Roman"/>
          <w:spacing w:val="-2"/>
          <w:kern w:val="0"/>
          <w:sz w:val="24"/>
          <w:szCs w:val="24"/>
        </w:rPr>
        <w:t>——参考位置距声源的距离。</w:t>
      </w:r>
    </w:p>
    <w:p w14:paraId="59400A40">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本次评价进行保守预测，不考虑声屏障、遮挡物、空气吸收和地面效应等引起的衰减量A</w:t>
      </w:r>
      <w:r>
        <w:rPr>
          <w:rFonts w:ascii="Times New Roman" w:hAnsi="Times New Roman"/>
          <w:spacing w:val="-2"/>
          <w:kern w:val="0"/>
          <w:sz w:val="24"/>
          <w:szCs w:val="24"/>
          <w:vertAlign w:val="subscript"/>
        </w:rPr>
        <w:t>bar</w:t>
      </w:r>
      <w:r>
        <w:rPr>
          <w:rFonts w:ascii="Times New Roman" w:hAnsi="Times New Roman"/>
          <w:spacing w:val="-2"/>
          <w:kern w:val="0"/>
          <w:sz w:val="24"/>
          <w:szCs w:val="24"/>
        </w:rPr>
        <w:t>、A</w:t>
      </w:r>
      <w:r>
        <w:rPr>
          <w:rFonts w:ascii="Times New Roman" w:hAnsi="Times New Roman"/>
          <w:spacing w:val="-2"/>
          <w:kern w:val="0"/>
          <w:sz w:val="24"/>
          <w:szCs w:val="24"/>
          <w:vertAlign w:val="subscript"/>
        </w:rPr>
        <w:t>atm</w:t>
      </w:r>
      <w:r>
        <w:rPr>
          <w:rFonts w:ascii="Times New Roman" w:hAnsi="Times New Roman"/>
          <w:spacing w:val="-2"/>
          <w:kern w:val="0"/>
          <w:sz w:val="24"/>
          <w:szCs w:val="24"/>
        </w:rPr>
        <w:t>、A</w:t>
      </w:r>
      <w:r>
        <w:rPr>
          <w:rFonts w:ascii="Times New Roman" w:hAnsi="Times New Roman"/>
          <w:spacing w:val="-2"/>
          <w:kern w:val="0"/>
          <w:sz w:val="24"/>
          <w:szCs w:val="24"/>
          <w:vertAlign w:val="subscript"/>
        </w:rPr>
        <w:t>gr</w:t>
      </w:r>
      <w:r>
        <w:rPr>
          <w:rFonts w:ascii="Times New Roman" w:hAnsi="Times New Roman"/>
          <w:spacing w:val="-2"/>
          <w:kern w:val="0"/>
          <w:sz w:val="24"/>
          <w:szCs w:val="24"/>
        </w:rPr>
        <w:t>、A</w:t>
      </w:r>
      <w:r>
        <w:rPr>
          <w:rFonts w:ascii="Times New Roman" w:hAnsi="Times New Roman"/>
          <w:spacing w:val="-2"/>
          <w:kern w:val="0"/>
          <w:sz w:val="24"/>
          <w:szCs w:val="24"/>
          <w:vertAlign w:val="subscript"/>
        </w:rPr>
        <w:t>misc</w:t>
      </w:r>
      <w:r>
        <w:rPr>
          <w:rFonts w:ascii="Times New Roman" w:hAnsi="Times New Roman"/>
          <w:spacing w:val="-2"/>
          <w:kern w:val="0"/>
          <w:sz w:val="24"/>
          <w:szCs w:val="24"/>
        </w:rPr>
        <w:t>等。</w:t>
      </w:r>
    </w:p>
    <w:p w14:paraId="08D62CF1">
      <w:pPr>
        <w:pStyle w:val="7"/>
        <w:numPr>
          <w:ilvl w:val="3"/>
          <w:numId w:val="3"/>
        </w:numPr>
      </w:pPr>
      <w:r>
        <w:t>工业噪声预测计算模型</w:t>
      </w:r>
    </w:p>
    <w:p w14:paraId="1B86DE6A">
      <w:pPr>
        <w:autoSpaceDE w:val="0"/>
        <w:autoSpaceDN w:val="0"/>
        <w:adjustRightInd w:val="0"/>
        <w:spacing w:line="360" w:lineRule="auto"/>
        <w:ind w:firstLine="474" w:firstLineChars="200"/>
        <w:rPr>
          <w:rFonts w:ascii="Times New Roman" w:hAnsi="Times New Roman"/>
          <w:b/>
          <w:bCs/>
          <w:spacing w:val="-2"/>
          <w:kern w:val="0"/>
          <w:sz w:val="24"/>
          <w:szCs w:val="24"/>
        </w:rPr>
      </w:pPr>
      <w:r>
        <w:rPr>
          <w:rFonts w:ascii="Times New Roman" w:hAnsi="Times New Roman"/>
          <w:b/>
          <w:bCs/>
          <w:spacing w:val="-2"/>
          <w:kern w:val="0"/>
          <w:sz w:val="24"/>
          <w:szCs w:val="24"/>
        </w:rPr>
        <w:t>（1）室内声源等效室外声源声功率级计算方法</w:t>
      </w:r>
    </w:p>
    <w:p w14:paraId="200F3937">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声源位于室内，室内声源可采用等效室外声源声功率级法进行计算。设靠近开口处（或窗户）室内、室外某倍频带的声压级或A声级分别为L</w:t>
      </w:r>
      <w:r>
        <w:rPr>
          <w:rFonts w:ascii="Times New Roman" w:hAnsi="Times New Roman"/>
          <w:spacing w:val="-2"/>
          <w:kern w:val="0"/>
          <w:sz w:val="24"/>
          <w:szCs w:val="24"/>
          <w:vertAlign w:val="subscript"/>
        </w:rPr>
        <w:t>p1</w:t>
      </w:r>
      <w:r>
        <w:rPr>
          <w:rFonts w:ascii="Times New Roman" w:hAnsi="Times New Roman"/>
          <w:spacing w:val="-2"/>
          <w:kern w:val="0"/>
          <w:sz w:val="24"/>
          <w:szCs w:val="24"/>
        </w:rPr>
        <w:t>和L</w:t>
      </w:r>
      <w:r>
        <w:rPr>
          <w:rFonts w:ascii="Times New Roman" w:hAnsi="Times New Roman"/>
          <w:spacing w:val="-2"/>
          <w:kern w:val="0"/>
          <w:sz w:val="24"/>
          <w:szCs w:val="24"/>
          <w:vertAlign w:val="subscript"/>
        </w:rPr>
        <w:t>p2</w:t>
      </w:r>
      <w:r>
        <w:rPr>
          <w:rFonts w:ascii="Times New Roman" w:hAnsi="Times New Roman"/>
          <w:spacing w:val="-2"/>
          <w:kern w:val="0"/>
          <w:sz w:val="24"/>
          <w:szCs w:val="24"/>
        </w:rPr>
        <w:t>。若声源所在室内声场为近似扩散声场，则室外的倍频带声压级可按下式近似求出：</w:t>
      </w:r>
    </w:p>
    <w:p w14:paraId="0312A902">
      <w:pPr>
        <w:spacing w:line="360" w:lineRule="auto"/>
        <w:ind w:firstLine="480" w:firstLineChars="200"/>
        <w:jc w:val="center"/>
        <w:rPr>
          <w:rFonts w:ascii="Times New Roman" w:hAnsi="Times New Roman"/>
          <w:sz w:val="24"/>
          <w:szCs w:val="24"/>
        </w:rPr>
      </w:pPr>
      <m:oMathPara>
        <m:oMath>
          <m:sSub>
            <m:sSubPr>
              <m:ctrlPr>
                <w:rPr>
                  <w:rFonts w:ascii="Cambria Math" w:hAnsi="Cambria Math"/>
                  <w:i/>
                  <w:sz w:val="24"/>
                  <w:szCs w:val="24"/>
                </w:rPr>
              </m:ctrlPr>
            </m:sSubPr>
            <m:e>
              <m:r>
                <m:rPr/>
                <w:rPr>
                  <w:rFonts w:ascii="Cambria Math" w:hAnsi="Cambria Math"/>
                  <w:sz w:val="24"/>
                  <w:szCs w:val="24"/>
                </w:rPr>
                <m:t>L</m:t>
              </m:r>
              <m:ctrlPr>
                <w:rPr>
                  <w:rFonts w:ascii="Cambria Math" w:hAnsi="Cambria Math"/>
                  <w:i/>
                  <w:sz w:val="24"/>
                  <w:szCs w:val="24"/>
                </w:rPr>
              </m:ctrlPr>
            </m:e>
            <m:sub>
              <m:r>
                <m:rPr/>
                <w:rPr>
                  <w:rFonts w:ascii="Cambria Math" w:hAnsi="Cambria Math"/>
                  <w:sz w:val="24"/>
                  <w:szCs w:val="24"/>
                </w:rPr>
                <m:t>p2</m:t>
              </m:r>
              <m:ctrlPr>
                <w:rPr>
                  <w:rFonts w:ascii="Cambria Math" w:hAnsi="Cambria Math"/>
                  <w:i/>
                  <w:sz w:val="24"/>
                  <w:szCs w:val="24"/>
                </w:rPr>
              </m:ctrlPr>
            </m:sub>
          </m:sSub>
          <m:r>
            <m:rPr/>
            <w:rPr>
              <w:rFonts w:ascii="Cambria Math" w:hAnsi="Cambria Math"/>
              <w:sz w:val="24"/>
              <w:szCs w:val="24"/>
            </w:rPr>
            <m:t>=</m:t>
          </m:r>
          <m:sSub>
            <m:sSubPr>
              <m:ctrlPr>
                <w:rPr>
                  <w:rFonts w:ascii="Cambria Math" w:hAnsi="Cambria Math"/>
                  <w:i/>
                  <w:sz w:val="24"/>
                  <w:szCs w:val="24"/>
                </w:rPr>
              </m:ctrlPr>
            </m:sSubPr>
            <m:e>
              <m:r>
                <m:rPr/>
                <w:rPr>
                  <w:rFonts w:ascii="Cambria Math" w:hAnsi="Cambria Math"/>
                  <w:sz w:val="24"/>
                  <w:szCs w:val="24"/>
                </w:rPr>
                <m:t>L</m:t>
              </m:r>
              <m:ctrlPr>
                <w:rPr>
                  <w:rFonts w:ascii="Cambria Math" w:hAnsi="Cambria Math"/>
                  <w:i/>
                  <w:sz w:val="24"/>
                  <w:szCs w:val="24"/>
                </w:rPr>
              </m:ctrlPr>
            </m:e>
            <m:sub>
              <m:r>
                <m:rPr/>
                <w:rPr>
                  <w:rFonts w:ascii="Cambria Math" w:hAnsi="Cambria Math"/>
                  <w:sz w:val="24"/>
                  <w:szCs w:val="24"/>
                </w:rPr>
                <m:t>p1</m:t>
              </m:r>
              <m:ctrlPr>
                <w:rPr>
                  <w:rFonts w:ascii="Cambria Math" w:hAnsi="Cambria Math"/>
                  <w:i/>
                  <w:sz w:val="24"/>
                  <w:szCs w:val="24"/>
                </w:rPr>
              </m:ctrlPr>
            </m:sub>
          </m:sSub>
          <m:r>
            <m:rPr/>
            <w:rPr>
              <w:rFonts w:ascii="Cambria Math" w:hAnsi="Cambria Math"/>
              <w:sz w:val="24"/>
              <w:szCs w:val="24"/>
            </w:rPr>
            <m:t>−</m:t>
          </m:r>
          <m:d>
            <m:dPr>
              <m:ctrlPr>
                <w:rPr>
                  <w:rFonts w:ascii="Cambria Math" w:hAnsi="Cambria Math"/>
                  <w:i/>
                  <w:sz w:val="24"/>
                  <w:szCs w:val="24"/>
                </w:rPr>
              </m:ctrlPr>
            </m:dPr>
            <m:e>
              <m:r>
                <m:rPr/>
                <w:rPr>
                  <w:rFonts w:ascii="Cambria Math" w:hAnsi="Cambria Math"/>
                  <w:sz w:val="24"/>
                  <w:szCs w:val="24"/>
                </w:rPr>
                <m:t>TL+6</m:t>
              </m:r>
              <m:ctrlPr>
                <w:rPr>
                  <w:rFonts w:ascii="Cambria Math" w:hAnsi="Cambria Math"/>
                  <w:i/>
                  <w:sz w:val="24"/>
                  <w:szCs w:val="24"/>
                </w:rPr>
              </m:ctrlPr>
            </m:e>
          </m:d>
        </m:oMath>
      </m:oMathPara>
    </w:p>
    <w:p w14:paraId="7DEA63C6">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式中：</w:t>
      </w:r>
    </w:p>
    <w:p w14:paraId="2402B006">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L</w:t>
      </w:r>
      <w:r>
        <w:rPr>
          <w:rFonts w:ascii="Times New Roman" w:hAnsi="Times New Roman"/>
          <w:spacing w:val="-2"/>
          <w:kern w:val="0"/>
          <w:sz w:val="24"/>
          <w:szCs w:val="24"/>
          <w:vertAlign w:val="subscript"/>
        </w:rPr>
        <w:t>p1</w:t>
      </w:r>
      <w:r>
        <w:rPr>
          <w:rFonts w:ascii="Times New Roman" w:hAnsi="Times New Roman"/>
          <w:spacing w:val="-2"/>
          <w:kern w:val="0"/>
          <w:sz w:val="24"/>
          <w:szCs w:val="24"/>
        </w:rPr>
        <w:t xml:space="preserve">——靠近开口处（或窗户）室内某倍频带的声压级或A声级，dB； </w:t>
      </w:r>
    </w:p>
    <w:p w14:paraId="1627A1C9">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L</w:t>
      </w:r>
      <w:r>
        <w:rPr>
          <w:rFonts w:ascii="Times New Roman" w:hAnsi="Times New Roman"/>
          <w:spacing w:val="-2"/>
          <w:kern w:val="0"/>
          <w:sz w:val="24"/>
          <w:szCs w:val="24"/>
          <w:vertAlign w:val="subscript"/>
        </w:rPr>
        <w:t>p2</w:t>
      </w:r>
      <w:r>
        <w:rPr>
          <w:rFonts w:ascii="Times New Roman" w:hAnsi="Times New Roman"/>
          <w:spacing w:val="-2"/>
          <w:kern w:val="0"/>
          <w:sz w:val="24"/>
          <w:szCs w:val="24"/>
        </w:rPr>
        <w:t xml:space="preserve">——靠近开口处（或窗户）室外某倍频带的声压级或A声级，dB； </w:t>
      </w:r>
    </w:p>
    <w:p w14:paraId="09765A10">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TL——隔墙（或窗户）倍频带或A声级的隔声量，dB。</w:t>
      </w:r>
    </w:p>
    <w:p w14:paraId="1C69DA93">
      <w:pPr>
        <w:autoSpaceDE w:val="0"/>
        <w:autoSpaceDN w:val="0"/>
        <w:adjustRightInd w:val="0"/>
        <w:spacing w:line="360" w:lineRule="auto"/>
        <w:jc w:val="center"/>
        <w:rPr>
          <w:rFonts w:ascii="Times New Roman" w:hAnsi="Times New Roman"/>
          <w:spacing w:val="-2"/>
          <w:kern w:val="0"/>
          <w:sz w:val="24"/>
          <w:szCs w:val="24"/>
        </w:rPr>
      </w:pPr>
      <w:r>
        <w:rPr>
          <w:rFonts w:ascii="Times New Roman" w:hAnsi="Times New Roman"/>
          <w:spacing w:val="-2"/>
          <w:kern w:val="0"/>
          <w:sz w:val="24"/>
          <w:szCs w:val="24"/>
        </w:rPr>
        <w:drawing>
          <wp:inline distT="0" distB="0" distL="0" distR="0">
            <wp:extent cx="2665095" cy="1408430"/>
            <wp:effectExtent l="0" t="0" r="1905" b="1270"/>
            <wp:docPr id="1788081051"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081051" name="图片 16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10081" cy="1432430"/>
                    </a:xfrm>
                    <a:prstGeom prst="rect">
                      <a:avLst/>
                    </a:prstGeom>
                  </pic:spPr>
                </pic:pic>
              </a:graphicData>
            </a:graphic>
          </wp:inline>
        </w:drawing>
      </w:r>
    </w:p>
    <w:p w14:paraId="23F30D2D">
      <w:pPr>
        <w:pStyle w:val="9"/>
        <w:numPr>
          <w:ilvl w:val="5"/>
          <w:numId w:val="3"/>
        </w:numPr>
        <w:rPr>
          <w:sz w:val="24"/>
        </w:rPr>
      </w:pPr>
      <w:r>
        <w:rPr>
          <w:sz w:val="24"/>
        </w:rPr>
        <w:t>室内声源等效为室外声源图例</w:t>
      </w:r>
    </w:p>
    <w:p w14:paraId="3E4D2DAC">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也可按下式计算某一室内声源靠近围护结构处产生的倍频带声压级或A声级：</w:t>
      </w:r>
    </w:p>
    <w:p w14:paraId="31DDED69">
      <w:pPr>
        <w:spacing w:line="360" w:lineRule="auto"/>
        <w:ind w:firstLine="480" w:firstLineChars="200"/>
        <w:jc w:val="center"/>
        <w:rPr>
          <w:rFonts w:ascii="Times New Roman" w:hAnsi="Times New Roman"/>
          <w:sz w:val="24"/>
          <w:szCs w:val="24"/>
        </w:rPr>
      </w:pPr>
      <m:oMathPara>
        <m:oMath>
          <m:sSub>
            <m:sSubPr>
              <m:ctrlPr>
                <w:rPr>
                  <w:rFonts w:ascii="Cambria Math" w:hAnsi="Cambria Math"/>
                  <w:i/>
                  <w:sz w:val="24"/>
                  <w:szCs w:val="24"/>
                </w:rPr>
              </m:ctrlPr>
            </m:sSubPr>
            <m:e>
              <m:r>
                <m:rPr/>
                <w:rPr>
                  <w:rFonts w:ascii="Cambria Math" w:hAnsi="Cambria Math"/>
                  <w:sz w:val="24"/>
                  <w:szCs w:val="24"/>
                </w:rPr>
                <m:t>L</m:t>
              </m:r>
              <m:ctrlPr>
                <w:rPr>
                  <w:rFonts w:ascii="Cambria Math" w:hAnsi="Cambria Math"/>
                  <w:i/>
                  <w:sz w:val="24"/>
                  <w:szCs w:val="24"/>
                </w:rPr>
              </m:ctrlPr>
            </m:e>
            <m:sub>
              <m:r>
                <m:rPr/>
                <w:rPr>
                  <w:rFonts w:ascii="Cambria Math" w:hAnsi="Cambria Math"/>
                  <w:sz w:val="24"/>
                  <w:szCs w:val="24"/>
                </w:rPr>
                <m:t>p2</m:t>
              </m:r>
              <m:ctrlPr>
                <w:rPr>
                  <w:rFonts w:ascii="Cambria Math" w:hAnsi="Cambria Math"/>
                  <w:i/>
                  <w:sz w:val="24"/>
                  <w:szCs w:val="24"/>
                </w:rPr>
              </m:ctrlPr>
            </m:sub>
          </m:sSub>
          <m:r>
            <m:rPr/>
            <w:rPr>
              <w:rFonts w:ascii="Cambria Math" w:hAnsi="Cambria Math"/>
              <w:sz w:val="24"/>
              <w:szCs w:val="24"/>
            </w:rPr>
            <m:t>=</m:t>
          </m:r>
          <m:sSub>
            <m:sSubPr>
              <m:ctrlPr>
                <w:rPr>
                  <w:rFonts w:ascii="Cambria Math" w:hAnsi="Cambria Math"/>
                  <w:i/>
                  <w:sz w:val="24"/>
                  <w:szCs w:val="24"/>
                </w:rPr>
              </m:ctrlPr>
            </m:sSubPr>
            <m:e>
              <m:r>
                <m:rPr/>
                <w:rPr>
                  <w:rFonts w:ascii="Cambria Math" w:hAnsi="Cambria Math"/>
                  <w:sz w:val="24"/>
                  <w:szCs w:val="24"/>
                </w:rPr>
                <m:t>L</m:t>
              </m:r>
              <m:ctrlPr>
                <w:rPr>
                  <w:rFonts w:ascii="Cambria Math" w:hAnsi="Cambria Math"/>
                  <w:i/>
                  <w:sz w:val="24"/>
                  <w:szCs w:val="24"/>
                </w:rPr>
              </m:ctrlPr>
            </m:e>
            <m:sub>
              <m:r>
                <m:rPr/>
                <w:rPr>
                  <w:rFonts w:ascii="Cambria Math" w:hAnsi="Cambria Math"/>
                  <w:sz w:val="24"/>
                  <w:szCs w:val="24"/>
                </w:rPr>
                <m:t>W</m:t>
              </m:r>
              <m:ctrlPr>
                <w:rPr>
                  <w:rFonts w:ascii="Cambria Math" w:hAnsi="Cambria Math"/>
                  <w:i/>
                  <w:sz w:val="24"/>
                  <w:szCs w:val="24"/>
                </w:rPr>
              </m:ctrlPr>
            </m:sub>
          </m:sSub>
          <m:r>
            <m:rPr/>
            <w:rPr>
              <w:rFonts w:ascii="Cambria Math" w:hAnsi="Cambria Math"/>
              <w:sz w:val="24"/>
              <w:szCs w:val="24"/>
            </w:rPr>
            <m:t>−10lg</m:t>
          </m:r>
          <m:d>
            <m:dPr>
              <m:ctrlPr>
                <w:rPr>
                  <w:rFonts w:ascii="Cambria Math" w:hAnsi="Cambria Math"/>
                  <w:i/>
                  <w:sz w:val="24"/>
                  <w:szCs w:val="24"/>
                </w:rPr>
              </m:ctrlPr>
            </m:dPr>
            <m:e>
              <m:f>
                <m:fPr>
                  <m:ctrlPr>
                    <w:rPr>
                      <w:rFonts w:ascii="Cambria Math" w:hAnsi="Cambria Math"/>
                      <w:i/>
                      <w:sz w:val="24"/>
                      <w:szCs w:val="24"/>
                    </w:rPr>
                  </m:ctrlPr>
                </m:fPr>
                <m:num>
                  <m:r>
                    <m:rPr/>
                    <w:rPr>
                      <w:rFonts w:ascii="Cambria Math" w:hAnsi="Cambria Math"/>
                      <w:sz w:val="24"/>
                      <w:szCs w:val="24"/>
                    </w:rPr>
                    <m:t>Q</m:t>
                  </m:r>
                  <m:ctrlPr>
                    <w:rPr>
                      <w:rFonts w:ascii="Cambria Math" w:hAnsi="Cambria Math"/>
                      <w:i/>
                      <w:sz w:val="24"/>
                      <w:szCs w:val="24"/>
                    </w:rPr>
                  </m:ctrlPr>
                </m:num>
                <m:den>
                  <m:r>
                    <m:rPr/>
                    <w:rPr>
                      <w:rFonts w:ascii="Cambria Math" w:hAnsi="Cambria Math"/>
                      <w:sz w:val="24"/>
                      <w:szCs w:val="24"/>
                    </w:rPr>
                    <m:t>4π</m:t>
                  </m:r>
                  <m:sSup>
                    <m:sSupPr>
                      <m:ctrlPr>
                        <w:rPr>
                          <w:rFonts w:ascii="Cambria Math" w:hAnsi="Cambria Math"/>
                          <w:i/>
                          <w:sz w:val="24"/>
                          <w:szCs w:val="24"/>
                        </w:rPr>
                      </m:ctrlPr>
                    </m:sSupPr>
                    <m:e>
                      <m:r>
                        <m:rPr/>
                        <w:rPr>
                          <w:rFonts w:ascii="Cambria Math" w:hAnsi="Cambria Math"/>
                          <w:sz w:val="24"/>
                          <w:szCs w:val="24"/>
                        </w:rPr>
                        <m:t>r</m:t>
                      </m:r>
                      <m:ctrlPr>
                        <w:rPr>
                          <w:rFonts w:ascii="Cambria Math" w:hAnsi="Cambria Math"/>
                          <w:i/>
                          <w:sz w:val="24"/>
                          <w:szCs w:val="24"/>
                        </w:rPr>
                      </m:ctrlPr>
                    </m:e>
                    <m:sup>
                      <m:r>
                        <m:rPr/>
                        <w:rPr>
                          <w:rFonts w:ascii="Cambria Math" w:hAnsi="Cambria Math"/>
                          <w:sz w:val="24"/>
                          <w:szCs w:val="24"/>
                        </w:rPr>
                        <m:t>2</m:t>
                      </m:r>
                      <m:ctrlPr>
                        <w:rPr>
                          <w:rFonts w:ascii="Cambria Math" w:hAnsi="Cambria Math"/>
                          <w:i/>
                          <w:sz w:val="24"/>
                          <w:szCs w:val="24"/>
                        </w:rPr>
                      </m:ctrlPr>
                    </m:sup>
                  </m:sSup>
                  <m:ctrlPr>
                    <w:rPr>
                      <w:rFonts w:ascii="Cambria Math" w:hAnsi="Cambria Math"/>
                      <w:i/>
                      <w:sz w:val="24"/>
                      <w:szCs w:val="24"/>
                    </w:rPr>
                  </m:ctrlPr>
                </m:den>
              </m:f>
              <m:r>
                <m:rPr/>
                <w:rPr>
                  <w:rFonts w:ascii="Cambria Math" w:hAnsi="Cambria Math"/>
                  <w:sz w:val="24"/>
                  <w:szCs w:val="24"/>
                </w:rPr>
                <m:t>+</m:t>
              </m:r>
              <m:f>
                <m:fPr>
                  <m:ctrlPr>
                    <w:rPr>
                      <w:rFonts w:ascii="Cambria Math" w:hAnsi="Cambria Math"/>
                      <w:i/>
                      <w:sz w:val="24"/>
                      <w:szCs w:val="24"/>
                    </w:rPr>
                  </m:ctrlPr>
                </m:fPr>
                <m:num>
                  <m:r>
                    <m:rPr/>
                    <w:rPr>
                      <w:rFonts w:ascii="Cambria Math" w:hAnsi="Cambria Math"/>
                      <w:sz w:val="24"/>
                      <w:szCs w:val="24"/>
                    </w:rPr>
                    <m:t>4</m:t>
                  </m:r>
                  <m:ctrlPr>
                    <w:rPr>
                      <w:rFonts w:ascii="Cambria Math" w:hAnsi="Cambria Math"/>
                      <w:i/>
                      <w:sz w:val="24"/>
                      <w:szCs w:val="24"/>
                    </w:rPr>
                  </m:ctrlPr>
                </m:num>
                <m:den>
                  <m:r>
                    <m:rPr/>
                    <w:rPr>
                      <w:rFonts w:ascii="Cambria Math" w:hAnsi="Cambria Math"/>
                      <w:sz w:val="24"/>
                      <w:szCs w:val="24"/>
                    </w:rPr>
                    <m:t>R</m:t>
                  </m:r>
                  <m:ctrlPr>
                    <w:rPr>
                      <w:rFonts w:ascii="Cambria Math" w:hAnsi="Cambria Math"/>
                      <w:i/>
                      <w:sz w:val="24"/>
                      <w:szCs w:val="24"/>
                    </w:rPr>
                  </m:ctrlPr>
                </m:den>
              </m:f>
              <m:ctrlPr>
                <w:rPr>
                  <w:rFonts w:ascii="Cambria Math" w:hAnsi="Cambria Math"/>
                  <w:i/>
                  <w:sz w:val="24"/>
                  <w:szCs w:val="24"/>
                </w:rPr>
              </m:ctrlPr>
            </m:e>
          </m:d>
        </m:oMath>
      </m:oMathPara>
    </w:p>
    <w:p w14:paraId="29E9AB63">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式中：</w:t>
      </w:r>
    </w:p>
    <w:p w14:paraId="0460D16E">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L</w:t>
      </w:r>
      <w:r>
        <w:rPr>
          <w:rFonts w:ascii="Times New Roman" w:hAnsi="Times New Roman"/>
          <w:spacing w:val="-2"/>
          <w:kern w:val="0"/>
          <w:sz w:val="24"/>
          <w:szCs w:val="24"/>
          <w:vertAlign w:val="subscript"/>
        </w:rPr>
        <w:t>p1</w:t>
      </w:r>
      <w:r>
        <w:rPr>
          <w:rFonts w:ascii="Times New Roman" w:hAnsi="Times New Roman"/>
          <w:spacing w:val="-2"/>
          <w:kern w:val="0"/>
          <w:sz w:val="24"/>
          <w:szCs w:val="24"/>
        </w:rPr>
        <w:t>——靠近开口处（或窗户）室内某倍频带的声压级或A声级，dB；</w:t>
      </w:r>
    </w:p>
    <w:p w14:paraId="114F21FC">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L</w:t>
      </w:r>
      <w:r>
        <w:rPr>
          <w:rFonts w:ascii="Times New Roman" w:hAnsi="Times New Roman"/>
          <w:spacing w:val="-2"/>
          <w:kern w:val="0"/>
          <w:sz w:val="24"/>
          <w:szCs w:val="24"/>
          <w:vertAlign w:val="subscript"/>
        </w:rPr>
        <w:t>w</w:t>
      </w:r>
      <w:r>
        <w:rPr>
          <w:rFonts w:ascii="Times New Roman" w:hAnsi="Times New Roman"/>
          <w:spacing w:val="-2"/>
          <w:kern w:val="0"/>
          <w:sz w:val="24"/>
          <w:szCs w:val="24"/>
        </w:rPr>
        <w:t>——点声源声功率级（A计权或倍频带），dB；</w:t>
      </w:r>
    </w:p>
    <w:p w14:paraId="23D77CCB">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Q——指向性因数；通常对无指向性声源，当声源放在房间中心时，Q=1；当放在一面墙的中心时，Q=2；当放在两面墙夹角处时，Q=4；当放在三面墙夹角处时，Q=8；</w:t>
      </w:r>
    </w:p>
    <w:p w14:paraId="1CDB2CB9">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R——房间常数；R=Sα/（1-α），S为房间内表面面积，m</w:t>
      </w:r>
      <w:r>
        <w:rPr>
          <w:rFonts w:ascii="Times New Roman" w:hAnsi="Times New Roman"/>
          <w:spacing w:val="-2"/>
          <w:kern w:val="0"/>
          <w:sz w:val="24"/>
          <w:szCs w:val="24"/>
          <w:vertAlign w:val="superscript"/>
        </w:rPr>
        <w:t>2</w:t>
      </w:r>
      <w:r>
        <w:rPr>
          <w:rFonts w:ascii="Times New Roman" w:hAnsi="Times New Roman"/>
          <w:spacing w:val="-2"/>
          <w:kern w:val="0"/>
          <w:sz w:val="24"/>
          <w:szCs w:val="24"/>
        </w:rPr>
        <w:t>；α为平均吸声系数；</w:t>
      </w:r>
    </w:p>
    <w:p w14:paraId="1F4F78CB">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r——声源到靠近围护结构某点处的距离，m。</w:t>
      </w:r>
    </w:p>
    <w:p w14:paraId="46D9D771">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然后按下式计算出所有室内声源在围护结构处产生的i倍频带叠加声压级：</w:t>
      </w:r>
    </w:p>
    <w:p w14:paraId="2E2ADFC5">
      <w:pPr>
        <w:spacing w:line="360" w:lineRule="auto"/>
        <w:ind w:firstLine="480" w:firstLineChars="200"/>
        <w:jc w:val="center"/>
        <w:rPr>
          <w:rFonts w:ascii="Times New Roman" w:hAnsi="Times New Roman"/>
          <w:sz w:val="24"/>
          <w:szCs w:val="24"/>
        </w:rPr>
      </w:pPr>
      <m:oMathPara>
        <m:oMath>
          <m:sSub>
            <m:sSubPr>
              <m:ctrlPr>
                <w:rPr>
                  <w:rFonts w:ascii="Cambria Math" w:hAnsi="Cambria Math"/>
                  <w:i/>
                  <w:sz w:val="24"/>
                  <w:szCs w:val="24"/>
                </w:rPr>
              </m:ctrlPr>
            </m:sSubPr>
            <m:e>
              <m:r>
                <m:rPr/>
                <w:rPr>
                  <w:rFonts w:ascii="Cambria Math" w:hAnsi="Cambria Math"/>
                  <w:sz w:val="24"/>
                  <w:szCs w:val="24"/>
                </w:rPr>
                <m:t>L</m:t>
              </m:r>
              <m:ctrlPr>
                <w:rPr>
                  <w:rFonts w:ascii="Cambria Math" w:hAnsi="Cambria Math"/>
                  <w:i/>
                  <w:sz w:val="24"/>
                  <w:szCs w:val="24"/>
                </w:rPr>
              </m:ctrlPr>
            </m:e>
            <m:sub>
              <m:r>
                <m:rPr/>
                <w:rPr>
                  <w:rFonts w:ascii="Cambria Math" w:hAnsi="Cambria Math"/>
                  <w:sz w:val="24"/>
                  <w:szCs w:val="24"/>
                </w:rPr>
                <m:t>p1i</m:t>
              </m:r>
              <m:ctrlPr>
                <w:rPr>
                  <w:rFonts w:ascii="Cambria Math" w:hAnsi="Cambria Math"/>
                  <w:i/>
                  <w:sz w:val="24"/>
                  <w:szCs w:val="24"/>
                </w:rPr>
              </m:ctrlPr>
            </m:sub>
          </m:sSub>
          <m:d>
            <m:dPr>
              <m:ctrlPr>
                <w:rPr>
                  <w:rFonts w:ascii="Cambria Math" w:hAnsi="Cambria Math"/>
                  <w:i/>
                  <w:sz w:val="24"/>
                  <w:szCs w:val="24"/>
                </w:rPr>
              </m:ctrlPr>
            </m:dPr>
            <m:e>
              <m:r>
                <m:rPr/>
                <w:rPr>
                  <w:rFonts w:ascii="Cambria Math" w:hAnsi="Cambria Math"/>
                  <w:sz w:val="24"/>
                  <w:szCs w:val="24"/>
                </w:rPr>
                <m:t>T</m:t>
              </m:r>
              <m:ctrlPr>
                <w:rPr>
                  <w:rFonts w:ascii="Cambria Math" w:hAnsi="Cambria Math"/>
                  <w:i/>
                  <w:sz w:val="24"/>
                  <w:szCs w:val="24"/>
                </w:rPr>
              </m:ctrlPr>
            </m:e>
          </m:d>
          <m:r>
            <m:rPr/>
            <w:rPr>
              <w:rFonts w:ascii="Cambria Math" w:hAnsi="Cambria Math"/>
              <w:sz w:val="24"/>
              <w:szCs w:val="24"/>
            </w:rPr>
            <m:t>=10lg</m:t>
          </m:r>
          <m:d>
            <m:dPr>
              <m:ctrlPr>
                <w:rPr>
                  <w:rFonts w:ascii="Cambria Math" w:hAnsi="Cambria Math"/>
                  <w:i/>
                  <w:sz w:val="24"/>
                  <w:szCs w:val="24"/>
                </w:rPr>
              </m:ctrlPr>
            </m:dPr>
            <m:e>
              <m:nary>
                <m:naryPr>
                  <m:chr m:val="∑"/>
                  <m:limLoc m:val="undOvr"/>
                  <m:ctrlPr>
                    <w:rPr>
                      <w:rFonts w:ascii="Cambria Math" w:hAnsi="Cambria Math"/>
                      <w:i/>
                      <w:sz w:val="24"/>
                      <w:szCs w:val="24"/>
                    </w:rPr>
                  </m:ctrlPr>
                </m:naryPr>
                <m:sub>
                  <m:r>
                    <m:rPr/>
                    <w:rPr>
                      <w:rFonts w:ascii="Cambria Math" w:hAnsi="Cambria Math"/>
                      <w:sz w:val="24"/>
                      <w:szCs w:val="24"/>
                    </w:rPr>
                    <m:t>j=1</m:t>
                  </m:r>
                  <m:ctrlPr>
                    <w:rPr>
                      <w:rFonts w:ascii="Cambria Math" w:hAnsi="Cambria Math"/>
                      <w:i/>
                      <w:sz w:val="24"/>
                      <w:szCs w:val="24"/>
                    </w:rPr>
                  </m:ctrlPr>
                </m:sub>
                <m:sup>
                  <m:r>
                    <m:rPr/>
                    <w:rPr>
                      <w:rFonts w:ascii="Cambria Math" w:hAnsi="Cambria Math"/>
                      <w:sz w:val="24"/>
                      <w:szCs w:val="24"/>
                    </w:rPr>
                    <m:t>N</m:t>
                  </m:r>
                  <m:ctrlPr>
                    <w:rPr>
                      <w:rFonts w:ascii="Cambria Math" w:hAnsi="Cambria Math"/>
                      <w:i/>
                      <w:sz w:val="24"/>
                      <w:szCs w:val="24"/>
                    </w:rPr>
                  </m:ctrlPr>
                </m:sup>
                <m:e>
                  <m:sSup>
                    <m:sSupPr>
                      <m:ctrlPr>
                        <w:rPr>
                          <w:rFonts w:ascii="Cambria Math" w:hAnsi="Cambria Math"/>
                          <w:i/>
                          <w:sz w:val="24"/>
                          <w:szCs w:val="24"/>
                        </w:rPr>
                      </m:ctrlPr>
                    </m:sSupPr>
                    <m:e>
                      <m:r>
                        <m:rPr/>
                        <w:rPr>
                          <w:rFonts w:ascii="Cambria Math" w:hAnsi="Cambria Math"/>
                          <w:sz w:val="24"/>
                          <w:szCs w:val="24"/>
                        </w:rPr>
                        <m:t>10</m:t>
                      </m:r>
                      <m:ctrlPr>
                        <w:rPr>
                          <w:rFonts w:ascii="Cambria Math" w:hAnsi="Cambria Math"/>
                          <w:i/>
                          <w:sz w:val="24"/>
                          <w:szCs w:val="24"/>
                        </w:rPr>
                      </m:ctrlPr>
                    </m:e>
                    <m:sup>
                      <m:r>
                        <m:rPr/>
                        <w:rPr>
                          <w:rFonts w:ascii="Cambria Math" w:hAnsi="Cambria Math"/>
                          <w:sz w:val="24"/>
                          <w:szCs w:val="24"/>
                        </w:rPr>
                        <m:t>0.1</m:t>
                      </m:r>
                      <m:sSub>
                        <m:sSubPr>
                          <m:ctrlPr>
                            <w:rPr>
                              <w:rFonts w:ascii="Cambria Math" w:hAnsi="Cambria Math"/>
                              <w:i/>
                              <w:sz w:val="24"/>
                              <w:szCs w:val="24"/>
                            </w:rPr>
                          </m:ctrlPr>
                        </m:sSubPr>
                        <m:e>
                          <m:r>
                            <m:rPr/>
                            <w:rPr>
                              <w:rFonts w:ascii="Cambria Math" w:hAnsi="Cambria Math"/>
                              <w:sz w:val="24"/>
                              <w:szCs w:val="24"/>
                            </w:rPr>
                            <m:t>L</m:t>
                          </m:r>
                          <m:ctrlPr>
                            <w:rPr>
                              <w:rFonts w:ascii="Cambria Math" w:hAnsi="Cambria Math"/>
                              <w:i/>
                              <w:sz w:val="24"/>
                              <w:szCs w:val="24"/>
                            </w:rPr>
                          </m:ctrlPr>
                        </m:e>
                        <m:sub>
                          <m:r>
                            <m:rPr/>
                            <w:rPr>
                              <w:rFonts w:ascii="Cambria Math" w:hAnsi="Cambria Math"/>
                              <w:sz w:val="24"/>
                              <w:szCs w:val="24"/>
                            </w:rPr>
                            <m:t>p1ij</m:t>
                          </m:r>
                          <m:ctrlPr>
                            <w:rPr>
                              <w:rFonts w:ascii="Cambria Math" w:hAnsi="Cambria Math"/>
                              <w:i/>
                              <w:sz w:val="24"/>
                              <w:szCs w:val="24"/>
                            </w:rPr>
                          </m:ctrlPr>
                        </m:sub>
                      </m:sSub>
                      <m:ctrlPr>
                        <w:rPr>
                          <w:rFonts w:ascii="Cambria Math" w:hAnsi="Cambria Math"/>
                          <w:i/>
                          <w:sz w:val="24"/>
                          <w:szCs w:val="24"/>
                        </w:rPr>
                      </m:ctrlPr>
                    </m:sup>
                  </m:sSup>
                  <m:ctrlPr>
                    <w:rPr>
                      <w:rFonts w:ascii="Cambria Math" w:hAnsi="Cambria Math"/>
                      <w:i/>
                      <w:sz w:val="24"/>
                      <w:szCs w:val="24"/>
                    </w:rPr>
                  </m:ctrlPr>
                </m:e>
              </m:nary>
              <m:ctrlPr>
                <w:rPr>
                  <w:rFonts w:ascii="Cambria Math" w:hAnsi="Cambria Math"/>
                  <w:i/>
                  <w:sz w:val="24"/>
                  <w:szCs w:val="24"/>
                </w:rPr>
              </m:ctrlPr>
            </m:e>
          </m:d>
        </m:oMath>
      </m:oMathPara>
    </w:p>
    <w:p w14:paraId="3DD75A9D">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 xml:space="preserve">式中： </w:t>
      </w:r>
    </w:p>
    <w:p w14:paraId="09BC0EE8">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L</w:t>
      </w:r>
      <w:r>
        <w:rPr>
          <w:rFonts w:ascii="Times New Roman" w:hAnsi="Times New Roman"/>
          <w:spacing w:val="-2"/>
          <w:kern w:val="0"/>
          <w:sz w:val="24"/>
          <w:szCs w:val="24"/>
          <w:vertAlign w:val="subscript"/>
        </w:rPr>
        <w:t>pli</w:t>
      </w:r>
      <w:r>
        <w:rPr>
          <w:rFonts w:ascii="Times New Roman" w:hAnsi="Times New Roman"/>
          <w:spacing w:val="-2"/>
          <w:kern w:val="0"/>
          <w:sz w:val="24"/>
          <w:szCs w:val="24"/>
        </w:rPr>
        <w:t xml:space="preserve">(T)——靠近围护结构处室内N个声源i倍频带的叠加声压级，dB； </w:t>
      </w:r>
    </w:p>
    <w:p w14:paraId="0E9493E8">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L</w:t>
      </w:r>
      <w:r>
        <w:rPr>
          <w:rFonts w:ascii="Times New Roman" w:hAnsi="Times New Roman"/>
          <w:spacing w:val="-2"/>
          <w:kern w:val="0"/>
          <w:sz w:val="24"/>
          <w:szCs w:val="24"/>
          <w:vertAlign w:val="subscript"/>
        </w:rPr>
        <w:t>plij</w:t>
      </w:r>
      <w:r>
        <w:rPr>
          <w:rFonts w:ascii="Times New Roman" w:hAnsi="Times New Roman"/>
          <w:spacing w:val="-2"/>
          <w:kern w:val="0"/>
          <w:sz w:val="24"/>
          <w:szCs w:val="24"/>
        </w:rPr>
        <w:t xml:space="preserve">——室内j声源i倍频带的声压级，dB； </w:t>
      </w:r>
    </w:p>
    <w:p w14:paraId="74FAD28A">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N——室内声源总数。</w:t>
      </w:r>
    </w:p>
    <w:p w14:paraId="556BFF3A">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在室内近似为扩散声场时，按下式计算出靠近室外围护结构处的声压级：</w:t>
      </w:r>
    </w:p>
    <w:p w14:paraId="2B2B4118">
      <w:pPr>
        <w:spacing w:line="360" w:lineRule="auto"/>
        <w:ind w:firstLine="480" w:firstLineChars="200"/>
        <w:jc w:val="center"/>
        <w:rPr>
          <w:rFonts w:ascii="Times New Roman" w:hAnsi="Times New Roman"/>
          <w:sz w:val="24"/>
          <w:szCs w:val="24"/>
        </w:rPr>
      </w:pPr>
      <m:oMathPara>
        <m:oMath>
          <m:sSub>
            <m:sSubPr>
              <m:ctrlPr>
                <w:rPr>
                  <w:rFonts w:ascii="Cambria Math" w:hAnsi="Cambria Math"/>
                  <w:i/>
                  <w:sz w:val="24"/>
                  <w:szCs w:val="24"/>
                </w:rPr>
              </m:ctrlPr>
            </m:sSubPr>
            <m:e>
              <m:r>
                <m:rPr/>
                <w:rPr>
                  <w:rFonts w:ascii="Cambria Math" w:hAnsi="Cambria Math"/>
                  <w:sz w:val="24"/>
                  <w:szCs w:val="24"/>
                </w:rPr>
                <m:t>L</m:t>
              </m:r>
              <m:ctrlPr>
                <w:rPr>
                  <w:rFonts w:ascii="Cambria Math" w:hAnsi="Cambria Math"/>
                  <w:i/>
                  <w:sz w:val="24"/>
                  <w:szCs w:val="24"/>
                </w:rPr>
              </m:ctrlPr>
            </m:e>
            <m:sub>
              <m:r>
                <m:rPr/>
                <w:rPr>
                  <w:rFonts w:ascii="Cambria Math" w:hAnsi="Cambria Math"/>
                  <w:sz w:val="24"/>
                  <w:szCs w:val="24"/>
                </w:rPr>
                <m:t>p2i</m:t>
              </m:r>
              <m:ctrlPr>
                <w:rPr>
                  <w:rFonts w:ascii="Cambria Math" w:hAnsi="Cambria Math"/>
                  <w:i/>
                  <w:sz w:val="24"/>
                  <w:szCs w:val="24"/>
                </w:rPr>
              </m:ctrlPr>
            </m:sub>
          </m:sSub>
          <m:d>
            <m:dPr>
              <m:ctrlPr>
                <w:rPr>
                  <w:rFonts w:ascii="Cambria Math" w:hAnsi="Cambria Math"/>
                  <w:i/>
                  <w:sz w:val="24"/>
                  <w:szCs w:val="24"/>
                </w:rPr>
              </m:ctrlPr>
            </m:dPr>
            <m:e>
              <m:r>
                <m:rPr/>
                <w:rPr>
                  <w:rFonts w:ascii="Cambria Math" w:hAnsi="Cambria Math"/>
                  <w:sz w:val="24"/>
                  <w:szCs w:val="24"/>
                </w:rPr>
                <m:t>T</m:t>
              </m:r>
              <m:ctrlPr>
                <w:rPr>
                  <w:rFonts w:ascii="Cambria Math" w:hAnsi="Cambria Math"/>
                  <w:i/>
                  <w:sz w:val="24"/>
                  <w:szCs w:val="24"/>
                </w:rPr>
              </m:ctrlPr>
            </m:e>
          </m:d>
          <m:r>
            <m:rPr/>
            <w:rPr>
              <w:rFonts w:ascii="Cambria Math" w:hAnsi="Cambria Math"/>
              <w:sz w:val="24"/>
              <w:szCs w:val="24"/>
            </w:rPr>
            <m:t>=</m:t>
          </m:r>
          <m:sSub>
            <m:sSubPr>
              <m:ctrlPr>
                <w:rPr>
                  <w:rFonts w:ascii="Cambria Math" w:hAnsi="Cambria Math"/>
                  <w:i/>
                  <w:sz w:val="24"/>
                  <w:szCs w:val="24"/>
                </w:rPr>
              </m:ctrlPr>
            </m:sSubPr>
            <m:e>
              <m:r>
                <m:rPr/>
                <w:rPr>
                  <w:rFonts w:ascii="Cambria Math" w:hAnsi="Cambria Math"/>
                  <w:sz w:val="24"/>
                  <w:szCs w:val="24"/>
                </w:rPr>
                <m:t>L</m:t>
              </m:r>
              <m:ctrlPr>
                <w:rPr>
                  <w:rFonts w:ascii="Cambria Math" w:hAnsi="Cambria Math"/>
                  <w:i/>
                  <w:sz w:val="24"/>
                  <w:szCs w:val="24"/>
                </w:rPr>
              </m:ctrlPr>
            </m:e>
            <m:sub>
              <m:r>
                <m:rPr/>
                <w:rPr>
                  <w:rFonts w:ascii="Cambria Math" w:hAnsi="Cambria Math"/>
                  <w:sz w:val="24"/>
                  <w:szCs w:val="24"/>
                </w:rPr>
                <m:t>p1i</m:t>
              </m:r>
              <m:ctrlPr>
                <w:rPr>
                  <w:rFonts w:ascii="Cambria Math" w:hAnsi="Cambria Math"/>
                  <w:i/>
                  <w:sz w:val="24"/>
                  <w:szCs w:val="24"/>
                </w:rPr>
              </m:ctrlPr>
            </m:sub>
          </m:sSub>
          <m:d>
            <m:dPr>
              <m:ctrlPr>
                <w:rPr>
                  <w:rFonts w:ascii="Cambria Math" w:hAnsi="Cambria Math"/>
                  <w:i/>
                  <w:sz w:val="24"/>
                  <w:szCs w:val="24"/>
                </w:rPr>
              </m:ctrlPr>
            </m:dPr>
            <m:e>
              <m:r>
                <m:rPr/>
                <w:rPr>
                  <w:rFonts w:ascii="Cambria Math" w:hAnsi="Cambria Math"/>
                  <w:sz w:val="24"/>
                  <w:szCs w:val="24"/>
                </w:rPr>
                <m:t>T</m:t>
              </m:r>
              <m:ctrlPr>
                <w:rPr>
                  <w:rFonts w:ascii="Cambria Math" w:hAnsi="Cambria Math"/>
                  <w:i/>
                  <w:sz w:val="24"/>
                  <w:szCs w:val="24"/>
                </w:rPr>
              </m:ctrlPr>
            </m:e>
          </m:d>
          <m:r>
            <m:rPr/>
            <w:rPr>
              <w:rFonts w:ascii="Cambria Math" w:hAnsi="Cambria Math"/>
              <w:sz w:val="24"/>
              <w:szCs w:val="24"/>
            </w:rPr>
            <m:t>−</m:t>
          </m:r>
          <m:d>
            <m:dPr>
              <m:ctrlPr>
                <w:rPr>
                  <w:rFonts w:ascii="Cambria Math" w:hAnsi="Cambria Math"/>
                  <w:i/>
                  <w:sz w:val="24"/>
                  <w:szCs w:val="24"/>
                </w:rPr>
              </m:ctrlPr>
            </m:dPr>
            <m:e>
              <m:sSub>
                <m:sSubPr>
                  <m:ctrlPr>
                    <w:rPr>
                      <w:rFonts w:ascii="Cambria Math" w:hAnsi="Cambria Math"/>
                      <w:i/>
                      <w:sz w:val="24"/>
                      <w:szCs w:val="24"/>
                    </w:rPr>
                  </m:ctrlPr>
                </m:sSubPr>
                <m:e>
                  <m:r>
                    <m:rPr/>
                    <w:rPr>
                      <w:rFonts w:ascii="Cambria Math" w:hAnsi="Cambria Math"/>
                      <w:sz w:val="24"/>
                      <w:szCs w:val="24"/>
                    </w:rPr>
                    <m:t>TL</m:t>
                  </m:r>
                  <m:ctrlPr>
                    <w:rPr>
                      <w:rFonts w:ascii="Cambria Math" w:hAnsi="Cambria Math"/>
                      <w:i/>
                      <w:sz w:val="24"/>
                      <w:szCs w:val="24"/>
                    </w:rPr>
                  </m:ctrlPr>
                </m:e>
                <m:sub>
                  <m:r>
                    <m:rPr/>
                    <w:rPr>
                      <w:rFonts w:ascii="Cambria Math" w:hAnsi="Cambria Math"/>
                      <w:sz w:val="24"/>
                      <w:szCs w:val="24"/>
                    </w:rPr>
                    <m:t>i</m:t>
                  </m:r>
                  <m:ctrlPr>
                    <w:rPr>
                      <w:rFonts w:ascii="Cambria Math" w:hAnsi="Cambria Math"/>
                      <w:i/>
                      <w:sz w:val="24"/>
                      <w:szCs w:val="24"/>
                    </w:rPr>
                  </m:ctrlPr>
                </m:sub>
              </m:sSub>
              <m:r>
                <m:rPr/>
                <w:rPr>
                  <w:rFonts w:ascii="Cambria Math" w:hAnsi="Cambria Math"/>
                  <w:sz w:val="24"/>
                  <w:szCs w:val="24"/>
                </w:rPr>
                <m:t>+6</m:t>
              </m:r>
              <m:ctrlPr>
                <w:rPr>
                  <w:rFonts w:ascii="Cambria Math" w:hAnsi="Cambria Math"/>
                  <w:i/>
                  <w:sz w:val="24"/>
                  <w:szCs w:val="24"/>
                </w:rPr>
              </m:ctrlPr>
            </m:e>
          </m:d>
        </m:oMath>
      </m:oMathPara>
    </w:p>
    <w:p w14:paraId="356CF436">
      <w:pPr>
        <w:autoSpaceDE w:val="0"/>
        <w:autoSpaceDN w:val="0"/>
        <w:adjustRightInd w:val="0"/>
        <w:spacing w:line="360" w:lineRule="auto"/>
        <w:ind w:firstLine="472" w:firstLineChars="200"/>
        <w:rPr>
          <w:rFonts w:ascii="Times New Roman" w:hAnsi="Times New Roman"/>
          <w:spacing w:val="-2"/>
          <w:kern w:val="0"/>
          <w:sz w:val="24"/>
          <w:szCs w:val="24"/>
        </w:rPr>
      </w:pPr>
    </w:p>
    <w:p w14:paraId="2FE181D4">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 xml:space="preserve">式中： </w:t>
      </w:r>
    </w:p>
    <w:p w14:paraId="793E5D0E">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L</w:t>
      </w:r>
      <w:r>
        <w:rPr>
          <w:rFonts w:ascii="Times New Roman" w:hAnsi="Times New Roman"/>
          <w:spacing w:val="-2"/>
          <w:kern w:val="0"/>
          <w:sz w:val="24"/>
          <w:szCs w:val="24"/>
          <w:vertAlign w:val="subscript"/>
        </w:rPr>
        <w:t>P2i</w:t>
      </w:r>
      <w:r>
        <w:rPr>
          <w:rFonts w:ascii="Times New Roman" w:hAnsi="Times New Roman"/>
          <w:spacing w:val="-2"/>
          <w:kern w:val="0"/>
          <w:sz w:val="24"/>
          <w:szCs w:val="24"/>
        </w:rPr>
        <w:t xml:space="preserve"> (T)—靠近围护结构处室外N个声源i倍频带的叠加声压级，dB；</w:t>
      </w:r>
    </w:p>
    <w:p w14:paraId="6884E762">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L</w:t>
      </w:r>
      <w:r>
        <w:rPr>
          <w:rFonts w:ascii="Times New Roman" w:hAnsi="Times New Roman"/>
          <w:spacing w:val="-2"/>
          <w:kern w:val="0"/>
          <w:sz w:val="24"/>
          <w:szCs w:val="24"/>
          <w:vertAlign w:val="subscript"/>
        </w:rPr>
        <w:t>Pli</w:t>
      </w:r>
      <w:r>
        <w:rPr>
          <w:rFonts w:ascii="Times New Roman" w:hAnsi="Times New Roman"/>
          <w:spacing w:val="-2"/>
          <w:kern w:val="0"/>
          <w:sz w:val="24"/>
          <w:szCs w:val="24"/>
        </w:rPr>
        <w:t xml:space="preserve"> (T)—靠近围护结构处室内N个声源i倍频带的叠加声压级，dB；</w:t>
      </w:r>
    </w:p>
    <w:p w14:paraId="4DAD79D6">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TL</w:t>
      </w:r>
      <w:r>
        <w:rPr>
          <w:rFonts w:ascii="Times New Roman" w:hAnsi="Times New Roman"/>
          <w:spacing w:val="-2"/>
          <w:kern w:val="0"/>
          <w:sz w:val="24"/>
          <w:szCs w:val="24"/>
          <w:vertAlign w:val="subscript"/>
        </w:rPr>
        <w:t>i</w:t>
      </w:r>
      <w:r>
        <w:rPr>
          <w:rFonts w:ascii="Times New Roman" w:hAnsi="Times New Roman"/>
          <w:spacing w:val="-2"/>
          <w:kern w:val="0"/>
          <w:sz w:val="24"/>
          <w:szCs w:val="24"/>
        </w:rPr>
        <w:t xml:space="preserve">—围护结构i倍频带的隔声量，dB。 </w:t>
      </w:r>
    </w:p>
    <w:p w14:paraId="1327DB6A">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然后按下式将室外声源的声压级和透过面积换算成等效的室外声源，计算出中心位置位于透声面积（S）处的等效声源的倍频带声功率级。</w:t>
      </w:r>
    </w:p>
    <w:p w14:paraId="7B192EB9">
      <w:pPr>
        <w:spacing w:line="360" w:lineRule="auto"/>
        <w:ind w:firstLine="480" w:firstLineChars="200"/>
        <w:jc w:val="center"/>
        <w:rPr>
          <w:rFonts w:ascii="Times New Roman" w:hAnsi="Times New Roman"/>
          <w:sz w:val="24"/>
          <w:szCs w:val="24"/>
        </w:rPr>
      </w:pPr>
      <m:oMathPara>
        <m:oMath>
          <m:sSub>
            <m:sSubPr>
              <m:ctrlPr>
                <w:rPr>
                  <w:rFonts w:ascii="Cambria Math" w:hAnsi="Cambria Math"/>
                  <w:i/>
                  <w:sz w:val="24"/>
                  <w:szCs w:val="24"/>
                </w:rPr>
              </m:ctrlPr>
            </m:sSubPr>
            <m:e>
              <m:r>
                <m:rPr/>
                <w:rPr>
                  <w:rFonts w:ascii="Cambria Math" w:hAnsi="Cambria Math"/>
                  <w:sz w:val="24"/>
                  <w:szCs w:val="24"/>
                </w:rPr>
                <m:t>L</m:t>
              </m:r>
              <m:ctrlPr>
                <w:rPr>
                  <w:rFonts w:ascii="Cambria Math" w:hAnsi="Cambria Math"/>
                  <w:i/>
                  <w:sz w:val="24"/>
                  <w:szCs w:val="24"/>
                </w:rPr>
              </m:ctrlPr>
            </m:e>
            <m:sub>
              <m:r>
                <m:rPr/>
                <w:rPr>
                  <w:rFonts w:ascii="Cambria Math" w:hAnsi="Cambria Math"/>
                  <w:sz w:val="24"/>
                  <w:szCs w:val="24"/>
                </w:rPr>
                <m:t>W</m:t>
              </m:r>
              <m:ctrlPr>
                <w:rPr>
                  <w:rFonts w:ascii="Cambria Math" w:hAnsi="Cambria Math"/>
                  <w:i/>
                  <w:sz w:val="24"/>
                  <w:szCs w:val="24"/>
                </w:rPr>
              </m:ctrlPr>
            </m:sub>
          </m:sSub>
          <m:r>
            <m:rPr/>
            <w:rPr>
              <w:rFonts w:ascii="Cambria Math" w:hAnsi="Cambria Math"/>
              <w:sz w:val="24"/>
              <w:szCs w:val="24"/>
            </w:rPr>
            <m:t>=</m:t>
          </m:r>
          <m:sSub>
            <m:sSubPr>
              <m:ctrlPr>
                <w:rPr>
                  <w:rFonts w:ascii="Cambria Math" w:hAnsi="Cambria Math"/>
                  <w:i/>
                  <w:sz w:val="24"/>
                  <w:szCs w:val="24"/>
                </w:rPr>
              </m:ctrlPr>
            </m:sSubPr>
            <m:e>
              <m:r>
                <m:rPr/>
                <w:rPr>
                  <w:rFonts w:ascii="Cambria Math" w:hAnsi="Cambria Math"/>
                  <w:sz w:val="24"/>
                  <w:szCs w:val="24"/>
                </w:rPr>
                <m:t>L</m:t>
              </m:r>
              <m:ctrlPr>
                <w:rPr>
                  <w:rFonts w:ascii="Cambria Math" w:hAnsi="Cambria Math"/>
                  <w:i/>
                  <w:sz w:val="24"/>
                  <w:szCs w:val="24"/>
                </w:rPr>
              </m:ctrlPr>
            </m:e>
            <m:sub>
              <m:r>
                <m:rPr/>
                <w:rPr>
                  <w:rFonts w:ascii="Cambria Math" w:hAnsi="Cambria Math"/>
                  <w:sz w:val="24"/>
                  <w:szCs w:val="24"/>
                </w:rPr>
                <m:t>p2</m:t>
              </m:r>
              <m:ctrlPr>
                <w:rPr>
                  <w:rFonts w:ascii="Cambria Math" w:hAnsi="Cambria Math"/>
                  <w:i/>
                  <w:sz w:val="24"/>
                  <w:szCs w:val="24"/>
                </w:rPr>
              </m:ctrlPr>
            </m:sub>
          </m:sSub>
          <m:d>
            <m:dPr>
              <m:ctrlPr>
                <w:rPr>
                  <w:rFonts w:ascii="Cambria Math" w:hAnsi="Cambria Math"/>
                  <w:i/>
                  <w:sz w:val="24"/>
                  <w:szCs w:val="24"/>
                </w:rPr>
              </m:ctrlPr>
            </m:dPr>
            <m:e>
              <m:r>
                <m:rPr/>
                <w:rPr>
                  <w:rFonts w:ascii="Cambria Math" w:hAnsi="Cambria Math"/>
                  <w:sz w:val="24"/>
                  <w:szCs w:val="24"/>
                </w:rPr>
                <m:t>T</m:t>
              </m:r>
              <m:ctrlPr>
                <w:rPr>
                  <w:rFonts w:ascii="Cambria Math" w:hAnsi="Cambria Math"/>
                  <w:i/>
                  <w:sz w:val="24"/>
                  <w:szCs w:val="24"/>
                </w:rPr>
              </m:ctrlPr>
            </m:e>
          </m:d>
          <m:r>
            <m:rPr/>
            <w:rPr>
              <w:rFonts w:ascii="Cambria Math" w:hAnsi="Cambria Math"/>
              <w:sz w:val="24"/>
              <w:szCs w:val="24"/>
            </w:rPr>
            <m:t>+10lgS</m:t>
          </m:r>
        </m:oMath>
      </m:oMathPara>
    </w:p>
    <w:p w14:paraId="10225869">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式中：</w:t>
      </w:r>
    </w:p>
    <w:p w14:paraId="10A66886">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L</w:t>
      </w:r>
      <w:r>
        <w:rPr>
          <w:rFonts w:ascii="Times New Roman" w:hAnsi="Times New Roman"/>
          <w:spacing w:val="-2"/>
          <w:kern w:val="0"/>
          <w:sz w:val="24"/>
          <w:szCs w:val="24"/>
          <w:vertAlign w:val="subscript"/>
        </w:rPr>
        <w:t>w</w:t>
      </w:r>
      <w:r>
        <w:rPr>
          <w:rFonts w:ascii="Times New Roman" w:hAnsi="Times New Roman"/>
          <w:spacing w:val="-2"/>
          <w:kern w:val="0"/>
          <w:sz w:val="24"/>
          <w:szCs w:val="24"/>
        </w:rPr>
        <w:t>——中心位置位于透声面积（S）处的等效声源的倍频带声功率级，dB；</w:t>
      </w:r>
    </w:p>
    <w:p w14:paraId="5B048EE1">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L</w:t>
      </w:r>
      <w:r>
        <w:rPr>
          <w:rFonts w:ascii="Times New Roman" w:hAnsi="Times New Roman"/>
          <w:spacing w:val="-2"/>
          <w:kern w:val="0"/>
          <w:sz w:val="24"/>
          <w:szCs w:val="24"/>
          <w:vertAlign w:val="subscript"/>
        </w:rPr>
        <w:t>p2</w:t>
      </w:r>
      <w:r>
        <w:rPr>
          <w:rFonts w:ascii="Times New Roman" w:hAnsi="Times New Roman"/>
          <w:spacing w:val="-2"/>
          <w:kern w:val="0"/>
          <w:sz w:val="24"/>
          <w:szCs w:val="24"/>
        </w:rPr>
        <w:t>(T)——靠近围护结构处室外声源的声压级，dB；</w:t>
      </w:r>
    </w:p>
    <w:p w14:paraId="58EA4267">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S——透声面积，m</w:t>
      </w:r>
      <w:r>
        <w:rPr>
          <w:rFonts w:ascii="Times New Roman" w:hAnsi="Times New Roman"/>
          <w:spacing w:val="-2"/>
          <w:kern w:val="0"/>
          <w:sz w:val="24"/>
          <w:szCs w:val="24"/>
          <w:vertAlign w:val="superscript"/>
        </w:rPr>
        <w:t>2</w:t>
      </w:r>
      <w:r>
        <w:rPr>
          <w:rFonts w:ascii="Times New Roman" w:hAnsi="Times New Roman"/>
          <w:spacing w:val="-2"/>
          <w:kern w:val="0"/>
          <w:sz w:val="24"/>
          <w:szCs w:val="24"/>
        </w:rPr>
        <w:t>。</w:t>
      </w:r>
    </w:p>
    <w:p w14:paraId="2E023C24">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然后按室外声源预测方法计算预测点处的A声级。</w:t>
      </w:r>
    </w:p>
    <w:p w14:paraId="26C9F8F0">
      <w:pPr>
        <w:autoSpaceDE w:val="0"/>
        <w:autoSpaceDN w:val="0"/>
        <w:adjustRightInd w:val="0"/>
        <w:spacing w:line="360" w:lineRule="auto"/>
        <w:ind w:firstLine="474" w:firstLineChars="200"/>
        <w:rPr>
          <w:rFonts w:ascii="Times New Roman" w:hAnsi="Times New Roman"/>
          <w:b/>
          <w:bCs/>
          <w:spacing w:val="-2"/>
          <w:kern w:val="0"/>
          <w:sz w:val="24"/>
          <w:szCs w:val="24"/>
        </w:rPr>
      </w:pPr>
      <w:r>
        <w:rPr>
          <w:rFonts w:ascii="Times New Roman" w:hAnsi="Times New Roman"/>
          <w:b/>
          <w:bCs/>
          <w:spacing w:val="-2"/>
          <w:kern w:val="0"/>
          <w:sz w:val="24"/>
          <w:szCs w:val="24"/>
        </w:rPr>
        <w:t>（2）工业企业噪声计算</w:t>
      </w:r>
    </w:p>
    <w:p w14:paraId="2D5FCA15">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设第i个室外声源在预测点产生的A声级为L</w:t>
      </w:r>
      <w:r>
        <w:rPr>
          <w:rFonts w:ascii="Times New Roman" w:hAnsi="Times New Roman"/>
          <w:spacing w:val="-2"/>
          <w:kern w:val="0"/>
          <w:sz w:val="24"/>
          <w:szCs w:val="24"/>
          <w:vertAlign w:val="subscript"/>
        </w:rPr>
        <w:t>Ai</w:t>
      </w:r>
      <w:r>
        <w:rPr>
          <w:rFonts w:ascii="Times New Roman" w:hAnsi="Times New Roman"/>
          <w:spacing w:val="-2"/>
          <w:kern w:val="0"/>
          <w:sz w:val="24"/>
          <w:szCs w:val="24"/>
        </w:rPr>
        <w:t>，在T时间内该声源工作时间为t</w:t>
      </w:r>
      <w:r>
        <w:rPr>
          <w:rFonts w:ascii="Times New Roman" w:hAnsi="Times New Roman"/>
          <w:spacing w:val="-2"/>
          <w:kern w:val="0"/>
          <w:sz w:val="24"/>
          <w:szCs w:val="24"/>
          <w:vertAlign w:val="subscript"/>
        </w:rPr>
        <w:t>i</w:t>
      </w:r>
      <w:r>
        <w:rPr>
          <w:rFonts w:ascii="Times New Roman" w:hAnsi="Times New Roman"/>
          <w:spacing w:val="-2"/>
          <w:kern w:val="0"/>
          <w:sz w:val="24"/>
          <w:szCs w:val="24"/>
        </w:rPr>
        <w:t>；第j个等效室外声源在预测点产生的A声级为L</w:t>
      </w:r>
      <w:r>
        <w:rPr>
          <w:rFonts w:ascii="Times New Roman" w:hAnsi="Times New Roman"/>
          <w:spacing w:val="-2"/>
          <w:kern w:val="0"/>
          <w:sz w:val="24"/>
          <w:szCs w:val="24"/>
          <w:vertAlign w:val="subscript"/>
        </w:rPr>
        <w:t>Aj</w:t>
      </w:r>
      <w:r>
        <w:rPr>
          <w:rFonts w:ascii="Times New Roman" w:hAnsi="Times New Roman"/>
          <w:spacing w:val="-2"/>
          <w:kern w:val="0"/>
          <w:sz w:val="24"/>
          <w:szCs w:val="24"/>
        </w:rPr>
        <w:t>，在T时间内该声源工作时间为t</w:t>
      </w:r>
      <w:r>
        <w:rPr>
          <w:rFonts w:ascii="Times New Roman" w:hAnsi="Times New Roman"/>
          <w:spacing w:val="-2"/>
          <w:kern w:val="0"/>
          <w:sz w:val="24"/>
          <w:szCs w:val="24"/>
          <w:vertAlign w:val="subscript"/>
        </w:rPr>
        <w:t>j</w:t>
      </w:r>
      <w:r>
        <w:rPr>
          <w:rFonts w:ascii="Times New Roman" w:hAnsi="Times New Roman"/>
          <w:spacing w:val="-2"/>
          <w:kern w:val="0"/>
          <w:sz w:val="24"/>
          <w:szCs w:val="24"/>
        </w:rPr>
        <w:t>，则拟建工程声源对预测点产生的贡献值（L</w:t>
      </w:r>
      <w:r>
        <w:rPr>
          <w:rFonts w:ascii="Times New Roman" w:hAnsi="Times New Roman"/>
          <w:spacing w:val="-2"/>
          <w:kern w:val="0"/>
          <w:sz w:val="24"/>
          <w:szCs w:val="24"/>
          <w:vertAlign w:val="subscript"/>
        </w:rPr>
        <w:t>eqg</w:t>
      </w:r>
      <w:r>
        <w:rPr>
          <w:rFonts w:ascii="Times New Roman" w:hAnsi="Times New Roman"/>
          <w:spacing w:val="-2"/>
          <w:kern w:val="0"/>
          <w:sz w:val="24"/>
          <w:szCs w:val="24"/>
        </w:rPr>
        <w:t>）为：</w:t>
      </w:r>
    </w:p>
    <w:p w14:paraId="4ED858A0">
      <w:pPr>
        <w:spacing w:line="360" w:lineRule="auto"/>
        <w:ind w:firstLine="480" w:firstLineChars="200"/>
        <w:jc w:val="center"/>
        <w:rPr>
          <w:rFonts w:ascii="Times New Roman" w:hAnsi="Times New Roman"/>
          <w:sz w:val="24"/>
          <w:szCs w:val="24"/>
        </w:rPr>
      </w:pPr>
      <m:oMathPara>
        <m:oMath>
          <m:sSub>
            <m:sSubPr>
              <m:ctrlPr>
                <w:rPr>
                  <w:rFonts w:ascii="Cambria Math" w:hAnsi="Cambria Math"/>
                  <w:i/>
                  <w:sz w:val="24"/>
                  <w:szCs w:val="24"/>
                </w:rPr>
              </m:ctrlPr>
            </m:sSubPr>
            <m:e>
              <m:r>
                <m:rPr/>
                <w:rPr>
                  <w:rFonts w:ascii="Cambria Math" w:hAnsi="Cambria Math"/>
                  <w:sz w:val="24"/>
                  <w:szCs w:val="24"/>
                </w:rPr>
                <m:t>L</m:t>
              </m:r>
              <m:ctrlPr>
                <w:rPr>
                  <w:rFonts w:ascii="Cambria Math" w:hAnsi="Cambria Math"/>
                  <w:i/>
                  <w:sz w:val="24"/>
                  <w:szCs w:val="24"/>
                </w:rPr>
              </m:ctrlPr>
            </m:e>
            <m:sub>
              <m:r>
                <m:rPr/>
                <w:rPr>
                  <w:rFonts w:ascii="Cambria Math" w:hAnsi="Cambria Math"/>
                  <w:sz w:val="24"/>
                  <w:szCs w:val="24"/>
                </w:rPr>
                <m:t>eqg</m:t>
              </m:r>
              <m:ctrlPr>
                <w:rPr>
                  <w:rFonts w:ascii="Cambria Math" w:hAnsi="Cambria Math"/>
                  <w:i/>
                  <w:sz w:val="24"/>
                  <w:szCs w:val="24"/>
                </w:rPr>
              </m:ctrlPr>
            </m:sub>
          </m:sSub>
          <m:r>
            <m:rPr/>
            <w:rPr>
              <w:rFonts w:ascii="Cambria Math" w:hAnsi="Cambria Math"/>
              <w:sz w:val="24"/>
              <w:szCs w:val="24"/>
            </w:rPr>
            <m:t>=10lg</m:t>
          </m:r>
          <m:d>
            <m:dPr>
              <m:begChr m:val="["/>
              <m:endChr m:val="]"/>
              <m:ctrlPr>
                <w:rPr>
                  <w:rFonts w:ascii="Cambria Math" w:hAnsi="Cambria Math"/>
                  <w:i/>
                  <w:sz w:val="24"/>
                  <w:szCs w:val="24"/>
                </w:rPr>
              </m:ctrlPr>
            </m:dPr>
            <m:e>
              <m:f>
                <m:fPr>
                  <m:ctrlPr>
                    <w:rPr>
                      <w:rFonts w:ascii="Cambria Math" w:hAnsi="Cambria Math"/>
                      <w:i/>
                      <w:sz w:val="24"/>
                      <w:szCs w:val="24"/>
                    </w:rPr>
                  </m:ctrlPr>
                </m:fPr>
                <m:num>
                  <m:r>
                    <m:rPr/>
                    <w:rPr>
                      <w:rFonts w:ascii="Cambria Math" w:hAnsi="Cambria Math"/>
                      <w:sz w:val="24"/>
                      <w:szCs w:val="24"/>
                    </w:rPr>
                    <m:t>1</m:t>
                  </m:r>
                  <m:ctrlPr>
                    <w:rPr>
                      <w:rFonts w:ascii="Cambria Math" w:hAnsi="Cambria Math"/>
                      <w:i/>
                      <w:sz w:val="24"/>
                      <w:szCs w:val="24"/>
                    </w:rPr>
                  </m:ctrlPr>
                </m:num>
                <m:den>
                  <m:r>
                    <m:rPr/>
                    <w:rPr>
                      <w:rFonts w:ascii="Cambria Math" w:hAnsi="Cambria Math"/>
                      <w:sz w:val="24"/>
                      <w:szCs w:val="24"/>
                    </w:rPr>
                    <m:t>T</m:t>
                  </m:r>
                  <m:ctrlPr>
                    <w:rPr>
                      <w:rFonts w:ascii="Cambria Math" w:hAnsi="Cambria Math"/>
                      <w:i/>
                      <w:sz w:val="24"/>
                      <w:szCs w:val="24"/>
                    </w:rPr>
                  </m:ctrlPr>
                </m:den>
              </m:f>
              <m:d>
                <m:dPr>
                  <m:ctrlPr>
                    <w:rPr>
                      <w:rFonts w:ascii="Cambria Math" w:hAnsi="Cambria Math"/>
                      <w:i/>
                      <w:sz w:val="24"/>
                      <w:szCs w:val="24"/>
                    </w:rPr>
                  </m:ctrlPr>
                </m:dPr>
                <m:e>
                  <m:nary>
                    <m:naryPr>
                      <m:chr m:val="∑"/>
                      <m:limLoc m:val="undOvr"/>
                      <m:ctrlPr>
                        <w:rPr>
                          <w:rFonts w:ascii="Cambria Math" w:hAnsi="Cambria Math"/>
                          <w:i/>
                          <w:sz w:val="24"/>
                          <w:szCs w:val="24"/>
                        </w:rPr>
                      </m:ctrlPr>
                    </m:naryPr>
                    <m:sub>
                      <m:r>
                        <m:rPr/>
                        <w:rPr>
                          <w:rFonts w:ascii="Cambria Math" w:hAnsi="Cambria Math"/>
                          <w:sz w:val="24"/>
                          <w:szCs w:val="24"/>
                        </w:rPr>
                        <m:t>i=1</m:t>
                      </m:r>
                      <m:ctrlPr>
                        <w:rPr>
                          <w:rFonts w:ascii="Cambria Math" w:hAnsi="Cambria Math"/>
                          <w:i/>
                          <w:sz w:val="24"/>
                          <w:szCs w:val="24"/>
                        </w:rPr>
                      </m:ctrlPr>
                    </m:sub>
                    <m:sup>
                      <m:r>
                        <m:rPr/>
                        <w:rPr>
                          <w:rFonts w:ascii="Cambria Math" w:hAnsi="Cambria Math"/>
                          <w:sz w:val="24"/>
                          <w:szCs w:val="24"/>
                        </w:rPr>
                        <m:t>N</m:t>
                      </m:r>
                      <m:ctrlPr>
                        <w:rPr>
                          <w:rFonts w:ascii="Cambria Math" w:hAnsi="Cambria Math"/>
                          <w:i/>
                          <w:sz w:val="24"/>
                          <w:szCs w:val="24"/>
                        </w:rPr>
                      </m:ctrlPr>
                    </m:sup>
                    <m:e>
                      <m:sSup>
                        <m:sSupPr>
                          <m:ctrlPr>
                            <w:rPr>
                              <w:rFonts w:ascii="Cambria Math" w:hAnsi="Cambria Math"/>
                              <w:i/>
                              <w:sz w:val="24"/>
                              <w:szCs w:val="24"/>
                            </w:rPr>
                          </m:ctrlPr>
                        </m:sSupPr>
                        <m:e>
                          <m:sSub>
                            <m:sSubPr>
                              <m:ctrlPr>
                                <w:rPr>
                                  <w:rFonts w:ascii="Cambria Math" w:hAnsi="Cambria Math"/>
                                  <w:i/>
                                  <w:sz w:val="24"/>
                                  <w:szCs w:val="24"/>
                                </w:rPr>
                              </m:ctrlPr>
                            </m:sSubPr>
                            <m:e>
                              <m:r>
                                <m:rPr/>
                                <w:rPr>
                                  <w:rFonts w:ascii="Cambria Math" w:hAnsi="Cambria Math"/>
                                  <w:sz w:val="24"/>
                                  <w:szCs w:val="24"/>
                                </w:rPr>
                                <m:t>t</m:t>
                              </m:r>
                              <m:ctrlPr>
                                <w:rPr>
                                  <w:rFonts w:ascii="Cambria Math" w:hAnsi="Cambria Math"/>
                                  <w:i/>
                                  <w:sz w:val="24"/>
                                  <w:szCs w:val="24"/>
                                </w:rPr>
                              </m:ctrlPr>
                            </m:e>
                            <m:sub>
                              <m:r>
                                <m:rPr/>
                                <w:rPr>
                                  <w:rFonts w:ascii="Cambria Math" w:hAnsi="Cambria Math"/>
                                  <w:sz w:val="24"/>
                                  <w:szCs w:val="24"/>
                                </w:rPr>
                                <m:t>i</m:t>
                              </m:r>
                              <m:ctrlPr>
                                <w:rPr>
                                  <w:rFonts w:ascii="Cambria Math" w:hAnsi="Cambria Math"/>
                                  <w:i/>
                                  <w:sz w:val="24"/>
                                  <w:szCs w:val="24"/>
                                </w:rPr>
                              </m:ctrlPr>
                            </m:sub>
                          </m:sSub>
                          <m:r>
                            <m:rPr/>
                            <w:rPr>
                              <w:rFonts w:ascii="Cambria Math" w:hAnsi="Cambria Math"/>
                              <w:sz w:val="24"/>
                              <w:szCs w:val="24"/>
                            </w:rPr>
                            <m:t>10</m:t>
                          </m:r>
                          <m:ctrlPr>
                            <w:rPr>
                              <w:rFonts w:ascii="Cambria Math" w:hAnsi="Cambria Math"/>
                              <w:i/>
                              <w:sz w:val="24"/>
                              <w:szCs w:val="24"/>
                            </w:rPr>
                          </m:ctrlPr>
                        </m:e>
                        <m:sup>
                          <m:r>
                            <m:rPr/>
                            <w:rPr>
                              <w:rFonts w:ascii="Cambria Math" w:hAnsi="Cambria Math"/>
                              <w:sz w:val="24"/>
                              <w:szCs w:val="24"/>
                            </w:rPr>
                            <m:t>0.1</m:t>
                          </m:r>
                          <m:sSub>
                            <m:sSubPr>
                              <m:ctrlPr>
                                <w:rPr>
                                  <w:rFonts w:ascii="Cambria Math" w:hAnsi="Cambria Math"/>
                                  <w:i/>
                                  <w:sz w:val="24"/>
                                  <w:szCs w:val="24"/>
                                </w:rPr>
                              </m:ctrlPr>
                            </m:sSubPr>
                            <m:e>
                              <m:r>
                                <m:rPr/>
                                <w:rPr>
                                  <w:rFonts w:ascii="Cambria Math" w:hAnsi="Cambria Math"/>
                                  <w:sz w:val="24"/>
                                  <w:szCs w:val="24"/>
                                </w:rPr>
                                <m:t>L</m:t>
                              </m:r>
                              <m:ctrlPr>
                                <w:rPr>
                                  <w:rFonts w:ascii="Cambria Math" w:hAnsi="Cambria Math"/>
                                  <w:i/>
                                  <w:sz w:val="24"/>
                                  <w:szCs w:val="24"/>
                                </w:rPr>
                              </m:ctrlPr>
                            </m:e>
                            <m:sub>
                              <m:r>
                                <m:rPr/>
                                <w:rPr>
                                  <w:rFonts w:ascii="Cambria Math" w:hAnsi="Cambria Math"/>
                                  <w:sz w:val="24"/>
                                  <w:szCs w:val="24"/>
                                </w:rPr>
                                <m:t>Ai</m:t>
                              </m:r>
                              <m:ctrlPr>
                                <w:rPr>
                                  <w:rFonts w:ascii="Cambria Math" w:hAnsi="Cambria Math"/>
                                  <w:i/>
                                  <w:sz w:val="24"/>
                                  <w:szCs w:val="24"/>
                                </w:rPr>
                              </m:ctrlPr>
                            </m:sub>
                          </m:sSub>
                          <m:ctrlPr>
                            <w:rPr>
                              <w:rFonts w:ascii="Cambria Math" w:hAnsi="Cambria Math"/>
                              <w:i/>
                              <w:sz w:val="24"/>
                              <w:szCs w:val="24"/>
                            </w:rPr>
                          </m:ctrlPr>
                        </m:sup>
                      </m:sSup>
                      <m:ctrlPr>
                        <w:rPr>
                          <w:rFonts w:ascii="Cambria Math" w:hAnsi="Cambria Math"/>
                          <w:i/>
                          <w:sz w:val="24"/>
                          <w:szCs w:val="24"/>
                        </w:rPr>
                      </m:ctrlPr>
                    </m:e>
                  </m:nary>
                  <m:r>
                    <m:rPr/>
                    <w:rPr>
                      <w:rFonts w:ascii="Cambria Math" w:hAnsi="Cambria Math"/>
                      <w:sz w:val="24"/>
                      <w:szCs w:val="24"/>
                    </w:rPr>
                    <m:t>+</m:t>
                  </m:r>
                  <m:nary>
                    <m:naryPr>
                      <m:chr m:val="∑"/>
                      <m:limLoc m:val="undOvr"/>
                      <m:ctrlPr>
                        <w:rPr>
                          <w:rFonts w:ascii="Cambria Math" w:hAnsi="Cambria Math"/>
                          <w:i/>
                          <w:sz w:val="24"/>
                          <w:szCs w:val="24"/>
                        </w:rPr>
                      </m:ctrlPr>
                    </m:naryPr>
                    <m:sub>
                      <m:r>
                        <m:rPr/>
                        <w:rPr>
                          <w:rFonts w:ascii="Cambria Math" w:hAnsi="Cambria Math"/>
                          <w:sz w:val="24"/>
                          <w:szCs w:val="24"/>
                        </w:rPr>
                        <m:t>j=1</m:t>
                      </m:r>
                      <m:ctrlPr>
                        <w:rPr>
                          <w:rFonts w:ascii="Cambria Math" w:hAnsi="Cambria Math"/>
                          <w:i/>
                          <w:sz w:val="24"/>
                          <w:szCs w:val="24"/>
                        </w:rPr>
                      </m:ctrlPr>
                    </m:sub>
                    <m:sup>
                      <m:r>
                        <m:rPr/>
                        <w:rPr>
                          <w:rFonts w:ascii="Cambria Math" w:hAnsi="Cambria Math"/>
                          <w:sz w:val="24"/>
                          <w:szCs w:val="24"/>
                        </w:rPr>
                        <m:t>M</m:t>
                      </m:r>
                      <m:ctrlPr>
                        <w:rPr>
                          <w:rFonts w:ascii="Cambria Math" w:hAnsi="Cambria Math"/>
                          <w:i/>
                          <w:sz w:val="24"/>
                          <w:szCs w:val="24"/>
                        </w:rPr>
                      </m:ctrlPr>
                    </m:sup>
                    <m:e>
                      <m:sSub>
                        <m:sSubPr>
                          <m:ctrlPr>
                            <w:rPr>
                              <w:rFonts w:ascii="Cambria Math" w:hAnsi="Cambria Math"/>
                              <w:i/>
                              <w:sz w:val="24"/>
                              <w:szCs w:val="24"/>
                            </w:rPr>
                          </m:ctrlPr>
                        </m:sSubPr>
                        <m:e>
                          <m:r>
                            <m:rPr/>
                            <w:rPr>
                              <w:rFonts w:ascii="Cambria Math" w:hAnsi="Cambria Math"/>
                              <w:sz w:val="24"/>
                              <w:szCs w:val="24"/>
                            </w:rPr>
                            <m:t>t</m:t>
                          </m:r>
                          <m:ctrlPr>
                            <w:rPr>
                              <w:rFonts w:ascii="Cambria Math" w:hAnsi="Cambria Math"/>
                              <w:i/>
                              <w:sz w:val="24"/>
                              <w:szCs w:val="24"/>
                            </w:rPr>
                          </m:ctrlPr>
                        </m:e>
                        <m:sub>
                          <m:r>
                            <m:rPr/>
                            <w:rPr>
                              <w:rFonts w:ascii="Cambria Math" w:hAnsi="Cambria Math"/>
                              <w:sz w:val="24"/>
                              <w:szCs w:val="24"/>
                            </w:rPr>
                            <m:t>j</m:t>
                          </m:r>
                          <m:ctrlPr>
                            <w:rPr>
                              <w:rFonts w:ascii="Cambria Math" w:hAnsi="Cambria Math"/>
                              <w:i/>
                              <w:sz w:val="24"/>
                              <w:szCs w:val="24"/>
                            </w:rPr>
                          </m:ctrlPr>
                        </m:sub>
                      </m:sSub>
                      <m:sSup>
                        <m:sSupPr>
                          <m:ctrlPr>
                            <w:rPr>
                              <w:rFonts w:ascii="Cambria Math" w:hAnsi="Cambria Math"/>
                              <w:i/>
                              <w:sz w:val="24"/>
                              <w:szCs w:val="24"/>
                            </w:rPr>
                          </m:ctrlPr>
                        </m:sSupPr>
                        <m:e>
                          <m:r>
                            <m:rPr/>
                            <w:rPr>
                              <w:rFonts w:ascii="Cambria Math" w:hAnsi="Cambria Math"/>
                              <w:sz w:val="24"/>
                              <w:szCs w:val="24"/>
                            </w:rPr>
                            <m:t>10</m:t>
                          </m:r>
                          <m:ctrlPr>
                            <w:rPr>
                              <w:rFonts w:ascii="Cambria Math" w:hAnsi="Cambria Math"/>
                              <w:i/>
                              <w:sz w:val="24"/>
                              <w:szCs w:val="24"/>
                            </w:rPr>
                          </m:ctrlPr>
                        </m:e>
                        <m:sup>
                          <m:r>
                            <m:rPr/>
                            <w:rPr>
                              <w:rFonts w:ascii="Cambria Math" w:hAnsi="Cambria Math"/>
                              <w:sz w:val="24"/>
                              <w:szCs w:val="24"/>
                            </w:rPr>
                            <m:t>0.1</m:t>
                          </m:r>
                          <m:sSub>
                            <m:sSubPr>
                              <m:ctrlPr>
                                <w:rPr>
                                  <w:rFonts w:ascii="Cambria Math" w:hAnsi="Cambria Math"/>
                                  <w:i/>
                                  <w:sz w:val="24"/>
                                  <w:szCs w:val="24"/>
                                </w:rPr>
                              </m:ctrlPr>
                            </m:sSubPr>
                            <m:e>
                              <m:r>
                                <m:rPr/>
                                <w:rPr>
                                  <w:rFonts w:ascii="Cambria Math" w:hAnsi="Cambria Math"/>
                                  <w:sz w:val="24"/>
                                  <w:szCs w:val="24"/>
                                </w:rPr>
                                <m:t>L</m:t>
                              </m:r>
                              <m:ctrlPr>
                                <w:rPr>
                                  <w:rFonts w:ascii="Cambria Math" w:hAnsi="Cambria Math"/>
                                  <w:i/>
                                  <w:sz w:val="24"/>
                                  <w:szCs w:val="24"/>
                                </w:rPr>
                              </m:ctrlPr>
                            </m:e>
                            <m:sub>
                              <m:r>
                                <m:rPr/>
                                <w:rPr>
                                  <w:rFonts w:ascii="Cambria Math" w:hAnsi="Cambria Math"/>
                                  <w:sz w:val="24"/>
                                  <w:szCs w:val="24"/>
                                </w:rPr>
                                <m:t>Aj</m:t>
                              </m:r>
                              <m:ctrlPr>
                                <w:rPr>
                                  <w:rFonts w:ascii="Cambria Math" w:hAnsi="Cambria Math"/>
                                  <w:i/>
                                  <w:sz w:val="24"/>
                                  <w:szCs w:val="24"/>
                                </w:rPr>
                              </m:ctrlPr>
                            </m:sub>
                          </m:sSub>
                          <m:ctrlPr>
                            <w:rPr>
                              <w:rFonts w:ascii="Cambria Math" w:hAnsi="Cambria Math"/>
                              <w:i/>
                              <w:sz w:val="24"/>
                              <w:szCs w:val="24"/>
                            </w:rPr>
                          </m:ctrlPr>
                        </m:sup>
                      </m:sSup>
                      <m:ctrlPr>
                        <w:rPr>
                          <w:rFonts w:ascii="Cambria Math" w:hAnsi="Cambria Math"/>
                          <w:i/>
                          <w:sz w:val="24"/>
                          <w:szCs w:val="24"/>
                        </w:rPr>
                      </m:ctrlPr>
                    </m:e>
                  </m:nary>
                  <m:ctrlPr>
                    <w:rPr>
                      <w:rFonts w:ascii="Cambria Math" w:hAnsi="Cambria Math"/>
                      <w:i/>
                      <w:sz w:val="24"/>
                      <w:szCs w:val="24"/>
                    </w:rPr>
                  </m:ctrlPr>
                </m:e>
              </m:d>
              <m:ctrlPr>
                <w:rPr>
                  <w:rFonts w:ascii="Cambria Math" w:hAnsi="Cambria Math"/>
                  <w:i/>
                  <w:sz w:val="24"/>
                  <w:szCs w:val="24"/>
                </w:rPr>
              </m:ctrlPr>
            </m:e>
          </m:d>
        </m:oMath>
      </m:oMathPara>
    </w:p>
    <w:p w14:paraId="5CCCD986">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 xml:space="preserve">式中： </w:t>
      </w:r>
    </w:p>
    <w:p w14:paraId="39C1DCFF">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L</w:t>
      </w:r>
      <w:r>
        <w:rPr>
          <w:rFonts w:ascii="Times New Roman" w:hAnsi="Times New Roman"/>
          <w:spacing w:val="-2"/>
          <w:kern w:val="0"/>
          <w:sz w:val="24"/>
          <w:szCs w:val="24"/>
          <w:vertAlign w:val="subscript"/>
        </w:rPr>
        <w:t>eqg</w:t>
      </w:r>
      <w:r>
        <w:rPr>
          <w:rFonts w:ascii="Times New Roman" w:hAnsi="Times New Roman"/>
          <w:spacing w:val="-2"/>
          <w:kern w:val="0"/>
          <w:sz w:val="24"/>
          <w:szCs w:val="24"/>
        </w:rPr>
        <w:t>——建设项目声源在预测点产生的噪声贡献值，dB；</w:t>
      </w:r>
    </w:p>
    <w:p w14:paraId="5D47EB04">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 xml:space="preserve">T—用于计算等效声级的时间，s； </w:t>
      </w:r>
    </w:p>
    <w:p w14:paraId="2B0FE420">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N—室外声源个数；</w:t>
      </w:r>
    </w:p>
    <w:p w14:paraId="1BAF7A24">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t</w:t>
      </w:r>
      <w:r>
        <w:rPr>
          <w:rFonts w:ascii="Times New Roman" w:hAnsi="Times New Roman"/>
          <w:spacing w:val="-2"/>
          <w:kern w:val="0"/>
          <w:sz w:val="24"/>
          <w:szCs w:val="24"/>
          <w:vertAlign w:val="subscript"/>
        </w:rPr>
        <w:t>i</w:t>
      </w:r>
      <w:r>
        <w:rPr>
          <w:rFonts w:ascii="Times New Roman" w:hAnsi="Times New Roman"/>
          <w:spacing w:val="-2"/>
          <w:kern w:val="0"/>
          <w:sz w:val="24"/>
          <w:szCs w:val="24"/>
        </w:rPr>
        <w:t>—在T时间内i声源工作时间，s；</w:t>
      </w:r>
    </w:p>
    <w:p w14:paraId="35ED7ABD">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M—等效室外声源个数；</w:t>
      </w:r>
    </w:p>
    <w:p w14:paraId="728A7F52">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j</w:t>
      </w:r>
      <w:r>
        <w:rPr>
          <w:rFonts w:ascii="Times New Roman" w:hAnsi="Times New Roman"/>
          <w:spacing w:val="-2"/>
          <w:kern w:val="0"/>
          <w:sz w:val="24"/>
          <w:szCs w:val="24"/>
          <w:vertAlign w:val="subscript"/>
        </w:rPr>
        <w:t>t</w:t>
      </w:r>
      <w:r>
        <w:rPr>
          <w:rFonts w:ascii="Times New Roman" w:hAnsi="Times New Roman"/>
          <w:spacing w:val="-2"/>
          <w:kern w:val="0"/>
          <w:sz w:val="24"/>
          <w:szCs w:val="24"/>
        </w:rPr>
        <w:t>—在T时间内j声源工作时间，s。</w:t>
      </w:r>
    </w:p>
    <w:p w14:paraId="464364C0">
      <w:pPr>
        <w:pStyle w:val="6"/>
        <w:numPr>
          <w:ilvl w:val="2"/>
          <w:numId w:val="3"/>
        </w:numPr>
      </w:pPr>
      <w:r>
        <w:t>评价标准</w:t>
      </w:r>
    </w:p>
    <w:p w14:paraId="227CEC40">
      <w:pPr>
        <w:snapToGrid w:val="0"/>
        <w:spacing w:line="360" w:lineRule="auto"/>
        <w:ind w:firstLine="480" w:firstLineChars="200"/>
        <w:rPr>
          <w:rFonts w:ascii="Times New Roman" w:hAnsi="Times New Roman"/>
          <w:kern w:val="0"/>
          <w:sz w:val="24"/>
          <w:szCs w:val="24"/>
        </w:rPr>
      </w:pPr>
      <w:r>
        <w:rPr>
          <w:rFonts w:ascii="Times New Roman" w:hAnsi="Times New Roman"/>
          <w:kern w:val="0"/>
          <w:sz w:val="24"/>
          <w:szCs w:val="24"/>
        </w:rPr>
        <w:t>项目营运期厂界噪声排放执行《工业企业厂界环境噪声排放标准》（GB12348-2008）中3类排放限值（昼间65dB(A)，夜间55dB(A)）。</w:t>
      </w:r>
      <w:r>
        <w:rPr>
          <w:rFonts w:hint="eastAsia" w:ascii="Times New Roman" w:hAnsi="Times New Roman"/>
          <w:kern w:val="0"/>
          <w:sz w:val="24"/>
          <w:szCs w:val="24"/>
        </w:rPr>
        <w:t>本项目日工作16小时，工作时段为昼间，夜间不生产。</w:t>
      </w:r>
    </w:p>
    <w:p w14:paraId="2D800634">
      <w:pPr>
        <w:pStyle w:val="6"/>
        <w:numPr>
          <w:ilvl w:val="2"/>
          <w:numId w:val="3"/>
        </w:numPr>
      </w:pPr>
      <w:bookmarkStart w:id="221" w:name="_Toc490059233"/>
      <w:r>
        <w:t>预测结果</w:t>
      </w:r>
      <w:bookmarkEnd w:id="221"/>
    </w:p>
    <w:p w14:paraId="237AC026">
      <w:pPr>
        <w:spacing w:line="360" w:lineRule="auto"/>
        <w:ind w:firstLine="482"/>
        <w:rPr>
          <w:rFonts w:ascii="Times New Roman" w:hAnsi="Times New Roman"/>
          <w:b/>
          <w:sz w:val="24"/>
          <w:szCs w:val="24"/>
        </w:rPr>
      </w:pPr>
      <w:r>
        <w:rPr>
          <w:rFonts w:ascii="Times New Roman" w:hAnsi="Times New Roman"/>
          <w:spacing w:val="-2"/>
          <w:kern w:val="0"/>
          <w:sz w:val="24"/>
          <w:szCs w:val="24"/>
        </w:rPr>
        <w:t>根据本项目噪声产生特点以及生产车间的布置特点，项目租用广西钦州保税区创大冷链物流公司进口汽车仓储物流园内的3号仓库进行生产，全厂为单个矩形厂房分隔为2个面积较平均的车间，项目生产设备均布置在室内。项目的厂房距离进口汽车仓储物流园的厂界尚有35</w:t>
      </w:r>
      <w:r>
        <w:rPr>
          <w:rFonts w:hint="eastAsia" w:ascii="Times New Roman" w:hAnsi="Times New Roman"/>
          <w:spacing w:val="-2"/>
          <w:kern w:val="0"/>
          <w:sz w:val="24"/>
          <w:szCs w:val="24"/>
        </w:rPr>
        <w:t>～</w:t>
      </w:r>
      <w:r>
        <w:rPr>
          <w:rFonts w:ascii="Times New Roman" w:hAnsi="Times New Roman"/>
          <w:spacing w:val="-2"/>
          <w:kern w:val="0"/>
          <w:sz w:val="24"/>
          <w:szCs w:val="24"/>
        </w:rPr>
        <w:t>300m的距离才到园区外环境，本项目保守将本项目厂界定位3号仓库边界进行控制，预测</w:t>
      </w:r>
      <w:r>
        <w:rPr>
          <w:rFonts w:ascii="Times New Roman" w:hAnsi="Times New Roman"/>
          <w:kern w:val="0"/>
          <w:sz w:val="24"/>
          <w:szCs w:val="24"/>
        </w:rPr>
        <w:t>项目运行后厂界噪声贡献值水平，厂界噪声贡献值预测结果详见表4.5-2。</w:t>
      </w:r>
    </w:p>
    <w:p w14:paraId="372A41AE">
      <w:pPr>
        <w:pStyle w:val="8"/>
        <w:numPr>
          <w:ilvl w:val="4"/>
          <w:numId w:val="3"/>
        </w:numPr>
        <w:rPr>
          <w:sz w:val="24"/>
          <w:szCs w:val="24"/>
        </w:rPr>
      </w:pPr>
      <w:r>
        <w:rPr>
          <w:sz w:val="24"/>
          <w:szCs w:val="24"/>
        </w:rPr>
        <w:t>厂界噪声贡献值预测结果    单位：dB(A)</w:t>
      </w:r>
    </w:p>
    <w:tbl>
      <w:tblPr>
        <w:tblStyle w:val="88"/>
        <w:tblW w:w="9067"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40"/>
        <w:gridCol w:w="1941"/>
        <w:gridCol w:w="1549"/>
        <w:gridCol w:w="1418"/>
        <w:gridCol w:w="1209"/>
        <w:gridCol w:w="1210"/>
      </w:tblGrid>
      <w:tr w14:paraId="435BA6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blHeader/>
        </w:trPr>
        <w:tc>
          <w:tcPr>
            <w:tcW w:w="1740" w:type="dxa"/>
            <w:vMerge w:val="restart"/>
            <w:vAlign w:val="center"/>
          </w:tcPr>
          <w:p w14:paraId="6B267BD0">
            <w:pPr>
              <w:spacing w:line="240" w:lineRule="exact"/>
              <w:jc w:val="center"/>
              <w:rPr>
                <w:rFonts w:ascii="Times New Roman" w:hAnsi="Times New Roman"/>
                <w:b/>
                <w:szCs w:val="24"/>
              </w:rPr>
            </w:pPr>
            <w:r>
              <w:rPr>
                <w:rFonts w:ascii="Times New Roman" w:hAnsi="Times New Roman"/>
                <w:b/>
                <w:szCs w:val="24"/>
              </w:rPr>
              <w:t>项目名称</w:t>
            </w:r>
          </w:p>
        </w:tc>
        <w:tc>
          <w:tcPr>
            <w:tcW w:w="1941" w:type="dxa"/>
            <w:vMerge w:val="restart"/>
            <w:vAlign w:val="center"/>
          </w:tcPr>
          <w:p w14:paraId="3E68BEF8">
            <w:pPr>
              <w:spacing w:line="240" w:lineRule="exact"/>
              <w:jc w:val="center"/>
              <w:rPr>
                <w:rFonts w:ascii="Times New Roman" w:hAnsi="Times New Roman"/>
                <w:b/>
                <w:szCs w:val="24"/>
              </w:rPr>
            </w:pPr>
            <w:r>
              <w:rPr>
                <w:rFonts w:ascii="Times New Roman" w:hAnsi="Times New Roman"/>
                <w:b/>
                <w:szCs w:val="24"/>
              </w:rPr>
              <w:t>预测点及名称</w:t>
            </w:r>
          </w:p>
        </w:tc>
        <w:tc>
          <w:tcPr>
            <w:tcW w:w="1549" w:type="dxa"/>
            <w:vAlign w:val="center"/>
          </w:tcPr>
          <w:p w14:paraId="5372F2DB">
            <w:pPr>
              <w:spacing w:line="240" w:lineRule="exact"/>
              <w:jc w:val="center"/>
              <w:rPr>
                <w:rFonts w:ascii="Times New Roman" w:hAnsi="Times New Roman"/>
                <w:b/>
                <w:szCs w:val="24"/>
              </w:rPr>
            </w:pPr>
            <w:r>
              <w:rPr>
                <w:rFonts w:ascii="Times New Roman" w:hAnsi="Times New Roman"/>
                <w:b/>
                <w:szCs w:val="24"/>
              </w:rPr>
              <w:t>标准限值</w:t>
            </w:r>
          </w:p>
        </w:tc>
        <w:tc>
          <w:tcPr>
            <w:tcW w:w="1418" w:type="dxa"/>
            <w:vMerge w:val="restart"/>
            <w:vAlign w:val="center"/>
          </w:tcPr>
          <w:p w14:paraId="7BDB8F53">
            <w:pPr>
              <w:spacing w:line="240" w:lineRule="exact"/>
              <w:jc w:val="center"/>
              <w:rPr>
                <w:rFonts w:ascii="Times New Roman" w:hAnsi="Times New Roman"/>
                <w:b/>
                <w:szCs w:val="24"/>
              </w:rPr>
            </w:pPr>
            <w:r>
              <w:rPr>
                <w:rFonts w:ascii="Times New Roman" w:hAnsi="Times New Roman"/>
                <w:b/>
                <w:szCs w:val="24"/>
              </w:rPr>
              <w:t>贡献值</w:t>
            </w:r>
          </w:p>
        </w:tc>
        <w:tc>
          <w:tcPr>
            <w:tcW w:w="2419" w:type="dxa"/>
            <w:gridSpan w:val="2"/>
            <w:vAlign w:val="center"/>
          </w:tcPr>
          <w:p w14:paraId="31166634">
            <w:pPr>
              <w:spacing w:line="240" w:lineRule="exact"/>
              <w:jc w:val="center"/>
              <w:rPr>
                <w:rFonts w:ascii="Times New Roman" w:hAnsi="Times New Roman"/>
                <w:b/>
                <w:szCs w:val="24"/>
              </w:rPr>
            </w:pPr>
            <w:r>
              <w:rPr>
                <w:rFonts w:ascii="Times New Roman" w:hAnsi="Times New Roman"/>
                <w:b/>
                <w:szCs w:val="24"/>
              </w:rPr>
              <w:t>超标量</w:t>
            </w:r>
          </w:p>
        </w:tc>
      </w:tr>
      <w:tr w14:paraId="2970D1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blHeader/>
        </w:trPr>
        <w:tc>
          <w:tcPr>
            <w:tcW w:w="1740" w:type="dxa"/>
            <w:vMerge w:val="continue"/>
            <w:vAlign w:val="center"/>
          </w:tcPr>
          <w:p w14:paraId="2E1E560A">
            <w:pPr>
              <w:widowControl/>
              <w:spacing w:line="240" w:lineRule="exact"/>
              <w:jc w:val="center"/>
              <w:rPr>
                <w:rFonts w:ascii="Times New Roman" w:hAnsi="Times New Roman"/>
                <w:b/>
                <w:szCs w:val="24"/>
              </w:rPr>
            </w:pPr>
          </w:p>
        </w:tc>
        <w:tc>
          <w:tcPr>
            <w:tcW w:w="1941" w:type="dxa"/>
            <w:vMerge w:val="continue"/>
            <w:vAlign w:val="center"/>
          </w:tcPr>
          <w:p w14:paraId="5CD795F9">
            <w:pPr>
              <w:widowControl/>
              <w:spacing w:line="240" w:lineRule="exact"/>
              <w:jc w:val="center"/>
              <w:rPr>
                <w:rFonts w:ascii="Times New Roman" w:hAnsi="Times New Roman"/>
                <w:b/>
                <w:szCs w:val="24"/>
              </w:rPr>
            </w:pPr>
          </w:p>
        </w:tc>
        <w:tc>
          <w:tcPr>
            <w:tcW w:w="1549" w:type="dxa"/>
            <w:vAlign w:val="center"/>
          </w:tcPr>
          <w:p w14:paraId="55A15137">
            <w:pPr>
              <w:spacing w:line="240" w:lineRule="exact"/>
              <w:jc w:val="center"/>
              <w:rPr>
                <w:rFonts w:ascii="Times New Roman" w:hAnsi="Times New Roman"/>
                <w:b/>
                <w:szCs w:val="24"/>
              </w:rPr>
            </w:pPr>
            <w:r>
              <w:rPr>
                <w:rFonts w:ascii="Times New Roman" w:hAnsi="Times New Roman"/>
                <w:b/>
                <w:szCs w:val="24"/>
              </w:rPr>
              <w:t>昼间</w:t>
            </w:r>
          </w:p>
        </w:tc>
        <w:tc>
          <w:tcPr>
            <w:tcW w:w="1418" w:type="dxa"/>
            <w:vMerge w:val="continue"/>
            <w:vAlign w:val="center"/>
          </w:tcPr>
          <w:p w14:paraId="28B58A11">
            <w:pPr>
              <w:spacing w:line="240" w:lineRule="exact"/>
              <w:jc w:val="center"/>
              <w:rPr>
                <w:rFonts w:ascii="Times New Roman" w:hAnsi="Times New Roman"/>
                <w:b/>
                <w:szCs w:val="24"/>
              </w:rPr>
            </w:pPr>
          </w:p>
        </w:tc>
        <w:tc>
          <w:tcPr>
            <w:tcW w:w="1209" w:type="dxa"/>
            <w:vAlign w:val="center"/>
          </w:tcPr>
          <w:p w14:paraId="577E74E8">
            <w:pPr>
              <w:spacing w:line="240" w:lineRule="exact"/>
              <w:jc w:val="center"/>
              <w:rPr>
                <w:rFonts w:ascii="Times New Roman" w:hAnsi="Times New Roman"/>
                <w:b/>
                <w:szCs w:val="24"/>
              </w:rPr>
            </w:pPr>
            <w:r>
              <w:rPr>
                <w:rFonts w:ascii="Times New Roman" w:hAnsi="Times New Roman"/>
                <w:b/>
                <w:szCs w:val="24"/>
              </w:rPr>
              <w:t>昼间</w:t>
            </w:r>
          </w:p>
        </w:tc>
        <w:tc>
          <w:tcPr>
            <w:tcW w:w="1210" w:type="dxa"/>
            <w:vAlign w:val="center"/>
          </w:tcPr>
          <w:p w14:paraId="2957D41B">
            <w:pPr>
              <w:spacing w:line="240" w:lineRule="exact"/>
              <w:jc w:val="center"/>
              <w:rPr>
                <w:rFonts w:ascii="Times New Roman" w:hAnsi="Times New Roman"/>
                <w:b/>
                <w:szCs w:val="24"/>
              </w:rPr>
            </w:pPr>
            <w:r>
              <w:rPr>
                <w:rFonts w:ascii="Times New Roman" w:hAnsi="Times New Roman"/>
                <w:b/>
                <w:szCs w:val="24"/>
              </w:rPr>
              <w:t>夜间</w:t>
            </w:r>
          </w:p>
        </w:tc>
      </w:tr>
      <w:tr w14:paraId="0EE471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1740" w:type="dxa"/>
            <w:vMerge w:val="restart"/>
            <w:vAlign w:val="center"/>
          </w:tcPr>
          <w:p w14:paraId="68311FF8">
            <w:pPr>
              <w:spacing w:line="240" w:lineRule="exact"/>
              <w:jc w:val="center"/>
              <w:rPr>
                <w:rFonts w:ascii="Times New Roman" w:hAnsi="Times New Roman"/>
                <w:szCs w:val="21"/>
              </w:rPr>
            </w:pPr>
            <w:r>
              <w:rPr>
                <w:rFonts w:ascii="Times New Roman" w:hAnsi="Times New Roman"/>
                <w:szCs w:val="21"/>
              </w:rPr>
              <w:t>厂房边界噪声</w:t>
            </w:r>
          </w:p>
        </w:tc>
        <w:tc>
          <w:tcPr>
            <w:tcW w:w="1941" w:type="dxa"/>
            <w:vAlign w:val="center"/>
          </w:tcPr>
          <w:p w14:paraId="3FA46EDF">
            <w:pPr>
              <w:spacing w:line="240" w:lineRule="exact"/>
              <w:jc w:val="center"/>
              <w:rPr>
                <w:rFonts w:ascii="Times New Roman" w:hAnsi="Times New Roman"/>
                <w:szCs w:val="21"/>
              </w:rPr>
            </w:pPr>
            <w:r>
              <w:rPr>
                <w:rFonts w:ascii="Times New Roman" w:hAnsi="Times New Roman"/>
                <w:szCs w:val="21"/>
              </w:rPr>
              <w:t>厂界东</w:t>
            </w:r>
          </w:p>
        </w:tc>
        <w:tc>
          <w:tcPr>
            <w:tcW w:w="1549" w:type="dxa"/>
            <w:vAlign w:val="center"/>
          </w:tcPr>
          <w:p w14:paraId="223E2B91">
            <w:pPr>
              <w:spacing w:line="240" w:lineRule="exact"/>
              <w:jc w:val="center"/>
              <w:rPr>
                <w:rFonts w:ascii="Times New Roman" w:hAnsi="Times New Roman"/>
                <w:szCs w:val="21"/>
              </w:rPr>
            </w:pPr>
            <w:r>
              <w:rPr>
                <w:rFonts w:ascii="Times New Roman" w:hAnsi="Times New Roman"/>
                <w:szCs w:val="21"/>
              </w:rPr>
              <w:t>65</w:t>
            </w:r>
          </w:p>
        </w:tc>
        <w:tc>
          <w:tcPr>
            <w:tcW w:w="1418" w:type="dxa"/>
            <w:vAlign w:val="center"/>
          </w:tcPr>
          <w:p w14:paraId="461A2940">
            <w:pPr>
              <w:spacing w:line="240" w:lineRule="exact"/>
              <w:jc w:val="center"/>
              <w:rPr>
                <w:rFonts w:ascii="Times New Roman" w:hAnsi="Times New Roman"/>
                <w:szCs w:val="21"/>
              </w:rPr>
            </w:pPr>
            <w:r>
              <w:rPr>
                <w:rFonts w:ascii="Times New Roman" w:hAnsi="Times New Roman" w:eastAsia="等线"/>
                <w:szCs w:val="21"/>
              </w:rPr>
              <w:t>39.2</w:t>
            </w:r>
          </w:p>
        </w:tc>
        <w:tc>
          <w:tcPr>
            <w:tcW w:w="1209" w:type="dxa"/>
            <w:vAlign w:val="center"/>
          </w:tcPr>
          <w:p w14:paraId="74AD5257">
            <w:pPr>
              <w:spacing w:line="240" w:lineRule="exact"/>
              <w:jc w:val="center"/>
              <w:rPr>
                <w:rFonts w:ascii="Times New Roman" w:hAnsi="Times New Roman"/>
                <w:szCs w:val="21"/>
              </w:rPr>
            </w:pPr>
            <w:r>
              <w:rPr>
                <w:rFonts w:ascii="Times New Roman" w:hAnsi="Times New Roman"/>
                <w:szCs w:val="21"/>
              </w:rPr>
              <w:t>—</w:t>
            </w:r>
          </w:p>
        </w:tc>
        <w:tc>
          <w:tcPr>
            <w:tcW w:w="1210" w:type="dxa"/>
            <w:vAlign w:val="center"/>
          </w:tcPr>
          <w:p w14:paraId="383CC87F">
            <w:pPr>
              <w:jc w:val="center"/>
              <w:rPr>
                <w:rFonts w:ascii="Times New Roman" w:hAnsi="Times New Roman"/>
                <w:szCs w:val="24"/>
              </w:rPr>
            </w:pPr>
            <w:r>
              <w:rPr>
                <w:rFonts w:ascii="Times New Roman" w:hAnsi="Times New Roman"/>
                <w:szCs w:val="21"/>
              </w:rPr>
              <w:t>—</w:t>
            </w:r>
          </w:p>
        </w:tc>
      </w:tr>
      <w:tr w14:paraId="7ACEED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1740" w:type="dxa"/>
            <w:vMerge w:val="continue"/>
            <w:vAlign w:val="center"/>
          </w:tcPr>
          <w:p w14:paraId="6CDF37E9">
            <w:pPr>
              <w:spacing w:line="240" w:lineRule="exact"/>
              <w:jc w:val="center"/>
              <w:rPr>
                <w:rFonts w:ascii="Times New Roman" w:hAnsi="Times New Roman"/>
                <w:szCs w:val="21"/>
              </w:rPr>
            </w:pPr>
          </w:p>
        </w:tc>
        <w:tc>
          <w:tcPr>
            <w:tcW w:w="1941" w:type="dxa"/>
            <w:vAlign w:val="center"/>
          </w:tcPr>
          <w:p w14:paraId="4A70C806">
            <w:pPr>
              <w:spacing w:line="240" w:lineRule="exact"/>
              <w:jc w:val="center"/>
              <w:rPr>
                <w:rFonts w:ascii="Times New Roman" w:hAnsi="Times New Roman"/>
                <w:szCs w:val="21"/>
              </w:rPr>
            </w:pPr>
            <w:r>
              <w:rPr>
                <w:rFonts w:ascii="Times New Roman" w:hAnsi="Times New Roman"/>
                <w:szCs w:val="21"/>
              </w:rPr>
              <w:t>厂界南</w:t>
            </w:r>
          </w:p>
        </w:tc>
        <w:tc>
          <w:tcPr>
            <w:tcW w:w="1549" w:type="dxa"/>
            <w:vAlign w:val="center"/>
          </w:tcPr>
          <w:p w14:paraId="63B67B0C">
            <w:pPr>
              <w:spacing w:line="240" w:lineRule="exact"/>
              <w:jc w:val="center"/>
              <w:rPr>
                <w:rFonts w:ascii="Times New Roman" w:hAnsi="Times New Roman"/>
                <w:szCs w:val="21"/>
              </w:rPr>
            </w:pPr>
            <w:r>
              <w:rPr>
                <w:rFonts w:ascii="Times New Roman" w:hAnsi="Times New Roman"/>
                <w:szCs w:val="21"/>
              </w:rPr>
              <w:t>65</w:t>
            </w:r>
          </w:p>
        </w:tc>
        <w:tc>
          <w:tcPr>
            <w:tcW w:w="1418" w:type="dxa"/>
            <w:vAlign w:val="center"/>
          </w:tcPr>
          <w:p w14:paraId="6A9B78A3">
            <w:pPr>
              <w:spacing w:line="240" w:lineRule="exact"/>
              <w:jc w:val="center"/>
              <w:rPr>
                <w:rFonts w:ascii="Times New Roman" w:hAnsi="Times New Roman"/>
                <w:szCs w:val="21"/>
              </w:rPr>
            </w:pPr>
            <w:r>
              <w:rPr>
                <w:rFonts w:ascii="Times New Roman" w:hAnsi="Times New Roman" w:eastAsia="等线"/>
                <w:szCs w:val="21"/>
              </w:rPr>
              <w:t>51.1</w:t>
            </w:r>
          </w:p>
        </w:tc>
        <w:tc>
          <w:tcPr>
            <w:tcW w:w="1209" w:type="dxa"/>
            <w:vAlign w:val="center"/>
          </w:tcPr>
          <w:p w14:paraId="696FFA07">
            <w:pPr>
              <w:jc w:val="center"/>
              <w:rPr>
                <w:rFonts w:ascii="Times New Roman" w:hAnsi="Times New Roman"/>
                <w:szCs w:val="24"/>
              </w:rPr>
            </w:pPr>
            <w:r>
              <w:rPr>
                <w:rFonts w:ascii="Times New Roman" w:hAnsi="Times New Roman"/>
                <w:szCs w:val="21"/>
              </w:rPr>
              <w:t>—</w:t>
            </w:r>
          </w:p>
        </w:tc>
        <w:tc>
          <w:tcPr>
            <w:tcW w:w="1210" w:type="dxa"/>
            <w:vAlign w:val="center"/>
          </w:tcPr>
          <w:p w14:paraId="07D7BF34">
            <w:pPr>
              <w:jc w:val="center"/>
              <w:rPr>
                <w:rFonts w:ascii="Times New Roman" w:hAnsi="Times New Roman"/>
                <w:szCs w:val="24"/>
              </w:rPr>
            </w:pPr>
            <w:r>
              <w:rPr>
                <w:rFonts w:ascii="Times New Roman" w:hAnsi="Times New Roman"/>
                <w:szCs w:val="21"/>
              </w:rPr>
              <w:t>—</w:t>
            </w:r>
          </w:p>
        </w:tc>
      </w:tr>
      <w:tr w14:paraId="0803D0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1740" w:type="dxa"/>
            <w:vMerge w:val="continue"/>
            <w:vAlign w:val="center"/>
          </w:tcPr>
          <w:p w14:paraId="6F7A4FDE">
            <w:pPr>
              <w:spacing w:line="240" w:lineRule="exact"/>
              <w:jc w:val="center"/>
              <w:rPr>
                <w:rFonts w:ascii="Times New Roman" w:hAnsi="Times New Roman"/>
                <w:szCs w:val="21"/>
              </w:rPr>
            </w:pPr>
          </w:p>
        </w:tc>
        <w:tc>
          <w:tcPr>
            <w:tcW w:w="1941" w:type="dxa"/>
            <w:vAlign w:val="center"/>
          </w:tcPr>
          <w:p w14:paraId="4256E7F7">
            <w:pPr>
              <w:spacing w:line="240" w:lineRule="exact"/>
              <w:jc w:val="center"/>
              <w:rPr>
                <w:rFonts w:ascii="Times New Roman" w:hAnsi="Times New Roman"/>
                <w:szCs w:val="21"/>
              </w:rPr>
            </w:pPr>
            <w:r>
              <w:rPr>
                <w:rFonts w:ascii="Times New Roman" w:hAnsi="Times New Roman"/>
                <w:szCs w:val="21"/>
              </w:rPr>
              <w:t>厂界西</w:t>
            </w:r>
          </w:p>
        </w:tc>
        <w:tc>
          <w:tcPr>
            <w:tcW w:w="1549" w:type="dxa"/>
            <w:vAlign w:val="center"/>
          </w:tcPr>
          <w:p w14:paraId="1B0DD35D">
            <w:pPr>
              <w:spacing w:line="240" w:lineRule="exact"/>
              <w:jc w:val="center"/>
              <w:rPr>
                <w:rFonts w:ascii="Times New Roman" w:hAnsi="Times New Roman"/>
                <w:szCs w:val="21"/>
              </w:rPr>
            </w:pPr>
            <w:r>
              <w:rPr>
                <w:rFonts w:ascii="Times New Roman" w:hAnsi="Times New Roman"/>
                <w:szCs w:val="21"/>
              </w:rPr>
              <w:t>65</w:t>
            </w:r>
          </w:p>
        </w:tc>
        <w:tc>
          <w:tcPr>
            <w:tcW w:w="1418" w:type="dxa"/>
            <w:vAlign w:val="center"/>
          </w:tcPr>
          <w:p w14:paraId="7C724816">
            <w:pPr>
              <w:spacing w:line="240" w:lineRule="exact"/>
              <w:jc w:val="center"/>
              <w:rPr>
                <w:rFonts w:ascii="Times New Roman" w:hAnsi="Times New Roman"/>
                <w:szCs w:val="21"/>
              </w:rPr>
            </w:pPr>
            <w:r>
              <w:rPr>
                <w:rFonts w:ascii="Times New Roman" w:hAnsi="Times New Roman" w:eastAsia="等线"/>
                <w:szCs w:val="21"/>
              </w:rPr>
              <w:t>39.3</w:t>
            </w:r>
          </w:p>
        </w:tc>
        <w:tc>
          <w:tcPr>
            <w:tcW w:w="1209" w:type="dxa"/>
            <w:vAlign w:val="center"/>
          </w:tcPr>
          <w:p w14:paraId="474461C3">
            <w:pPr>
              <w:jc w:val="center"/>
              <w:rPr>
                <w:rFonts w:ascii="Times New Roman" w:hAnsi="Times New Roman"/>
                <w:szCs w:val="24"/>
              </w:rPr>
            </w:pPr>
            <w:r>
              <w:rPr>
                <w:rFonts w:ascii="Times New Roman" w:hAnsi="Times New Roman"/>
                <w:szCs w:val="21"/>
              </w:rPr>
              <w:t>—</w:t>
            </w:r>
          </w:p>
        </w:tc>
        <w:tc>
          <w:tcPr>
            <w:tcW w:w="1210" w:type="dxa"/>
            <w:vAlign w:val="center"/>
          </w:tcPr>
          <w:p w14:paraId="256753BA">
            <w:pPr>
              <w:jc w:val="center"/>
              <w:rPr>
                <w:rFonts w:ascii="Times New Roman" w:hAnsi="Times New Roman"/>
                <w:szCs w:val="24"/>
              </w:rPr>
            </w:pPr>
            <w:r>
              <w:rPr>
                <w:rFonts w:ascii="Times New Roman" w:hAnsi="Times New Roman"/>
                <w:szCs w:val="21"/>
              </w:rPr>
              <w:t>—</w:t>
            </w:r>
          </w:p>
        </w:tc>
      </w:tr>
      <w:tr w14:paraId="085809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1740" w:type="dxa"/>
            <w:vMerge w:val="continue"/>
            <w:vAlign w:val="center"/>
          </w:tcPr>
          <w:p w14:paraId="1571E897">
            <w:pPr>
              <w:spacing w:line="240" w:lineRule="exact"/>
              <w:jc w:val="center"/>
              <w:rPr>
                <w:rFonts w:ascii="Times New Roman" w:hAnsi="Times New Roman"/>
                <w:szCs w:val="21"/>
              </w:rPr>
            </w:pPr>
          </w:p>
        </w:tc>
        <w:tc>
          <w:tcPr>
            <w:tcW w:w="1941" w:type="dxa"/>
            <w:vAlign w:val="center"/>
          </w:tcPr>
          <w:p w14:paraId="4DF4A4F3">
            <w:pPr>
              <w:spacing w:line="240" w:lineRule="exact"/>
              <w:jc w:val="center"/>
              <w:rPr>
                <w:rFonts w:ascii="Times New Roman" w:hAnsi="Times New Roman"/>
                <w:szCs w:val="21"/>
              </w:rPr>
            </w:pPr>
            <w:r>
              <w:rPr>
                <w:rFonts w:ascii="Times New Roman" w:hAnsi="Times New Roman"/>
                <w:szCs w:val="21"/>
              </w:rPr>
              <w:t>厂界北</w:t>
            </w:r>
          </w:p>
        </w:tc>
        <w:tc>
          <w:tcPr>
            <w:tcW w:w="1549" w:type="dxa"/>
            <w:vAlign w:val="center"/>
          </w:tcPr>
          <w:p w14:paraId="3D68CBAE">
            <w:pPr>
              <w:spacing w:line="240" w:lineRule="exact"/>
              <w:jc w:val="center"/>
              <w:rPr>
                <w:rFonts w:ascii="Times New Roman" w:hAnsi="Times New Roman"/>
                <w:szCs w:val="21"/>
              </w:rPr>
            </w:pPr>
            <w:r>
              <w:rPr>
                <w:rFonts w:ascii="Times New Roman" w:hAnsi="Times New Roman"/>
                <w:szCs w:val="21"/>
              </w:rPr>
              <w:t>65</w:t>
            </w:r>
          </w:p>
        </w:tc>
        <w:tc>
          <w:tcPr>
            <w:tcW w:w="1418" w:type="dxa"/>
            <w:vAlign w:val="center"/>
          </w:tcPr>
          <w:p w14:paraId="785A9E09">
            <w:pPr>
              <w:spacing w:line="240" w:lineRule="exact"/>
              <w:jc w:val="center"/>
              <w:rPr>
                <w:rFonts w:ascii="Times New Roman" w:hAnsi="Times New Roman"/>
                <w:szCs w:val="21"/>
              </w:rPr>
            </w:pPr>
            <w:r>
              <w:rPr>
                <w:rFonts w:ascii="Times New Roman" w:hAnsi="Times New Roman" w:eastAsia="等线"/>
                <w:szCs w:val="21"/>
              </w:rPr>
              <w:t>60.8</w:t>
            </w:r>
          </w:p>
        </w:tc>
        <w:tc>
          <w:tcPr>
            <w:tcW w:w="1209" w:type="dxa"/>
            <w:vAlign w:val="center"/>
          </w:tcPr>
          <w:p w14:paraId="476DB894">
            <w:pPr>
              <w:jc w:val="center"/>
              <w:rPr>
                <w:rFonts w:ascii="Times New Roman" w:hAnsi="Times New Roman"/>
                <w:szCs w:val="24"/>
              </w:rPr>
            </w:pPr>
            <w:r>
              <w:rPr>
                <w:rFonts w:ascii="Times New Roman" w:hAnsi="Times New Roman"/>
                <w:szCs w:val="21"/>
              </w:rPr>
              <w:t>—</w:t>
            </w:r>
          </w:p>
        </w:tc>
        <w:tc>
          <w:tcPr>
            <w:tcW w:w="1210" w:type="dxa"/>
            <w:vAlign w:val="center"/>
          </w:tcPr>
          <w:p w14:paraId="574EE29A">
            <w:pPr>
              <w:jc w:val="center"/>
              <w:rPr>
                <w:rFonts w:ascii="Times New Roman" w:hAnsi="Times New Roman"/>
                <w:szCs w:val="24"/>
              </w:rPr>
            </w:pPr>
            <w:r>
              <w:rPr>
                <w:rFonts w:ascii="Times New Roman" w:hAnsi="Times New Roman"/>
                <w:szCs w:val="21"/>
              </w:rPr>
              <w:t>—</w:t>
            </w:r>
          </w:p>
        </w:tc>
      </w:tr>
    </w:tbl>
    <w:p w14:paraId="347D1833">
      <w:pPr>
        <w:snapToGrid w:val="0"/>
        <w:spacing w:line="360" w:lineRule="auto"/>
        <w:ind w:firstLine="420" w:firstLineChars="200"/>
        <w:rPr>
          <w:rFonts w:ascii="Times New Roman" w:hAnsi="Times New Roman"/>
        </w:rPr>
      </w:pPr>
    </w:p>
    <w:p w14:paraId="3E1639BD">
      <w:pPr>
        <w:snapToGrid w:val="0"/>
        <w:spacing w:line="360" w:lineRule="auto"/>
        <w:ind w:firstLine="480" w:firstLineChars="200"/>
        <w:rPr>
          <w:rFonts w:ascii="Times New Roman" w:hAnsi="Times New Roman"/>
          <w:spacing w:val="-2"/>
          <w:sz w:val="24"/>
          <w:szCs w:val="24"/>
        </w:rPr>
      </w:pPr>
      <w:r>
        <w:rPr>
          <w:rFonts w:ascii="Times New Roman" w:hAnsi="Times New Roman"/>
          <w:kern w:val="0"/>
          <w:sz w:val="24"/>
          <w:szCs w:val="24"/>
        </w:rPr>
        <w:t>正常生产情况下在落实降噪措施的情况下，</w:t>
      </w:r>
      <w:r>
        <w:rPr>
          <w:rFonts w:ascii="Times New Roman" w:hAnsi="Times New Roman"/>
          <w:spacing w:val="-2"/>
          <w:sz w:val="24"/>
          <w:szCs w:val="24"/>
        </w:rPr>
        <w:t>各厂房边界噪声贡献值均满足《工业企业厂界环境噪声排放标准》（GB12348-2008）3类标准要求，表明项目正常生产对周围声环境影响不大，可达到相应声功能区划的要求。</w:t>
      </w:r>
    </w:p>
    <w:p w14:paraId="75B1DFFF">
      <w:pPr>
        <w:snapToGrid w:val="0"/>
        <w:spacing w:line="360" w:lineRule="auto"/>
        <w:ind w:firstLine="472" w:firstLineChars="200"/>
        <w:rPr>
          <w:rFonts w:ascii="Times New Roman" w:hAnsi="Times New Roman"/>
        </w:rPr>
      </w:pPr>
      <w:r>
        <w:rPr>
          <w:rFonts w:hint="eastAsia" w:ascii="Times New Roman" w:hAnsi="Times New Roman"/>
          <w:spacing w:val="-2"/>
          <w:sz w:val="24"/>
          <w:szCs w:val="24"/>
        </w:rPr>
        <w:t>距离项目距离最近的生活区为保税港区企业职业配套生活区，位于项目西北面2100m，项目声环境评价范围内无声环境保护目标，项目生产噪声对周边声环境影响不大。</w:t>
      </w:r>
    </w:p>
    <w:p w14:paraId="43EB3FC2">
      <w:pPr>
        <w:pStyle w:val="6"/>
        <w:numPr>
          <w:ilvl w:val="2"/>
          <w:numId w:val="3"/>
        </w:numPr>
      </w:pPr>
      <w:r>
        <w:t>小结</w:t>
      </w:r>
    </w:p>
    <w:p w14:paraId="32F9D4B6">
      <w:pPr>
        <w:snapToGrid w:val="0"/>
        <w:spacing w:line="360" w:lineRule="auto"/>
        <w:ind w:firstLine="480" w:firstLineChars="200"/>
        <w:rPr>
          <w:rFonts w:ascii="Times New Roman" w:hAnsi="Times New Roman"/>
          <w:kern w:val="0"/>
          <w:sz w:val="24"/>
          <w:szCs w:val="24"/>
        </w:rPr>
      </w:pPr>
      <w:r>
        <w:rPr>
          <w:rFonts w:ascii="Times New Roman" w:hAnsi="Times New Roman"/>
          <w:kern w:val="0"/>
          <w:sz w:val="24"/>
          <w:szCs w:val="24"/>
        </w:rPr>
        <w:t>各设备噪声值东、南、西、北场界处噪声值昼、夜间均能达到《工业企业厂界环境噪声排放标准》（GB12348-2008）中3类区标准要求</w:t>
      </w:r>
      <w:r>
        <w:rPr>
          <w:rFonts w:hint="eastAsia" w:ascii="Times New Roman" w:hAnsi="Times New Roman"/>
          <w:kern w:val="0"/>
          <w:sz w:val="24"/>
          <w:szCs w:val="24"/>
        </w:rPr>
        <w:t>；</w:t>
      </w:r>
      <w:r>
        <w:rPr>
          <w:rFonts w:hint="eastAsia" w:ascii="Times New Roman" w:hAnsi="Times New Roman"/>
          <w:spacing w:val="-2"/>
          <w:sz w:val="24"/>
          <w:szCs w:val="24"/>
        </w:rPr>
        <w:t>项目声环境评价范围内无声环境保护目标，项目生产噪声对周边声环境影响不大。</w:t>
      </w:r>
    </w:p>
    <w:p w14:paraId="35621ECA">
      <w:pPr>
        <w:pStyle w:val="5"/>
        <w:numPr>
          <w:ilvl w:val="1"/>
          <w:numId w:val="3"/>
        </w:numPr>
      </w:pPr>
      <w:bookmarkStart w:id="222" w:name="_Toc368170024"/>
      <w:bookmarkStart w:id="223" w:name="_Toc415564638"/>
      <w:bookmarkStart w:id="224" w:name="_Toc12218"/>
      <w:r>
        <w:t>固体废物环境影响分析</w:t>
      </w:r>
      <w:bookmarkEnd w:id="222"/>
      <w:bookmarkEnd w:id="223"/>
      <w:bookmarkEnd w:id="224"/>
    </w:p>
    <w:p w14:paraId="1043E89A">
      <w:pPr>
        <w:pStyle w:val="6"/>
        <w:numPr>
          <w:ilvl w:val="2"/>
          <w:numId w:val="3"/>
        </w:numPr>
      </w:pPr>
      <w:r>
        <w:t>一般固体废物影响分析</w:t>
      </w:r>
    </w:p>
    <w:p w14:paraId="1318315C">
      <w:pPr>
        <w:tabs>
          <w:tab w:val="left" w:pos="900"/>
        </w:tabs>
        <w:spacing w:line="360" w:lineRule="auto"/>
        <w:ind w:firstLine="472" w:firstLineChars="200"/>
        <w:rPr>
          <w:rFonts w:ascii="Times New Roman" w:hAnsi="Times New Roman"/>
          <w:spacing w:val="-2"/>
          <w:kern w:val="0"/>
          <w:sz w:val="24"/>
        </w:rPr>
      </w:pPr>
      <w:r>
        <w:rPr>
          <w:rFonts w:ascii="Times New Roman" w:hAnsi="Times New Roman"/>
          <w:spacing w:val="-2"/>
          <w:kern w:val="0"/>
          <w:sz w:val="24"/>
        </w:rPr>
        <w:t>项目所产生的固体废物主要为烘干炉炉渣、烘干炉除尘器粉尘、生产车间除尘器粉尘、生产车间地面粉尘、生活垃圾。根据工程分析项目固体废物的处置去向，项目固体废物大致分为含矿固体废物、生物质燃料烟（尘）灰固体废物、生活垃圾、除尘器废除尘袋等几类。</w:t>
      </w:r>
    </w:p>
    <w:p w14:paraId="4B9E09DF">
      <w:pPr>
        <w:pStyle w:val="7"/>
        <w:numPr>
          <w:ilvl w:val="3"/>
          <w:numId w:val="3"/>
        </w:numPr>
        <w:rPr>
          <w:spacing w:val="-2"/>
          <w:kern w:val="0"/>
          <w:szCs w:val="20"/>
          <w:u w:val="single"/>
        </w:rPr>
      </w:pPr>
      <w:r>
        <w:rPr>
          <w:spacing w:val="-2"/>
          <w:kern w:val="0"/>
          <w:szCs w:val="20"/>
          <w:u w:val="single"/>
        </w:rPr>
        <w:t>烘干炉炉渣</w:t>
      </w:r>
    </w:p>
    <w:p w14:paraId="183F1EC9">
      <w:pPr>
        <w:spacing w:line="360" w:lineRule="auto"/>
        <w:ind w:firstLine="480" w:firstLineChars="200"/>
        <w:rPr>
          <w:rFonts w:ascii="Times New Roman" w:hAnsi="Times New Roman"/>
          <w:spacing w:val="-2"/>
          <w:kern w:val="0"/>
          <w:sz w:val="24"/>
          <w:szCs w:val="24"/>
        </w:rPr>
      </w:pPr>
      <w:r>
        <w:rPr>
          <w:rFonts w:ascii="Times New Roman" w:hAnsi="Times New Roman"/>
          <w:kern w:val="0"/>
          <w:sz w:val="24"/>
          <w:szCs w:val="24"/>
        </w:rPr>
        <w:t>目烘干炉采用</w:t>
      </w:r>
      <w:r>
        <w:rPr>
          <w:rFonts w:hint="eastAsia" w:ascii="Times New Roman" w:hAnsi="Times New Roman"/>
          <w:spacing w:val="-2"/>
          <w:kern w:val="0"/>
          <w:sz w:val="24"/>
          <w:szCs w:val="24"/>
        </w:rPr>
        <w:t>成型</w:t>
      </w:r>
      <w:r>
        <w:rPr>
          <w:rFonts w:ascii="Times New Roman" w:hAnsi="Times New Roman"/>
          <w:kern w:val="0"/>
          <w:sz w:val="24"/>
          <w:szCs w:val="24"/>
        </w:rPr>
        <w:t>生物质颗粒燃料，</w:t>
      </w:r>
      <w:r>
        <w:rPr>
          <w:rFonts w:ascii="Times New Roman" w:hAnsi="Times New Roman"/>
          <w:kern w:val="0"/>
          <w:sz w:val="24"/>
          <w:szCs w:val="24"/>
          <w:u w:val="single"/>
        </w:rPr>
        <w:t>生物质燃料燃烧后产生炉渣</w:t>
      </w:r>
      <w:r>
        <w:rPr>
          <w:rFonts w:hint="eastAsia" w:ascii="Times New Roman" w:hAnsi="Times New Roman"/>
          <w:kern w:val="0"/>
          <w:sz w:val="24"/>
          <w:szCs w:val="24"/>
          <w:u w:val="single"/>
        </w:rPr>
        <w:t>63.2473</w:t>
      </w:r>
      <w:r>
        <w:rPr>
          <w:rFonts w:ascii="Times New Roman" w:hAnsi="Times New Roman"/>
          <w:kern w:val="0"/>
          <w:sz w:val="24"/>
          <w:szCs w:val="24"/>
          <w:u w:val="single"/>
        </w:rPr>
        <w:t>t/a，</w:t>
      </w:r>
      <w:r>
        <w:rPr>
          <w:rFonts w:ascii="Times New Roman" w:hAnsi="Times New Roman"/>
          <w:spacing w:val="-2"/>
          <w:kern w:val="0"/>
          <w:sz w:val="24"/>
        </w:rPr>
        <w:t>采用编织袋袋装收集后，暂存于车间内的灰渣临时堆放点。灰渣堆放点规划在1#原料处理车间东北角，面积约为12m</w:t>
      </w:r>
      <w:r>
        <w:rPr>
          <w:rFonts w:ascii="Times New Roman" w:hAnsi="Times New Roman"/>
          <w:spacing w:val="-2"/>
          <w:kern w:val="0"/>
          <w:sz w:val="24"/>
          <w:vertAlign w:val="superscript"/>
        </w:rPr>
        <w:t>2</w:t>
      </w:r>
      <w:r>
        <w:rPr>
          <w:rFonts w:ascii="Times New Roman" w:hAnsi="Times New Roman"/>
          <w:spacing w:val="-2"/>
          <w:kern w:val="0"/>
          <w:sz w:val="24"/>
        </w:rPr>
        <w:t>。</w:t>
      </w:r>
      <w:r>
        <w:rPr>
          <w:rFonts w:ascii="Times New Roman" w:hAnsi="Times New Roman"/>
          <w:spacing w:val="-2"/>
          <w:kern w:val="0"/>
          <w:sz w:val="24"/>
          <w:szCs w:val="24"/>
        </w:rPr>
        <w:t>烘干炉炉渣及烘干炉除尘器粉尘，收集后定期</w:t>
      </w:r>
      <w:r>
        <w:rPr>
          <w:rFonts w:hint="eastAsia" w:ascii="Times New Roman" w:hAnsi="Times New Roman"/>
          <w:spacing w:val="-2"/>
          <w:kern w:val="0"/>
          <w:sz w:val="24"/>
          <w:szCs w:val="24"/>
        </w:rPr>
        <w:t>出售给有机肥生产企业</w:t>
      </w:r>
      <w:r>
        <w:rPr>
          <w:rFonts w:ascii="Times New Roman" w:hAnsi="Times New Roman"/>
          <w:spacing w:val="-2"/>
          <w:kern w:val="0"/>
          <w:sz w:val="24"/>
          <w:szCs w:val="24"/>
        </w:rPr>
        <w:t>，</w:t>
      </w:r>
      <w:r>
        <w:rPr>
          <w:rFonts w:ascii="Times New Roman" w:hAnsi="Times New Roman"/>
          <w:kern w:val="0"/>
          <w:sz w:val="24"/>
          <w:szCs w:val="24"/>
        </w:rPr>
        <w:t>对周边</w:t>
      </w:r>
      <w:r>
        <w:rPr>
          <w:rFonts w:ascii="Times New Roman" w:hAnsi="Times New Roman"/>
          <w:sz w:val="24"/>
          <w:szCs w:val="24"/>
        </w:rPr>
        <w:t>环境影响不大</w:t>
      </w:r>
      <w:r>
        <w:rPr>
          <w:rFonts w:ascii="Times New Roman" w:hAnsi="Times New Roman"/>
          <w:kern w:val="0"/>
          <w:sz w:val="24"/>
          <w:szCs w:val="24"/>
        </w:rPr>
        <w:t>。</w:t>
      </w:r>
    </w:p>
    <w:p w14:paraId="488CB965">
      <w:pPr>
        <w:pStyle w:val="7"/>
        <w:numPr>
          <w:ilvl w:val="3"/>
          <w:numId w:val="3"/>
        </w:numPr>
        <w:rPr>
          <w:u w:val="single"/>
        </w:rPr>
      </w:pPr>
      <w:bookmarkStart w:id="225" w:name="_Hlk193712153"/>
      <w:r>
        <w:rPr>
          <w:rFonts w:hint="eastAsia"/>
          <w:u w:val="single"/>
        </w:rPr>
        <w:t>烘干炉除尘器粉尘</w:t>
      </w:r>
      <w:bookmarkEnd w:id="225"/>
      <w:r>
        <w:rPr>
          <w:rFonts w:hint="eastAsia"/>
          <w:u w:val="single"/>
        </w:rPr>
        <w:t>及生产车间除尘器收集粉尘</w:t>
      </w:r>
    </w:p>
    <w:p w14:paraId="59B13041">
      <w:pPr>
        <w:tabs>
          <w:tab w:val="left" w:pos="900"/>
        </w:tabs>
        <w:spacing w:line="360" w:lineRule="auto"/>
        <w:ind w:firstLine="472" w:firstLineChars="200"/>
        <w:rPr>
          <w:rFonts w:ascii="Times New Roman" w:hAnsi="Times New Roman"/>
          <w:spacing w:val="-2"/>
          <w:kern w:val="0"/>
          <w:sz w:val="24"/>
        </w:rPr>
      </w:pPr>
      <w:r>
        <w:rPr>
          <w:rFonts w:ascii="Times New Roman" w:hAnsi="Times New Roman"/>
          <w:spacing w:val="-2"/>
          <w:kern w:val="0"/>
          <w:sz w:val="24"/>
          <w:u w:val="single"/>
        </w:rPr>
        <w:t>项目</w:t>
      </w:r>
      <w:r>
        <w:rPr>
          <w:rFonts w:hint="eastAsia" w:ascii="Times New Roman" w:hAnsi="Times New Roman"/>
          <w:spacing w:val="-2"/>
          <w:kern w:val="0"/>
          <w:sz w:val="24"/>
          <w:u w:val="single"/>
        </w:rPr>
        <w:t>烘干炉</w:t>
      </w:r>
      <w:r>
        <w:rPr>
          <w:rFonts w:ascii="Times New Roman" w:hAnsi="Times New Roman"/>
          <w:spacing w:val="-2"/>
          <w:kern w:val="0"/>
          <w:sz w:val="24"/>
          <w:u w:val="single"/>
        </w:rPr>
        <w:t>除尘器收集粉尘</w:t>
      </w:r>
      <w:r>
        <w:rPr>
          <w:rFonts w:hint="eastAsia" w:ascii="Times New Roman" w:hAnsi="Times New Roman"/>
          <w:spacing w:val="-2"/>
          <w:kern w:val="0"/>
          <w:sz w:val="24"/>
          <w:u w:val="single"/>
        </w:rPr>
        <w:t>、</w:t>
      </w:r>
      <w:r>
        <w:rPr>
          <w:rFonts w:ascii="Times New Roman" w:hAnsi="Times New Roman"/>
          <w:spacing w:val="-2"/>
          <w:kern w:val="0"/>
          <w:sz w:val="24"/>
          <w:u w:val="single"/>
        </w:rPr>
        <w:t>生产车间除尘器收集粉尘，产生量分别为</w:t>
      </w:r>
      <w:r>
        <w:rPr>
          <w:rFonts w:hint="eastAsia" w:ascii="Times New Roman" w:hAnsi="Times New Roman"/>
          <w:spacing w:val="-2"/>
          <w:kern w:val="0"/>
          <w:sz w:val="24"/>
          <w:u w:val="single"/>
        </w:rPr>
        <w:t>8.3591</w:t>
      </w:r>
      <w:r>
        <w:rPr>
          <w:rFonts w:ascii="Times New Roman" w:hAnsi="Times New Roman"/>
          <w:spacing w:val="-2"/>
          <w:kern w:val="0"/>
          <w:sz w:val="24"/>
          <w:u w:val="single"/>
        </w:rPr>
        <w:t>t/a</w:t>
      </w:r>
      <w:r>
        <w:rPr>
          <w:rFonts w:hint="eastAsia" w:ascii="Times New Roman" w:hAnsi="Times New Roman"/>
          <w:spacing w:val="-2"/>
          <w:kern w:val="0"/>
          <w:sz w:val="24"/>
          <w:u w:val="single"/>
        </w:rPr>
        <w:t xml:space="preserve"> 、1.3998</w:t>
      </w:r>
      <w:r>
        <w:rPr>
          <w:rFonts w:ascii="Times New Roman" w:hAnsi="Times New Roman"/>
          <w:spacing w:val="-2"/>
          <w:kern w:val="0"/>
          <w:sz w:val="24"/>
          <w:u w:val="single"/>
        </w:rPr>
        <w:t>t/a，合计</w:t>
      </w:r>
      <w:r>
        <w:rPr>
          <w:rFonts w:hint="eastAsia" w:ascii="Times New Roman" w:hAnsi="Times New Roman"/>
          <w:spacing w:val="-2"/>
          <w:kern w:val="0"/>
          <w:sz w:val="24"/>
          <w:u w:val="single"/>
        </w:rPr>
        <w:t>9.7589</w:t>
      </w:r>
      <w:r>
        <w:rPr>
          <w:rFonts w:ascii="Times New Roman" w:hAnsi="Times New Roman"/>
          <w:spacing w:val="-2"/>
          <w:kern w:val="0"/>
          <w:sz w:val="24"/>
          <w:u w:val="single"/>
        </w:rPr>
        <w:t>t/a。</w:t>
      </w:r>
      <w:r>
        <w:rPr>
          <w:rFonts w:ascii="Times New Roman" w:hAnsi="Times New Roman"/>
          <w:spacing w:val="-2"/>
          <w:kern w:val="0"/>
          <w:sz w:val="24"/>
        </w:rPr>
        <w:t>均</w:t>
      </w:r>
      <w:r>
        <w:rPr>
          <w:rFonts w:hint="eastAsia" w:ascii="Times New Roman" w:hAnsi="Times New Roman"/>
          <w:spacing w:val="-2"/>
          <w:kern w:val="0"/>
          <w:sz w:val="24"/>
        </w:rPr>
        <w:t>掺入锆中矿</w:t>
      </w:r>
      <w:r>
        <w:rPr>
          <w:rFonts w:ascii="Times New Roman" w:hAnsi="Times New Roman"/>
          <w:spacing w:val="-2"/>
          <w:kern w:val="0"/>
          <w:sz w:val="24"/>
        </w:rPr>
        <w:t>存放在2#分选车间内部的</w:t>
      </w:r>
      <w:r>
        <w:rPr>
          <w:rFonts w:hint="eastAsia" w:ascii="Times New Roman" w:hAnsi="Times New Roman"/>
          <w:spacing w:val="-2"/>
          <w:kern w:val="0"/>
          <w:sz w:val="24"/>
        </w:rPr>
        <w:t>锆中矿</w:t>
      </w:r>
      <w:r>
        <w:rPr>
          <w:rFonts w:ascii="Times New Roman" w:hAnsi="Times New Roman"/>
          <w:spacing w:val="-2"/>
          <w:kern w:val="0"/>
          <w:sz w:val="24"/>
        </w:rPr>
        <w:t>堆放区，定期外售给深度选矿企业综合利用。</w:t>
      </w:r>
    </w:p>
    <w:p w14:paraId="7D952246">
      <w:pPr>
        <w:pStyle w:val="8"/>
        <w:numPr>
          <w:ilvl w:val="4"/>
          <w:numId w:val="3"/>
        </w:numPr>
        <w:rPr>
          <w:sz w:val="24"/>
          <w:szCs w:val="24"/>
        </w:rPr>
      </w:pPr>
      <w:r>
        <w:rPr>
          <w:sz w:val="24"/>
          <w:szCs w:val="24"/>
        </w:rPr>
        <w:t>含矿固体废物表</w:t>
      </w:r>
    </w:p>
    <w:tbl>
      <w:tblPr>
        <w:tblStyle w:val="88"/>
        <w:tblW w:w="905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61"/>
        <w:gridCol w:w="2622"/>
        <w:gridCol w:w="1631"/>
        <w:gridCol w:w="3543"/>
      </w:tblGrid>
      <w:tr w14:paraId="55A6AA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61" w:type="dxa"/>
            <w:shd w:val="clear" w:color="auto" w:fill="auto"/>
            <w:vAlign w:val="center"/>
          </w:tcPr>
          <w:p w14:paraId="5D50D083">
            <w:pPr>
              <w:widowControl/>
              <w:jc w:val="center"/>
              <w:rPr>
                <w:rFonts w:ascii="Times New Roman" w:hAnsi="Times New Roman"/>
                <w:b/>
                <w:bCs/>
                <w:kern w:val="0"/>
                <w:szCs w:val="21"/>
              </w:rPr>
            </w:pPr>
            <w:r>
              <w:rPr>
                <w:rFonts w:ascii="Times New Roman" w:hAnsi="Times New Roman"/>
                <w:b/>
                <w:bCs/>
                <w:kern w:val="0"/>
                <w:szCs w:val="21"/>
              </w:rPr>
              <w:t>固废编号</w:t>
            </w:r>
          </w:p>
        </w:tc>
        <w:tc>
          <w:tcPr>
            <w:tcW w:w="2622" w:type="dxa"/>
            <w:shd w:val="clear" w:color="auto" w:fill="auto"/>
            <w:vAlign w:val="center"/>
          </w:tcPr>
          <w:p w14:paraId="005C1FD0">
            <w:pPr>
              <w:widowControl/>
              <w:jc w:val="center"/>
              <w:rPr>
                <w:rFonts w:ascii="Times New Roman" w:hAnsi="Times New Roman"/>
                <w:b/>
                <w:bCs/>
                <w:kern w:val="0"/>
                <w:szCs w:val="21"/>
              </w:rPr>
            </w:pPr>
            <w:r>
              <w:rPr>
                <w:rFonts w:ascii="Times New Roman" w:hAnsi="Times New Roman"/>
                <w:b/>
                <w:bCs/>
                <w:kern w:val="0"/>
                <w:szCs w:val="21"/>
              </w:rPr>
              <w:t>名称</w:t>
            </w:r>
          </w:p>
        </w:tc>
        <w:tc>
          <w:tcPr>
            <w:tcW w:w="1631" w:type="dxa"/>
            <w:shd w:val="clear" w:color="auto" w:fill="auto"/>
            <w:vAlign w:val="center"/>
          </w:tcPr>
          <w:p w14:paraId="693D2974">
            <w:pPr>
              <w:widowControl/>
              <w:jc w:val="center"/>
              <w:rPr>
                <w:rFonts w:ascii="Times New Roman" w:hAnsi="Times New Roman"/>
                <w:b/>
                <w:bCs/>
                <w:kern w:val="0"/>
                <w:szCs w:val="21"/>
              </w:rPr>
            </w:pPr>
            <w:r>
              <w:rPr>
                <w:rFonts w:ascii="Times New Roman" w:hAnsi="Times New Roman"/>
                <w:b/>
                <w:bCs/>
                <w:kern w:val="0"/>
                <w:szCs w:val="21"/>
              </w:rPr>
              <w:t>产生量（t/a）</w:t>
            </w:r>
          </w:p>
        </w:tc>
        <w:tc>
          <w:tcPr>
            <w:tcW w:w="3543" w:type="dxa"/>
            <w:shd w:val="clear" w:color="auto" w:fill="auto"/>
            <w:vAlign w:val="center"/>
          </w:tcPr>
          <w:p w14:paraId="6A6C3E80">
            <w:pPr>
              <w:widowControl/>
              <w:jc w:val="center"/>
              <w:rPr>
                <w:rFonts w:ascii="Times New Roman" w:hAnsi="Times New Roman"/>
                <w:b/>
                <w:bCs/>
                <w:kern w:val="0"/>
                <w:szCs w:val="21"/>
              </w:rPr>
            </w:pPr>
            <w:r>
              <w:rPr>
                <w:rFonts w:ascii="Times New Roman" w:hAnsi="Times New Roman"/>
                <w:b/>
                <w:bCs/>
                <w:kern w:val="0"/>
                <w:szCs w:val="21"/>
              </w:rPr>
              <w:t>处置方式</w:t>
            </w:r>
          </w:p>
        </w:tc>
      </w:tr>
      <w:tr w14:paraId="28C3EF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61" w:type="dxa"/>
            <w:shd w:val="clear" w:color="auto" w:fill="auto"/>
            <w:vAlign w:val="center"/>
          </w:tcPr>
          <w:p w14:paraId="75DFA109">
            <w:pPr>
              <w:jc w:val="center"/>
              <w:rPr>
                <w:rFonts w:ascii="Times New Roman" w:hAnsi="Times New Roman"/>
                <w:kern w:val="0"/>
                <w:szCs w:val="21"/>
                <w:u w:val="single"/>
              </w:rPr>
            </w:pPr>
            <w:r>
              <w:rPr>
                <w:rFonts w:ascii="Times New Roman" w:hAnsi="Times New Roman"/>
                <w:kern w:val="0"/>
                <w:szCs w:val="21"/>
                <w:u w:val="single"/>
              </w:rPr>
              <w:t>S</w:t>
            </w:r>
            <w:r>
              <w:rPr>
                <w:rFonts w:hint="eastAsia" w:ascii="Times New Roman" w:hAnsi="Times New Roman"/>
                <w:kern w:val="0"/>
                <w:szCs w:val="21"/>
                <w:u w:val="single"/>
              </w:rPr>
              <w:t>2</w:t>
            </w:r>
          </w:p>
        </w:tc>
        <w:tc>
          <w:tcPr>
            <w:tcW w:w="2622" w:type="dxa"/>
            <w:shd w:val="clear" w:color="auto" w:fill="auto"/>
            <w:vAlign w:val="center"/>
          </w:tcPr>
          <w:p w14:paraId="1F31D367">
            <w:pPr>
              <w:jc w:val="center"/>
              <w:rPr>
                <w:rFonts w:ascii="Times New Roman" w:hAnsi="Times New Roman"/>
                <w:kern w:val="0"/>
                <w:szCs w:val="21"/>
                <w:u w:val="single"/>
              </w:rPr>
            </w:pPr>
            <w:r>
              <w:rPr>
                <w:rFonts w:ascii="Times New Roman" w:hAnsi="Times New Roman"/>
                <w:kern w:val="0"/>
                <w:szCs w:val="21"/>
                <w:u w:val="single"/>
              </w:rPr>
              <w:t>烘干炉除尘器收集粉尘</w:t>
            </w:r>
          </w:p>
        </w:tc>
        <w:tc>
          <w:tcPr>
            <w:tcW w:w="1631" w:type="dxa"/>
            <w:shd w:val="clear" w:color="auto" w:fill="auto"/>
            <w:vAlign w:val="center"/>
          </w:tcPr>
          <w:p w14:paraId="5587D715">
            <w:pPr>
              <w:widowControl/>
              <w:jc w:val="center"/>
              <w:rPr>
                <w:rFonts w:ascii="Times New Roman" w:hAnsi="Times New Roman"/>
                <w:kern w:val="0"/>
                <w:szCs w:val="21"/>
                <w:u w:val="single"/>
              </w:rPr>
            </w:pPr>
            <w:r>
              <w:rPr>
                <w:rFonts w:ascii="Times New Roman" w:hAnsi="Times New Roman" w:eastAsia="等线"/>
                <w:szCs w:val="21"/>
                <w:u w:val="single"/>
              </w:rPr>
              <w:t>8.3</w:t>
            </w:r>
            <w:r>
              <w:rPr>
                <w:rFonts w:hint="eastAsia" w:ascii="Times New Roman" w:hAnsi="Times New Roman" w:eastAsia="等线"/>
                <w:szCs w:val="21"/>
                <w:u w:val="single"/>
              </w:rPr>
              <w:t>591</w:t>
            </w:r>
          </w:p>
        </w:tc>
        <w:tc>
          <w:tcPr>
            <w:tcW w:w="3543" w:type="dxa"/>
            <w:vMerge w:val="restart"/>
            <w:shd w:val="clear" w:color="auto" w:fill="auto"/>
            <w:vAlign w:val="center"/>
          </w:tcPr>
          <w:p w14:paraId="5753111A">
            <w:pPr>
              <w:widowControl/>
              <w:jc w:val="center"/>
              <w:rPr>
                <w:rFonts w:ascii="Times New Roman" w:hAnsi="Times New Roman"/>
                <w:kern w:val="0"/>
                <w:szCs w:val="21"/>
              </w:rPr>
            </w:pPr>
            <w:r>
              <w:rPr>
                <w:rFonts w:hint="eastAsia" w:ascii="Times New Roman" w:hAnsi="Times New Roman"/>
                <w:kern w:val="0"/>
                <w:szCs w:val="21"/>
              </w:rPr>
              <w:t>掺入锆中矿</w:t>
            </w:r>
            <w:r>
              <w:rPr>
                <w:rFonts w:ascii="Times New Roman" w:hAnsi="Times New Roman"/>
                <w:kern w:val="0"/>
                <w:szCs w:val="21"/>
              </w:rPr>
              <w:t>堆放区，定期外售给深度选矿企业综合利用。</w:t>
            </w:r>
          </w:p>
        </w:tc>
      </w:tr>
      <w:tr w14:paraId="6DEEB4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61" w:type="dxa"/>
            <w:shd w:val="clear" w:color="auto" w:fill="auto"/>
            <w:vAlign w:val="center"/>
          </w:tcPr>
          <w:p w14:paraId="7FC538C2">
            <w:pPr>
              <w:widowControl/>
              <w:jc w:val="center"/>
              <w:rPr>
                <w:rFonts w:ascii="Times New Roman" w:hAnsi="Times New Roman"/>
                <w:kern w:val="0"/>
                <w:szCs w:val="21"/>
                <w:u w:val="single"/>
              </w:rPr>
            </w:pPr>
            <w:r>
              <w:rPr>
                <w:rFonts w:ascii="Times New Roman" w:hAnsi="Times New Roman"/>
                <w:kern w:val="0"/>
                <w:szCs w:val="21"/>
                <w:u w:val="single"/>
              </w:rPr>
              <w:t>S</w:t>
            </w:r>
            <w:r>
              <w:rPr>
                <w:rFonts w:hint="eastAsia" w:ascii="Times New Roman" w:hAnsi="Times New Roman"/>
                <w:kern w:val="0"/>
                <w:szCs w:val="21"/>
                <w:u w:val="single"/>
              </w:rPr>
              <w:t>3</w:t>
            </w:r>
          </w:p>
        </w:tc>
        <w:tc>
          <w:tcPr>
            <w:tcW w:w="2622" w:type="dxa"/>
            <w:shd w:val="clear" w:color="auto" w:fill="auto"/>
            <w:vAlign w:val="center"/>
          </w:tcPr>
          <w:p w14:paraId="4C1F5699">
            <w:pPr>
              <w:widowControl/>
              <w:jc w:val="center"/>
              <w:rPr>
                <w:rFonts w:ascii="Times New Roman" w:hAnsi="Times New Roman"/>
                <w:kern w:val="0"/>
                <w:szCs w:val="21"/>
                <w:u w:val="single"/>
              </w:rPr>
            </w:pPr>
            <w:r>
              <w:rPr>
                <w:rFonts w:ascii="Times New Roman" w:hAnsi="Times New Roman"/>
                <w:kern w:val="0"/>
                <w:szCs w:val="21"/>
                <w:u w:val="single"/>
              </w:rPr>
              <w:t>生产车间除尘器收集粉尘</w:t>
            </w:r>
          </w:p>
        </w:tc>
        <w:tc>
          <w:tcPr>
            <w:tcW w:w="1631" w:type="dxa"/>
            <w:shd w:val="clear" w:color="auto" w:fill="auto"/>
            <w:vAlign w:val="center"/>
          </w:tcPr>
          <w:p w14:paraId="694A099D">
            <w:pPr>
              <w:widowControl/>
              <w:jc w:val="center"/>
              <w:rPr>
                <w:rFonts w:ascii="Times New Roman" w:hAnsi="Times New Roman"/>
                <w:kern w:val="0"/>
                <w:szCs w:val="21"/>
                <w:u w:val="single"/>
              </w:rPr>
            </w:pPr>
            <w:r>
              <w:rPr>
                <w:rFonts w:hint="eastAsia" w:ascii="Times New Roman" w:hAnsi="Times New Roman"/>
                <w:kern w:val="0"/>
                <w:szCs w:val="21"/>
                <w:u w:val="single"/>
              </w:rPr>
              <w:t>1.3998</w:t>
            </w:r>
          </w:p>
        </w:tc>
        <w:tc>
          <w:tcPr>
            <w:tcW w:w="3543" w:type="dxa"/>
            <w:vMerge w:val="continue"/>
            <w:shd w:val="clear" w:color="auto" w:fill="auto"/>
            <w:vAlign w:val="center"/>
          </w:tcPr>
          <w:p w14:paraId="585FCAAA">
            <w:pPr>
              <w:widowControl/>
              <w:jc w:val="center"/>
              <w:rPr>
                <w:rFonts w:ascii="Times New Roman" w:hAnsi="Times New Roman"/>
                <w:kern w:val="0"/>
                <w:szCs w:val="21"/>
              </w:rPr>
            </w:pPr>
          </w:p>
        </w:tc>
      </w:tr>
      <w:tr w14:paraId="306330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61" w:type="dxa"/>
            <w:shd w:val="clear" w:color="auto" w:fill="auto"/>
            <w:vAlign w:val="center"/>
          </w:tcPr>
          <w:p w14:paraId="79914210">
            <w:pPr>
              <w:widowControl/>
              <w:jc w:val="center"/>
              <w:rPr>
                <w:rFonts w:ascii="Times New Roman" w:hAnsi="Times New Roman"/>
                <w:kern w:val="0"/>
                <w:szCs w:val="21"/>
              </w:rPr>
            </w:pPr>
          </w:p>
        </w:tc>
        <w:tc>
          <w:tcPr>
            <w:tcW w:w="2622" w:type="dxa"/>
            <w:shd w:val="clear" w:color="auto" w:fill="auto"/>
            <w:vAlign w:val="center"/>
          </w:tcPr>
          <w:p w14:paraId="54A04C88">
            <w:pPr>
              <w:widowControl/>
              <w:jc w:val="center"/>
              <w:rPr>
                <w:rFonts w:ascii="Times New Roman" w:hAnsi="Times New Roman"/>
                <w:kern w:val="0"/>
                <w:szCs w:val="21"/>
              </w:rPr>
            </w:pPr>
            <w:r>
              <w:rPr>
                <w:rFonts w:ascii="Times New Roman" w:hAnsi="Times New Roman"/>
                <w:kern w:val="0"/>
                <w:szCs w:val="21"/>
              </w:rPr>
              <w:t>合计</w:t>
            </w:r>
          </w:p>
        </w:tc>
        <w:tc>
          <w:tcPr>
            <w:tcW w:w="1631" w:type="dxa"/>
            <w:shd w:val="clear" w:color="auto" w:fill="auto"/>
            <w:vAlign w:val="center"/>
          </w:tcPr>
          <w:p w14:paraId="24A4ECD4">
            <w:pPr>
              <w:widowControl/>
              <w:jc w:val="center"/>
              <w:rPr>
                <w:rFonts w:ascii="Times New Roman" w:hAnsi="Times New Roman"/>
                <w:kern w:val="0"/>
                <w:szCs w:val="21"/>
                <w:u w:val="single"/>
              </w:rPr>
            </w:pPr>
            <w:r>
              <w:rPr>
                <w:rFonts w:hint="eastAsia" w:ascii="Times New Roman" w:hAnsi="Times New Roman"/>
                <w:kern w:val="0"/>
                <w:szCs w:val="21"/>
                <w:u w:val="single"/>
              </w:rPr>
              <w:t>9.7589</w:t>
            </w:r>
          </w:p>
        </w:tc>
        <w:tc>
          <w:tcPr>
            <w:tcW w:w="3543" w:type="dxa"/>
            <w:shd w:val="clear" w:color="auto" w:fill="auto"/>
            <w:vAlign w:val="center"/>
          </w:tcPr>
          <w:p w14:paraId="661E3850">
            <w:pPr>
              <w:widowControl/>
              <w:jc w:val="center"/>
              <w:rPr>
                <w:rFonts w:ascii="Times New Roman" w:hAnsi="Times New Roman"/>
                <w:kern w:val="0"/>
                <w:szCs w:val="21"/>
              </w:rPr>
            </w:pPr>
          </w:p>
        </w:tc>
      </w:tr>
    </w:tbl>
    <w:p w14:paraId="6855E23A">
      <w:pPr>
        <w:tabs>
          <w:tab w:val="left" w:pos="900"/>
        </w:tabs>
        <w:spacing w:line="360" w:lineRule="auto"/>
        <w:ind w:firstLine="472" w:firstLineChars="200"/>
        <w:jc w:val="left"/>
        <w:rPr>
          <w:rFonts w:ascii="Times New Roman" w:hAnsi="Times New Roman"/>
          <w:spacing w:val="-2"/>
          <w:kern w:val="0"/>
          <w:sz w:val="24"/>
          <w:szCs w:val="24"/>
        </w:rPr>
      </w:pPr>
    </w:p>
    <w:p w14:paraId="52BA2000">
      <w:pPr>
        <w:pStyle w:val="7"/>
        <w:numPr>
          <w:ilvl w:val="3"/>
          <w:numId w:val="3"/>
        </w:numPr>
        <w:rPr>
          <w:spacing w:val="-2"/>
          <w:kern w:val="0"/>
          <w:szCs w:val="20"/>
          <w:u w:val="single"/>
        </w:rPr>
      </w:pPr>
      <w:r>
        <w:rPr>
          <w:rFonts w:hint="eastAsia"/>
          <w:spacing w:val="-2"/>
          <w:kern w:val="0"/>
          <w:szCs w:val="20"/>
          <w:u w:val="single"/>
        </w:rPr>
        <w:t>生产车间地面沉降粉尘</w:t>
      </w:r>
    </w:p>
    <w:p w14:paraId="14584436">
      <w:pPr>
        <w:spacing w:line="360" w:lineRule="auto"/>
        <w:ind w:firstLine="480" w:firstLineChars="200"/>
        <w:rPr>
          <w:rFonts w:ascii="Times New Roman" w:hAnsi="Times New Roman"/>
          <w:kern w:val="0"/>
          <w:sz w:val="24"/>
          <w:szCs w:val="24"/>
          <w:u w:val="single"/>
        </w:rPr>
      </w:pPr>
      <w:bookmarkStart w:id="226" w:name="_Hlk193712103"/>
      <w:r>
        <w:rPr>
          <w:rFonts w:hint="eastAsia" w:ascii="Times New Roman" w:hAnsi="Times New Roman"/>
          <w:kern w:val="0"/>
          <w:sz w:val="24"/>
          <w:szCs w:val="24"/>
          <w:u w:val="single"/>
        </w:rPr>
        <w:t>项目生产车间地面沉降粉尘为含矿粉尘，产生量为3.5699t/a，收集后作为原料重新投入到生产线进行分选。</w:t>
      </w:r>
      <w:bookmarkEnd w:id="226"/>
    </w:p>
    <w:p w14:paraId="2DE269E2">
      <w:pPr>
        <w:pStyle w:val="7"/>
        <w:numPr>
          <w:ilvl w:val="3"/>
          <w:numId w:val="3"/>
        </w:numPr>
      </w:pPr>
      <w:r>
        <w:t>生活垃圾</w:t>
      </w:r>
    </w:p>
    <w:p w14:paraId="6204D06D">
      <w:pPr>
        <w:tabs>
          <w:tab w:val="left" w:pos="900"/>
        </w:tabs>
        <w:spacing w:line="360" w:lineRule="auto"/>
        <w:ind w:firstLine="472" w:firstLineChars="200"/>
        <w:jc w:val="left"/>
        <w:rPr>
          <w:rFonts w:ascii="Times New Roman" w:hAnsi="Times New Roman"/>
          <w:spacing w:val="-2"/>
          <w:kern w:val="0"/>
          <w:sz w:val="24"/>
          <w:szCs w:val="20"/>
        </w:rPr>
      </w:pPr>
      <w:r>
        <w:rPr>
          <w:rFonts w:ascii="Times New Roman" w:hAnsi="Times New Roman"/>
          <w:spacing w:val="-2"/>
          <w:kern w:val="0"/>
          <w:sz w:val="24"/>
          <w:szCs w:val="20"/>
        </w:rPr>
        <w:t>项目劳动定员10人，工作人员不在厂内食宿，生活垃圾产生量为0.9t/a。</w:t>
      </w:r>
      <w:r>
        <w:rPr>
          <w:rFonts w:ascii="Times New Roman" w:hAnsi="Times New Roman"/>
          <w:spacing w:val="-2"/>
          <w:kern w:val="0"/>
          <w:sz w:val="24"/>
          <w:szCs w:val="24"/>
        </w:rPr>
        <w:t>项目生活垃圾不在厂内设置收集点，在车间外大门侧设置小型垃圾桶，每天清理到</w:t>
      </w:r>
      <w:r>
        <w:rPr>
          <w:rFonts w:ascii="Times New Roman" w:hAnsi="Times New Roman"/>
          <w:spacing w:val="-2"/>
          <w:kern w:val="0"/>
          <w:sz w:val="24"/>
          <w:szCs w:val="20"/>
        </w:rPr>
        <w:t>创大进口汽车仓储物流园垃圾收集点，由环卫部门统一收运，对环境影响不大。</w:t>
      </w:r>
    </w:p>
    <w:p w14:paraId="6DBCD0D1">
      <w:pPr>
        <w:pStyle w:val="7"/>
        <w:numPr>
          <w:ilvl w:val="3"/>
          <w:numId w:val="3"/>
        </w:numPr>
      </w:pPr>
      <w:r>
        <w:t>除尘器废除尘袋</w:t>
      </w:r>
    </w:p>
    <w:p w14:paraId="7FA3DF5A">
      <w:pPr>
        <w:tabs>
          <w:tab w:val="left" w:pos="900"/>
        </w:tabs>
        <w:spacing w:line="360" w:lineRule="auto"/>
        <w:ind w:firstLine="472" w:firstLineChars="200"/>
        <w:jc w:val="left"/>
        <w:rPr>
          <w:rFonts w:ascii="Times New Roman" w:hAnsi="Times New Roman"/>
          <w:spacing w:val="-2"/>
          <w:kern w:val="0"/>
          <w:sz w:val="24"/>
        </w:rPr>
      </w:pPr>
      <w:r>
        <w:rPr>
          <w:rFonts w:ascii="Times New Roman" w:hAnsi="Times New Roman"/>
          <w:spacing w:val="-2"/>
          <w:kern w:val="0"/>
          <w:sz w:val="24"/>
          <w:szCs w:val="24"/>
        </w:rPr>
        <w:t>项目设置有</w:t>
      </w:r>
      <w:r>
        <w:rPr>
          <w:rFonts w:hint="eastAsia" w:ascii="Times New Roman" w:hAnsi="Times New Roman"/>
          <w:spacing w:val="-2"/>
          <w:kern w:val="0"/>
          <w:sz w:val="24"/>
          <w:szCs w:val="24"/>
        </w:rPr>
        <w:t>三</w:t>
      </w:r>
      <w:r>
        <w:rPr>
          <w:rFonts w:ascii="Times New Roman" w:hAnsi="Times New Roman"/>
          <w:spacing w:val="-2"/>
          <w:kern w:val="0"/>
          <w:sz w:val="24"/>
          <w:szCs w:val="24"/>
        </w:rPr>
        <w:t>套袋式除尘系统，除尘袋更换周期为18个月，估算每套袋式除尘系统年产生废除尘袋0.2t/a</w:t>
      </w:r>
      <w:r>
        <w:rPr>
          <w:rFonts w:hint="eastAsia" w:ascii="Times New Roman" w:hAnsi="Times New Roman"/>
          <w:spacing w:val="-2"/>
          <w:kern w:val="0"/>
          <w:sz w:val="24"/>
          <w:szCs w:val="24"/>
        </w:rPr>
        <w:t>，项目</w:t>
      </w:r>
      <w:r>
        <w:rPr>
          <w:rFonts w:ascii="Times New Roman" w:hAnsi="Times New Roman"/>
          <w:spacing w:val="-2"/>
          <w:kern w:val="0"/>
          <w:sz w:val="24"/>
          <w:szCs w:val="24"/>
        </w:rPr>
        <w:t>除尘系统废除尘袋</w:t>
      </w:r>
      <w:r>
        <w:rPr>
          <w:rFonts w:hint="eastAsia" w:ascii="Times New Roman" w:hAnsi="Times New Roman"/>
          <w:spacing w:val="-2"/>
          <w:kern w:val="0"/>
          <w:sz w:val="24"/>
          <w:szCs w:val="24"/>
        </w:rPr>
        <w:t>共0.6t/a，废除尘袋</w:t>
      </w:r>
      <w:r>
        <w:rPr>
          <w:rFonts w:ascii="Times New Roman" w:hAnsi="Times New Roman"/>
          <w:spacing w:val="-2"/>
          <w:kern w:val="0"/>
          <w:sz w:val="24"/>
          <w:szCs w:val="24"/>
        </w:rPr>
        <w:t>含放射性物质，在</w:t>
      </w:r>
      <w:r>
        <w:rPr>
          <w:rFonts w:ascii="Times New Roman" w:hAnsi="Times New Roman"/>
          <w:sz w:val="24"/>
          <w:szCs w:val="24"/>
        </w:rPr>
        <w:t>2#分选车间内部东北角规划一处专用暂存库进行存放，面积约为</w:t>
      </w:r>
      <w:r>
        <w:rPr>
          <w:rFonts w:hint="eastAsia" w:ascii="Times New Roman" w:hAnsi="Times New Roman"/>
          <w:sz w:val="24"/>
          <w:szCs w:val="24"/>
        </w:rPr>
        <w:t>3</w:t>
      </w:r>
      <w:r>
        <w:rPr>
          <w:rFonts w:ascii="Times New Roman" w:hAnsi="Times New Roman"/>
          <w:sz w:val="24"/>
          <w:szCs w:val="24"/>
        </w:rPr>
        <w:t>m</w:t>
      </w:r>
      <w:r>
        <w:rPr>
          <w:rFonts w:ascii="Times New Roman" w:hAnsi="Times New Roman"/>
          <w:sz w:val="24"/>
          <w:szCs w:val="24"/>
          <w:vertAlign w:val="superscript"/>
        </w:rPr>
        <w:t>2</w:t>
      </w:r>
      <w:r>
        <w:rPr>
          <w:rFonts w:ascii="Times New Roman" w:hAnsi="Times New Roman"/>
          <w:sz w:val="24"/>
          <w:szCs w:val="24"/>
        </w:rPr>
        <w:t>，最大暂存量为</w:t>
      </w:r>
      <w:r>
        <w:rPr>
          <w:rFonts w:hint="eastAsia" w:ascii="Times New Roman" w:hAnsi="Times New Roman"/>
          <w:spacing w:val="-2"/>
          <w:kern w:val="0"/>
          <w:sz w:val="24"/>
          <w:szCs w:val="24"/>
        </w:rPr>
        <w:t>2</w:t>
      </w:r>
      <w:r>
        <w:rPr>
          <w:rFonts w:ascii="Times New Roman" w:hAnsi="Times New Roman"/>
          <w:spacing w:val="-2"/>
          <w:kern w:val="0"/>
          <w:sz w:val="24"/>
          <w:szCs w:val="24"/>
        </w:rPr>
        <w:t>t/a，可满足暂存要求。废除尘袋</w:t>
      </w:r>
      <w:r>
        <w:rPr>
          <w:rFonts w:hint="eastAsia" w:ascii="Times New Roman" w:hAnsi="Times New Roman"/>
          <w:spacing w:val="-2"/>
          <w:kern w:val="0"/>
          <w:sz w:val="24"/>
          <w:szCs w:val="24"/>
        </w:rPr>
        <w:t>定期外售综合利用或处置</w:t>
      </w:r>
      <w:r>
        <w:rPr>
          <w:rFonts w:ascii="Times New Roman" w:hAnsi="Times New Roman"/>
          <w:spacing w:val="-2"/>
          <w:kern w:val="0"/>
          <w:sz w:val="24"/>
          <w:szCs w:val="24"/>
        </w:rPr>
        <w:t>后对环境影响不大。</w:t>
      </w:r>
    </w:p>
    <w:p w14:paraId="4CBC8298">
      <w:pPr>
        <w:pStyle w:val="6"/>
        <w:numPr>
          <w:ilvl w:val="2"/>
          <w:numId w:val="3"/>
        </w:numPr>
        <w:rPr>
          <w:lang w:val="zh-CN"/>
        </w:rPr>
      </w:pPr>
      <w:r>
        <w:rPr>
          <w:lang w:val="zh-CN"/>
        </w:rPr>
        <w:t>危险废物环境影响分析</w:t>
      </w:r>
    </w:p>
    <w:p w14:paraId="76EAE7A5">
      <w:pPr>
        <w:autoSpaceDN w:val="0"/>
        <w:spacing w:line="360" w:lineRule="auto"/>
        <w:ind w:firstLine="480" w:firstLineChars="200"/>
        <w:rPr>
          <w:rFonts w:ascii="Times New Roman" w:hAnsi="Times New Roman"/>
          <w:sz w:val="24"/>
          <w:szCs w:val="24"/>
        </w:rPr>
      </w:pPr>
      <w:r>
        <w:rPr>
          <w:rFonts w:ascii="Times New Roman" w:hAnsi="Times New Roman"/>
          <w:sz w:val="24"/>
          <w:szCs w:val="24"/>
        </w:rPr>
        <w:t>项目危险废物主要为废机油，</w:t>
      </w:r>
      <w:r>
        <w:rPr>
          <w:rFonts w:ascii="Times New Roman" w:hAnsi="Times New Roman"/>
          <w:spacing w:val="-2"/>
          <w:kern w:val="0"/>
          <w:sz w:val="24"/>
          <w:szCs w:val="20"/>
          <w:u w:val="single"/>
        </w:rPr>
        <w:t>机械设备检修过程产生废机油0.3t/a，</w:t>
      </w:r>
      <w:r>
        <w:rPr>
          <w:rFonts w:ascii="Times New Roman" w:hAnsi="Times New Roman"/>
          <w:spacing w:val="-2"/>
          <w:kern w:val="0"/>
          <w:sz w:val="24"/>
          <w:szCs w:val="20"/>
        </w:rPr>
        <w:t>属危险废物，废机油危险废物代码HW08（900-214-08），采用密封桶盛装，暂存于危险废物暂存库，</w:t>
      </w:r>
      <w:r>
        <w:rPr>
          <w:rFonts w:ascii="Times New Roman" w:hAnsi="Times New Roman"/>
          <w:spacing w:val="-2"/>
          <w:kern w:val="0"/>
          <w:sz w:val="24"/>
          <w:szCs w:val="24"/>
        </w:rPr>
        <w:t>定期委托有资质的单位处置，避免</w:t>
      </w:r>
      <w:r>
        <w:rPr>
          <w:rFonts w:ascii="Times New Roman" w:hAnsi="Times New Roman"/>
          <w:sz w:val="24"/>
          <w:szCs w:val="24"/>
        </w:rPr>
        <w:t>发生散落、泄漏产生对土壤、地下水影响的可能。</w:t>
      </w:r>
    </w:p>
    <w:p w14:paraId="2CC58A65">
      <w:pPr>
        <w:pStyle w:val="7"/>
        <w:numPr>
          <w:ilvl w:val="3"/>
          <w:numId w:val="3"/>
        </w:numPr>
      </w:pPr>
      <w:r>
        <w:t>危险废物贮存场所（设施）环境影响分析</w:t>
      </w:r>
    </w:p>
    <w:p w14:paraId="315B1C6F">
      <w:pPr>
        <w:widowControl/>
        <w:spacing w:line="360" w:lineRule="auto"/>
        <w:ind w:firstLine="482" w:firstLineChars="200"/>
        <w:rPr>
          <w:rFonts w:ascii="Times New Roman" w:hAnsi="Times New Roman"/>
          <w:b/>
          <w:bCs/>
          <w:sz w:val="24"/>
          <w:lang w:bidi="ar"/>
        </w:rPr>
      </w:pPr>
      <w:r>
        <w:rPr>
          <w:rFonts w:ascii="Times New Roman" w:hAnsi="Times New Roman"/>
          <w:b/>
          <w:bCs/>
          <w:sz w:val="24"/>
          <w:lang w:bidi="ar"/>
        </w:rPr>
        <w:t>（1）选址可行性分析</w:t>
      </w:r>
    </w:p>
    <w:p w14:paraId="0F5E9CB4">
      <w:pPr>
        <w:widowControl/>
        <w:spacing w:line="360" w:lineRule="auto"/>
        <w:ind w:firstLine="480" w:firstLineChars="200"/>
        <w:rPr>
          <w:rFonts w:ascii="Times New Roman" w:hAnsi="Times New Roman"/>
          <w:sz w:val="24"/>
          <w:lang w:bidi="ar"/>
        </w:rPr>
      </w:pPr>
      <w:r>
        <w:rPr>
          <w:rFonts w:ascii="Times New Roman" w:hAnsi="Times New Roman"/>
          <w:sz w:val="24"/>
          <w:lang w:bidi="ar"/>
        </w:rPr>
        <w:t>本项目危险废物贮存措施：</w:t>
      </w:r>
    </w:p>
    <w:p w14:paraId="3BAE58B8">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项目在</w:t>
      </w:r>
      <w:r>
        <w:rPr>
          <w:rFonts w:ascii="Times New Roman" w:hAnsi="Times New Roman"/>
          <w:sz w:val="24"/>
          <w:szCs w:val="24"/>
        </w:rPr>
        <w:t>2#分选车间内部东北角规划一处</w:t>
      </w:r>
      <w:r>
        <w:rPr>
          <w:rFonts w:ascii="Times New Roman" w:hAnsi="Times New Roman"/>
          <w:spacing w:val="-2"/>
          <w:kern w:val="0"/>
          <w:sz w:val="24"/>
          <w:szCs w:val="24"/>
        </w:rPr>
        <w:t>危废暂存库，面积约为</w:t>
      </w:r>
      <w:r>
        <w:rPr>
          <w:rFonts w:hint="eastAsia" w:ascii="Times New Roman" w:hAnsi="Times New Roman"/>
          <w:spacing w:val="-2"/>
          <w:kern w:val="0"/>
          <w:sz w:val="24"/>
          <w:szCs w:val="24"/>
        </w:rPr>
        <w:t>3</w:t>
      </w:r>
      <w:r>
        <w:rPr>
          <w:rFonts w:ascii="Times New Roman" w:hAnsi="Times New Roman"/>
          <w:spacing w:val="-2"/>
          <w:kern w:val="0"/>
          <w:sz w:val="24"/>
          <w:szCs w:val="24"/>
        </w:rPr>
        <w:t>m</w:t>
      </w:r>
      <w:r>
        <w:rPr>
          <w:rFonts w:ascii="Times New Roman" w:hAnsi="Times New Roman"/>
          <w:spacing w:val="-2"/>
          <w:kern w:val="0"/>
          <w:sz w:val="24"/>
          <w:szCs w:val="24"/>
          <w:vertAlign w:val="superscript"/>
        </w:rPr>
        <w:t>2</w:t>
      </w:r>
      <w:r>
        <w:rPr>
          <w:rFonts w:ascii="Times New Roman" w:hAnsi="Times New Roman"/>
          <w:spacing w:val="-2"/>
          <w:kern w:val="0"/>
          <w:sz w:val="24"/>
          <w:szCs w:val="24"/>
        </w:rPr>
        <w:t>，主要贮存项目设备检修过程产生的废机油，危险废物暂存间的危险废物最大暂存量约为</w:t>
      </w:r>
      <w:r>
        <w:rPr>
          <w:rFonts w:hint="eastAsia" w:ascii="Times New Roman" w:hAnsi="Times New Roman"/>
          <w:spacing w:val="-2"/>
          <w:kern w:val="0"/>
          <w:sz w:val="24"/>
          <w:szCs w:val="24"/>
        </w:rPr>
        <w:t>1</w:t>
      </w:r>
      <w:r>
        <w:rPr>
          <w:rFonts w:ascii="Times New Roman" w:hAnsi="Times New Roman"/>
          <w:spacing w:val="-2"/>
          <w:kern w:val="0"/>
          <w:sz w:val="24"/>
          <w:szCs w:val="24"/>
        </w:rPr>
        <w:t>t/a，危废暂存于危废暂存场，</w:t>
      </w:r>
      <w:r>
        <w:rPr>
          <w:rFonts w:ascii="Times New Roman" w:hAnsi="Times New Roman"/>
          <w:spacing w:val="-2"/>
          <w:kern w:val="0"/>
          <w:sz w:val="24"/>
          <w:szCs w:val="20"/>
        </w:rPr>
        <w:t>采用密封桶盛装</w:t>
      </w:r>
      <w:r>
        <w:rPr>
          <w:rFonts w:ascii="Times New Roman" w:hAnsi="Times New Roman"/>
          <w:spacing w:val="-2"/>
          <w:kern w:val="0"/>
          <w:sz w:val="24"/>
          <w:szCs w:val="24"/>
        </w:rPr>
        <w:t>，最大贮存周期为</w:t>
      </w:r>
      <w:r>
        <w:rPr>
          <w:rFonts w:hint="eastAsia" w:ascii="Times New Roman" w:hAnsi="Times New Roman"/>
          <w:spacing w:val="-2"/>
          <w:kern w:val="0"/>
          <w:sz w:val="24"/>
          <w:szCs w:val="24"/>
        </w:rPr>
        <w:t>150d</w:t>
      </w:r>
      <w:r>
        <w:rPr>
          <w:rFonts w:ascii="Times New Roman" w:hAnsi="Times New Roman"/>
          <w:spacing w:val="-2"/>
          <w:kern w:val="0"/>
          <w:sz w:val="24"/>
          <w:szCs w:val="24"/>
        </w:rPr>
        <w:t>。</w:t>
      </w:r>
    </w:p>
    <w:p w14:paraId="2A8E4E95">
      <w:pPr>
        <w:widowControl/>
        <w:spacing w:line="360" w:lineRule="auto"/>
        <w:ind w:firstLine="480" w:firstLineChars="200"/>
        <w:rPr>
          <w:rFonts w:ascii="Times New Roman" w:hAnsi="Times New Roman"/>
          <w:sz w:val="24"/>
          <w:szCs w:val="24"/>
        </w:rPr>
      </w:pPr>
      <w:r>
        <w:rPr>
          <w:rFonts w:ascii="Times New Roman" w:hAnsi="Times New Roman"/>
          <w:sz w:val="24"/>
          <w:lang w:bidi="ar"/>
        </w:rPr>
        <w:t>危废暂存间</w:t>
      </w:r>
      <w:r>
        <w:rPr>
          <w:rFonts w:hint="eastAsia" w:ascii="Times New Roman" w:hAnsi="Times New Roman"/>
          <w:sz w:val="24"/>
          <w:szCs w:val="24"/>
        </w:rPr>
        <w:t>贮存设施选址要求：</w:t>
      </w:r>
    </w:p>
    <w:p w14:paraId="30696566">
      <w:pPr>
        <w:widowControl/>
        <w:spacing w:line="360" w:lineRule="auto"/>
        <w:ind w:firstLine="480" w:firstLineChars="200"/>
        <w:rPr>
          <w:rFonts w:ascii="Times New Roman" w:hAnsi="Times New Roman"/>
          <w:sz w:val="24"/>
          <w:szCs w:val="24"/>
        </w:rPr>
      </w:pPr>
      <w:r>
        <w:rPr>
          <w:rFonts w:hint="eastAsia" w:ascii="Times New Roman" w:hAnsi="Times New Roman"/>
          <w:sz w:val="24"/>
          <w:szCs w:val="24"/>
        </w:rPr>
        <w:t>① 贮存设施选址应满足生态环境保护法律法规、规划和“三线一单”生态环境分区管控的要求，建设项目应依法进行环境影响评价。项目危废暂存间位于项目车间内，项目选址符合环保法律法规、广西钦州保税港区规划和“三线一单”生态环境分区管控的要求。</w:t>
      </w:r>
    </w:p>
    <w:p w14:paraId="5663C788">
      <w:pPr>
        <w:widowControl/>
        <w:spacing w:line="360" w:lineRule="auto"/>
        <w:ind w:firstLine="480" w:firstLineChars="200"/>
        <w:rPr>
          <w:rFonts w:ascii="Times New Roman" w:hAnsi="Times New Roman"/>
          <w:sz w:val="24"/>
          <w:szCs w:val="24"/>
        </w:rPr>
      </w:pPr>
      <w:r>
        <w:rPr>
          <w:rFonts w:hint="eastAsia" w:ascii="Times New Roman" w:hAnsi="Times New Roman"/>
          <w:sz w:val="24"/>
          <w:szCs w:val="24"/>
        </w:rPr>
        <w:t>② 集中贮存设施不应选在生态保护红线区域</w:t>
      </w:r>
      <w:r>
        <w:rPr>
          <w:rFonts w:hint="eastAsia" w:ascii="Times New Roman" w:hAnsi="Times New Roman"/>
          <w:sz w:val="24"/>
          <w:szCs w:val="24"/>
          <w:lang w:eastAsia="zh-CN"/>
        </w:rPr>
        <w:t>、</w:t>
      </w:r>
      <w:r>
        <w:rPr>
          <w:rFonts w:hint="eastAsia" w:ascii="Times New Roman" w:hAnsi="Times New Roman"/>
          <w:sz w:val="24"/>
          <w:szCs w:val="24"/>
        </w:rPr>
        <w:t>基本农田和其他需要特别保护的区域内，不应建在溶洞区或易遭受洪水、滑坡、泥石流、潮汐等严重自然灾害影响的地区。项目危废暂存间不涉及上述区域。</w:t>
      </w:r>
    </w:p>
    <w:p w14:paraId="4CEA7F34">
      <w:pPr>
        <w:widowControl/>
        <w:spacing w:line="360" w:lineRule="auto"/>
        <w:ind w:firstLine="480" w:firstLineChars="200"/>
        <w:rPr>
          <w:rFonts w:ascii="Times New Roman" w:hAnsi="Times New Roman"/>
          <w:sz w:val="24"/>
          <w:szCs w:val="24"/>
        </w:rPr>
      </w:pPr>
      <w:r>
        <w:rPr>
          <w:rFonts w:hint="eastAsia" w:ascii="Times New Roman" w:hAnsi="Times New Roman"/>
          <w:sz w:val="24"/>
          <w:szCs w:val="24"/>
        </w:rPr>
        <w:t>③ 贮存设施不应选在江河、湖泊、运河、渠道、水库及其最高水位线以下的滩地和岸坡，以及法律法规规定禁止贮存危险废物的其他地点。项目范围内无地表水体，项目车间距离最近的南面海岸线约1130m，选择不在上述区域。</w:t>
      </w:r>
    </w:p>
    <w:p w14:paraId="5B1EBCB7">
      <w:pPr>
        <w:widowControl/>
        <w:spacing w:line="360" w:lineRule="auto"/>
        <w:ind w:firstLine="480" w:firstLineChars="200"/>
        <w:rPr>
          <w:rFonts w:ascii="Times New Roman" w:hAnsi="Times New Roman"/>
          <w:sz w:val="24"/>
          <w:szCs w:val="24"/>
        </w:rPr>
      </w:pPr>
      <w:r>
        <w:rPr>
          <w:rFonts w:hint="eastAsia" w:ascii="Times New Roman" w:hAnsi="Times New Roman"/>
          <w:sz w:val="24"/>
          <w:szCs w:val="24"/>
        </w:rPr>
        <w:t>④ 贮存设施场址的位置以及其与周围环境敏感目标的距离应依据环境影响评价文件确定。项目危废暂存间位于项目车间内，距离项目最近的敏感目标为</w:t>
      </w:r>
      <w:r>
        <w:rPr>
          <w:rFonts w:hint="eastAsia" w:ascii="Times New Roman" w:hAnsi="Times New Roman"/>
          <w:spacing w:val="-2"/>
          <w:kern w:val="0"/>
          <w:sz w:val="24"/>
          <w:szCs w:val="24"/>
        </w:rPr>
        <w:t>西北面2100m处的保税港区企业职业配套生活区，距离项目危废暂存间较远。</w:t>
      </w:r>
    </w:p>
    <w:p w14:paraId="453A959E">
      <w:pPr>
        <w:widowControl/>
        <w:spacing w:line="360" w:lineRule="auto"/>
        <w:ind w:firstLine="480" w:firstLineChars="200"/>
        <w:rPr>
          <w:rFonts w:ascii="Times New Roman" w:hAnsi="Times New Roman"/>
          <w:sz w:val="24"/>
          <w:szCs w:val="24"/>
        </w:rPr>
      </w:pPr>
      <w:r>
        <w:rPr>
          <w:rFonts w:ascii="Times New Roman" w:hAnsi="Times New Roman"/>
          <w:sz w:val="24"/>
          <w:szCs w:val="24"/>
        </w:rPr>
        <w:t>因此，本项目危险固废暂存间满足《危险废物贮存污染控制标准》（GB18597-20</w:t>
      </w:r>
      <w:r>
        <w:rPr>
          <w:rFonts w:hint="eastAsia" w:ascii="Times New Roman" w:hAnsi="Times New Roman"/>
          <w:sz w:val="24"/>
          <w:szCs w:val="24"/>
        </w:rPr>
        <w:t>23</w:t>
      </w:r>
      <w:r>
        <w:rPr>
          <w:rFonts w:ascii="Times New Roman" w:hAnsi="Times New Roman"/>
          <w:sz w:val="24"/>
          <w:szCs w:val="24"/>
        </w:rPr>
        <w:t>）中危险废物贮存设施的选址要求，危险废物贮存场所选址合理。</w:t>
      </w:r>
    </w:p>
    <w:p w14:paraId="738A9FC5">
      <w:pPr>
        <w:widowControl/>
        <w:spacing w:line="360" w:lineRule="auto"/>
        <w:ind w:firstLine="482" w:firstLineChars="200"/>
        <w:rPr>
          <w:rFonts w:ascii="Times New Roman" w:hAnsi="Times New Roman"/>
          <w:b/>
          <w:bCs/>
          <w:sz w:val="24"/>
          <w:szCs w:val="24"/>
        </w:rPr>
      </w:pPr>
      <w:r>
        <w:rPr>
          <w:rFonts w:ascii="Times New Roman" w:hAnsi="Times New Roman"/>
          <w:b/>
          <w:bCs/>
          <w:sz w:val="24"/>
          <w:szCs w:val="24"/>
        </w:rPr>
        <w:t>（2）危险废物贮存场所贮存能力分析</w:t>
      </w:r>
    </w:p>
    <w:p w14:paraId="28202C73">
      <w:pPr>
        <w:widowControl/>
        <w:spacing w:line="360" w:lineRule="auto"/>
        <w:ind w:firstLine="480" w:firstLineChars="200"/>
        <w:rPr>
          <w:rFonts w:ascii="Times New Roman" w:hAnsi="Times New Roman"/>
          <w:sz w:val="24"/>
          <w:szCs w:val="24"/>
        </w:rPr>
      </w:pPr>
      <w:r>
        <w:rPr>
          <w:rFonts w:ascii="Times New Roman" w:hAnsi="Times New Roman"/>
          <w:sz w:val="24"/>
          <w:szCs w:val="24"/>
        </w:rPr>
        <w:t>危废暂存间内的固体废物为废机油。需要暂存的贮存周期、贮存量及贮存能力见表4.6-2。</w:t>
      </w:r>
    </w:p>
    <w:p w14:paraId="7555F032">
      <w:pPr>
        <w:pStyle w:val="8"/>
        <w:numPr>
          <w:ilvl w:val="4"/>
          <w:numId w:val="3"/>
        </w:numPr>
        <w:rPr>
          <w:lang w:val="en-GB"/>
        </w:rPr>
      </w:pPr>
      <w:r>
        <w:rPr>
          <w:lang w:val="en-GB"/>
        </w:rPr>
        <w:t>危险废物贮存场所（设施）基本情况表</w:t>
      </w:r>
    </w:p>
    <w:tbl>
      <w:tblPr>
        <w:tblStyle w:val="88"/>
        <w:tblW w:w="892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00"/>
        <w:gridCol w:w="959"/>
        <w:gridCol w:w="840"/>
        <w:gridCol w:w="1280"/>
        <w:gridCol w:w="949"/>
        <w:gridCol w:w="921"/>
        <w:gridCol w:w="709"/>
        <w:gridCol w:w="845"/>
        <w:gridCol w:w="714"/>
        <w:gridCol w:w="709"/>
      </w:tblGrid>
      <w:tr w14:paraId="5FB10F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000" w:type="dxa"/>
            <w:vAlign w:val="center"/>
          </w:tcPr>
          <w:p w14:paraId="7CECA5BF">
            <w:pPr>
              <w:jc w:val="center"/>
              <w:rPr>
                <w:rFonts w:ascii="Times New Roman" w:hAnsi="Times New Roman"/>
                <w:b/>
                <w:bCs/>
                <w:szCs w:val="21"/>
              </w:rPr>
            </w:pPr>
            <w:r>
              <w:rPr>
                <w:rFonts w:ascii="Times New Roman" w:hAnsi="Times New Roman"/>
                <w:b/>
                <w:bCs/>
                <w:szCs w:val="21"/>
              </w:rPr>
              <w:t>贮存场所名称</w:t>
            </w:r>
          </w:p>
        </w:tc>
        <w:tc>
          <w:tcPr>
            <w:tcW w:w="959" w:type="dxa"/>
            <w:vAlign w:val="center"/>
          </w:tcPr>
          <w:p w14:paraId="1D9F8CB2">
            <w:pPr>
              <w:jc w:val="center"/>
              <w:rPr>
                <w:rFonts w:ascii="Times New Roman" w:hAnsi="Times New Roman"/>
                <w:b/>
                <w:bCs/>
                <w:szCs w:val="21"/>
              </w:rPr>
            </w:pPr>
            <w:r>
              <w:rPr>
                <w:rFonts w:ascii="Times New Roman" w:hAnsi="Times New Roman"/>
                <w:b/>
                <w:bCs/>
                <w:szCs w:val="21"/>
              </w:rPr>
              <w:t>危险废物名称</w:t>
            </w:r>
          </w:p>
        </w:tc>
        <w:tc>
          <w:tcPr>
            <w:tcW w:w="840" w:type="dxa"/>
            <w:vAlign w:val="center"/>
          </w:tcPr>
          <w:p w14:paraId="0CE54955">
            <w:pPr>
              <w:jc w:val="center"/>
              <w:rPr>
                <w:rFonts w:ascii="Times New Roman" w:hAnsi="Times New Roman"/>
                <w:b/>
                <w:bCs/>
                <w:szCs w:val="21"/>
              </w:rPr>
            </w:pPr>
            <w:r>
              <w:rPr>
                <w:rFonts w:ascii="Times New Roman" w:hAnsi="Times New Roman"/>
                <w:b/>
                <w:bCs/>
                <w:szCs w:val="21"/>
              </w:rPr>
              <w:t>危险废物类别</w:t>
            </w:r>
          </w:p>
        </w:tc>
        <w:tc>
          <w:tcPr>
            <w:tcW w:w="1280" w:type="dxa"/>
            <w:vAlign w:val="center"/>
          </w:tcPr>
          <w:p w14:paraId="533AEBFD">
            <w:pPr>
              <w:jc w:val="center"/>
              <w:rPr>
                <w:rFonts w:ascii="Times New Roman" w:hAnsi="Times New Roman"/>
                <w:b/>
                <w:bCs/>
                <w:szCs w:val="21"/>
              </w:rPr>
            </w:pPr>
            <w:r>
              <w:rPr>
                <w:rFonts w:ascii="Times New Roman" w:hAnsi="Times New Roman"/>
                <w:b/>
                <w:bCs/>
                <w:szCs w:val="21"/>
              </w:rPr>
              <w:t>危险废物</w:t>
            </w:r>
          </w:p>
          <w:p w14:paraId="167C25E6">
            <w:pPr>
              <w:jc w:val="center"/>
              <w:rPr>
                <w:rFonts w:ascii="Times New Roman" w:hAnsi="Times New Roman"/>
                <w:b/>
                <w:bCs/>
                <w:szCs w:val="21"/>
              </w:rPr>
            </w:pPr>
            <w:r>
              <w:rPr>
                <w:rFonts w:ascii="Times New Roman" w:hAnsi="Times New Roman"/>
                <w:b/>
                <w:bCs/>
                <w:szCs w:val="21"/>
              </w:rPr>
              <w:t>代码</w:t>
            </w:r>
          </w:p>
        </w:tc>
        <w:tc>
          <w:tcPr>
            <w:tcW w:w="949" w:type="dxa"/>
            <w:vAlign w:val="center"/>
          </w:tcPr>
          <w:p w14:paraId="33C6ABFE">
            <w:pPr>
              <w:jc w:val="center"/>
              <w:rPr>
                <w:rFonts w:ascii="Times New Roman" w:hAnsi="Times New Roman"/>
                <w:b/>
                <w:bCs/>
                <w:szCs w:val="21"/>
              </w:rPr>
            </w:pPr>
            <w:r>
              <w:rPr>
                <w:rFonts w:ascii="Times New Roman" w:hAnsi="Times New Roman"/>
                <w:b/>
                <w:bCs/>
                <w:szCs w:val="21"/>
              </w:rPr>
              <w:t>位置</w:t>
            </w:r>
          </w:p>
        </w:tc>
        <w:tc>
          <w:tcPr>
            <w:tcW w:w="921" w:type="dxa"/>
            <w:vAlign w:val="center"/>
          </w:tcPr>
          <w:p w14:paraId="67C0F508">
            <w:pPr>
              <w:jc w:val="center"/>
              <w:rPr>
                <w:rFonts w:ascii="Times New Roman" w:hAnsi="Times New Roman"/>
                <w:b/>
                <w:bCs/>
                <w:szCs w:val="21"/>
              </w:rPr>
            </w:pPr>
            <w:r>
              <w:rPr>
                <w:rFonts w:ascii="Times New Roman" w:hAnsi="Times New Roman"/>
                <w:b/>
                <w:bCs/>
                <w:szCs w:val="21"/>
              </w:rPr>
              <w:t>占地面积（m</w:t>
            </w:r>
            <w:r>
              <w:rPr>
                <w:rFonts w:ascii="Times New Roman" w:hAnsi="Times New Roman"/>
                <w:b/>
                <w:bCs/>
                <w:szCs w:val="21"/>
                <w:vertAlign w:val="superscript"/>
              </w:rPr>
              <w:t>2</w:t>
            </w:r>
            <w:r>
              <w:rPr>
                <w:rFonts w:ascii="Times New Roman" w:hAnsi="Times New Roman"/>
                <w:b/>
                <w:bCs/>
                <w:szCs w:val="21"/>
              </w:rPr>
              <w:t>）</w:t>
            </w:r>
          </w:p>
        </w:tc>
        <w:tc>
          <w:tcPr>
            <w:tcW w:w="709" w:type="dxa"/>
            <w:vAlign w:val="center"/>
          </w:tcPr>
          <w:p w14:paraId="708511DD">
            <w:pPr>
              <w:jc w:val="center"/>
              <w:rPr>
                <w:rFonts w:ascii="Times New Roman" w:hAnsi="Times New Roman"/>
                <w:b/>
                <w:bCs/>
                <w:szCs w:val="21"/>
              </w:rPr>
            </w:pPr>
            <w:r>
              <w:rPr>
                <w:rFonts w:ascii="Times New Roman" w:hAnsi="Times New Roman"/>
                <w:b/>
                <w:bCs/>
                <w:szCs w:val="21"/>
              </w:rPr>
              <w:t>贮存量（t）</w:t>
            </w:r>
          </w:p>
        </w:tc>
        <w:tc>
          <w:tcPr>
            <w:tcW w:w="845" w:type="dxa"/>
            <w:vAlign w:val="center"/>
          </w:tcPr>
          <w:p w14:paraId="3C0B42F2">
            <w:pPr>
              <w:jc w:val="center"/>
              <w:rPr>
                <w:rFonts w:ascii="Times New Roman" w:hAnsi="Times New Roman"/>
                <w:b/>
                <w:bCs/>
                <w:szCs w:val="21"/>
              </w:rPr>
            </w:pPr>
            <w:r>
              <w:rPr>
                <w:rFonts w:ascii="Times New Roman" w:hAnsi="Times New Roman"/>
                <w:b/>
                <w:bCs/>
                <w:szCs w:val="21"/>
              </w:rPr>
              <w:t>贮存方式</w:t>
            </w:r>
          </w:p>
        </w:tc>
        <w:tc>
          <w:tcPr>
            <w:tcW w:w="714" w:type="dxa"/>
            <w:vAlign w:val="center"/>
          </w:tcPr>
          <w:p w14:paraId="17141AE7">
            <w:pPr>
              <w:jc w:val="center"/>
              <w:rPr>
                <w:rFonts w:ascii="Times New Roman" w:hAnsi="Times New Roman"/>
                <w:b/>
                <w:bCs/>
                <w:szCs w:val="21"/>
              </w:rPr>
            </w:pPr>
            <w:r>
              <w:rPr>
                <w:rFonts w:ascii="Times New Roman" w:hAnsi="Times New Roman"/>
                <w:b/>
                <w:bCs/>
                <w:szCs w:val="21"/>
              </w:rPr>
              <w:t>贮存能力（t）</w:t>
            </w:r>
          </w:p>
        </w:tc>
        <w:tc>
          <w:tcPr>
            <w:tcW w:w="709" w:type="dxa"/>
            <w:vAlign w:val="center"/>
          </w:tcPr>
          <w:p w14:paraId="7958D35A">
            <w:pPr>
              <w:jc w:val="center"/>
              <w:rPr>
                <w:rFonts w:ascii="Times New Roman" w:hAnsi="Times New Roman"/>
                <w:b/>
                <w:bCs/>
                <w:szCs w:val="21"/>
              </w:rPr>
            </w:pPr>
            <w:r>
              <w:rPr>
                <w:rFonts w:ascii="Times New Roman" w:hAnsi="Times New Roman"/>
                <w:b/>
                <w:bCs/>
                <w:szCs w:val="21"/>
              </w:rPr>
              <w:t>贮存周期</w:t>
            </w:r>
          </w:p>
        </w:tc>
      </w:tr>
      <w:tr w14:paraId="70ABED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000" w:type="dxa"/>
            <w:vAlign w:val="center"/>
          </w:tcPr>
          <w:p w14:paraId="26B8A2F6">
            <w:pPr>
              <w:jc w:val="center"/>
              <w:rPr>
                <w:rFonts w:ascii="Times New Roman" w:hAnsi="Times New Roman"/>
                <w:szCs w:val="21"/>
              </w:rPr>
            </w:pPr>
            <w:r>
              <w:rPr>
                <w:rFonts w:ascii="Times New Roman" w:hAnsi="Times New Roman"/>
                <w:szCs w:val="21"/>
              </w:rPr>
              <w:t>危废暂存间</w:t>
            </w:r>
          </w:p>
        </w:tc>
        <w:tc>
          <w:tcPr>
            <w:tcW w:w="959" w:type="dxa"/>
            <w:vAlign w:val="center"/>
          </w:tcPr>
          <w:p w14:paraId="14508FA3">
            <w:pPr>
              <w:autoSpaceDE w:val="0"/>
              <w:autoSpaceDN w:val="0"/>
              <w:adjustRightInd w:val="0"/>
              <w:jc w:val="center"/>
              <w:rPr>
                <w:rFonts w:ascii="Times New Roman" w:hAnsi="Times New Roman"/>
                <w:kern w:val="0"/>
                <w:szCs w:val="21"/>
              </w:rPr>
            </w:pPr>
            <w:r>
              <w:rPr>
                <w:rFonts w:ascii="Times New Roman" w:hAnsi="Times New Roman"/>
                <w:kern w:val="0"/>
                <w:szCs w:val="21"/>
              </w:rPr>
              <w:t>废机油</w:t>
            </w:r>
          </w:p>
        </w:tc>
        <w:tc>
          <w:tcPr>
            <w:tcW w:w="840" w:type="dxa"/>
            <w:vAlign w:val="center"/>
          </w:tcPr>
          <w:p w14:paraId="71A312A4">
            <w:pPr>
              <w:autoSpaceDE w:val="0"/>
              <w:autoSpaceDN w:val="0"/>
              <w:adjustRightInd w:val="0"/>
              <w:jc w:val="center"/>
              <w:rPr>
                <w:rFonts w:ascii="Times New Roman" w:hAnsi="Times New Roman"/>
                <w:kern w:val="0"/>
                <w:szCs w:val="21"/>
              </w:rPr>
            </w:pPr>
            <w:r>
              <w:rPr>
                <w:rFonts w:ascii="Times New Roman" w:hAnsi="Times New Roman"/>
                <w:kern w:val="0"/>
                <w:szCs w:val="21"/>
              </w:rPr>
              <w:t xml:space="preserve">HW08 </w:t>
            </w:r>
          </w:p>
        </w:tc>
        <w:tc>
          <w:tcPr>
            <w:tcW w:w="1280" w:type="dxa"/>
            <w:vAlign w:val="center"/>
          </w:tcPr>
          <w:p w14:paraId="180F00C9">
            <w:pPr>
              <w:autoSpaceDE w:val="0"/>
              <w:autoSpaceDN w:val="0"/>
              <w:adjustRightInd w:val="0"/>
              <w:jc w:val="center"/>
              <w:rPr>
                <w:rFonts w:ascii="Times New Roman" w:hAnsi="Times New Roman"/>
                <w:kern w:val="0"/>
                <w:szCs w:val="21"/>
              </w:rPr>
            </w:pPr>
            <w:r>
              <w:rPr>
                <w:rFonts w:ascii="Times New Roman" w:hAnsi="Times New Roman"/>
                <w:kern w:val="0"/>
                <w:szCs w:val="21"/>
              </w:rPr>
              <w:t>900-214-08</w:t>
            </w:r>
          </w:p>
        </w:tc>
        <w:tc>
          <w:tcPr>
            <w:tcW w:w="949" w:type="dxa"/>
            <w:vAlign w:val="center"/>
          </w:tcPr>
          <w:p w14:paraId="129DE561">
            <w:pPr>
              <w:jc w:val="center"/>
              <w:rPr>
                <w:rFonts w:ascii="Times New Roman" w:hAnsi="Times New Roman"/>
                <w:szCs w:val="21"/>
              </w:rPr>
            </w:pPr>
            <w:r>
              <w:rPr>
                <w:rFonts w:ascii="Times New Roman" w:hAnsi="Times New Roman"/>
                <w:szCs w:val="24"/>
              </w:rPr>
              <w:t>2#车间东北角</w:t>
            </w:r>
          </w:p>
        </w:tc>
        <w:tc>
          <w:tcPr>
            <w:tcW w:w="921" w:type="dxa"/>
            <w:vAlign w:val="center"/>
          </w:tcPr>
          <w:p w14:paraId="4E758338">
            <w:pPr>
              <w:jc w:val="center"/>
              <w:rPr>
                <w:rFonts w:ascii="Times New Roman" w:hAnsi="Times New Roman"/>
                <w:szCs w:val="21"/>
              </w:rPr>
            </w:pPr>
            <w:r>
              <w:rPr>
                <w:rFonts w:hint="eastAsia" w:ascii="Times New Roman" w:hAnsi="Times New Roman"/>
                <w:szCs w:val="21"/>
              </w:rPr>
              <w:t>3</w:t>
            </w:r>
          </w:p>
        </w:tc>
        <w:tc>
          <w:tcPr>
            <w:tcW w:w="709" w:type="dxa"/>
            <w:vAlign w:val="center"/>
          </w:tcPr>
          <w:p w14:paraId="0D37D20A">
            <w:pPr>
              <w:jc w:val="center"/>
              <w:rPr>
                <w:rFonts w:ascii="Times New Roman" w:hAnsi="Times New Roman"/>
                <w:szCs w:val="21"/>
                <w:u w:val="single"/>
              </w:rPr>
            </w:pPr>
            <w:r>
              <w:rPr>
                <w:rFonts w:ascii="Times New Roman" w:hAnsi="Times New Roman"/>
                <w:szCs w:val="21"/>
                <w:u w:val="single"/>
              </w:rPr>
              <w:t>0.3</w:t>
            </w:r>
          </w:p>
        </w:tc>
        <w:tc>
          <w:tcPr>
            <w:tcW w:w="845" w:type="dxa"/>
            <w:vAlign w:val="center"/>
          </w:tcPr>
          <w:p w14:paraId="3181832E">
            <w:pPr>
              <w:jc w:val="center"/>
              <w:rPr>
                <w:rFonts w:ascii="Times New Roman" w:hAnsi="Times New Roman"/>
                <w:szCs w:val="21"/>
                <w:u w:val="single"/>
              </w:rPr>
            </w:pPr>
            <w:r>
              <w:rPr>
                <w:rFonts w:ascii="Times New Roman" w:hAnsi="Times New Roman"/>
                <w:szCs w:val="21"/>
              </w:rPr>
              <w:t>桶装</w:t>
            </w:r>
          </w:p>
        </w:tc>
        <w:tc>
          <w:tcPr>
            <w:tcW w:w="714" w:type="dxa"/>
            <w:vAlign w:val="center"/>
          </w:tcPr>
          <w:p w14:paraId="5092425E">
            <w:pPr>
              <w:jc w:val="center"/>
              <w:rPr>
                <w:rFonts w:ascii="Times New Roman" w:hAnsi="Times New Roman"/>
                <w:szCs w:val="21"/>
                <w:u w:val="single"/>
              </w:rPr>
            </w:pPr>
            <w:r>
              <w:rPr>
                <w:rFonts w:hint="eastAsia" w:ascii="Times New Roman" w:hAnsi="Times New Roman"/>
                <w:szCs w:val="21"/>
                <w:u w:val="single"/>
              </w:rPr>
              <w:t>1</w:t>
            </w:r>
          </w:p>
        </w:tc>
        <w:tc>
          <w:tcPr>
            <w:tcW w:w="709" w:type="dxa"/>
            <w:vAlign w:val="center"/>
          </w:tcPr>
          <w:p w14:paraId="1608F501">
            <w:pPr>
              <w:jc w:val="center"/>
              <w:rPr>
                <w:rFonts w:ascii="Times New Roman" w:hAnsi="Times New Roman"/>
                <w:szCs w:val="21"/>
              </w:rPr>
            </w:pPr>
            <w:r>
              <w:rPr>
                <w:rFonts w:hint="eastAsia" w:ascii="Times New Roman" w:hAnsi="Times New Roman"/>
                <w:szCs w:val="21"/>
              </w:rPr>
              <w:t>150d</w:t>
            </w:r>
          </w:p>
        </w:tc>
      </w:tr>
    </w:tbl>
    <w:p w14:paraId="0EC5DB73">
      <w:pPr>
        <w:widowControl/>
        <w:spacing w:line="360" w:lineRule="auto"/>
        <w:ind w:firstLine="480" w:firstLineChars="200"/>
        <w:rPr>
          <w:rFonts w:ascii="Times New Roman" w:hAnsi="Times New Roman"/>
          <w:sz w:val="24"/>
          <w:szCs w:val="24"/>
        </w:rPr>
      </w:pPr>
    </w:p>
    <w:p w14:paraId="57808359">
      <w:pPr>
        <w:widowControl/>
        <w:spacing w:line="360" w:lineRule="auto"/>
        <w:ind w:firstLine="480" w:firstLineChars="200"/>
        <w:rPr>
          <w:rFonts w:ascii="Times New Roman" w:hAnsi="Times New Roman"/>
          <w:sz w:val="24"/>
          <w:szCs w:val="24"/>
        </w:rPr>
      </w:pPr>
      <w:r>
        <w:rPr>
          <w:rFonts w:ascii="Times New Roman" w:hAnsi="Times New Roman"/>
          <w:sz w:val="24"/>
          <w:szCs w:val="24"/>
        </w:rPr>
        <w:t>根据产生的危废废物量，</w:t>
      </w:r>
      <w:r>
        <w:rPr>
          <w:rFonts w:ascii="Times New Roman" w:hAnsi="Times New Roman"/>
          <w:sz w:val="24"/>
          <w:szCs w:val="24"/>
          <w:u w:val="single"/>
        </w:rPr>
        <w:t>危险废物暂存间最大存量为0.3t，最大贮存能力为</w:t>
      </w:r>
      <w:r>
        <w:rPr>
          <w:rFonts w:hint="eastAsia" w:ascii="Times New Roman" w:hAnsi="Times New Roman"/>
          <w:sz w:val="24"/>
          <w:szCs w:val="24"/>
          <w:u w:val="single"/>
        </w:rPr>
        <w:t>1</w:t>
      </w:r>
      <w:r>
        <w:rPr>
          <w:rFonts w:ascii="Times New Roman" w:hAnsi="Times New Roman"/>
          <w:sz w:val="24"/>
          <w:szCs w:val="24"/>
          <w:u w:val="single"/>
        </w:rPr>
        <w:t>t，</w:t>
      </w:r>
      <w:r>
        <w:rPr>
          <w:rFonts w:ascii="Times New Roman" w:hAnsi="Times New Roman"/>
          <w:sz w:val="24"/>
          <w:szCs w:val="24"/>
        </w:rPr>
        <w:t>可完全容纳项目产生的危险废物，危废贮存场所可满足贮存要求。</w:t>
      </w:r>
    </w:p>
    <w:p w14:paraId="783BCC7D">
      <w:pPr>
        <w:widowControl/>
        <w:spacing w:line="360" w:lineRule="auto"/>
        <w:ind w:firstLine="480" w:firstLineChars="200"/>
        <w:rPr>
          <w:rFonts w:ascii="Times New Roman" w:hAnsi="Times New Roman"/>
          <w:sz w:val="24"/>
          <w:szCs w:val="24"/>
        </w:rPr>
      </w:pPr>
      <w:r>
        <w:rPr>
          <w:rFonts w:ascii="Times New Roman" w:hAnsi="Times New Roman"/>
          <w:sz w:val="24"/>
          <w:szCs w:val="24"/>
        </w:rPr>
        <w:t>项目危险废物按《危险废物贮存污染控制标准》（GBl8597-20</w:t>
      </w:r>
      <w:r>
        <w:rPr>
          <w:rFonts w:hint="eastAsia" w:ascii="Times New Roman" w:hAnsi="Times New Roman"/>
          <w:sz w:val="24"/>
          <w:szCs w:val="24"/>
        </w:rPr>
        <w:t>23</w:t>
      </w:r>
      <w:r>
        <w:rPr>
          <w:rFonts w:ascii="Times New Roman" w:hAnsi="Times New Roman"/>
          <w:sz w:val="24"/>
          <w:szCs w:val="24"/>
        </w:rPr>
        <w:t>）及其他危险废物的相关规定进行分类收集，并对贮存区进行防渗，采用2mm厚HDPE防渗膜铺设防渗层，或采用2mm厚的其他材料、渗透系数</w:t>
      </w:r>
      <w:r>
        <w:rPr>
          <w:rFonts w:ascii="Cambria Math" w:hAnsi="Cambria Math" w:cs="Cambria Math"/>
          <w:sz w:val="24"/>
          <w:szCs w:val="24"/>
        </w:rPr>
        <w:t>≦</w:t>
      </w:r>
      <w:r>
        <w:rPr>
          <w:rFonts w:ascii="Times New Roman" w:hAnsi="Times New Roman"/>
          <w:sz w:val="24"/>
          <w:szCs w:val="24"/>
        </w:rPr>
        <w:t>1.0×10</w:t>
      </w:r>
      <w:r>
        <w:rPr>
          <w:rFonts w:ascii="Times New Roman" w:hAnsi="Times New Roman"/>
          <w:sz w:val="24"/>
          <w:szCs w:val="24"/>
          <w:vertAlign w:val="superscript"/>
        </w:rPr>
        <w:t>-10</w:t>
      </w:r>
      <w:r>
        <w:rPr>
          <w:rFonts w:ascii="Times New Roman" w:hAnsi="Times New Roman"/>
          <w:sz w:val="24"/>
          <w:szCs w:val="24"/>
        </w:rPr>
        <w:t>cm/s。项目危险废物暂存间为室内设计，为密闭式暂存设施，能做到防风、防雨、防晒、防渗漏</w:t>
      </w:r>
      <w:r>
        <w:rPr>
          <w:rFonts w:ascii="宋体" w:hAnsi="宋体"/>
          <w:sz w:val="24"/>
          <w:szCs w:val="24"/>
        </w:rPr>
        <w:t>“四防”</w:t>
      </w:r>
      <w:r>
        <w:rPr>
          <w:rFonts w:ascii="Times New Roman" w:hAnsi="Times New Roman"/>
          <w:sz w:val="24"/>
          <w:szCs w:val="24"/>
        </w:rPr>
        <w:t>要求。</w:t>
      </w:r>
    </w:p>
    <w:p w14:paraId="2920CB7A">
      <w:pPr>
        <w:autoSpaceDN w:val="0"/>
        <w:spacing w:line="360" w:lineRule="auto"/>
        <w:ind w:firstLine="480" w:firstLineChars="200"/>
        <w:rPr>
          <w:rFonts w:ascii="Times New Roman" w:hAnsi="Times New Roman"/>
          <w:sz w:val="24"/>
          <w:szCs w:val="24"/>
        </w:rPr>
      </w:pPr>
      <w:r>
        <w:rPr>
          <w:rFonts w:ascii="Times New Roman" w:hAnsi="Times New Roman"/>
          <w:sz w:val="24"/>
          <w:szCs w:val="24"/>
        </w:rPr>
        <w:t>同时产生环节至暂存区之间均为水泥硬化地面，散落时可第一时间进行回收，对环境影响不大。</w:t>
      </w:r>
    </w:p>
    <w:p w14:paraId="6A2AC8BB">
      <w:pPr>
        <w:widowControl/>
        <w:spacing w:line="360" w:lineRule="auto"/>
        <w:ind w:firstLine="480" w:firstLineChars="200"/>
        <w:rPr>
          <w:rFonts w:ascii="Times New Roman" w:hAnsi="Times New Roman"/>
          <w:sz w:val="24"/>
          <w:szCs w:val="24"/>
        </w:rPr>
      </w:pPr>
      <w:r>
        <w:rPr>
          <w:rFonts w:ascii="Times New Roman" w:hAnsi="Times New Roman"/>
          <w:sz w:val="24"/>
          <w:szCs w:val="24"/>
        </w:rPr>
        <w:t>正常贮存情况下，贮存过程中对地表水、地下水和土壤环境影响不大。</w:t>
      </w:r>
    </w:p>
    <w:p w14:paraId="06639DBB">
      <w:pPr>
        <w:spacing w:line="460" w:lineRule="exact"/>
        <w:ind w:firstLine="482" w:firstLineChars="200"/>
        <w:jc w:val="left"/>
        <w:rPr>
          <w:rFonts w:ascii="Times New Roman" w:hAnsi="Times New Roman"/>
          <w:b/>
          <w:bCs/>
          <w:kern w:val="0"/>
          <w:sz w:val="24"/>
          <w:szCs w:val="24"/>
          <w:lang w:val="zh-CN"/>
        </w:rPr>
      </w:pPr>
      <w:r>
        <w:rPr>
          <w:rFonts w:ascii="Times New Roman" w:hAnsi="Times New Roman"/>
          <w:b/>
          <w:bCs/>
          <w:kern w:val="0"/>
          <w:sz w:val="24"/>
          <w:szCs w:val="24"/>
          <w:lang w:val="zh-CN"/>
        </w:rPr>
        <w:t>（3）运输过程的环境影响分析</w:t>
      </w:r>
    </w:p>
    <w:p w14:paraId="36A6C2B6">
      <w:pPr>
        <w:spacing w:line="360" w:lineRule="auto"/>
        <w:ind w:firstLine="480" w:firstLineChars="200"/>
        <w:jc w:val="left"/>
        <w:rPr>
          <w:rFonts w:ascii="Times New Roman" w:hAnsi="Times New Roman"/>
          <w:kern w:val="0"/>
          <w:sz w:val="24"/>
          <w:szCs w:val="24"/>
          <w:lang w:val="zh-CN"/>
        </w:rPr>
      </w:pPr>
      <w:r>
        <w:rPr>
          <w:rFonts w:ascii="Times New Roman" w:hAnsi="Times New Roman"/>
          <w:kern w:val="0"/>
          <w:sz w:val="24"/>
          <w:szCs w:val="24"/>
          <w:lang w:val="zh-CN"/>
        </w:rPr>
        <w:t>本项目危险废物均在产生场所由密闭容器收集后，由厂区专用运输工具至危废暂存间贮存，均在厂区内运输。厂区整体地面平坦，可降低运输过程中发生散落、泄漏的可能。危废运输工具四周设置围挡，防止泄漏时，</w:t>
      </w:r>
      <w:r>
        <w:rPr>
          <w:rFonts w:hint="eastAsia" w:ascii="Times New Roman" w:hAnsi="Times New Roman"/>
          <w:kern w:val="0"/>
          <w:sz w:val="24"/>
          <w:szCs w:val="24"/>
          <w:lang w:val="zh-CN"/>
        </w:rPr>
        <w:t>杜绝</w:t>
      </w:r>
      <w:r>
        <w:rPr>
          <w:rFonts w:ascii="Times New Roman" w:hAnsi="Times New Roman"/>
          <w:kern w:val="0"/>
          <w:sz w:val="24"/>
          <w:szCs w:val="24"/>
          <w:lang w:val="zh-CN"/>
        </w:rPr>
        <w:t>危险废物散落在厂区道路上。</w:t>
      </w:r>
    </w:p>
    <w:p w14:paraId="3688874D">
      <w:pPr>
        <w:pStyle w:val="6"/>
        <w:numPr>
          <w:ilvl w:val="2"/>
          <w:numId w:val="3"/>
        </w:numPr>
      </w:pPr>
      <w:r>
        <w:t>小结</w:t>
      </w:r>
    </w:p>
    <w:p w14:paraId="2EBB5DE1">
      <w:pPr>
        <w:tabs>
          <w:tab w:val="left" w:pos="900"/>
        </w:tabs>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本项目产生的一般工业固体废物均得到综合利用；生活垃圾定期由环卫部门统一清运处理；废机油委托有资质单位处置。通过对固体废物产生、处置过程中加强管理，项目固体废物对环境的影响不大。</w:t>
      </w:r>
    </w:p>
    <w:p w14:paraId="650D5076">
      <w:pPr>
        <w:pStyle w:val="5"/>
        <w:numPr>
          <w:ilvl w:val="1"/>
          <w:numId w:val="3"/>
        </w:numPr>
      </w:pPr>
      <w:bookmarkStart w:id="227" w:name="_Toc28408"/>
      <w:r>
        <w:t>生态环境影响分析</w:t>
      </w:r>
      <w:bookmarkEnd w:id="227"/>
    </w:p>
    <w:p w14:paraId="4AD4A2E5">
      <w:pPr>
        <w:adjustRightInd w:val="0"/>
        <w:spacing w:line="360" w:lineRule="auto"/>
        <w:ind w:firstLine="472" w:firstLineChars="200"/>
        <w:rPr>
          <w:rFonts w:ascii="Times New Roman" w:hAnsi="Times New Roman"/>
          <w:spacing w:val="-2"/>
          <w:kern w:val="0"/>
          <w:sz w:val="24"/>
          <w:szCs w:val="20"/>
        </w:rPr>
      </w:pPr>
      <w:bookmarkStart w:id="228" w:name="_Toc398197283"/>
      <w:r>
        <w:rPr>
          <w:rFonts w:ascii="Times New Roman" w:hAnsi="Times New Roman"/>
          <w:spacing w:val="-2"/>
          <w:kern w:val="0"/>
          <w:sz w:val="24"/>
          <w:szCs w:val="24"/>
        </w:rPr>
        <w:t>本项目租用广西钦州保税区创大冷链物流公司的3号仓库进行建设，仓库位于广西钦州保税区创大冷链物流公司进口汽车仓储物流园内。</w:t>
      </w:r>
      <w:r>
        <w:rPr>
          <w:rFonts w:ascii="Times New Roman" w:hAnsi="Times New Roman"/>
          <w:spacing w:val="-2"/>
          <w:kern w:val="0"/>
          <w:sz w:val="24"/>
          <w:szCs w:val="20"/>
        </w:rPr>
        <w:t>广西钦州保税港区已获规划环评审查意见，项目符合生态环境分区管控要求，符合规划环评要求，不涉及生态敏感区，根据《环境影响评价技术导则—生态影响》（HJ19-2022）的要</w:t>
      </w:r>
      <w:r>
        <w:rPr>
          <w:rFonts w:hint="eastAsia" w:ascii="Times New Roman" w:hAnsi="Times New Roman"/>
          <w:spacing w:val="-2"/>
          <w:kern w:val="0"/>
          <w:sz w:val="24"/>
          <w:szCs w:val="20"/>
          <w:lang w:eastAsia="zh-CN"/>
        </w:rPr>
        <w:t>求对</w:t>
      </w:r>
      <w:r>
        <w:rPr>
          <w:rFonts w:ascii="Times New Roman" w:hAnsi="Times New Roman"/>
          <w:spacing w:val="-2"/>
          <w:kern w:val="0"/>
          <w:sz w:val="24"/>
          <w:szCs w:val="20"/>
        </w:rPr>
        <w:t>生态影响进行简单分析。</w:t>
      </w:r>
    </w:p>
    <w:p w14:paraId="5A7A17D6">
      <w:pPr>
        <w:adjustRightInd w:val="0"/>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广西钦州保税港区所在场地原为海域，原地貌为浅海地貌，现状地形地貌经人工吹填砂形成，填海成陆的陆域无原生的动植物资源，区域地块多已平整硬化，区域用地以工业用地、物流仓储用地、港口用地为主。区域内的植物主要以城市景观绿化植物为主，植被覆盖率较低，动物以迁徙而来的啮齿类、爬行类、鸟类等为主，生物多样性较低，由于区域人类工业、物流活动频繁，未发现国家保护的珍稀濒危动物种类迁徙至此区域，项目所在区域生态环境一般。</w:t>
      </w:r>
    </w:p>
    <w:p w14:paraId="18F1551F">
      <w:pPr>
        <w:spacing w:line="360" w:lineRule="auto"/>
        <w:ind w:firstLine="472" w:firstLineChars="200"/>
        <w:rPr>
          <w:rFonts w:ascii="Times New Roman" w:hAnsi="Times New Roman"/>
          <w:kern w:val="0"/>
          <w:sz w:val="24"/>
          <w:szCs w:val="24"/>
        </w:rPr>
      </w:pPr>
      <w:r>
        <w:rPr>
          <w:rFonts w:ascii="Times New Roman" w:hAnsi="Times New Roman"/>
          <w:spacing w:val="-2"/>
          <w:kern w:val="0"/>
          <w:sz w:val="24"/>
          <w:szCs w:val="24"/>
        </w:rPr>
        <w:t>项目选址所在的广西创大冷链物流公司进口汽车仓储物流园地面均已硬化，配套的电气工程、给排水工程、照明工程、消防工程等均已完善，项目</w:t>
      </w:r>
      <w:r>
        <w:rPr>
          <w:rFonts w:ascii="Times New Roman" w:hAnsi="Times New Roman"/>
          <w:kern w:val="0"/>
          <w:sz w:val="24"/>
          <w:szCs w:val="24"/>
        </w:rPr>
        <w:t>施工期不涉及土方开挖、基础工程、主体工程等施工。施工期主要在现有厂房内进行设备安装及厂房简易装修等，不会造成地表裸露、水土流失等问题。项目生活污水排入市政污水管网，固废妥善处置，对周边自然生态环境影响不大，项目排放的大气污染物及噪声可能对区域生态环境产生不利的影响。</w:t>
      </w:r>
    </w:p>
    <w:p w14:paraId="7D5B3AB5">
      <w:pPr>
        <w:adjustRightInd w:val="0"/>
        <w:spacing w:line="360" w:lineRule="auto"/>
        <w:ind w:firstLine="474" w:firstLineChars="200"/>
        <w:rPr>
          <w:rFonts w:ascii="Times New Roman" w:hAnsi="Times New Roman"/>
          <w:b/>
          <w:bCs/>
          <w:spacing w:val="-2"/>
          <w:kern w:val="0"/>
          <w:sz w:val="24"/>
          <w:szCs w:val="20"/>
        </w:rPr>
      </w:pPr>
      <w:r>
        <w:rPr>
          <w:rFonts w:ascii="Times New Roman" w:hAnsi="Times New Roman"/>
          <w:b/>
          <w:bCs/>
          <w:spacing w:val="-2"/>
          <w:kern w:val="0"/>
          <w:sz w:val="24"/>
          <w:szCs w:val="20"/>
        </w:rPr>
        <w:t>（1）项目占地的影响</w:t>
      </w:r>
    </w:p>
    <w:p w14:paraId="2FE837A7">
      <w:pPr>
        <w:adjustRightInd w:val="0"/>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项目在已建成的</w:t>
      </w:r>
      <w:r>
        <w:rPr>
          <w:rFonts w:ascii="Times New Roman" w:hAnsi="Times New Roman"/>
          <w:spacing w:val="-2"/>
          <w:kern w:val="0"/>
          <w:sz w:val="24"/>
          <w:szCs w:val="24"/>
        </w:rPr>
        <w:t>广西创大冷链物流公司仓库内进行建设，项目所在区域用地为填海成陆区域，无原生</w:t>
      </w:r>
      <w:r>
        <w:rPr>
          <w:rFonts w:hint="eastAsia" w:ascii="Times New Roman" w:hAnsi="Times New Roman"/>
          <w:spacing w:val="-2"/>
          <w:kern w:val="0"/>
          <w:sz w:val="24"/>
          <w:szCs w:val="24"/>
        </w:rPr>
        <w:t>陆域</w:t>
      </w:r>
      <w:r>
        <w:rPr>
          <w:rFonts w:ascii="Times New Roman" w:hAnsi="Times New Roman"/>
          <w:spacing w:val="-2"/>
          <w:kern w:val="0"/>
          <w:sz w:val="24"/>
          <w:szCs w:val="24"/>
        </w:rPr>
        <w:t>动植物，</w:t>
      </w:r>
      <w:r>
        <w:rPr>
          <w:rFonts w:ascii="Times New Roman" w:hAnsi="Times New Roman"/>
          <w:spacing w:val="-2"/>
          <w:kern w:val="0"/>
          <w:sz w:val="24"/>
          <w:szCs w:val="20"/>
        </w:rPr>
        <w:t>项目占地不涉及生态敏感目标，项目建设不会改变区域生态环境总体以工业用地、物流仓储用地、港口用地为主城市工业景观情况。</w:t>
      </w:r>
    </w:p>
    <w:p w14:paraId="7AABCBEB">
      <w:pPr>
        <w:adjustRightInd w:val="0"/>
        <w:spacing w:line="360" w:lineRule="auto"/>
        <w:ind w:firstLine="474" w:firstLineChars="200"/>
        <w:rPr>
          <w:rFonts w:ascii="Times New Roman" w:hAnsi="Times New Roman"/>
          <w:b/>
          <w:bCs/>
          <w:spacing w:val="-2"/>
          <w:kern w:val="0"/>
          <w:sz w:val="24"/>
          <w:szCs w:val="20"/>
        </w:rPr>
      </w:pPr>
      <w:r>
        <w:rPr>
          <w:rFonts w:ascii="Times New Roman" w:hAnsi="Times New Roman"/>
          <w:b/>
          <w:bCs/>
          <w:spacing w:val="-2"/>
          <w:kern w:val="0"/>
          <w:sz w:val="24"/>
          <w:szCs w:val="20"/>
        </w:rPr>
        <w:t>（2）对陆生植物的影响</w:t>
      </w:r>
    </w:p>
    <w:p w14:paraId="2BBAF6CD">
      <w:pPr>
        <w:adjustRightInd w:val="0"/>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项目对陆生植物的影响主要体现在废气排放方面，项目排放的废气主要污染物包括颗粒物、SO</w:t>
      </w:r>
      <w:r>
        <w:rPr>
          <w:rFonts w:ascii="Times New Roman" w:hAnsi="Times New Roman"/>
          <w:spacing w:val="-2"/>
          <w:kern w:val="0"/>
          <w:sz w:val="24"/>
          <w:szCs w:val="20"/>
          <w:vertAlign w:val="subscript"/>
        </w:rPr>
        <w:t>2</w:t>
      </w:r>
      <w:r>
        <w:rPr>
          <w:rFonts w:ascii="Times New Roman" w:hAnsi="Times New Roman"/>
          <w:spacing w:val="-2"/>
          <w:kern w:val="0"/>
          <w:sz w:val="24"/>
          <w:szCs w:val="20"/>
        </w:rPr>
        <w:t>、NO</w:t>
      </w:r>
      <w:r>
        <w:rPr>
          <w:rFonts w:ascii="Times New Roman" w:hAnsi="Times New Roman"/>
          <w:spacing w:val="-2"/>
          <w:kern w:val="0"/>
          <w:sz w:val="24"/>
          <w:szCs w:val="20"/>
          <w:vertAlign w:val="subscript"/>
        </w:rPr>
        <w:t>X</w:t>
      </w:r>
      <w:r>
        <w:rPr>
          <w:rFonts w:ascii="Times New Roman" w:hAnsi="Times New Roman"/>
          <w:spacing w:val="-2"/>
          <w:kern w:val="0"/>
          <w:sz w:val="24"/>
          <w:szCs w:val="20"/>
        </w:rPr>
        <w:t>等，废气对区域周边植物有一定的伤害，颗粒物可能堵塞植物叶片的呼吸孔，或覆盖于叶片表面影响叶绿素对太阳光的吸收，从而影响作物正常的光合作用，最终导致植物生长不良；SO</w:t>
      </w:r>
      <w:r>
        <w:rPr>
          <w:rFonts w:ascii="Times New Roman" w:hAnsi="Times New Roman"/>
          <w:spacing w:val="-2"/>
          <w:kern w:val="0"/>
          <w:sz w:val="24"/>
          <w:szCs w:val="20"/>
          <w:vertAlign w:val="subscript"/>
        </w:rPr>
        <w:t>2</w:t>
      </w:r>
      <w:r>
        <w:rPr>
          <w:rFonts w:ascii="Times New Roman" w:hAnsi="Times New Roman"/>
          <w:spacing w:val="-2"/>
          <w:kern w:val="0"/>
          <w:sz w:val="24"/>
          <w:szCs w:val="20"/>
        </w:rPr>
        <w:t>、NO</w:t>
      </w:r>
      <w:r>
        <w:rPr>
          <w:rFonts w:ascii="Times New Roman" w:hAnsi="Times New Roman"/>
          <w:spacing w:val="-2"/>
          <w:kern w:val="0"/>
          <w:sz w:val="24"/>
          <w:szCs w:val="20"/>
          <w:vertAlign w:val="subscript"/>
        </w:rPr>
        <w:t>X</w:t>
      </w:r>
      <w:r>
        <w:rPr>
          <w:rFonts w:ascii="Times New Roman" w:hAnsi="Times New Roman"/>
          <w:spacing w:val="-2"/>
          <w:kern w:val="0"/>
          <w:sz w:val="24"/>
          <w:szCs w:val="20"/>
        </w:rPr>
        <w:t>等可能影响植物的生长和代谢功能等。项目区域为填海成陆区域，陆生植物以杧果、小叶榕、扁桃等绿化景观植物为主，群落结构简单，人工培植的绿化景观植物也有较强的可替代性，并且绿化植物对城市污染有较强的适应性，项目废气排放对区域陆生植物的影响不大。区域植被覆盖率原本较低，且区域内的大气污染以工业排放污染为主，项目污染排放水平不高，项目建设后对绿化植物的干扰不大。区域周边的陆生植物覆盖基本不变，项目建设前后对陆生植物的影响维持在同等程度上。</w:t>
      </w:r>
    </w:p>
    <w:p w14:paraId="3E9AD6D6">
      <w:pPr>
        <w:adjustRightInd w:val="0"/>
        <w:spacing w:line="360" w:lineRule="auto"/>
        <w:ind w:firstLine="474" w:firstLineChars="200"/>
        <w:rPr>
          <w:rFonts w:ascii="Times New Roman" w:hAnsi="Times New Roman"/>
          <w:b/>
          <w:bCs/>
          <w:spacing w:val="-2"/>
          <w:kern w:val="0"/>
          <w:sz w:val="24"/>
          <w:szCs w:val="20"/>
        </w:rPr>
      </w:pPr>
      <w:r>
        <w:rPr>
          <w:rFonts w:ascii="Times New Roman" w:hAnsi="Times New Roman"/>
          <w:b/>
          <w:bCs/>
          <w:spacing w:val="-2"/>
          <w:kern w:val="0"/>
          <w:sz w:val="24"/>
          <w:szCs w:val="20"/>
        </w:rPr>
        <w:t>（3）对陆生动物的影响</w:t>
      </w:r>
    </w:p>
    <w:p w14:paraId="5530AAB4">
      <w:pPr>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0"/>
        </w:rPr>
        <w:t>项目对陆生动物的影响主要体现在生产噪声</w:t>
      </w:r>
      <w:r>
        <w:rPr>
          <w:rFonts w:hint="eastAsia" w:ascii="Times New Roman" w:hAnsi="Times New Roman"/>
          <w:spacing w:val="-2"/>
          <w:kern w:val="0"/>
          <w:sz w:val="24"/>
          <w:szCs w:val="20"/>
        </w:rPr>
        <w:t>及</w:t>
      </w:r>
      <w:r>
        <w:rPr>
          <w:rFonts w:ascii="Times New Roman" w:hAnsi="Times New Roman"/>
          <w:spacing w:val="-2"/>
          <w:kern w:val="0"/>
          <w:sz w:val="24"/>
          <w:szCs w:val="20"/>
        </w:rPr>
        <w:t>生产物流活动干扰。项目区域为填海成陆区域，无原生陆生动物，区域内现有的陆生动物以迁徙而来的啮齿类、爬行类、鸟类等为主，区域内未发现有大型野生动物迁徙，未发现国家保护的珍稀濒危动物种类迁徙至此区域。区域内的工业、仓储物流等生产活动非常频繁，区域生态系统为人工生态系统，不存在大型野生动物或珍稀濒危野生动物的生境，随着区域的工业生产开发完善，小型啮齿类、爬行类将进一步减少，过境鸟类由于无适合的生境短暂停留</w:t>
      </w:r>
      <w:r>
        <w:rPr>
          <w:rFonts w:hint="eastAsia" w:ascii="Times New Roman" w:hAnsi="Times New Roman"/>
          <w:spacing w:val="-2"/>
          <w:kern w:val="0"/>
          <w:sz w:val="24"/>
          <w:szCs w:val="20"/>
        </w:rPr>
        <w:t>便</w:t>
      </w:r>
      <w:r>
        <w:rPr>
          <w:rFonts w:ascii="Times New Roman" w:hAnsi="Times New Roman"/>
          <w:spacing w:val="-2"/>
          <w:kern w:val="0"/>
          <w:sz w:val="24"/>
          <w:szCs w:val="20"/>
        </w:rPr>
        <w:t>会离开。项目的建设符合城市工业生态景观，项目规模较小，对项目所在区域的陆生动物变化基本不产生影响。</w:t>
      </w:r>
      <w:bookmarkEnd w:id="228"/>
    </w:p>
    <w:p w14:paraId="4711A8DC">
      <w:pPr>
        <w:pStyle w:val="6"/>
        <w:numPr>
          <w:ilvl w:val="2"/>
          <w:numId w:val="3"/>
        </w:numPr>
      </w:pPr>
      <w:r>
        <w:t>小结</w:t>
      </w:r>
    </w:p>
    <w:p w14:paraId="0B87E83A">
      <w:pPr>
        <w:tabs>
          <w:tab w:val="left" w:pos="900"/>
        </w:tabs>
        <w:spacing w:line="360" w:lineRule="auto"/>
        <w:ind w:firstLine="472" w:firstLineChars="200"/>
        <w:rPr>
          <w:rFonts w:ascii="Times New Roman" w:hAnsi="Times New Roman"/>
          <w:bCs/>
          <w:spacing w:val="-2"/>
          <w:kern w:val="0"/>
          <w:sz w:val="24"/>
          <w:szCs w:val="24"/>
        </w:rPr>
      </w:pPr>
      <w:r>
        <w:rPr>
          <w:rFonts w:ascii="Times New Roman" w:hAnsi="Times New Roman"/>
          <w:bCs/>
          <w:spacing w:val="-2"/>
          <w:kern w:val="0"/>
          <w:sz w:val="24"/>
          <w:szCs w:val="24"/>
        </w:rPr>
        <w:t>项目选址于用地为填海成陆的</w:t>
      </w:r>
      <w:r>
        <w:rPr>
          <w:rFonts w:ascii="Times New Roman" w:hAnsi="Times New Roman"/>
          <w:spacing w:val="-2"/>
          <w:kern w:val="0"/>
          <w:sz w:val="24"/>
          <w:szCs w:val="20"/>
        </w:rPr>
        <w:t>广西钦州保税港区内，无原生的陆生动植物资源，区域以工业、物流仓储等人类生产活动为主，植被覆盖率和生物多样性较低，区域无合适野生动物的生境，区域的陆生植物以绿化景观植物为主，项目的建设对现有的生态环境影响较小。</w:t>
      </w:r>
    </w:p>
    <w:p w14:paraId="77E4A68C">
      <w:pPr>
        <w:pStyle w:val="5"/>
        <w:numPr>
          <w:ilvl w:val="1"/>
          <w:numId w:val="3"/>
        </w:numPr>
      </w:pPr>
      <w:bookmarkStart w:id="229" w:name="_Toc27808"/>
      <w:r>
        <w:t>辐射环境影响分析</w:t>
      </w:r>
      <w:bookmarkEnd w:id="229"/>
    </w:p>
    <w:p w14:paraId="19D652E1">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根据</w:t>
      </w:r>
      <w:r>
        <w:rPr>
          <w:rFonts w:ascii="Times New Roman" w:hAnsi="Times New Roman"/>
          <w:spacing w:val="-2"/>
          <w:kern w:val="0"/>
          <w:sz w:val="24"/>
          <w:szCs w:val="24"/>
        </w:rPr>
        <w:t>《锆钛矿石分选加工项目辐射环境影响评价专篇》</w:t>
      </w:r>
      <w:r>
        <w:rPr>
          <w:rFonts w:hint="eastAsia" w:ascii="Times New Roman" w:hAnsi="Times New Roman"/>
          <w:spacing w:val="-2"/>
          <w:kern w:val="0"/>
          <w:sz w:val="24"/>
          <w:szCs w:val="24"/>
        </w:rPr>
        <w:t>分析：</w:t>
      </w:r>
    </w:p>
    <w:p w14:paraId="4E364BB1">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（1）气载流出物辐射环境影响分析</w:t>
      </w:r>
    </w:p>
    <w:p w14:paraId="1402A9DC">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项目厂房采用封闭式设计，生产线及物料堆放用地均布置在车间内，含矿粉尘绝大多数沉降到车间地面，仅有少量粉尘经过袋式除尘系统处理后排放至厂外，根据项目环境影响报告书分析，生产车间排放的粉尘的地面浓度较小，项目评价范围内无居民区，项目产生气载流出物对周边公众产生辐射影响较小。</w:t>
      </w:r>
    </w:p>
    <w:p w14:paraId="453B0742">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（2）地表水水环境辐射影响分析结论</w:t>
      </w:r>
    </w:p>
    <w:p w14:paraId="04923A82">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项目采用干式磁选工艺对原料进行分选加工，原料毛矿无需进行清洗，生产过程中无需用水，不产生生产废水；项目周边无地表水体，项目不会对周围地表水环境造成影响。</w:t>
      </w:r>
    </w:p>
    <w:p w14:paraId="78DB444C">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（3）地下水辐射环境影响分析结论</w:t>
      </w:r>
    </w:p>
    <w:p w14:paraId="0ED804DC">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项目建成后生产区均在厂房内，厂房采用封闭式设计，地面均进行了硬化及防渗处理，物料堆存不设置露天堆场，物料堆存均在车间内无雨水淋溶情况，并且项目生产过程中无需用水，仅有少量的工作人员的生活污水产生。</w:t>
      </w:r>
      <w:bookmarkStart w:id="230" w:name="_Hlk187302090"/>
      <w:r>
        <w:rPr>
          <w:rFonts w:hint="eastAsia" w:ascii="Times New Roman" w:hAnsi="Times New Roman"/>
          <w:spacing w:val="-2"/>
          <w:kern w:val="0"/>
          <w:sz w:val="24"/>
          <w:szCs w:val="24"/>
        </w:rPr>
        <w:t>项目涉及放射性物料的整个厂房作为1个防渗分区，按一般防渗区及《伴生放射性物料贮存及固体废物填埋辐射环境保护技术规范（试行）》（HJ1114-2020）相关要求建设，</w:t>
      </w:r>
      <w:bookmarkEnd w:id="230"/>
      <w:r>
        <w:rPr>
          <w:rFonts w:hint="eastAsia" w:ascii="Times New Roman" w:hAnsi="Times New Roman"/>
          <w:spacing w:val="-2"/>
          <w:kern w:val="0"/>
          <w:sz w:val="24"/>
          <w:szCs w:val="24"/>
        </w:rPr>
        <w:t>对地下水环境影响较小。</w:t>
      </w:r>
    </w:p>
    <w:p w14:paraId="103F191B">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（4）固体废物辐射环境影响分析结论</w:t>
      </w:r>
    </w:p>
    <w:p w14:paraId="5FB2E897">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项目含矿粉尘收集后均掺入副产品锆中矿堆放区，与锆中矿一并出售，根据《伴生放射性物料贮存及固体废物填埋辐射环境保护技术规范（试行）》（HJ1114-2020）中伴生放射性物料贮存的要求进行严格管理。</w:t>
      </w:r>
    </w:p>
    <w:p w14:paraId="6D91C324">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（5）涉及辐射工作人员剂量分析结论</w:t>
      </w:r>
    </w:p>
    <w:p w14:paraId="0BF83790">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项目工作人员个人辐射剂量最大值出现在2#分选车间操作工位工作人员，个人有效剂量为2.7052mSv/a，小于本项目的管理限值5mSv/a，关键核素为钍，关键照射途径为吸入钍所致内照射。</w:t>
      </w:r>
    </w:p>
    <w:p w14:paraId="4C784FFA">
      <w:pPr>
        <w:spacing w:line="360" w:lineRule="auto"/>
        <w:ind w:firstLine="472" w:firstLineChars="200"/>
        <w:rPr>
          <w:rFonts w:ascii="Times New Roman" w:hAnsi="Times New Roman"/>
          <w:sz w:val="24"/>
          <w:szCs w:val="24"/>
        </w:rPr>
      </w:pPr>
      <w:r>
        <w:rPr>
          <w:rFonts w:hint="eastAsia" w:ascii="Times New Roman" w:hAnsi="Times New Roman"/>
          <w:spacing w:val="-2"/>
          <w:kern w:val="0"/>
          <w:sz w:val="24"/>
          <w:szCs w:val="24"/>
        </w:rPr>
        <w:t>详细分析见</w:t>
      </w:r>
      <w:r>
        <w:rPr>
          <w:rFonts w:ascii="Times New Roman" w:hAnsi="Times New Roman"/>
          <w:spacing w:val="-2"/>
          <w:kern w:val="0"/>
          <w:sz w:val="24"/>
          <w:szCs w:val="24"/>
        </w:rPr>
        <w:t>《锆钛矿石分选加工项目辐射环境影响评价专篇》</w:t>
      </w:r>
      <w:r>
        <w:rPr>
          <w:rFonts w:hint="eastAsia" w:ascii="Times New Roman" w:hAnsi="Times New Roman"/>
          <w:spacing w:val="-2"/>
          <w:kern w:val="0"/>
          <w:sz w:val="24"/>
          <w:szCs w:val="24"/>
        </w:rPr>
        <w:t>。</w:t>
      </w:r>
    </w:p>
    <w:p w14:paraId="3EA0FA4B">
      <w:pPr>
        <w:pStyle w:val="5"/>
        <w:numPr>
          <w:ilvl w:val="1"/>
          <w:numId w:val="3"/>
        </w:numPr>
      </w:pPr>
      <w:bookmarkStart w:id="231" w:name="_Toc6128"/>
      <w:bookmarkStart w:id="232" w:name="_Toc19103"/>
      <w:r>
        <w:t>环境风险分析</w:t>
      </w:r>
      <w:bookmarkEnd w:id="231"/>
      <w:bookmarkEnd w:id="232"/>
    </w:p>
    <w:p w14:paraId="40AEEC3B">
      <w:pPr>
        <w:pStyle w:val="6"/>
        <w:numPr>
          <w:ilvl w:val="2"/>
          <w:numId w:val="3"/>
        </w:numPr>
      </w:pPr>
      <w:r>
        <w:t>评价依据</w:t>
      </w:r>
    </w:p>
    <w:p w14:paraId="11A97D3C">
      <w:pPr>
        <w:pStyle w:val="7"/>
        <w:numPr>
          <w:ilvl w:val="3"/>
          <w:numId w:val="3"/>
        </w:numPr>
      </w:pPr>
      <w:r>
        <w:t>风险调查</w:t>
      </w:r>
    </w:p>
    <w:p w14:paraId="2E362C8E">
      <w:pPr>
        <w:spacing w:line="360" w:lineRule="auto"/>
        <w:ind w:firstLine="480" w:firstLineChars="200"/>
        <w:rPr>
          <w:rFonts w:ascii="Times New Roman" w:hAnsi="Times New Roman"/>
          <w:sz w:val="24"/>
          <w:szCs w:val="24"/>
        </w:rPr>
      </w:pPr>
      <w:r>
        <w:rPr>
          <w:rFonts w:ascii="Times New Roman" w:hAnsi="Times New Roman"/>
          <w:sz w:val="24"/>
          <w:szCs w:val="24"/>
        </w:rPr>
        <w:t>本项目为年</w:t>
      </w:r>
      <w:r>
        <w:rPr>
          <w:rFonts w:hint="eastAsia" w:ascii="Times New Roman" w:hAnsi="Times New Roman"/>
          <w:sz w:val="24"/>
          <w:szCs w:val="24"/>
        </w:rPr>
        <w:t>加工分选锆钛矿石24万吨</w:t>
      </w:r>
      <w:r>
        <w:rPr>
          <w:rFonts w:ascii="Times New Roman" w:hAnsi="Times New Roman"/>
          <w:sz w:val="24"/>
          <w:szCs w:val="24"/>
        </w:rPr>
        <w:t>项目，采用干式磁选工艺对原料进行分选加工，原料毛矿无需进行清洗，生产过程不添加药剂进行选矿，根据《建设项目环境风险评价技术导则》（HJ169-2018）附录B，本项目</w:t>
      </w:r>
      <w:r>
        <w:rPr>
          <w:rFonts w:hint="eastAsia" w:ascii="Times New Roman" w:hAnsi="Times New Roman"/>
          <w:sz w:val="24"/>
          <w:szCs w:val="24"/>
        </w:rPr>
        <w:t>涉及的</w:t>
      </w:r>
      <w:r>
        <w:rPr>
          <w:rFonts w:ascii="Times New Roman" w:hAnsi="Times New Roman"/>
          <w:sz w:val="24"/>
          <w:szCs w:val="24"/>
        </w:rPr>
        <w:t>风险物质</w:t>
      </w:r>
      <w:r>
        <w:rPr>
          <w:rFonts w:hint="eastAsia" w:ascii="Times New Roman" w:hAnsi="Times New Roman"/>
          <w:sz w:val="24"/>
          <w:szCs w:val="24"/>
        </w:rPr>
        <w:t>为废机油</w:t>
      </w:r>
      <w:r>
        <w:rPr>
          <w:rFonts w:hint="eastAsia" w:ascii="Times New Roman" w:hAnsi="Times New Roman"/>
          <w:sz w:val="24"/>
          <w:szCs w:val="24"/>
          <w:u w:val="single"/>
        </w:rPr>
        <w:t>、含放射性物料</w:t>
      </w:r>
      <w:r>
        <w:rPr>
          <w:rFonts w:ascii="Times New Roman" w:hAnsi="Times New Roman"/>
          <w:sz w:val="24"/>
          <w:szCs w:val="24"/>
        </w:rPr>
        <w:t>。</w:t>
      </w:r>
    </w:p>
    <w:p w14:paraId="6F58218B">
      <w:pPr>
        <w:pStyle w:val="7"/>
        <w:numPr>
          <w:ilvl w:val="3"/>
          <w:numId w:val="3"/>
        </w:numPr>
      </w:pPr>
      <w:r>
        <w:t>环境风险潜势初判</w:t>
      </w:r>
    </w:p>
    <w:p w14:paraId="230BC929">
      <w:pPr>
        <w:spacing w:line="360" w:lineRule="auto"/>
        <w:ind w:firstLine="480" w:firstLineChars="200"/>
        <w:rPr>
          <w:rFonts w:ascii="Times New Roman" w:hAnsi="Times New Roman"/>
          <w:sz w:val="24"/>
          <w:szCs w:val="24"/>
        </w:rPr>
      </w:pPr>
      <w:r>
        <w:rPr>
          <w:rFonts w:ascii="Times New Roman" w:hAnsi="Times New Roman"/>
          <w:sz w:val="24"/>
          <w:szCs w:val="24"/>
        </w:rPr>
        <w:t>建设项目环境风险潜势分为Ⅰ、Ⅱ、Ⅲ、Ⅳ/Ⅳ</w:t>
      </w:r>
      <w:r>
        <w:rPr>
          <w:rFonts w:ascii="Times New Roman" w:hAnsi="Times New Roman"/>
          <w:sz w:val="24"/>
          <w:szCs w:val="24"/>
          <w:vertAlign w:val="superscript"/>
        </w:rPr>
        <w:t>+</w:t>
      </w:r>
      <w:r>
        <w:rPr>
          <w:rFonts w:ascii="Times New Roman" w:hAnsi="Times New Roman"/>
          <w:sz w:val="24"/>
          <w:szCs w:val="24"/>
        </w:rPr>
        <w:t>。根据建设项目风险潜势根据项目涉及的物质和生产系统的危险性及其所在地的环境敏感程度，结合事故情形下环境影响途径，对建设项目潜在环境危害程度进行概化分析，具体见表4.9-1。</w:t>
      </w:r>
    </w:p>
    <w:p w14:paraId="1630E085">
      <w:pPr>
        <w:pStyle w:val="8"/>
        <w:numPr>
          <w:ilvl w:val="4"/>
          <w:numId w:val="3"/>
        </w:numPr>
        <w:rPr>
          <w:sz w:val="24"/>
          <w:szCs w:val="24"/>
        </w:rPr>
      </w:pPr>
      <w:r>
        <w:rPr>
          <w:sz w:val="24"/>
          <w:szCs w:val="24"/>
        </w:rPr>
        <w:t>建设项目环境风险潜势划分</w:t>
      </w:r>
    </w:p>
    <w:tbl>
      <w:tblPr>
        <w:tblStyle w:val="88"/>
        <w:tblW w:w="928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380"/>
        <w:gridCol w:w="1727"/>
        <w:gridCol w:w="1727"/>
        <w:gridCol w:w="1727"/>
        <w:gridCol w:w="1725"/>
      </w:tblGrid>
      <w:tr w14:paraId="65E5EF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380" w:type="dxa"/>
            <w:vMerge w:val="restart"/>
            <w:vAlign w:val="center"/>
          </w:tcPr>
          <w:p w14:paraId="6C2211C0">
            <w:pPr>
              <w:jc w:val="center"/>
              <w:rPr>
                <w:rFonts w:ascii="Times New Roman" w:hAnsi="Times New Roman"/>
                <w:b/>
                <w:bCs/>
                <w:spacing w:val="-2"/>
                <w:kern w:val="0"/>
                <w:szCs w:val="21"/>
              </w:rPr>
            </w:pPr>
            <w:r>
              <w:rPr>
                <w:rFonts w:ascii="Times New Roman" w:hAnsi="Times New Roman"/>
                <w:b/>
                <w:bCs/>
                <w:spacing w:val="-2"/>
                <w:kern w:val="0"/>
                <w:szCs w:val="21"/>
              </w:rPr>
              <w:t>环境敏感程度（E）</w:t>
            </w:r>
          </w:p>
        </w:tc>
        <w:tc>
          <w:tcPr>
            <w:tcW w:w="6906" w:type="dxa"/>
            <w:gridSpan w:val="4"/>
            <w:vAlign w:val="center"/>
          </w:tcPr>
          <w:p w14:paraId="720FDEDE">
            <w:pPr>
              <w:jc w:val="center"/>
              <w:rPr>
                <w:rFonts w:ascii="Times New Roman" w:hAnsi="Times New Roman"/>
                <w:b/>
                <w:bCs/>
                <w:spacing w:val="-2"/>
                <w:kern w:val="0"/>
                <w:szCs w:val="21"/>
              </w:rPr>
            </w:pPr>
            <w:r>
              <w:rPr>
                <w:rFonts w:ascii="Times New Roman" w:hAnsi="Times New Roman"/>
                <w:b/>
                <w:bCs/>
                <w:spacing w:val="-2"/>
                <w:kern w:val="0"/>
                <w:szCs w:val="21"/>
              </w:rPr>
              <w:t>危险物质及工艺系统危险性（P）</w:t>
            </w:r>
          </w:p>
        </w:tc>
      </w:tr>
      <w:tr w14:paraId="5E4A63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380" w:type="dxa"/>
            <w:vMerge w:val="continue"/>
            <w:vAlign w:val="center"/>
          </w:tcPr>
          <w:p w14:paraId="411077B3">
            <w:pPr>
              <w:jc w:val="center"/>
              <w:rPr>
                <w:rFonts w:ascii="Times New Roman" w:hAnsi="Times New Roman"/>
                <w:b/>
                <w:bCs/>
                <w:spacing w:val="-2"/>
                <w:kern w:val="0"/>
                <w:szCs w:val="21"/>
              </w:rPr>
            </w:pPr>
          </w:p>
        </w:tc>
        <w:tc>
          <w:tcPr>
            <w:tcW w:w="1727" w:type="dxa"/>
            <w:vAlign w:val="center"/>
          </w:tcPr>
          <w:p w14:paraId="2FCCEDC9">
            <w:pPr>
              <w:jc w:val="center"/>
              <w:rPr>
                <w:rFonts w:ascii="Times New Roman" w:hAnsi="Times New Roman"/>
                <w:b/>
                <w:bCs/>
                <w:spacing w:val="-2"/>
                <w:kern w:val="0"/>
                <w:szCs w:val="21"/>
              </w:rPr>
            </w:pPr>
            <w:r>
              <w:rPr>
                <w:rFonts w:ascii="Times New Roman" w:hAnsi="Times New Roman"/>
                <w:b/>
                <w:bCs/>
                <w:spacing w:val="-2"/>
                <w:kern w:val="0"/>
                <w:szCs w:val="21"/>
              </w:rPr>
              <w:t>极高危害（P1）</w:t>
            </w:r>
          </w:p>
        </w:tc>
        <w:tc>
          <w:tcPr>
            <w:tcW w:w="1727" w:type="dxa"/>
            <w:vAlign w:val="center"/>
          </w:tcPr>
          <w:p w14:paraId="63CB171A">
            <w:pPr>
              <w:jc w:val="center"/>
              <w:rPr>
                <w:rFonts w:ascii="Times New Roman" w:hAnsi="Times New Roman"/>
                <w:b/>
                <w:bCs/>
                <w:spacing w:val="-2"/>
                <w:kern w:val="0"/>
                <w:szCs w:val="21"/>
              </w:rPr>
            </w:pPr>
            <w:r>
              <w:rPr>
                <w:rFonts w:ascii="Times New Roman" w:hAnsi="Times New Roman"/>
                <w:b/>
                <w:bCs/>
                <w:spacing w:val="-2"/>
                <w:kern w:val="0"/>
                <w:szCs w:val="21"/>
              </w:rPr>
              <w:t>高度危害（P2）</w:t>
            </w:r>
          </w:p>
        </w:tc>
        <w:tc>
          <w:tcPr>
            <w:tcW w:w="1727" w:type="dxa"/>
            <w:vAlign w:val="center"/>
          </w:tcPr>
          <w:p w14:paraId="01422D8C">
            <w:pPr>
              <w:jc w:val="center"/>
              <w:rPr>
                <w:rFonts w:ascii="Times New Roman" w:hAnsi="Times New Roman"/>
                <w:b/>
                <w:bCs/>
                <w:spacing w:val="-2"/>
                <w:kern w:val="0"/>
                <w:szCs w:val="21"/>
              </w:rPr>
            </w:pPr>
            <w:r>
              <w:rPr>
                <w:rFonts w:ascii="Times New Roman" w:hAnsi="Times New Roman"/>
                <w:b/>
                <w:bCs/>
                <w:spacing w:val="-2"/>
                <w:kern w:val="0"/>
                <w:szCs w:val="21"/>
              </w:rPr>
              <w:t>中度危害（P3）</w:t>
            </w:r>
          </w:p>
        </w:tc>
        <w:tc>
          <w:tcPr>
            <w:tcW w:w="1725" w:type="dxa"/>
            <w:vAlign w:val="center"/>
          </w:tcPr>
          <w:p w14:paraId="62D9F2F4">
            <w:pPr>
              <w:jc w:val="center"/>
              <w:rPr>
                <w:rFonts w:ascii="Times New Roman" w:hAnsi="Times New Roman"/>
                <w:b/>
                <w:bCs/>
                <w:spacing w:val="-2"/>
                <w:kern w:val="0"/>
                <w:szCs w:val="21"/>
              </w:rPr>
            </w:pPr>
            <w:r>
              <w:rPr>
                <w:rFonts w:ascii="Times New Roman" w:hAnsi="Times New Roman"/>
                <w:b/>
                <w:bCs/>
                <w:spacing w:val="-2"/>
                <w:kern w:val="0"/>
                <w:szCs w:val="21"/>
              </w:rPr>
              <w:t>轻度危害（P4）</w:t>
            </w:r>
          </w:p>
        </w:tc>
      </w:tr>
      <w:tr w14:paraId="338C93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380" w:type="dxa"/>
            <w:vAlign w:val="center"/>
          </w:tcPr>
          <w:p w14:paraId="66C85699">
            <w:pPr>
              <w:jc w:val="center"/>
              <w:rPr>
                <w:rFonts w:ascii="Times New Roman" w:hAnsi="Times New Roman"/>
                <w:spacing w:val="-2"/>
                <w:kern w:val="0"/>
                <w:szCs w:val="21"/>
              </w:rPr>
            </w:pPr>
            <w:r>
              <w:rPr>
                <w:rFonts w:ascii="Times New Roman" w:hAnsi="Times New Roman"/>
                <w:spacing w:val="-2"/>
                <w:kern w:val="0"/>
                <w:szCs w:val="21"/>
              </w:rPr>
              <w:t>环境高度敏感区（E1）</w:t>
            </w:r>
          </w:p>
        </w:tc>
        <w:tc>
          <w:tcPr>
            <w:tcW w:w="1727" w:type="dxa"/>
            <w:vAlign w:val="center"/>
          </w:tcPr>
          <w:p w14:paraId="2EAF2558">
            <w:pPr>
              <w:jc w:val="center"/>
              <w:rPr>
                <w:rFonts w:ascii="Times New Roman" w:hAnsi="Times New Roman"/>
                <w:spacing w:val="-2"/>
                <w:kern w:val="0"/>
                <w:szCs w:val="21"/>
              </w:rPr>
            </w:pPr>
            <w:r>
              <w:rPr>
                <w:rFonts w:ascii="Times New Roman" w:hAnsi="Times New Roman"/>
                <w:spacing w:val="-2"/>
                <w:kern w:val="0"/>
                <w:szCs w:val="21"/>
              </w:rPr>
              <w:t>Ⅳ</w:t>
            </w:r>
            <w:r>
              <w:rPr>
                <w:rFonts w:ascii="Times New Roman" w:hAnsi="Times New Roman"/>
                <w:spacing w:val="-2"/>
                <w:kern w:val="0"/>
                <w:szCs w:val="21"/>
                <w:vertAlign w:val="superscript"/>
              </w:rPr>
              <w:t>+</w:t>
            </w:r>
          </w:p>
        </w:tc>
        <w:tc>
          <w:tcPr>
            <w:tcW w:w="1727" w:type="dxa"/>
            <w:vAlign w:val="center"/>
          </w:tcPr>
          <w:p w14:paraId="10385AD1">
            <w:pPr>
              <w:jc w:val="center"/>
              <w:rPr>
                <w:rFonts w:ascii="Times New Roman" w:hAnsi="Times New Roman"/>
                <w:spacing w:val="-2"/>
                <w:kern w:val="0"/>
                <w:szCs w:val="21"/>
              </w:rPr>
            </w:pPr>
            <w:r>
              <w:rPr>
                <w:rFonts w:ascii="Times New Roman" w:hAnsi="Times New Roman"/>
                <w:spacing w:val="-2"/>
                <w:kern w:val="0"/>
                <w:szCs w:val="21"/>
              </w:rPr>
              <w:t>Ⅳ</w:t>
            </w:r>
          </w:p>
        </w:tc>
        <w:tc>
          <w:tcPr>
            <w:tcW w:w="1727" w:type="dxa"/>
            <w:vAlign w:val="center"/>
          </w:tcPr>
          <w:p w14:paraId="5D00C017">
            <w:pPr>
              <w:jc w:val="center"/>
              <w:rPr>
                <w:rFonts w:ascii="Times New Roman" w:hAnsi="Times New Roman"/>
                <w:spacing w:val="-2"/>
                <w:kern w:val="0"/>
                <w:szCs w:val="21"/>
              </w:rPr>
            </w:pPr>
            <w:r>
              <w:rPr>
                <w:rFonts w:ascii="Times New Roman" w:hAnsi="Times New Roman"/>
                <w:spacing w:val="-2"/>
                <w:kern w:val="0"/>
                <w:szCs w:val="21"/>
              </w:rPr>
              <w:t>Ⅲ</w:t>
            </w:r>
          </w:p>
        </w:tc>
        <w:tc>
          <w:tcPr>
            <w:tcW w:w="1725" w:type="dxa"/>
            <w:vAlign w:val="center"/>
          </w:tcPr>
          <w:p w14:paraId="00D62D18">
            <w:pPr>
              <w:jc w:val="center"/>
              <w:rPr>
                <w:rFonts w:ascii="Times New Roman" w:hAnsi="Times New Roman"/>
                <w:spacing w:val="-2"/>
                <w:kern w:val="0"/>
                <w:szCs w:val="21"/>
              </w:rPr>
            </w:pPr>
            <w:r>
              <w:rPr>
                <w:rFonts w:ascii="Times New Roman" w:hAnsi="Times New Roman"/>
                <w:spacing w:val="-2"/>
                <w:kern w:val="0"/>
                <w:szCs w:val="21"/>
              </w:rPr>
              <w:t>Ⅲ</w:t>
            </w:r>
          </w:p>
        </w:tc>
      </w:tr>
      <w:tr w14:paraId="459547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380" w:type="dxa"/>
            <w:vAlign w:val="center"/>
          </w:tcPr>
          <w:p w14:paraId="32F2A023">
            <w:pPr>
              <w:jc w:val="center"/>
              <w:rPr>
                <w:rFonts w:ascii="Times New Roman" w:hAnsi="Times New Roman"/>
                <w:spacing w:val="-2"/>
                <w:kern w:val="0"/>
                <w:szCs w:val="21"/>
              </w:rPr>
            </w:pPr>
            <w:r>
              <w:rPr>
                <w:rFonts w:ascii="Times New Roman" w:hAnsi="Times New Roman"/>
                <w:spacing w:val="-2"/>
                <w:kern w:val="0"/>
                <w:szCs w:val="21"/>
              </w:rPr>
              <w:t>环境中度敏感区（E2）</w:t>
            </w:r>
          </w:p>
        </w:tc>
        <w:tc>
          <w:tcPr>
            <w:tcW w:w="1727" w:type="dxa"/>
            <w:vAlign w:val="center"/>
          </w:tcPr>
          <w:p w14:paraId="20F61D18">
            <w:pPr>
              <w:jc w:val="center"/>
              <w:rPr>
                <w:rFonts w:ascii="Times New Roman" w:hAnsi="Times New Roman"/>
                <w:spacing w:val="-2"/>
                <w:kern w:val="0"/>
                <w:szCs w:val="21"/>
              </w:rPr>
            </w:pPr>
            <w:r>
              <w:rPr>
                <w:rFonts w:ascii="Times New Roman" w:hAnsi="Times New Roman"/>
                <w:spacing w:val="-2"/>
                <w:kern w:val="0"/>
                <w:szCs w:val="21"/>
              </w:rPr>
              <w:t>Ⅳ</w:t>
            </w:r>
          </w:p>
        </w:tc>
        <w:tc>
          <w:tcPr>
            <w:tcW w:w="1727" w:type="dxa"/>
            <w:vAlign w:val="center"/>
          </w:tcPr>
          <w:p w14:paraId="1CC6F0A8">
            <w:pPr>
              <w:jc w:val="center"/>
              <w:rPr>
                <w:rFonts w:ascii="Times New Roman" w:hAnsi="Times New Roman"/>
                <w:spacing w:val="-2"/>
                <w:kern w:val="0"/>
                <w:szCs w:val="21"/>
              </w:rPr>
            </w:pPr>
            <w:r>
              <w:rPr>
                <w:rFonts w:ascii="Times New Roman" w:hAnsi="Times New Roman"/>
                <w:spacing w:val="-2"/>
                <w:kern w:val="0"/>
                <w:szCs w:val="21"/>
              </w:rPr>
              <w:t>Ⅲ</w:t>
            </w:r>
          </w:p>
        </w:tc>
        <w:tc>
          <w:tcPr>
            <w:tcW w:w="1727" w:type="dxa"/>
            <w:vAlign w:val="center"/>
          </w:tcPr>
          <w:p w14:paraId="170B3171">
            <w:pPr>
              <w:jc w:val="center"/>
              <w:rPr>
                <w:rFonts w:ascii="Times New Roman" w:hAnsi="Times New Roman"/>
                <w:spacing w:val="-2"/>
                <w:kern w:val="0"/>
                <w:szCs w:val="21"/>
              </w:rPr>
            </w:pPr>
            <w:r>
              <w:rPr>
                <w:rFonts w:ascii="Times New Roman" w:hAnsi="Times New Roman"/>
                <w:spacing w:val="-2"/>
                <w:kern w:val="0"/>
                <w:szCs w:val="21"/>
              </w:rPr>
              <w:t>Ⅲ</w:t>
            </w:r>
          </w:p>
        </w:tc>
        <w:tc>
          <w:tcPr>
            <w:tcW w:w="1725" w:type="dxa"/>
            <w:vAlign w:val="center"/>
          </w:tcPr>
          <w:p w14:paraId="23747410">
            <w:pPr>
              <w:jc w:val="center"/>
              <w:rPr>
                <w:rFonts w:ascii="Times New Roman" w:hAnsi="Times New Roman"/>
                <w:spacing w:val="-2"/>
                <w:kern w:val="0"/>
                <w:szCs w:val="21"/>
              </w:rPr>
            </w:pPr>
            <w:r>
              <w:rPr>
                <w:rFonts w:ascii="Times New Roman" w:hAnsi="Times New Roman"/>
                <w:spacing w:val="-2"/>
                <w:kern w:val="0"/>
                <w:szCs w:val="21"/>
              </w:rPr>
              <w:t>Ⅱ</w:t>
            </w:r>
          </w:p>
        </w:tc>
      </w:tr>
      <w:tr w14:paraId="0D4BEE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380" w:type="dxa"/>
            <w:vAlign w:val="center"/>
          </w:tcPr>
          <w:p w14:paraId="0AF3CF42">
            <w:pPr>
              <w:jc w:val="center"/>
              <w:rPr>
                <w:rFonts w:ascii="Times New Roman" w:hAnsi="Times New Roman"/>
                <w:spacing w:val="-2"/>
                <w:kern w:val="0"/>
                <w:szCs w:val="21"/>
              </w:rPr>
            </w:pPr>
            <w:r>
              <w:rPr>
                <w:rFonts w:ascii="Times New Roman" w:hAnsi="Times New Roman"/>
                <w:spacing w:val="-2"/>
                <w:kern w:val="0"/>
                <w:szCs w:val="21"/>
              </w:rPr>
              <w:t>环境低度敏感区（E3）</w:t>
            </w:r>
          </w:p>
        </w:tc>
        <w:tc>
          <w:tcPr>
            <w:tcW w:w="1727" w:type="dxa"/>
            <w:vAlign w:val="center"/>
          </w:tcPr>
          <w:p w14:paraId="4662D577">
            <w:pPr>
              <w:jc w:val="center"/>
              <w:rPr>
                <w:rFonts w:ascii="Times New Roman" w:hAnsi="Times New Roman"/>
                <w:spacing w:val="-2"/>
                <w:kern w:val="0"/>
                <w:szCs w:val="21"/>
              </w:rPr>
            </w:pPr>
            <w:r>
              <w:rPr>
                <w:rFonts w:ascii="Times New Roman" w:hAnsi="Times New Roman"/>
                <w:spacing w:val="-2"/>
                <w:kern w:val="0"/>
                <w:szCs w:val="21"/>
              </w:rPr>
              <w:t>Ⅲ</w:t>
            </w:r>
          </w:p>
        </w:tc>
        <w:tc>
          <w:tcPr>
            <w:tcW w:w="1727" w:type="dxa"/>
            <w:vAlign w:val="center"/>
          </w:tcPr>
          <w:p w14:paraId="58A422CD">
            <w:pPr>
              <w:jc w:val="center"/>
              <w:rPr>
                <w:rFonts w:ascii="Times New Roman" w:hAnsi="Times New Roman"/>
                <w:spacing w:val="-2"/>
                <w:kern w:val="0"/>
                <w:szCs w:val="21"/>
              </w:rPr>
            </w:pPr>
            <w:r>
              <w:rPr>
                <w:rFonts w:ascii="Times New Roman" w:hAnsi="Times New Roman"/>
                <w:spacing w:val="-2"/>
                <w:kern w:val="0"/>
                <w:szCs w:val="21"/>
              </w:rPr>
              <w:t>Ⅲ</w:t>
            </w:r>
          </w:p>
        </w:tc>
        <w:tc>
          <w:tcPr>
            <w:tcW w:w="1727" w:type="dxa"/>
            <w:vAlign w:val="center"/>
          </w:tcPr>
          <w:p w14:paraId="2BD7F3E2">
            <w:pPr>
              <w:jc w:val="center"/>
              <w:rPr>
                <w:rFonts w:ascii="Times New Roman" w:hAnsi="Times New Roman"/>
                <w:spacing w:val="-2"/>
                <w:kern w:val="0"/>
                <w:szCs w:val="21"/>
              </w:rPr>
            </w:pPr>
            <w:r>
              <w:rPr>
                <w:rFonts w:ascii="Times New Roman" w:hAnsi="Times New Roman"/>
                <w:spacing w:val="-2"/>
                <w:kern w:val="0"/>
                <w:szCs w:val="21"/>
              </w:rPr>
              <w:t>Ⅱ</w:t>
            </w:r>
          </w:p>
        </w:tc>
        <w:tc>
          <w:tcPr>
            <w:tcW w:w="1725" w:type="dxa"/>
            <w:vAlign w:val="center"/>
          </w:tcPr>
          <w:p w14:paraId="16B3DDAD">
            <w:pPr>
              <w:jc w:val="center"/>
              <w:rPr>
                <w:rFonts w:ascii="Times New Roman" w:hAnsi="Times New Roman"/>
                <w:spacing w:val="-2"/>
                <w:kern w:val="0"/>
                <w:szCs w:val="21"/>
              </w:rPr>
            </w:pPr>
            <w:r>
              <w:rPr>
                <w:rFonts w:ascii="Times New Roman" w:hAnsi="Times New Roman"/>
                <w:spacing w:val="-2"/>
                <w:kern w:val="0"/>
                <w:szCs w:val="21"/>
              </w:rPr>
              <w:t>Ⅰ</w:t>
            </w:r>
          </w:p>
        </w:tc>
      </w:tr>
    </w:tbl>
    <w:p w14:paraId="350EFDA5">
      <w:pPr>
        <w:spacing w:line="360" w:lineRule="auto"/>
        <w:ind w:firstLine="482" w:firstLineChars="200"/>
        <w:rPr>
          <w:rFonts w:ascii="Times New Roman" w:hAnsi="Times New Roman"/>
          <w:b/>
          <w:bCs/>
          <w:sz w:val="24"/>
          <w:szCs w:val="24"/>
        </w:rPr>
      </w:pPr>
    </w:p>
    <w:p w14:paraId="1B256448">
      <w:pPr>
        <w:spacing w:line="360" w:lineRule="auto"/>
        <w:ind w:firstLine="482" w:firstLineChars="200"/>
        <w:rPr>
          <w:rFonts w:ascii="Times New Roman" w:hAnsi="Times New Roman"/>
          <w:b/>
          <w:bCs/>
          <w:sz w:val="24"/>
          <w:szCs w:val="24"/>
        </w:rPr>
      </w:pPr>
      <w:r>
        <w:rPr>
          <w:rFonts w:ascii="Times New Roman" w:hAnsi="Times New Roman"/>
          <w:b/>
          <w:bCs/>
          <w:sz w:val="24"/>
          <w:szCs w:val="24"/>
        </w:rPr>
        <w:t>危险物质数量与临界量的比值（Q）：</w:t>
      </w:r>
    </w:p>
    <w:p w14:paraId="0484E09F">
      <w:pPr>
        <w:spacing w:line="360" w:lineRule="auto"/>
        <w:ind w:firstLine="480" w:firstLineChars="200"/>
        <w:rPr>
          <w:rFonts w:ascii="Times New Roman" w:hAnsi="Times New Roman"/>
          <w:sz w:val="24"/>
          <w:szCs w:val="24"/>
        </w:rPr>
      </w:pPr>
      <w:r>
        <w:rPr>
          <w:rFonts w:ascii="Times New Roman" w:hAnsi="Times New Roman"/>
          <w:sz w:val="24"/>
          <w:szCs w:val="24"/>
        </w:rPr>
        <w:t>计算所涉及的每种危险物质在厂界内的最大存在总量与其在《建设项目环境风险评价技术导则》（HJ169-2018）附录B中对应临界量的比值Q。在不同厂区的同一种物质，按其在厂界内的最大存在总量计算。</w:t>
      </w:r>
    </w:p>
    <w:p w14:paraId="78A9EBA8">
      <w:pPr>
        <w:spacing w:line="360" w:lineRule="auto"/>
        <w:ind w:firstLine="480" w:firstLineChars="200"/>
        <w:rPr>
          <w:rFonts w:ascii="Times New Roman" w:hAnsi="Times New Roman"/>
          <w:sz w:val="24"/>
          <w:szCs w:val="24"/>
        </w:rPr>
      </w:pPr>
      <w:r>
        <w:rPr>
          <w:rFonts w:ascii="Times New Roman" w:hAnsi="Times New Roman"/>
          <w:sz w:val="24"/>
          <w:szCs w:val="24"/>
        </w:rPr>
        <w:t>当只涉及一种危险物质时，计算该物质的总量与其临界量比值，即为Q；</w:t>
      </w:r>
    </w:p>
    <w:p w14:paraId="29C27934">
      <w:pPr>
        <w:spacing w:line="360" w:lineRule="auto"/>
        <w:ind w:firstLine="480" w:firstLineChars="200"/>
        <w:rPr>
          <w:rFonts w:ascii="Times New Roman" w:hAnsi="Times New Roman"/>
          <w:sz w:val="24"/>
          <w:szCs w:val="24"/>
        </w:rPr>
      </w:pPr>
      <w:r>
        <w:rPr>
          <w:rFonts w:ascii="Times New Roman" w:hAnsi="Times New Roman"/>
          <w:sz w:val="24"/>
          <w:szCs w:val="24"/>
        </w:rPr>
        <w:t>当存在多种危险物质时，则按下式计算物质总量与临界量比值（Q）；</w:t>
      </w:r>
    </w:p>
    <w:p w14:paraId="24B08C65">
      <w:pPr>
        <w:adjustRightInd w:val="0"/>
        <w:snapToGrid w:val="0"/>
        <w:spacing w:line="360" w:lineRule="auto"/>
        <w:jc w:val="center"/>
        <w:rPr>
          <w:rFonts w:ascii="Times New Roman" w:hAnsi="Times New Roman"/>
          <w:kern w:val="0"/>
          <w:sz w:val="24"/>
          <w:szCs w:val="24"/>
        </w:rPr>
      </w:pPr>
      <m:oMathPara>
        <m:oMath>
          <m:r>
            <m:rPr/>
            <w:rPr>
              <w:rFonts w:ascii="Cambria Math" w:hAnsi="Cambria Math"/>
              <w:sz w:val="24"/>
              <w:szCs w:val="24"/>
            </w:rPr>
            <m:t>Q=</m:t>
          </m:r>
          <m:f>
            <m:fPr>
              <m:ctrlPr>
                <w:rPr>
                  <w:rFonts w:ascii="Cambria Math" w:hAnsi="Cambria Math"/>
                  <w:i/>
                  <w:sz w:val="24"/>
                  <w:szCs w:val="24"/>
                </w:rPr>
              </m:ctrlPr>
            </m:fPr>
            <m:num>
              <m:sSub>
                <m:sSubPr>
                  <m:ctrlPr>
                    <w:rPr>
                      <w:rFonts w:ascii="Cambria Math" w:hAnsi="Cambria Math"/>
                      <w:i/>
                      <w:sz w:val="24"/>
                      <w:szCs w:val="24"/>
                    </w:rPr>
                  </m:ctrlPr>
                </m:sSubPr>
                <m:e>
                  <m:r>
                    <m:rPr/>
                    <w:rPr>
                      <w:rFonts w:ascii="Cambria Math" w:hAnsi="Cambria Math"/>
                      <w:sz w:val="24"/>
                      <w:szCs w:val="24"/>
                    </w:rPr>
                    <m:t>q</m:t>
                  </m:r>
                  <m:ctrlPr>
                    <w:rPr>
                      <w:rFonts w:ascii="Cambria Math" w:hAnsi="Cambria Math"/>
                      <w:i/>
                      <w:sz w:val="24"/>
                      <w:szCs w:val="24"/>
                    </w:rPr>
                  </m:ctrlPr>
                </m:e>
                <m:sub>
                  <m:r>
                    <m:rPr/>
                    <w:rPr>
                      <w:rFonts w:ascii="Cambria Math" w:hAnsi="Cambria Math"/>
                      <w:sz w:val="24"/>
                      <w:szCs w:val="24"/>
                    </w:rPr>
                    <m:t>1</m:t>
                  </m:r>
                  <m:ctrlPr>
                    <w:rPr>
                      <w:rFonts w:ascii="Cambria Math" w:hAnsi="Cambria Math"/>
                      <w:i/>
                      <w:sz w:val="24"/>
                      <w:szCs w:val="24"/>
                    </w:rPr>
                  </m:ctrlPr>
                </m:sub>
              </m:sSub>
              <m:ctrlPr>
                <w:rPr>
                  <w:rFonts w:ascii="Cambria Math" w:hAnsi="Cambria Math"/>
                  <w:i/>
                  <w:sz w:val="24"/>
                  <w:szCs w:val="24"/>
                </w:rPr>
              </m:ctrlPr>
            </m:num>
            <m:den>
              <m:sSub>
                <m:sSubPr>
                  <m:ctrlPr>
                    <w:rPr>
                      <w:rFonts w:ascii="Cambria Math" w:hAnsi="Cambria Math"/>
                      <w:i/>
                      <w:sz w:val="24"/>
                      <w:szCs w:val="24"/>
                    </w:rPr>
                  </m:ctrlPr>
                </m:sSubPr>
                <m:e>
                  <m:r>
                    <m:rPr/>
                    <w:rPr>
                      <w:rFonts w:ascii="Cambria Math" w:hAnsi="Cambria Math"/>
                      <w:sz w:val="24"/>
                      <w:szCs w:val="24"/>
                    </w:rPr>
                    <m:t>Q</m:t>
                  </m:r>
                  <m:ctrlPr>
                    <w:rPr>
                      <w:rFonts w:ascii="Cambria Math" w:hAnsi="Cambria Math"/>
                      <w:i/>
                      <w:sz w:val="24"/>
                      <w:szCs w:val="24"/>
                    </w:rPr>
                  </m:ctrlPr>
                </m:e>
                <m:sub>
                  <m:r>
                    <m:rPr/>
                    <w:rPr>
                      <w:rFonts w:ascii="Cambria Math" w:hAnsi="Cambria Math"/>
                      <w:sz w:val="24"/>
                      <w:szCs w:val="24"/>
                    </w:rPr>
                    <m:t>1</m:t>
                  </m:r>
                  <m:ctrlPr>
                    <w:rPr>
                      <w:rFonts w:ascii="Cambria Math" w:hAnsi="Cambria Math"/>
                      <w:i/>
                      <w:sz w:val="24"/>
                      <w:szCs w:val="24"/>
                    </w:rPr>
                  </m:ctrlPr>
                </m:sub>
              </m:sSub>
              <m:ctrlPr>
                <w:rPr>
                  <w:rFonts w:ascii="Cambria Math" w:hAnsi="Cambria Math"/>
                  <w:i/>
                  <w:sz w:val="24"/>
                  <w:szCs w:val="24"/>
                </w:rPr>
              </m:ctrlPr>
            </m:den>
          </m:f>
          <m:r>
            <m:rP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m:rPr/>
                    <w:rPr>
                      <w:rFonts w:ascii="Cambria Math" w:hAnsi="Cambria Math"/>
                      <w:sz w:val="24"/>
                      <w:szCs w:val="24"/>
                    </w:rPr>
                    <m:t>q</m:t>
                  </m:r>
                  <m:ctrlPr>
                    <w:rPr>
                      <w:rFonts w:ascii="Cambria Math" w:hAnsi="Cambria Math"/>
                      <w:i/>
                      <w:sz w:val="24"/>
                      <w:szCs w:val="24"/>
                    </w:rPr>
                  </m:ctrlPr>
                </m:e>
                <m:sub>
                  <m:r>
                    <m:rPr/>
                    <w:rPr>
                      <w:rFonts w:ascii="Cambria Math" w:hAnsi="Cambria Math"/>
                      <w:sz w:val="24"/>
                      <w:szCs w:val="24"/>
                    </w:rPr>
                    <m:t>2</m:t>
                  </m:r>
                  <m:ctrlPr>
                    <w:rPr>
                      <w:rFonts w:ascii="Cambria Math" w:hAnsi="Cambria Math"/>
                      <w:i/>
                      <w:sz w:val="24"/>
                      <w:szCs w:val="24"/>
                    </w:rPr>
                  </m:ctrlPr>
                </m:sub>
              </m:sSub>
              <m:ctrlPr>
                <w:rPr>
                  <w:rFonts w:ascii="Cambria Math" w:hAnsi="Cambria Math"/>
                  <w:i/>
                  <w:sz w:val="24"/>
                  <w:szCs w:val="24"/>
                </w:rPr>
              </m:ctrlPr>
            </m:num>
            <m:den>
              <m:sSub>
                <m:sSubPr>
                  <m:ctrlPr>
                    <w:rPr>
                      <w:rFonts w:ascii="Cambria Math" w:hAnsi="Cambria Math"/>
                      <w:i/>
                      <w:sz w:val="24"/>
                      <w:szCs w:val="24"/>
                    </w:rPr>
                  </m:ctrlPr>
                </m:sSubPr>
                <m:e>
                  <m:r>
                    <m:rPr/>
                    <w:rPr>
                      <w:rFonts w:ascii="Cambria Math" w:hAnsi="Cambria Math"/>
                      <w:sz w:val="24"/>
                      <w:szCs w:val="24"/>
                    </w:rPr>
                    <m:t>Q</m:t>
                  </m:r>
                  <m:ctrlPr>
                    <w:rPr>
                      <w:rFonts w:ascii="Cambria Math" w:hAnsi="Cambria Math"/>
                      <w:i/>
                      <w:sz w:val="24"/>
                      <w:szCs w:val="24"/>
                    </w:rPr>
                  </m:ctrlPr>
                </m:e>
                <m:sub>
                  <m:r>
                    <m:rPr/>
                    <w:rPr>
                      <w:rFonts w:ascii="Cambria Math" w:hAnsi="Cambria Math"/>
                      <w:sz w:val="24"/>
                      <w:szCs w:val="24"/>
                    </w:rPr>
                    <m:t>2</m:t>
                  </m:r>
                  <m:ctrlPr>
                    <w:rPr>
                      <w:rFonts w:ascii="Cambria Math" w:hAnsi="Cambria Math"/>
                      <w:i/>
                      <w:sz w:val="24"/>
                      <w:szCs w:val="24"/>
                    </w:rPr>
                  </m:ctrlPr>
                </m:sub>
              </m:sSub>
              <m:ctrlPr>
                <w:rPr>
                  <w:rFonts w:ascii="Cambria Math" w:hAnsi="Cambria Math"/>
                  <w:i/>
                  <w:sz w:val="24"/>
                  <w:szCs w:val="24"/>
                </w:rPr>
              </m:ctrlPr>
            </m:den>
          </m:f>
          <m:r>
            <m:rP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m:rPr/>
                    <w:rPr>
                      <w:rFonts w:ascii="Cambria Math" w:hAnsi="Cambria Math"/>
                      <w:sz w:val="24"/>
                      <w:szCs w:val="24"/>
                    </w:rPr>
                    <m:t>q</m:t>
                  </m:r>
                  <m:ctrlPr>
                    <w:rPr>
                      <w:rFonts w:ascii="Cambria Math" w:hAnsi="Cambria Math"/>
                      <w:i/>
                      <w:sz w:val="24"/>
                      <w:szCs w:val="24"/>
                    </w:rPr>
                  </m:ctrlPr>
                </m:e>
                <m:sub>
                  <m:r>
                    <m:rPr/>
                    <w:rPr>
                      <w:rFonts w:ascii="Cambria Math" w:hAnsi="Cambria Math"/>
                      <w:sz w:val="24"/>
                      <w:szCs w:val="24"/>
                    </w:rPr>
                    <m:t>n</m:t>
                  </m:r>
                  <m:ctrlPr>
                    <w:rPr>
                      <w:rFonts w:ascii="Cambria Math" w:hAnsi="Cambria Math"/>
                      <w:i/>
                      <w:sz w:val="24"/>
                      <w:szCs w:val="24"/>
                    </w:rPr>
                  </m:ctrlPr>
                </m:sub>
              </m:sSub>
              <m:ctrlPr>
                <w:rPr>
                  <w:rFonts w:ascii="Cambria Math" w:hAnsi="Cambria Math"/>
                  <w:i/>
                  <w:sz w:val="24"/>
                  <w:szCs w:val="24"/>
                </w:rPr>
              </m:ctrlPr>
            </m:num>
            <m:den>
              <m:sSub>
                <m:sSubPr>
                  <m:ctrlPr>
                    <w:rPr>
                      <w:rFonts w:ascii="Cambria Math" w:hAnsi="Cambria Math"/>
                      <w:i/>
                      <w:sz w:val="24"/>
                      <w:szCs w:val="24"/>
                    </w:rPr>
                  </m:ctrlPr>
                </m:sSubPr>
                <m:e>
                  <m:r>
                    <m:rPr/>
                    <w:rPr>
                      <w:rFonts w:ascii="Cambria Math" w:hAnsi="Cambria Math"/>
                      <w:sz w:val="24"/>
                      <w:szCs w:val="24"/>
                    </w:rPr>
                    <m:t>Q</m:t>
                  </m:r>
                  <m:ctrlPr>
                    <w:rPr>
                      <w:rFonts w:ascii="Cambria Math" w:hAnsi="Cambria Math"/>
                      <w:i/>
                      <w:sz w:val="24"/>
                      <w:szCs w:val="24"/>
                    </w:rPr>
                  </m:ctrlPr>
                </m:e>
                <m:sub>
                  <m:r>
                    <m:rPr/>
                    <w:rPr>
                      <w:rFonts w:ascii="Cambria Math" w:hAnsi="Cambria Math"/>
                      <w:sz w:val="24"/>
                      <w:szCs w:val="24"/>
                    </w:rPr>
                    <m:t>n</m:t>
                  </m:r>
                  <m:ctrlPr>
                    <w:rPr>
                      <w:rFonts w:ascii="Cambria Math" w:hAnsi="Cambria Math"/>
                      <w:i/>
                      <w:sz w:val="24"/>
                      <w:szCs w:val="24"/>
                    </w:rPr>
                  </m:ctrlPr>
                </m:sub>
              </m:sSub>
              <m:ctrlPr>
                <w:rPr>
                  <w:rFonts w:ascii="Cambria Math" w:hAnsi="Cambria Math"/>
                  <w:i/>
                  <w:sz w:val="24"/>
                  <w:szCs w:val="24"/>
                </w:rPr>
              </m:ctrlPr>
            </m:den>
          </m:f>
        </m:oMath>
      </m:oMathPara>
    </w:p>
    <w:p w14:paraId="2406C3A1">
      <w:pPr>
        <w:spacing w:line="360" w:lineRule="auto"/>
        <w:ind w:firstLine="480" w:firstLineChars="200"/>
        <w:rPr>
          <w:rFonts w:ascii="Times New Roman" w:hAnsi="Times New Roman"/>
          <w:kern w:val="0"/>
          <w:sz w:val="24"/>
          <w:szCs w:val="24"/>
        </w:rPr>
      </w:pPr>
      <w:r>
        <w:rPr>
          <w:rFonts w:ascii="Times New Roman" w:hAnsi="Times New Roman"/>
          <w:kern w:val="0"/>
          <w:sz w:val="24"/>
          <w:szCs w:val="24"/>
        </w:rPr>
        <w:t>式中，q</w:t>
      </w:r>
      <w:r>
        <w:rPr>
          <w:rFonts w:ascii="Times New Roman" w:hAnsi="Times New Roman"/>
          <w:kern w:val="0"/>
          <w:sz w:val="24"/>
          <w:szCs w:val="24"/>
          <w:vertAlign w:val="subscript"/>
        </w:rPr>
        <w:t>1</w:t>
      </w:r>
      <w:r>
        <w:rPr>
          <w:rFonts w:ascii="Times New Roman" w:hAnsi="Times New Roman"/>
          <w:kern w:val="0"/>
          <w:sz w:val="24"/>
          <w:szCs w:val="24"/>
        </w:rPr>
        <w:t>，q</w:t>
      </w:r>
      <w:r>
        <w:rPr>
          <w:rFonts w:ascii="Times New Roman" w:hAnsi="Times New Roman"/>
          <w:kern w:val="0"/>
          <w:sz w:val="24"/>
          <w:szCs w:val="24"/>
          <w:vertAlign w:val="subscript"/>
        </w:rPr>
        <w:t>2</w:t>
      </w:r>
      <w:r>
        <w:rPr>
          <w:rFonts w:ascii="Times New Roman" w:hAnsi="Times New Roman"/>
          <w:kern w:val="0"/>
          <w:sz w:val="24"/>
          <w:szCs w:val="24"/>
        </w:rPr>
        <w:t>，…q</w:t>
      </w:r>
      <w:r>
        <w:rPr>
          <w:rFonts w:ascii="Times New Roman" w:hAnsi="Times New Roman"/>
          <w:kern w:val="0"/>
          <w:sz w:val="24"/>
          <w:szCs w:val="24"/>
          <w:vertAlign w:val="subscript"/>
        </w:rPr>
        <w:t>n</w:t>
      </w:r>
      <w:r>
        <w:rPr>
          <w:rFonts w:ascii="Times New Roman" w:hAnsi="Times New Roman"/>
          <w:kern w:val="0"/>
          <w:sz w:val="24"/>
          <w:szCs w:val="24"/>
        </w:rPr>
        <w:t>——每种危险物质的最大存在总量，t；</w:t>
      </w:r>
    </w:p>
    <w:p w14:paraId="328BAF29">
      <w:pPr>
        <w:spacing w:line="360" w:lineRule="auto"/>
        <w:ind w:firstLine="1200" w:firstLineChars="500"/>
        <w:rPr>
          <w:rFonts w:ascii="Times New Roman" w:hAnsi="Times New Roman"/>
          <w:sz w:val="24"/>
          <w:szCs w:val="24"/>
        </w:rPr>
      </w:pPr>
      <w:r>
        <w:rPr>
          <w:rFonts w:ascii="Times New Roman" w:hAnsi="Times New Roman"/>
          <w:sz w:val="24"/>
          <w:szCs w:val="24"/>
        </w:rPr>
        <w:t>Q</w:t>
      </w:r>
      <w:r>
        <w:rPr>
          <w:rFonts w:ascii="Times New Roman" w:hAnsi="Times New Roman"/>
          <w:sz w:val="24"/>
          <w:szCs w:val="24"/>
          <w:vertAlign w:val="subscript"/>
        </w:rPr>
        <w:t>1</w:t>
      </w:r>
      <w:r>
        <w:rPr>
          <w:rFonts w:ascii="Times New Roman" w:hAnsi="Times New Roman"/>
          <w:sz w:val="24"/>
          <w:szCs w:val="24"/>
        </w:rPr>
        <w:t>，Q</w:t>
      </w:r>
      <w:r>
        <w:rPr>
          <w:rFonts w:ascii="Times New Roman" w:hAnsi="Times New Roman"/>
          <w:sz w:val="24"/>
          <w:szCs w:val="24"/>
          <w:vertAlign w:val="subscript"/>
        </w:rPr>
        <w:t>2</w:t>
      </w:r>
      <w:r>
        <w:rPr>
          <w:rFonts w:ascii="Times New Roman" w:hAnsi="Times New Roman"/>
          <w:sz w:val="24"/>
          <w:szCs w:val="24"/>
        </w:rPr>
        <w:t>，…Q</w:t>
      </w:r>
      <w:r>
        <w:rPr>
          <w:rFonts w:ascii="Times New Roman" w:hAnsi="Times New Roman"/>
          <w:sz w:val="24"/>
          <w:szCs w:val="24"/>
          <w:vertAlign w:val="subscript"/>
        </w:rPr>
        <w:t>n</w:t>
      </w:r>
      <w:r>
        <w:rPr>
          <w:rFonts w:ascii="Times New Roman" w:hAnsi="Times New Roman"/>
          <w:sz w:val="24"/>
          <w:szCs w:val="24"/>
        </w:rPr>
        <w:t>——每种危险物质的临界量，t；</w:t>
      </w:r>
    </w:p>
    <w:p w14:paraId="33CB9029">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当Q＜1时，该项目环境风险潜势为Ⅰ；</w:t>
      </w:r>
    </w:p>
    <w:p w14:paraId="23664DB0">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当Q≥1时，将Q值划分为：（1）1≤Q≤10；（2）10≤Q≤100；（3）Q≥100。</w:t>
      </w:r>
    </w:p>
    <w:p w14:paraId="26BF15C8">
      <w:pPr>
        <w:widowControl/>
        <w:adjustRightInd w:val="0"/>
        <w:snapToGri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本项目选矿采用干式磁选，选矿过程不添加药剂，</w:t>
      </w:r>
      <w:r>
        <w:rPr>
          <w:rFonts w:ascii="Times New Roman" w:hAnsi="Times New Roman"/>
          <w:sz w:val="24"/>
          <w:szCs w:val="24"/>
        </w:rPr>
        <w:t>本项目</w:t>
      </w:r>
      <w:r>
        <w:rPr>
          <w:rFonts w:hint="eastAsia" w:ascii="Times New Roman" w:hAnsi="Times New Roman"/>
          <w:sz w:val="24"/>
          <w:szCs w:val="24"/>
        </w:rPr>
        <w:t>涉及的</w:t>
      </w:r>
      <w:r>
        <w:rPr>
          <w:rFonts w:ascii="Times New Roman" w:hAnsi="Times New Roman"/>
          <w:sz w:val="24"/>
          <w:szCs w:val="24"/>
        </w:rPr>
        <w:t>风险物质</w:t>
      </w:r>
      <w:r>
        <w:rPr>
          <w:rFonts w:hint="eastAsia" w:ascii="Times New Roman" w:hAnsi="Times New Roman"/>
          <w:sz w:val="24"/>
          <w:szCs w:val="24"/>
        </w:rPr>
        <w:t>为废机油</w:t>
      </w:r>
      <w:r>
        <w:rPr>
          <w:rFonts w:hint="eastAsia" w:ascii="Times New Roman" w:hAnsi="Times New Roman"/>
          <w:sz w:val="24"/>
          <w:szCs w:val="24"/>
          <w:u w:val="single"/>
        </w:rPr>
        <w:t>、含放射性物料</w:t>
      </w:r>
      <w:r>
        <w:rPr>
          <w:rFonts w:ascii="Times New Roman" w:hAnsi="Times New Roman"/>
          <w:sz w:val="24"/>
          <w:szCs w:val="24"/>
        </w:rPr>
        <w:t>。</w:t>
      </w:r>
      <w:r>
        <w:rPr>
          <w:rFonts w:ascii="Times New Roman" w:hAnsi="Times New Roman"/>
          <w:spacing w:val="-2"/>
          <w:kern w:val="0"/>
          <w:sz w:val="24"/>
          <w:szCs w:val="24"/>
        </w:rPr>
        <w:t>对照《建设项目环境风险评价技术导则》（HJ169-2018）、《危险化学品重大危险源辨识》（GB18218—2018）、《危险化学品目录》（2015年版），对项目所涉及的原材料和辅助材料等进行风险识别调查，</w:t>
      </w:r>
      <w:r>
        <w:rPr>
          <w:rFonts w:hint="eastAsia" w:ascii="Times New Roman" w:hAnsi="Times New Roman"/>
          <w:spacing w:val="-2"/>
          <w:kern w:val="0"/>
          <w:sz w:val="24"/>
          <w:szCs w:val="24"/>
          <w:u w:val="single"/>
        </w:rPr>
        <w:t>对废机油进行Q值计算，放射性物料无法进行Q值计算，</w:t>
      </w:r>
      <w:r>
        <w:rPr>
          <w:rFonts w:ascii="Times New Roman" w:hAnsi="Times New Roman"/>
          <w:spacing w:val="-2"/>
          <w:kern w:val="0"/>
          <w:sz w:val="24"/>
          <w:szCs w:val="24"/>
        </w:rPr>
        <w:t>项目主要</w:t>
      </w:r>
      <w:r>
        <w:rPr>
          <w:rFonts w:hint="eastAsia" w:ascii="Times New Roman" w:hAnsi="Times New Roman"/>
          <w:spacing w:val="-2"/>
          <w:kern w:val="0"/>
          <w:sz w:val="24"/>
          <w:szCs w:val="24"/>
        </w:rPr>
        <w:t>环境风险</w:t>
      </w:r>
      <w:r>
        <w:rPr>
          <w:rFonts w:ascii="Times New Roman" w:hAnsi="Times New Roman"/>
          <w:spacing w:val="-2"/>
          <w:kern w:val="0"/>
          <w:sz w:val="24"/>
          <w:szCs w:val="24"/>
        </w:rPr>
        <w:t>物质情况见表</w:t>
      </w:r>
      <w:r>
        <w:rPr>
          <w:rFonts w:hint="eastAsia" w:ascii="Times New Roman" w:hAnsi="Times New Roman"/>
          <w:spacing w:val="-2"/>
          <w:kern w:val="0"/>
          <w:sz w:val="24"/>
          <w:szCs w:val="24"/>
        </w:rPr>
        <w:t>4.9-2。</w:t>
      </w:r>
    </w:p>
    <w:p w14:paraId="0BB36004">
      <w:pPr>
        <w:pStyle w:val="8"/>
        <w:numPr>
          <w:ilvl w:val="4"/>
          <w:numId w:val="3"/>
        </w:numPr>
        <w:rPr>
          <w:sz w:val="24"/>
          <w:szCs w:val="24"/>
        </w:rPr>
      </w:pPr>
      <w:r>
        <w:rPr>
          <w:sz w:val="24"/>
          <w:szCs w:val="24"/>
        </w:rPr>
        <w:t>环境风险物质与临界量</w:t>
      </w:r>
    </w:p>
    <w:tbl>
      <w:tblPr>
        <w:tblStyle w:val="88"/>
        <w:tblW w:w="9040"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645"/>
        <w:gridCol w:w="1090"/>
        <w:gridCol w:w="1654"/>
        <w:gridCol w:w="1535"/>
        <w:gridCol w:w="1022"/>
        <w:gridCol w:w="2018"/>
        <w:gridCol w:w="1076"/>
      </w:tblGrid>
      <w:tr w14:paraId="458D6EC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645" w:type="dxa"/>
            <w:vAlign w:val="center"/>
          </w:tcPr>
          <w:p w14:paraId="7B77426E">
            <w:pPr>
              <w:jc w:val="center"/>
              <w:rPr>
                <w:rFonts w:ascii="Times New Roman" w:hAnsi="Times New Roman"/>
                <w:b/>
                <w:bCs/>
                <w:szCs w:val="21"/>
              </w:rPr>
            </w:pPr>
            <w:r>
              <w:rPr>
                <w:rFonts w:ascii="Times New Roman" w:hAnsi="Times New Roman"/>
                <w:b/>
                <w:bCs/>
                <w:szCs w:val="21"/>
              </w:rPr>
              <w:t>序号</w:t>
            </w:r>
          </w:p>
        </w:tc>
        <w:tc>
          <w:tcPr>
            <w:tcW w:w="1090" w:type="dxa"/>
            <w:vAlign w:val="center"/>
          </w:tcPr>
          <w:p w14:paraId="293C7305">
            <w:pPr>
              <w:jc w:val="center"/>
              <w:rPr>
                <w:rFonts w:ascii="Times New Roman" w:hAnsi="Times New Roman"/>
                <w:b/>
                <w:bCs/>
                <w:szCs w:val="21"/>
              </w:rPr>
            </w:pPr>
            <w:r>
              <w:rPr>
                <w:rFonts w:ascii="Times New Roman" w:hAnsi="Times New Roman"/>
                <w:b/>
                <w:bCs/>
                <w:szCs w:val="21"/>
              </w:rPr>
              <w:t>名称</w:t>
            </w:r>
          </w:p>
        </w:tc>
        <w:tc>
          <w:tcPr>
            <w:tcW w:w="1654" w:type="dxa"/>
            <w:vAlign w:val="center"/>
          </w:tcPr>
          <w:p w14:paraId="0F154071">
            <w:pPr>
              <w:jc w:val="center"/>
              <w:rPr>
                <w:rFonts w:ascii="Times New Roman" w:hAnsi="Times New Roman"/>
                <w:b/>
                <w:bCs/>
                <w:szCs w:val="21"/>
              </w:rPr>
            </w:pPr>
            <w:r>
              <w:rPr>
                <w:rFonts w:ascii="Times New Roman" w:hAnsi="Times New Roman"/>
                <w:b/>
                <w:bCs/>
                <w:szCs w:val="21"/>
              </w:rPr>
              <w:t>CAS</w:t>
            </w:r>
            <w:r>
              <w:rPr>
                <w:rFonts w:hint="eastAsia" w:ascii="Times New Roman" w:hAnsi="Times New Roman"/>
                <w:b/>
                <w:bCs/>
                <w:szCs w:val="21"/>
              </w:rPr>
              <w:t>号</w:t>
            </w:r>
          </w:p>
        </w:tc>
        <w:tc>
          <w:tcPr>
            <w:tcW w:w="1535" w:type="dxa"/>
            <w:vAlign w:val="center"/>
          </w:tcPr>
          <w:p w14:paraId="3D55D650">
            <w:pPr>
              <w:jc w:val="center"/>
              <w:rPr>
                <w:rFonts w:ascii="Times New Roman" w:hAnsi="Times New Roman"/>
                <w:b/>
                <w:bCs/>
                <w:szCs w:val="21"/>
              </w:rPr>
            </w:pPr>
            <w:r>
              <w:rPr>
                <w:rFonts w:ascii="Times New Roman" w:hAnsi="Times New Roman"/>
                <w:b/>
                <w:bCs/>
                <w:szCs w:val="21"/>
              </w:rPr>
              <w:t>最大储量/t</w:t>
            </w:r>
          </w:p>
        </w:tc>
        <w:tc>
          <w:tcPr>
            <w:tcW w:w="1022" w:type="dxa"/>
            <w:vAlign w:val="center"/>
          </w:tcPr>
          <w:p w14:paraId="210B9BCC">
            <w:pPr>
              <w:jc w:val="center"/>
              <w:rPr>
                <w:rFonts w:ascii="Times New Roman" w:hAnsi="Times New Roman"/>
                <w:b/>
                <w:bCs/>
                <w:szCs w:val="21"/>
              </w:rPr>
            </w:pPr>
            <w:r>
              <w:rPr>
                <w:rFonts w:ascii="Times New Roman" w:hAnsi="Times New Roman"/>
                <w:b/>
                <w:bCs/>
                <w:szCs w:val="21"/>
              </w:rPr>
              <w:t>临界量/t</w:t>
            </w:r>
          </w:p>
        </w:tc>
        <w:tc>
          <w:tcPr>
            <w:tcW w:w="2018" w:type="dxa"/>
            <w:vAlign w:val="center"/>
          </w:tcPr>
          <w:p w14:paraId="5564A7B1">
            <w:pPr>
              <w:jc w:val="center"/>
              <w:rPr>
                <w:rFonts w:ascii="Times New Roman" w:hAnsi="Times New Roman"/>
                <w:b/>
                <w:bCs/>
                <w:szCs w:val="21"/>
              </w:rPr>
            </w:pPr>
            <w:r>
              <w:rPr>
                <w:rFonts w:ascii="Times New Roman" w:hAnsi="Times New Roman"/>
                <w:b/>
                <w:bCs/>
                <w:szCs w:val="21"/>
              </w:rPr>
              <w:t>该种危险物质Q值</w:t>
            </w:r>
          </w:p>
        </w:tc>
        <w:tc>
          <w:tcPr>
            <w:tcW w:w="1076" w:type="dxa"/>
            <w:vAlign w:val="center"/>
          </w:tcPr>
          <w:p w14:paraId="11820F30">
            <w:pPr>
              <w:jc w:val="center"/>
              <w:rPr>
                <w:rFonts w:ascii="Times New Roman" w:hAnsi="Times New Roman"/>
                <w:b/>
                <w:bCs/>
                <w:szCs w:val="21"/>
              </w:rPr>
            </w:pPr>
            <w:r>
              <w:rPr>
                <w:rFonts w:ascii="Times New Roman" w:hAnsi="Times New Roman"/>
                <w:b/>
                <w:bCs/>
                <w:szCs w:val="21"/>
              </w:rPr>
              <w:t>贮存方式</w:t>
            </w:r>
          </w:p>
        </w:tc>
      </w:tr>
      <w:tr w14:paraId="5B2A06A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645" w:type="dxa"/>
            <w:vAlign w:val="center"/>
          </w:tcPr>
          <w:p w14:paraId="5DDF363C">
            <w:pPr>
              <w:jc w:val="center"/>
              <w:rPr>
                <w:rFonts w:ascii="Times New Roman" w:hAnsi="Times New Roman"/>
                <w:szCs w:val="21"/>
              </w:rPr>
            </w:pPr>
            <w:r>
              <w:rPr>
                <w:rFonts w:ascii="Times New Roman" w:hAnsi="Times New Roman"/>
                <w:szCs w:val="21"/>
              </w:rPr>
              <w:t>1</w:t>
            </w:r>
          </w:p>
        </w:tc>
        <w:tc>
          <w:tcPr>
            <w:tcW w:w="1090" w:type="dxa"/>
            <w:vAlign w:val="center"/>
          </w:tcPr>
          <w:p w14:paraId="57307E40">
            <w:pPr>
              <w:pStyle w:val="31"/>
              <w:spacing w:after="0"/>
              <w:jc w:val="center"/>
              <w:rPr>
                <w:rFonts w:ascii="Times New Roman" w:hAnsi="Times New Roman"/>
                <w:sz w:val="21"/>
                <w:szCs w:val="21"/>
              </w:rPr>
            </w:pPr>
            <w:r>
              <w:rPr>
                <w:rFonts w:ascii="Times New Roman" w:hAnsi="Times New Roman"/>
                <w:sz w:val="21"/>
                <w:szCs w:val="21"/>
              </w:rPr>
              <w:t>废机油</w:t>
            </w:r>
          </w:p>
        </w:tc>
        <w:tc>
          <w:tcPr>
            <w:tcW w:w="1654" w:type="dxa"/>
            <w:vAlign w:val="center"/>
          </w:tcPr>
          <w:p w14:paraId="7A685103">
            <w:pPr>
              <w:pStyle w:val="31"/>
              <w:spacing w:after="0"/>
              <w:jc w:val="center"/>
              <w:rPr>
                <w:rFonts w:ascii="Times New Roman" w:hAnsi="Times New Roman"/>
                <w:sz w:val="21"/>
                <w:szCs w:val="21"/>
              </w:rPr>
            </w:pPr>
            <w:r>
              <w:rPr>
                <w:rFonts w:ascii="Times New Roman" w:hAnsi="Times New Roman"/>
                <w:sz w:val="21"/>
                <w:szCs w:val="21"/>
              </w:rPr>
              <w:t>900-214-08</w:t>
            </w:r>
          </w:p>
        </w:tc>
        <w:tc>
          <w:tcPr>
            <w:tcW w:w="1535" w:type="dxa"/>
            <w:vAlign w:val="center"/>
          </w:tcPr>
          <w:p w14:paraId="0EF8D249">
            <w:pPr>
              <w:pStyle w:val="31"/>
              <w:spacing w:after="0"/>
              <w:jc w:val="center"/>
              <w:rPr>
                <w:rFonts w:ascii="Times New Roman" w:hAnsi="Times New Roman"/>
                <w:sz w:val="21"/>
                <w:szCs w:val="21"/>
                <w:u w:val="single"/>
              </w:rPr>
            </w:pPr>
            <w:r>
              <w:rPr>
                <w:rFonts w:ascii="Times New Roman" w:hAnsi="Times New Roman"/>
                <w:sz w:val="21"/>
                <w:szCs w:val="21"/>
                <w:u w:val="single"/>
              </w:rPr>
              <w:t>0.</w:t>
            </w:r>
            <w:r>
              <w:rPr>
                <w:rFonts w:hint="eastAsia" w:ascii="Times New Roman" w:hAnsi="Times New Roman"/>
                <w:sz w:val="21"/>
                <w:szCs w:val="21"/>
                <w:u w:val="single"/>
              </w:rPr>
              <w:t>3</w:t>
            </w:r>
          </w:p>
        </w:tc>
        <w:tc>
          <w:tcPr>
            <w:tcW w:w="1022" w:type="dxa"/>
            <w:vAlign w:val="center"/>
          </w:tcPr>
          <w:p w14:paraId="7AA7E719">
            <w:pPr>
              <w:pStyle w:val="31"/>
              <w:spacing w:after="0"/>
              <w:jc w:val="center"/>
              <w:rPr>
                <w:rFonts w:ascii="Times New Roman" w:hAnsi="Times New Roman"/>
                <w:sz w:val="21"/>
                <w:szCs w:val="21"/>
              </w:rPr>
            </w:pPr>
            <w:r>
              <w:rPr>
                <w:rFonts w:hint="eastAsia" w:ascii="Times New Roman" w:hAnsi="Times New Roman"/>
                <w:sz w:val="21"/>
                <w:szCs w:val="21"/>
              </w:rPr>
              <w:t>25</w:t>
            </w:r>
            <w:r>
              <w:rPr>
                <w:rFonts w:ascii="Times New Roman" w:hAnsi="Times New Roman"/>
                <w:sz w:val="21"/>
                <w:szCs w:val="21"/>
              </w:rPr>
              <w:t>00</w:t>
            </w:r>
          </w:p>
        </w:tc>
        <w:tc>
          <w:tcPr>
            <w:tcW w:w="2018" w:type="dxa"/>
            <w:vAlign w:val="center"/>
          </w:tcPr>
          <w:p w14:paraId="1659AD36">
            <w:pPr>
              <w:jc w:val="center"/>
              <w:textAlignment w:val="center"/>
              <w:rPr>
                <w:rFonts w:ascii="Times New Roman" w:hAnsi="Times New Roman"/>
                <w:szCs w:val="21"/>
                <w:u w:val="single"/>
              </w:rPr>
            </w:pPr>
            <w:r>
              <w:rPr>
                <w:rFonts w:ascii="Times New Roman" w:hAnsi="Times New Roman"/>
                <w:szCs w:val="21"/>
                <w:u w:val="single"/>
              </w:rPr>
              <w:t>0.000</w:t>
            </w:r>
            <w:r>
              <w:rPr>
                <w:rFonts w:hint="eastAsia" w:ascii="Times New Roman" w:hAnsi="Times New Roman"/>
                <w:szCs w:val="21"/>
                <w:u w:val="single"/>
              </w:rPr>
              <w:t>1</w:t>
            </w:r>
            <w:r>
              <w:rPr>
                <w:rFonts w:ascii="Times New Roman" w:hAnsi="Times New Roman"/>
                <w:szCs w:val="21"/>
                <w:u w:val="single"/>
              </w:rPr>
              <w:t>2</w:t>
            </w:r>
          </w:p>
        </w:tc>
        <w:tc>
          <w:tcPr>
            <w:tcW w:w="1076" w:type="dxa"/>
            <w:vAlign w:val="center"/>
          </w:tcPr>
          <w:p w14:paraId="09569F4D">
            <w:pPr>
              <w:jc w:val="center"/>
              <w:rPr>
                <w:rFonts w:ascii="Times New Roman" w:hAnsi="Times New Roman"/>
                <w:szCs w:val="21"/>
              </w:rPr>
            </w:pPr>
            <w:r>
              <w:rPr>
                <w:rFonts w:ascii="Times New Roman" w:hAnsi="Times New Roman"/>
                <w:szCs w:val="21"/>
              </w:rPr>
              <w:t>桶装</w:t>
            </w:r>
          </w:p>
        </w:tc>
      </w:tr>
      <w:tr w14:paraId="15E484B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645" w:type="dxa"/>
            <w:vAlign w:val="center"/>
          </w:tcPr>
          <w:p w14:paraId="764EA2B6">
            <w:pPr>
              <w:jc w:val="center"/>
              <w:rPr>
                <w:rFonts w:ascii="Times New Roman" w:hAnsi="Times New Roman"/>
                <w:szCs w:val="21"/>
              </w:rPr>
            </w:pPr>
          </w:p>
        </w:tc>
        <w:tc>
          <w:tcPr>
            <w:tcW w:w="5301" w:type="dxa"/>
            <w:gridSpan w:val="4"/>
            <w:vAlign w:val="center"/>
          </w:tcPr>
          <w:p w14:paraId="41C52318">
            <w:pPr>
              <w:pStyle w:val="31"/>
              <w:spacing w:after="0"/>
              <w:jc w:val="center"/>
              <w:rPr>
                <w:rFonts w:ascii="Times New Roman" w:hAnsi="Times New Roman"/>
                <w:sz w:val="21"/>
                <w:szCs w:val="21"/>
              </w:rPr>
            </w:pPr>
            <w:r>
              <w:rPr>
                <w:rFonts w:ascii="Times New Roman" w:hAnsi="Times New Roman"/>
                <w:sz w:val="21"/>
                <w:szCs w:val="21"/>
              </w:rPr>
              <w:t>Q合计</w:t>
            </w:r>
          </w:p>
        </w:tc>
        <w:tc>
          <w:tcPr>
            <w:tcW w:w="2018" w:type="dxa"/>
            <w:vAlign w:val="center"/>
          </w:tcPr>
          <w:p w14:paraId="42E016AD">
            <w:pPr>
              <w:pStyle w:val="31"/>
              <w:spacing w:after="0"/>
              <w:jc w:val="center"/>
              <w:rPr>
                <w:rFonts w:ascii="Times New Roman" w:hAnsi="Times New Roman"/>
                <w:sz w:val="21"/>
                <w:szCs w:val="21"/>
                <w:u w:val="single"/>
              </w:rPr>
            </w:pPr>
            <w:r>
              <w:rPr>
                <w:rFonts w:ascii="Times New Roman" w:hAnsi="Times New Roman"/>
                <w:sz w:val="21"/>
                <w:szCs w:val="21"/>
                <w:u w:val="single"/>
              </w:rPr>
              <w:t>0.000</w:t>
            </w:r>
            <w:r>
              <w:rPr>
                <w:rFonts w:hint="eastAsia" w:ascii="Times New Roman" w:hAnsi="Times New Roman"/>
                <w:szCs w:val="21"/>
                <w:u w:val="single"/>
              </w:rPr>
              <w:t>1</w:t>
            </w:r>
            <w:r>
              <w:rPr>
                <w:rFonts w:ascii="Times New Roman" w:hAnsi="Times New Roman"/>
                <w:sz w:val="21"/>
                <w:szCs w:val="21"/>
                <w:u w:val="single"/>
              </w:rPr>
              <w:t>2</w:t>
            </w:r>
          </w:p>
        </w:tc>
        <w:tc>
          <w:tcPr>
            <w:tcW w:w="1076" w:type="dxa"/>
            <w:vAlign w:val="center"/>
          </w:tcPr>
          <w:p w14:paraId="29D2C536">
            <w:pPr>
              <w:jc w:val="center"/>
              <w:rPr>
                <w:rFonts w:ascii="Times New Roman" w:hAnsi="Times New Roman"/>
                <w:szCs w:val="21"/>
              </w:rPr>
            </w:pPr>
            <w:r>
              <w:rPr>
                <w:rFonts w:ascii="Times New Roman" w:hAnsi="Times New Roman"/>
                <w:szCs w:val="21"/>
              </w:rPr>
              <w:t>/</w:t>
            </w:r>
          </w:p>
        </w:tc>
      </w:tr>
    </w:tbl>
    <w:p w14:paraId="7AC3D04B">
      <w:pPr>
        <w:widowControl/>
        <w:adjustRightInd w:val="0"/>
        <w:snapToGrid w:val="0"/>
        <w:spacing w:line="360" w:lineRule="auto"/>
        <w:ind w:firstLine="472" w:firstLineChars="200"/>
        <w:rPr>
          <w:rFonts w:ascii="Times New Roman" w:hAnsi="Times New Roman"/>
          <w:spacing w:val="-2"/>
          <w:kern w:val="0"/>
          <w:sz w:val="24"/>
          <w:szCs w:val="24"/>
        </w:rPr>
      </w:pPr>
    </w:p>
    <w:p w14:paraId="451AC475">
      <w:pPr>
        <w:widowControl/>
        <w:adjustRightInd w:val="0"/>
        <w:snapToGrid w:val="0"/>
        <w:spacing w:line="360" w:lineRule="auto"/>
        <w:ind w:firstLine="472" w:firstLineChars="200"/>
        <w:rPr>
          <w:rFonts w:ascii="Times New Roman" w:hAnsi="Times New Roman"/>
          <w:sz w:val="24"/>
          <w:szCs w:val="24"/>
        </w:rPr>
      </w:pPr>
      <w:r>
        <w:rPr>
          <w:rFonts w:ascii="Times New Roman" w:hAnsi="Times New Roman"/>
          <w:spacing w:val="-2"/>
          <w:kern w:val="0"/>
          <w:sz w:val="24"/>
          <w:szCs w:val="24"/>
          <w:u w:val="single"/>
        </w:rPr>
        <w:t>本项目Q=0.0</w:t>
      </w:r>
      <w:r>
        <w:rPr>
          <w:rFonts w:hint="eastAsia" w:ascii="Times New Roman" w:hAnsi="Times New Roman"/>
          <w:spacing w:val="-2"/>
          <w:kern w:val="0"/>
          <w:sz w:val="24"/>
          <w:szCs w:val="24"/>
          <w:u w:val="single"/>
        </w:rPr>
        <w:t>0</w:t>
      </w:r>
      <w:r>
        <w:rPr>
          <w:rFonts w:ascii="Times New Roman" w:hAnsi="Times New Roman"/>
          <w:spacing w:val="-2"/>
          <w:kern w:val="0"/>
          <w:sz w:val="24"/>
          <w:szCs w:val="24"/>
          <w:u w:val="single"/>
        </w:rPr>
        <w:t>0</w:t>
      </w:r>
      <w:r>
        <w:rPr>
          <w:rFonts w:hint="eastAsia" w:ascii="Times New Roman" w:hAnsi="Times New Roman"/>
          <w:spacing w:val="-2"/>
          <w:kern w:val="0"/>
          <w:sz w:val="24"/>
          <w:szCs w:val="24"/>
          <w:u w:val="single"/>
        </w:rPr>
        <w:t>1</w:t>
      </w:r>
      <w:r>
        <w:rPr>
          <w:rFonts w:ascii="Times New Roman" w:hAnsi="Times New Roman"/>
          <w:spacing w:val="-2"/>
          <w:kern w:val="0"/>
          <w:sz w:val="24"/>
          <w:szCs w:val="24"/>
          <w:u w:val="single"/>
        </w:rPr>
        <w:t>2，</w:t>
      </w:r>
      <w:r>
        <w:rPr>
          <w:rFonts w:ascii="Times New Roman" w:hAnsi="Times New Roman"/>
          <w:spacing w:val="-2"/>
          <w:kern w:val="0"/>
          <w:sz w:val="24"/>
          <w:szCs w:val="24"/>
        </w:rPr>
        <w:t>属于Q＜1</w:t>
      </w:r>
      <w:r>
        <w:rPr>
          <w:rFonts w:ascii="Times New Roman" w:hAnsi="Times New Roman"/>
          <w:sz w:val="24"/>
          <w:szCs w:val="24"/>
        </w:rPr>
        <w:t>，则本项目环境风险潜势直接判定为Ⅰ。</w:t>
      </w:r>
    </w:p>
    <w:p w14:paraId="2EEF960B">
      <w:pPr>
        <w:pStyle w:val="7"/>
        <w:numPr>
          <w:ilvl w:val="3"/>
          <w:numId w:val="3"/>
        </w:numPr>
        <w:rPr>
          <w:szCs w:val="24"/>
        </w:rPr>
      </w:pPr>
      <w:r>
        <w:rPr>
          <w:szCs w:val="24"/>
        </w:rPr>
        <w:t>评价等级</w:t>
      </w:r>
    </w:p>
    <w:p w14:paraId="385C0029">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根据建设项目风险潜势划分，则项目风险潜势为Ⅰ。评价工作等级判据见表4.</w:t>
      </w:r>
      <w:r>
        <w:rPr>
          <w:rFonts w:hint="eastAsia" w:ascii="Times New Roman" w:hAnsi="Times New Roman"/>
          <w:spacing w:val="-2"/>
          <w:kern w:val="0"/>
          <w:sz w:val="24"/>
          <w:szCs w:val="24"/>
        </w:rPr>
        <w:t>9</w:t>
      </w:r>
      <w:r>
        <w:rPr>
          <w:rFonts w:ascii="Times New Roman" w:hAnsi="Times New Roman"/>
          <w:spacing w:val="-2"/>
          <w:kern w:val="0"/>
          <w:sz w:val="24"/>
          <w:szCs w:val="24"/>
        </w:rPr>
        <w:t>-</w:t>
      </w:r>
      <w:r>
        <w:rPr>
          <w:rFonts w:hint="eastAsia" w:ascii="Times New Roman" w:hAnsi="Times New Roman"/>
          <w:spacing w:val="-2"/>
          <w:kern w:val="0"/>
          <w:sz w:val="24"/>
          <w:szCs w:val="24"/>
        </w:rPr>
        <w:t>3</w:t>
      </w:r>
      <w:r>
        <w:rPr>
          <w:rFonts w:ascii="Times New Roman" w:hAnsi="Times New Roman"/>
          <w:spacing w:val="-2"/>
          <w:kern w:val="0"/>
          <w:sz w:val="24"/>
          <w:szCs w:val="24"/>
        </w:rPr>
        <w:t>。</w:t>
      </w:r>
    </w:p>
    <w:p w14:paraId="3C7EE868">
      <w:pPr>
        <w:pStyle w:val="8"/>
        <w:numPr>
          <w:ilvl w:val="4"/>
          <w:numId w:val="3"/>
        </w:numPr>
        <w:rPr>
          <w:sz w:val="24"/>
          <w:szCs w:val="24"/>
        </w:rPr>
      </w:pPr>
      <w:r>
        <w:rPr>
          <w:sz w:val="24"/>
          <w:szCs w:val="24"/>
        </w:rPr>
        <w:t>评价工作等级划分</w:t>
      </w:r>
    </w:p>
    <w:tbl>
      <w:tblPr>
        <w:tblStyle w:val="88"/>
        <w:tblW w:w="9057"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537"/>
        <w:gridCol w:w="1630"/>
        <w:gridCol w:w="1630"/>
        <w:gridCol w:w="1630"/>
        <w:gridCol w:w="1630"/>
      </w:tblGrid>
      <w:tr w14:paraId="1649B4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2" w:hRule="exact"/>
        </w:trPr>
        <w:tc>
          <w:tcPr>
            <w:tcW w:w="2537" w:type="dxa"/>
            <w:vAlign w:val="center"/>
          </w:tcPr>
          <w:p w14:paraId="6BA6AA81">
            <w:pPr>
              <w:jc w:val="center"/>
              <w:rPr>
                <w:rFonts w:ascii="Times New Roman" w:hAnsi="Times New Roman"/>
                <w:b/>
                <w:bCs/>
                <w:spacing w:val="-2"/>
                <w:kern w:val="0"/>
                <w:szCs w:val="21"/>
              </w:rPr>
            </w:pPr>
            <w:r>
              <w:rPr>
                <w:rFonts w:ascii="Times New Roman" w:hAnsi="Times New Roman"/>
                <w:b/>
                <w:bCs/>
                <w:spacing w:val="-2"/>
                <w:kern w:val="0"/>
                <w:szCs w:val="21"/>
              </w:rPr>
              <w:t>环境风险潜势</w:t>
            </w:r>
          </w:p>
        </w:tc>
        <w:tc>
          <w:tcPr>
            <w:tcW w:w="1630" w:type="dxa"/>
            <w:vAlign w:val="center"/>
          </w:tcPr>
          <w:p w14:paraId="73E81710">
            <w:pPr>
              <w:jc w:val="center"/>
              <w:rPr>
                <w:rFonts w:ascii="Times New Roman" w:hAnsi="Times New Roman"/>
                <w:b/>
                <w:bCs/>
                <w:spacing w:val="-2"/>
                <w:kern w:val="0"/>
                <w:szCs w:val="21"/>
              </w:rPr>
            </w:pPr>
            <w:r>
              <w:rPr>
                <w:rFonts w:ascii="Times New Roman" w:hAnsi="Times New Roman"/>
                <w:b/>
                <w:bCs/>
                <w:spacing w:val="-2"/>
                <w:kern w:val="0"/>
                <w:szCs w:val="21"/>
              </w:rPr>
              <w:t>Ⅳ、Ⅳ</w:t>
            </w:r>
            <w:r>
              <w:rPr>
                <w:rFonts w:ascii="Times New Roman" w:hAnsi="Times New Roman"/>
                <w:b/>
                <w:bCs/>
                <w:spacing w:val="-2"/>
                <w:kern w:val="0"/>
                <w:szCs w:val="21"/>
                <w:vertAlign w:val="superscript"/>
              </w:rPr>
              <w:t>+</w:t>
            </w:r>
          </w:p>
        </w:tc>
        <w:tc>
          <w:tcPr>
            <w:tcW w:w="1630" w:type="dxa"/>
            <w:vAlign w:val="center"/>
          </w:tcPr>
          <w:p w14:paraId="29C9B8ED">
            <w:pPr>
              <w:jc w:val="center"/>
              <w:rPr>
                <w:rFonts w:ascii="Times New Roman" w:hAnsi="Times New Roman"/>
                <w:b/>
                <w:bCs/>
                <w:spacing w:val="-2"/>
                <w:kern w:val="0"/>
                <w:szCs w:val="21"/>
              </w:rPr>
            </w:pPr>
            <w:r>
              <w:rPr>
                <w:rFonts w:ascii="Times New Roman" w:hAnsi="Times New Roman"/>
                <w:b/>
                <w:bCs/>
                <w:spacing w:val="-2"/>
                <w:kern w:val="0"/>
                <w:szCs w:val="21"/>
              </w:rPr>
              <w:t>Ⅲ</w:t>
            </w:r>
          </w:p>
        </w:tc>
        <w:tc>
          <w:tcPr>
            <w:tcW w:w="1630" w:type="dxa"/>
            <w:vAlign w:val="center"/>
          </w:tcPr>
          <w:p w14:paraId="3AC8162B">
            <w:pPr>
              <w:jc w:val="center"/>
              <w:rPr>
                <w:rFonts w:ascii="Times New Roman" w:hAnsi="Times New Roman"/>
                <w:b/>
                <w:bCs/>
                <w:spacing w:val="-2"/>
                <w:kern w:val="0"/>
                <w:szCs w:val="21"/>
              </w:rPr>
            </w:pPr>
            <w:r>
              <w:rPr>
                <w:rFonts w:ascii="Times New Roman" w:hAnsi="Times New Roman"/>
                <w:b/>
                <w:bCs/>
                <w:spacing w:val="-2"/>
                <w:kern w:val="0"/>
                <w:szCs w:val="21"/>
              </w:rPr>
              <w:t>Ⅱ</w:t>
            </w:r>
          </w:p>
        </w:tc>
        <w:tc>
          <w:tcPr>
            <w:tcW w:w="1630" w:type="dxa"/>
            <w:vAlign w:val="center"/>
          </w:tcPr>
          <w:p w14:paraId="290740B2">
            <w:pPr>
              <w:jc w:val="center"/>
              <w:rPr>
                <w:rFonts w:ascii="Times New Roman" w:hAnsi="Times New Roman"/>
                <w:b/>
                <w:bCs/>
                <w:spacing w:val="-2"/>
                <w:kern w:val="0"/>
                <w:szCs w:val="21"/>
              </w:rPr>
            </w:pPr>
            <w:r>
              <w:rPr>
                <w:rFonts w:ascii="Times New Roman" w:hAnsi="Times New Roman"/>
                <w:b/>
                <w:bCs/>
                <w:spacing w:val="-2"/>
                <w:kern w:val="0"/>
                <w:szCs w:val="21"/>
              </w:rPr>
              <w:t>Ⅰ</w:t>
            </w:r>
          </w:p>
        </w:tc>
      </w:tr>
      <w:tr w14:paraId="4A0AA3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0" w:hRule="exact"/>
        </w:trPr>
        <w:tc>
          <w:tcPr>
            <w:tcW w:w="2537" w:type="dxa"/>
            <w:vAlign w:val="center"/>
          </w:tcPr>
          <w:p w14:paraId="24A4F351">
            <w:pPr>
              <w:jc w:val="center"/>
              <w:rPr>
                <w:rFonts w:ascii="Times New Roman" w:hAnsi="Times New Roman"/>
                <w:spacing w:val="-2"/>
                <w:kern w:val="0"/>
                <w:szCs w:val="21"/>
              </w:rPr>
            </w:pPr>
            <w:r>
              <w:rPr>
                <w:rFonts w:ascii="Times New Roman" w:hAnsi="Times New Roman"/>
                <w:spacing w:val="-2"/>
                <w:kern w:val="0"/>
                <w:szCs w:val="21"/>
              </w:rPr>
              <w:t>评价工作等级</w:t>
            </w:r>
          </w:p>
        </w:tc>
        <w:tc>
          <w:tcPr>
            <w:tcW w:w="1630" w:type="dxa"/>
            <w:vAlign w:val="center"/>
          </w:tcPr>
          <w:p w14:paraId="6717332E">
            <w:pPr>
              <w:jc w:val="center"/>
              <w:rPr>
                <w:rFonts w:ascii="Times New Roman" w:hAnsi="Times New Roman"/>
                <w:spacing w:val="-2"/>
                <w:kern w:val="0"/>
                <w:szCs w:val="21"/>
              </w:rPr>
            </w:pPr>
            <w:r>
              <w:rPr>
                <w:rFonts w:ascii="Times New Roman" w:hAnsi="Times New Roman"/>
                <w:spacing w:val="-2"/>
                <w:kern w:val="0"/>
                <w:szCs w:val="21"/>
              </w:rPr>
              <w:t>一</w:t>
            </w:r>
          </w:p>
        </w:tc>
        <w:tc>
          <w:tcPr>
            <w:tcW w:w="1630" w:type="dxa"/>
            <w:vAlign w:val="center"/>
          </w:tcPr>
          <w:p w14:paraId="001353DE">
            <w:pPr>
              <w:jc w:val="center"/>
              <w:rPr>
                <w:rFonts w:ascii="Times New Roman" w:hAnsi="Times New Roman"/>
                <w:spacing w:val="-2"/>
                <w:kern w:val="0"/>
                <w:szCs w:val="21"/>
              </w:rPr>
            </w:pPr>
            <w:r>
              <w:rPr>
                <w:rFonts w:ascii="Times New Roman" w:hAnsi="Times New Roman"/>
                <w:spacing w:val="-2"/>
                <w:kern w:val="0"/>
                <w:szCs w:val="21"/>
              </w:rPr>
              <w:t>二</w:t>
            </w:r>
          </w:p>
        </w:tc>
        <w:tc>
          <w:tcPr>
            <w:tcW w:w="1630" w:type="dxa"/>
            <w:vAlign w:val="center"/>
          </w:tcPr>
          <w:p w14:paraId="00850B33">
            <w:pPr>
              <w:jc w:val="center"/>
              <w:rPr>
                <w:rFonts w:ascii="Times New Roman" w:hAnsi="Times New Roman"/>
                <w:spacing w:val="-2"/>
                <w:kern w:val="0"/>
                <w:szCs w:val="21"/>
              </w:rPr>
            </w:pPr>
            <w:r>
              <w:rPr>
                <w:rFonts w:ascii="Times New Roman" w:hAnsi="Times New Roman"/>
                <w:spacing w:val="-2"/>
                <w:kern w:val="0"/>
                <w:szCs w:val="21"/>
              </w:rPr>
              <w:t>三</w:t>
            </w:r>
          </w:p>
        </w:tc>
        <w:tc>
          <w:tcPr>
            <w:tcW w:w="1630" w:type="dxa"/>
            <w:vAlign w:val="center"/>
          </w:tcPr>
          <w:p w14:paraId="0B0B42B4">
            <w:pPr>
              <w:jc w:val="center"/>
              <w:rPr>
                <w:rFonts w:ascii="Times New Roman" w:hAnsi="Times New Roman"/>
                <w:spacing w:val="-2"/>
                <w:kern w:val="0"/>
                <w:szCs w:val="21"/>
              </w:rPr>
            </w:pPr>
            <w:r>
              <w:rPr>
                <w:rFonts w:ascii="Times New Roman" w:hAnsi="Times New Roman"/>
                <w:spacing w:val="-2"/>
                <w:kern w:val="0"/>
                <w:szCs w:val="21"/>
              </w:rPr>
              <w:t>简单分析</w:t>
            </w:r>
          </w:p>
        </w:tc>
      </w:tr>
    </w:tbl>
    <w:p w14:paraId="15385BF9">
      <w:pPr>
        <w:spacing w:line="360" w:lineRule="auto"/>
        <w:ind w:firstLine="480" w:firstLineChars="200"/>
        <w:rPr>
          <w:rFonts w:ascii="Times New Roman" w:hAnsi="Times New Roman"/>
          <w:sz w:val="24"/>
          <w:szCs w:val="24"/>
        </w:rPr>
      </w:pPr>
    </w:p>
    <w:p w14:paraId="2E2D1435">
      <w:pPr>
        <w:spacing w:line="360" w:lineRule="auto"/>
        <w:ind w:firstLine="480" w:firstLineChars="200"/>
        <w:rPr>
          <w:rFonts w:ascii="Times New Roman" w:hAnsi="Times New Roman"/>
          <w:sz w:val="24"/>
          <w:szCs w:val="24"/>
        </w:rPr>
      </w:pPr>
      <w:r>
        <w:rPr>
          <w:rFonts w:ascii="Times New Roman" w:hAnsi="Times New Roman"/>
          <w:sz w:val="24"/>
          <w:szCs w:val="24"/>
        </w:rPr>
        <w:t>综上，项目环境风险评价工作等级为简单分析。</w:t>
      </w:r>
    </w:p>
    <w:p w14:paraId="126D0A4D">
      <w:pPr>
        <w:pStyle w:val="6"/>
        <w:numPr>
          <w:ilvl w:val="2"/>
          <w:numId w:val="3"/>
        </w:numPr>
        <w:rPr>
          <w:szCs w:val="24"/>
        </w:rPr>
      </w:pPr>
      <w:r>
        <w:rPr>
          <w:szCs w:val="24"/>
        </w:rPr>
        <w:t>环境敏感目标概况</w:t>
      </w:r>
    </w:p>
    <w:p w14:paraId="7C30E5AA">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根据评价等级及评价范围确定结果，敏感目标调查见表4.9-</w:t>
      </w:r>
      <w:r>
        <w:rPr>
          <w:rFonts w:hint="eastAsia" w:ascii="Times New Roman" w:hAnsi="Times New Roman"/>
          <w:spacing w:val="-2"/>
          <w:kern w:val="0"/>
          <w:sz w:val="24"/>
          <w:szCs w:val="24"/>
        </w:rPr>
        <w:t>4</w:t>
      </w:r>
      <w:r>
        <w:rPr>
          <w:rFonts w:ascii="Times New Roman" w:hAnsi="Times New Roman"/>
          <w:spacing w:val="-2"/>
          <w:kern w:val="0"/>
          <w:sz w:val="24"/>
          <w:szCs w:val="24"/>
        </w:rPr>
        <w:t>。</w:t>
      </w:r>
    </w:p>
    <w:p w14:paraId="7AE7A5B6">
      <w:pPr>
        <w:pStyle w:val="8"/>
        <w:numPr>
          <w:ilvl w:val="4"/>
          <w:numId w:val="3"/>
        </w:numPr>
        <w:rPr>
          <w:sz w:val="24"/>
          <w:szCs w:val="24"/>
        </w:rPr>
      </w:pPr>
      <w:r>
        <w:rPr>
          <w:sz w:val="24"/>
          <w:szCs w:val="24"/>
        </w:rPr>
        <w:t>环境保护目标一览表</w:t>
      </w:r>
    </w:p>
    <w:tbl>
      <w:tblPr>
        <w:tblStyle w:val="88"/>
        <w:tblW w:w="8976"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694"/>
        <w:gridCol w:w="2693"/>
        <w:gridCol w:w="1134"/>
        <w:gridCol w:w="1418"/>
        <w:gridCol w:w="1843"/>
        <w:gridCol w:w="1194"/>
      </w:tblGrid>
      <w:tr w14:paraId="0AE4D80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blHeader/>
          <w:jc w:val="center"/>
        </w:trPr>
        <w:tc>
          <w:tcPr>
            <w:tcW w:w="694" w:type="dxa"/>
            <w:vMerge w:val="restart"/>
            <w:vAlign w:val="center"/>
          </w:tcPr>
          <w:p w14:paraId="23CD3A2B">
            <w:pPr>
              <w:widowControl/>
              <w:jc w:val="center"/>
              <w:rPr>
                <w:rFonts w:ascii="Times New Roman" w:hAnsi="Times New Roman"/>
                <w:b/>
                <w:bCs/>
                <w:spacing w:val="-2"/>
                <w:kern w:val="0"/>
                <w:szCs w:val="21"/>
              </w:rPr>
            </w:pPr>
            <w:r>
              <w:rPr>
                <w:rFonts w:ascii="Times New Roman" w:hAnsi="Times New Roman"/>
                <w:b/>
                <w:bCs/>
                <w:spacing w:val="-2"/>
                <w:kern w:val="0"/>
                <w:szCs w:val="21"/>
              </w:rPr>
              <w:t>序号</w:t>
            </w:r>
          </w:p>
        </w:tc>
        <w:tc>
          <w:tcPr>
            <w:tcW w:w="2693" w:type="dxa"/>
            <w:vMerge w:val="restart"/>
            <w:vAlign w:val="center"/>
          </w:tcPr>
          <w:p w14:paraId="133D51A0">
            <w:pPr>
              <w:widowControl/>
              <w:jc w:val="center"/>
              <w:rPr>
                <w:rFonts w:ascii="Times New Roman" w:hAnsi="Times New Roman"/>
                <w:b/>
                <w:bCs/>
                <w:spacing w:val="-2"/>
                <w:kern w:val="0"/>
                <w:szCs w:val="21"/>
              </w:rPr>
            </w:pPr>
            <w:r>
              <w:rPr>
                <w:rFonts w:ascii="Times New Roman" w:hAnsi="Times New Roman"/>
                <w:b/>
                <w:bCs/>
                <w:spacing w:val="-2"/>
                <w:kern w:val="0"/>
                <w:szCs w:val="21"/>
              </w:rPr>
              <w:t>名称</w:t>
            </w:r>
          </w:p>
        </w:tc>
        <w:tc>
          <w:tcPr>
            <w:tcW w:w="1134" w:type="dxa"/>
            <w:vMerge w:val="restart"/>
            <w:vAlign w:val="center"/>
          </w:tcPr>
          <w:p w14:paraId="32711DF9">
            <w:pPr>
              <w:widowControl/>
              <w:jc w:val="center"/>
              <w:rPr>
                <w:rFonts w:ascii="Times New Roman" w:hAnsi="Times New Roman"/>
                <w:b/>
                <w:bCs/>
                <w:spacing w:val="-2"/>
                <w:kern w:val="0"/>
                <w:szCs w:val="21"/>
              </w:rPr>
            </w:pPr>
            <w:r>
              <w:rPr>
                <w:rFonts w:ascii="Times New Roman" w:hAnsi="Times New Roman"/>
                <w:b/>
                <w:bCs/>
                <w:spacing w:val="-2"/>
                <w:kern w:val="0"/>
                <w:szCs w:val="21"/>
              </w:rPr>
              <w:t>相对厂址方位</w:t>
            </w:r>
          </w:p>
        </w:tc>
        <w:tc>
          <w:tcPr>
            <w:tcW w:w="1418" w:type="dxa"/>
            <w:vMerge w:val="restart"/>
            <w:vAlign w:val="center"/>
          </w:tcPr>
          <w:p w14:paraId="3897B1CC">
            <w:pPr>
              <w:widowControl/>
              <w:jc w:val="center"/>
              <w:rPr>
                <w:rFonts w:ascii="Times New Roman" w:hAnsi="Times New Roman"/>
                <w:b/>
                <w:bCs/>
                <w:spacing w:val="-2"/>
                <w:kern w:val="0"/>
                <w:szCs w:val="21"/>
              </w:rPr>
            </w:pPr>
            <w:r>
              <w:rPr>
                <w:rFonts w:ascii="Times New Roman" w:hAnsi="Times New Roman"/>
                <w:b/>
                <w:bCs/>
                <w:spacing w:val="-2"/>
                <w:kern w:val="0"/>
                <w:szCs w:val="21"/>
              </w:rPr>
              <w:t>相对厂界距离/m</w:t>
            </w:r>
          </w:p>
        </w:tc>
        <w:tc>
          <w:tcPr>
            <w:tcW w:w="1843" w:type="dxa"/>
            <w:vMerge w:val="restart"/>
            <w:vAlign w:val="center"/>
          </w:tcPr>
          <w:p w14:paraId="2E8CBEDE">
            <w:pPr>
              <w:widowControl/>
              <w:jc w:val="center"/>
              <w:rPr>
                <w:rFonts w:ascii="Times New Roman" w:hAnsi="Times New Roman"/>
                <w:b/>
                <w:bCs/>
                <w:spacing w:val="-2"/>
                <w:kern w:val="0"/>
                <w:szCs w:val="21"/>
              </w:rPr>
            </w:pPr>
            <w:r>
              <w:rPr>
                <w:rFonts w:ascii="Times New Roman" w:hAnsi="Times New Roman"/>
                <w:b/>
                <w:bCs/>
                <w:spacing w:val="-2"/>
                <w:kern w:val="0"/>
                <w:szCs w:val="21"/>
              </w:rPr>
              <w:t>保护目标属性及人数</w:t>
            </w:r>
          </w:p>
        </w:tc>
        <w:tc>
          <w:tcPr>
            <w:tcW w:w="1194" w:type="dxa"/>
            <w:vMerge w:val="restart"/>
            <w:vAlign w:val="center"/>
          </w:tcPr>
          <w:p w14:paraId="688329BB">
            <w:pPr>
              <w:widowControl/>
              <w:jc w:val="center"/>
              <w:rPr>
                <w:rFonts w:ascii="Times New Roman" w:hAnsi="Times New Roman"/>
                <w:b/>
                <w:bCs/>
                <w:spacing w:val="-2"/>
                <w:kern w:val="0"/>
                <w:szCs w:val="21"/>
              </w:rPr>
            </w:pPr>
            <w:r>
              <w:rPr>
                <w:rFonts w:ascii="Times New Roman" w:hAnsi="Times New Roman"/>
                <w:b/>
                <w:bCs/>
                <w:spacing w:val="-2"/>
                <w:kern w:val="0"/>
                <w:szCs w:val="21"/>
              </w:rPr>
              <w:t>饮用水情况</w:t>
            </w:r>
          </w:p>
        </w:tc>
      </w:tr>
      <w:tr w14:paraId="4B2A04E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694" w:type="dxa"/>
            <w:vMerge w:val="continue"/>
            <w:vAlign w:val="center"/>
          </w:tcPr>
          <w:p w14:paraId="0840705E">
            <w:pPr>
              <w:widowControl/>
              <w:jc w:val="center"/>
              <w:rPr>
                <w:rFonts w:ascii="Times New Roman" w:hAnsi="Times New Roman"/>
                <w:b/>
                <w:bCs/>
                <w:spacing w:val="-2"/>
                <w:kern w:val="0"/>
                <w:szCs w:val="21"/>
              </w:rPr>
            </w:pPr>
          </w:p>
        </w:tc>
        <w:tc>
          <w:tcPr>
            <w:tcW w:w="2693" w:type="dxa"/>
            <w:vMerge w:val="continue"/>
            <w:vAlign w:val="center"/>
          </w:tcPr>
          <w:p w14:paraId="2B23883D">
            <w:pPr>
              <w:widowControl/>
              <w:jc w:val="center"/>
              <w:rPr>
                <w:rFonts w:ascii="Times New Roman" w:hAnsi="Times New Roman"/>
                <w:b/>
                <w:bCs/>
                <w:spacing w:val="-2"/>
                <w:kern w:val="0"/>
                <w:szCs w:val="21"/>
              </w:rPr>
            </w:pPr>
          </w:p>
        </w:tc>
        <w:tc>
          <w:tcPr>
            <w:tcW w:w="1134" w:type="dxa"/>
            <w:vMerge w:val="continue"/>
            <w:vAlign w:val="center"/>
          </w:tcPr>
          <w:p w14:paraId="0D2E4795">
            <w:pPr>
              <w:widowControl/>
              <w:jc w:val="center"/>
              <w:rPr>
                <w:rFonts w:ascii="Times New Roman" w:hAnsi="Times New Roman"/>
                <w:b/>
                <w:bCs/>
                <w:spacing w:val="-2"/>
                <w:kern w:val="0"/>
                <w:szCs w:val="21"/>
              </w:rPr>
            </w:pPr>
          </w:p>
        </w:tc>
        <w:tc>
          <w:tcPr>
            <w:tcW w:w="1418" w:type="dxa"/>
            <w:vMerge w:val="continue"/>
            <w:vAlign w:val="center"/>
          </w:tcPr>
          <w:p w14:paraId="437CD42E">
            <w:pPr>
              <w:widowControl/>
              <w:jc w:val="center"/>
              <w:rPr>
                <w:rFonts w:ascii="Times New Roman" w:hAnsi="Times New Roman"/>
                <w:b/>
                <w:bCs/>
                <w:spacing w:val="-2"/>
                <w:kern w:val="0"/>
                <w:szCs w:val="21"/>
              </w:rPr>
            </w:pPr>
          </w:p>
        </w:tc>
        <w:tc>
          <w:tcPr>
            <w:tcW w:w="1843" w:type="dxa"/>
            <w:vMerge w:val="continue"/>
            <w:vAlign w:val="center"/>
          </w:tcPr>
          <w:p w14:paraId="26E4B344">
            <w:pPr>
              <w:widowControl/>
              <w:jc w:val="center"/>
              <w:rPr>
                <w:rFonts w:ascii="Times New Roman" w:hAnsi="Times New Roman"/>
                <w:b/>
                <w:bCs/>
                <w:spacing w:val="-2"/>
                <w:kern w:val="0"/>
                <w:szCs w:val="21"/>
              </w:rPr>
            </w:pPr>
          </w:p>
        </w:tc>
        <w:tc>
          <w:tcPr>
            <w:tcW w:w="1194" w:type="dxa"/>
            <w:vMerge w:val="continue"/>
          </w:tcPr>
          <w:p w14:paraId="2EBE0747">
            <w:pPr>
              <w:widowControl/>
              <w:jc w:val="center"/>
              <w:rPr>
                <w:rFonts w:ascii="Times New Roman" w:hAnsi="Times New Roman"/>
                <w:b/>
                <w:bCs/>
                <w:spacing w:val="-2"/>
                <w:kern w:val="0"/>
                <w:szCs w:val="21"/>
              </w:rPr>
            </w:pPr>
          </w:p>
        </w:tc>
      </w:tr>
      <w:tr w14:paraId="1D95BAF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694" w:type="dxa"/>
            <w:vAlign w:val="center"/>
          </w:tcPr>
          <w:p w14:paraId="260A46FE">
            <w:pPr>
              <w:widowControl/>
              <w:jc w:val="center"/>
              <w:rPr>
                <w:rFonts w:ascii="Times New Roman" w:hAnsi="Times New Roman"/>
                <w:spacing w:val="-2"/>
                <w:kern w:val="0"/>
                <w:szCs w:val="21"/>
              </w:rPr>
            </w:pPr>
            <w:r>
              <w:rPr>
                <w:rFonts w:ascii="Times New Roman" w:hAnsi="Times New Roman"/>
                <w:spacing w:val="-2"/>
                <w:kern w:val="0"/>
                <w:szCs w:val="21"/>
              </w:rPr>
              <w:t>1</w:t>
            </w:r>
          </w:p>
        </w:tc>
        <w:tc>
          <w:tcPr>
            <w:tcW w:w="2693" w:type="dxa"/>
            <w:vAlign w:val="center"/>
          </w:tcPr>
          <w:p w14:paraId="73523F88">
            <w:pPr>
              <w:jc w:val="center"/>
              <w:rPr>
                <w:rFonts w:ascii="Times New Roman" w:hAnsi="Times New Roman"/>
                <w:sz w:val="22"/>
              </w:rPr>
            </w:pPr>
            <w:r>
              <w:rPr>
                <w:rFonts w:ascii="Times New Roman" w:hAnsi="Times New Roman"/>
                <w:sz w:val="22"/>
              </w:rPr>
              <w:t>保税港区企业职业配套生活区</w:t>
            </w:r>
          </w:p>
        </w:tc>
        <w:tc>
          <w:tcPr>
            <w:tcW w:w="1134" w:type="dxa"/>
            <w:vAlign w:val="center"/>
          </w:tcPr>
          <w:p w14:paraId="355C4CA0">
            <w:pPr>
              <w:widowControl/>
              <w:jc w:val="center"/>
              <w:rPr>
                <w:rFonts w:ascii="Times New Roman" w:hAnsi="Times New Roman"/>
                <w:spacing w:val="-2"/>
                <w:kern w:val="0"/>
                <w:szCs w:val="21"/>
              </w:rPr>
            </w:pPr>
            <w:r>
              <w:rPr>
                <w:rFonts w:ascii="Times New Roman" w:hAnsi="Times New Roman"/>
                <w:spacing w:val="-2"/>
                <w:kern w:val="0"/>
                <w:szCs w:val="21"/>
              </w:rPr>
              <w:t>西北面</w:t>
            </w:r>
          </w:p>
        </w:tc>
        <w:tc>
          <w:tcPr>
            <w:tcW w:w="1418" w:type="dxa"/>
            <w:vAlign w:val="center"/>
          </w:tcPr>
          <w:p w14:paraId="30F478A8">
            <w:pPr>
              <w:widowControl/>
              <w:jc w:val="center"/>
              <w:rPr>
                <w:rFonts w:ascii="Times New Roman" w:hAnsi="Times New Roman"/>
                <w:spacing w:val="-2"/>
                <w:kern w:val="0"/>
                <w:szCs w:val="21"/>
              </w:rPr>
            </w:pPr>
            <w:r>
              <w:rPr>
                <w:rFonts w:ascii="Times New Roman" w:hAnsi="Times New Roman"/>
                <w:spacing w:val="-2"/>
                <w:kern w:val="0"/>
                <w:szCs w:val="21"/>
              </w:rPr>
              <w:t>2100</w:t>
            </w:r>
          </w:p>
        </w:tc>
        <w:tc>
          <w:tcPr>
            <w:tcW w:w="1843" w:type="dxa"/>
            <w:vAlign w:val="center"/>
          </w:tcPr>
          <w:p w14:paraId="2DC59967">
            <w:pPr>
              <w:widowControl/>
              <w:jc w:val="center"/>
              <w:rPr>
                <w:rFonts w:ascii="Times New Roman" w:hAnsi="Times New Roman"/>
                <w:spacing w:val="-2"/>
                <w:kern w:val="0"/>
                <w:szCs w:val="21"/>
              </w:rPr>
            </w:pPr>
            <w:r>
              <w:rPr>
                <w:rFonts w:ascii="Times New Roman" w:hAnsi="Times New Roman"/>
                <w:spacing w:val="-2"/>
                <w:kern w:val="0"/>
                <w:szCs w:val="21"/>
              </w:rPr>
              <w:t>居住区/400人</w:t>
            </w:r>
          </w:p>
        </w:tc>
        <w:tc>
          <w:tcPr>
            <w:tcW w:w="1194" w:type="dxa"/>
            <w:vAlign w:val="center"/>
          </w:tcPr>
          <w:p w14:paraId="109ACC21">
            <w:pPr>
              <w:widowControl/>
              <w:jc w:val="center"/>
              <w:rPr>
                <w:rFonts w:ascii="Times New Roman" w:hAnsi="Times New Roman"/>
                <w:spacing w:val="-2"/>
                <w:kern w:val="0"/>
                <w:szCs w:val="21"/>
              </w:rPr>
            </w:pPr>
            <w:r>
              <w:rPr>
                <w:rFonts w:ascii="Times New Roman" w:hAnsi="Times New Roman"/>
                <w:spacing w:val="-2"/>
                <w:kern w:val="0"/>
                <w:szCs w:val="21"/>
              </w:rPr>
              <w:t>自来水</w:t>
            </w:r>
          </w:p>
        </w:tc>
      </w:tr>
      <w:tr w14:paraId="461900D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694" w:type="dxa"/>
            <w:vAlign w:val="center"/>
          </w:tcPr>
          <w:p w14:paraId="1431AF28">
            <w:pPr>
              <w:widowControl/>
              <w:jc w:val="center"/>
              <w:rPr>
                <w:rFonts w:ascii="Times New Roman" w:hAnsi="Times New Roman"/>
                <w:spacing w:val="-2"/>
                <w:kern w:val="0"/>
                <w:szCs w:val="21"/>
              </w:rPr>
            </w:pPr>
            <w:r>
              <w:rPr>
                <w:rFonts w:ascii="Times New Roman" w:hAnsi="Times New Roman"/>
                <w:spacing w:val="-2"/>
                <w:kern w:val="0"/>
                <w:szCs w:val="21"/>
              </w:rPr>
              <w:t>2</w:t>
            </w:r>
          </w:p>
        </w:tc>
        <w:tc>
          <w:tcPr>
            <w:tcW w:w="2693" w:type="dxa"/>
            <w:vAlign w:val="center"/>
          </w:tcPr>
          <w:p w14:paraId="511951D2">
            <w:pPr>
              <w:jc w:val="center"/>
              <w:rPr>
                <w:rFonts w:ascii="Times New Roman" w:hAnsi="Times New Roman"/>
                <w:sz w:val="22"/>
              </w:rPr>
            </w:pPr>
            <w:r>
              <w:rPr>
                <w:rFonts w:ascii="Times New Roman" w:hAnsi="Times New Roman"/>
                <w:sz w:val="22"/>
              </w:rPr>
              <w:t>北泊位生活小区</w:t>
            </w:r>
          </w:p>
        </w:tc>
        <w:tc>
          <w:tcPr>
            <w:tcW w:w="1134" w:type="dxa"/>
            <w:vAlign w:val="center"/>
          </w:tcPr>
          <w:p w14:paraId="5364B948">
            <w:pPr>
              <w:widowControl/>
              <w:jc w:val="center"/>
              <w:rPr>
                <w:rFonts w:ascii="Times New Roman" w:hAnsi="Times New Roman"/>
                <w:spacing w:val="-2"/>
                <w:kern w:val="0"/>
                <w:szCs w:val="21"/>
              </w:rPr>
            </w:pPr>
            <w:r>
              <w:rPr>
                <w:rFonts w:ascii="Times New Roman" w:hAnsi="Times New Roman"/>
                <w:spacing w:val="-2"/>
                <w:kern w:val="0"/>
                <w:szCs w:val="21"/>
              </w:rPr>
              <w:t>西北面</w:t>
            </w:r>
          </w:p>
        </w:tc>
        <w:tc>
          <w:tcPr>
            <w:tcW w:w="1418" w:type="dxa"/>
            <w:vAlign w:val="center"/>
          </w:tcPr>
          <w:p w14:paraId="5A24F0BF">
            <w:pPr>
              <w:widowControl/>
              <w:jc w:val="center"/>
              <w:rPr>
                <w:rFonts w:ascii="Times New Roman" w:hAnsi="Times New Roman"/>
                <w:spacing w:val="-2"/>
                <w:kern w:val="0"/>
                <w:szCs w:val="21"/>
              </w:rPr>
            </w:pPr>
            <w:r>
              <w:rPr>
                <w:rFonts w:ascii="Times New Roman" w:hAnsi="Times New Roman"/>
                <w:spacing w:val="-2"/>
                <w:kern w:val="0"/>
                <w:szCs w:val="21"/>
              </w:rPr>
              <w:t>3000</w:t>
            </w:r>
          </w:p>
        </w:tc>
        <w:tc>
          <w:tcPr>
            <w:tcW w:w="1843" w:type="dxa"/>
            <w:vAlign w:val="center"/>
          </w:tcPr>
          <w:p w14:paraId="5634B750">
            <w:pPr>
              <w:widowControl/>
              <w:jc w:val="center"/>
              <w:rPr>
                <w:rFonts w:ascii="Times New Roman" w:hAnsi="Times New Roman"/>
                <w:spacing w:val="-2"/>
                <w:kern w:val="0"/>
                <w:szCs w:val="21"/>
              </w:rPr>
            </w:pPr>
            <w:r>
              <w:rPr>
                <w:rFonts w:ascii="Times New Roman" w:hAnsi="Times New Roman"/>
                <w:spacing w:val="-2"/>
                <w:kern w:val="0"/>
                <w:szCs w:val="21"/>
              </w:rPr>
              <w:t>居住区/300人</w:t>
            </w:r>
          </w:p>
        </w:tc>
        <w:tc>
          <w:tcPr>
            <w:tcW w:w="1194" w:type="dxa"/>
            <w:vAlign w:val="center"/>
          </w:tcPr>
          <w:p w14:paraId="3F694F6E">
            <w:pPr>
              <w:widowControl/>
              <w:jc w:val="center"/>
              <w:rPr>
                <w:rFonts w:ascii="Times New Roman" w:hAnsi="Times New Roman"/>
                <w:spacing w:val="-2"/>
                <w:kern w:val="0"/>
                <w:szCs w:val="21"/>
              </w:rPr>
            </w:pPr>
            <w:r>
              <w:rPr>
                <w:rFonts w:ascii="Times New Roman" w:hAnsi="Times New Roman"/>
                <w:spacing w:val="-2"/>
                <w:kern w:val="0"/>
                <w:szCs w:val="21"/>
              </w:rPr>
              <w:t>自来水</w:t>
            </w:r>
          </w:p>
        </w:tc>
      </w:tr>
    </w:tbl>
    <w:p w14:paraId="4842BFDA">
      <w:pPr>
        <w:pStyle w:val="6"/>
        <w:numPr>
          <w:ilvl w:val="2"/>
          <w:numId w:val="3"/>
        </w:numPr>
        <w:rPr>
          <w:szCs w:val="24"/>
        </w:rPr>
      </w:pPr>
      <w:r>
        <w:rPr>
          <w:szCs w:val="24"/>
        </w:rPr>
        <w:t>环境风险识别</w:t>
      </w:r>
    </w:p>
    <w:p w14:paraId="43C6F66C">
      <w:pPr>
        <w:pStyle w:val="7"/>
        <w:numPr>
          <w:ilvl w:val="3"/>
          <w:numId w:val="3"/>
        </w:numPr>
        <w:rPr>
          <w:szCs w:val="24"/>
        </w:rPr>
      </w:pPr>
      <w:r>
        <w:rPr>
          <w:szCs w:val="24"/>
        </w:rPr>
        <w:t>物质危险性识别</w:t>
      </w:r>
    </w:p>
    <w:p w14:paraId="42E85A1C">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项目在选矿过程中仅为简单的物理选矿，不添加任何药剂，</w:t>
      </w:r>
      <w:r>
        <w:rPr>
          <w:rFonts w:hint="eastAsia" w:ascii="Times New Roman" w:hAnsi="Times New Roman"/>
          <w:spacing w:val="-2"/>
          <w:kern w:val="0"/>
          <w:sz w:val="24"/>
          <w:szCs w:val="24"/>
        </w:rPr>
        <w:t>项目</w:t>
      </w:r>
      <w:r>
        <w:rPr>
          <w:rFonts w:ascii="Times New Roman" w:hAnsi="Times New Roman"/>
          <w:spacing w:val="-2"/>
          <w:kern w:val="0"/>
          <w:sz w:val="24"/>
          <w:szCs w:val="24"/>
        </w:rPr>
        <w:t>涉及</w:t>
      </w:r>
      <w:r>
        <w:rPr>
          <w:rFonts w:hint="eastAsia" w:ascii="Times New Roman" w:hAnsi="Times New Roman"/>
          <w:spacing w:val="-2"/>
          <w:kern w:val="0"/>
          <w:sz w:val="24"/>
          <w:szCs w:val="24"/>
        </w:rPr>
        <w:t>的</w:t>
      </w:r>
      <w:r>
        <w:rPr>
          <w:rFonts w:ascii="Times New Roman" w:hAnsi="Times New Roman"/>
          <w:spacing w:val="-2"/>
          <w:kern w:val="0"/>
          <w:sz w:val="24"/>
          <w:szCs w:val="24"/>
        </w:rPr>
        <w:t>风险物质</w:t>
      </w:r>
      <w:r>
        <w:rPr>
          <w:rFonts w:hint="eastAsia" w:ascii="Times New Roman" w:hAnsi="Times New Roman"/>
          <w:spacing w:val="-2"/>
          <w:kern w:val="0"/>
          <w:sz w:val="24"/>
          <w:szCs w:val="24"/>
        </w:rPr>
        <w:t>为检修机械设备过程产生废机油</w:t>
      </w:r>
      <w:r>
        <w:rPr>
          <w:rFonts w:hint="eastAsia" w:ascii="Times New Roman" w:hAnsi="Times New Roman"/>
          <w:spacing w:val="-2"/>
          <w:kern w:val="0"/>
          <w:sz w:val="24"/>
          <w:szCs w:val="24"/>
          <w:u w:val="single"/>
        </w:rPr>
        <w:t>；项目进出车间的含放射性物料：毛矿、精矿产品、中矿产品</w:t>
      </w:r>
      <w:r>
        <w:rPr>
          <w:rFonts w:ascii="Times New Roman" w:hAnsi="Times New Roman"/>
          <w:spacing w:val="-2"/>
          <w:kern w:val="0"/>
          <w:sz w:val="24"/>
          <w:szCs w:val="24"/>
        </w:rPr>
        <w:t>。</w:t>
      </w:r>
    </w:p>
    <w:p w14:paraId="66D5CBF2">
      <w:pPr>
        <w:pStyle w:val="7"/>
        <w:numPr>
          <w:ilvl w:val="3"/>
          <w:numId w:val="3"/>
        </w:numPr>
        <w:rPr>
          <w:szCs w:val="24"/>
        </w:rPr>
      </w:pPr>
      <w:r>
        <w:rPr>
          <w:szCs w:val="24"/>
        </w:rPr>
        <w:t>生产设施风险识别</w:t>
      </w:r>
    </w:p>
    <w:p w14:paraId="32FDF2B5">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生产过程中潜在的风险危害主要有</w:t>
      </w:r>
      <w:r>
        <w:rPr>
          <w:rFonts w:hint="eastAsia" w:ascii="Times New Roman" w:hAnsi="Times New Roman"/>
          <w:spacing w:val="-2"/>
          <w:kern w:val="0"/>
          <w:sz w:val="24"/>
          <w:szCs w:val="24"/>
        </w:rPr>
        <w:t>危险废物泄漏、</w:t>
      </w:r>
      <w:r>
        <w:rPr>
          <w:rFonts w:ascii="Times New Roman" w:hAnsi="Times New Roman"/>
          <w:spacing w:val="-2"/>
          <w:kern w:val="0"/>
          <w:sz w:val="24"/>
          <w:szCs w:val="24"/>
        </w:rPr>
        <w:t>除尘器事故排放导致环境空气污染等环境风险。</w:t>
      </w:r>
    </w:p>
    <w:p w14:paraId="6A803FD0">
      <w:pPr>
        <w:spacing w:line="360" w:lineRule="auto"/>
        <w:ind w:firstLine="482"/>
        <w:rPr>
          <w:rFonts w:ascii="Times New Roman" w:hAnsi="Times New Roman"/>
          <w:spacing w:val="-2"/>
          <w:kern w:val="0"/>
          <w:sz w:val="24"/>
          <w:szCs w:val="24"/>
        </w:rPr>
      </w:pPr>
      <w:r>
        <w:rPr>
          <w:rFonts w:hint="eastAsia" w:ascii="Times New Roman" w:hAnsi="Times New Roman"/>
          <w:spacing w:val="-2"/>
          <w:kern w:val="0"/>
          <w:sz w:val="24"/>
          <w:szCs w:val="24"/>
        </w:rPr>
        <w:t>项目贮存危险废物废机油</w:t>
      </w:r>
      <w:r>
        <w:rPr>
          <w:rFonts w:hint="eastAsia" w:ascii="Times New Roman" w:hAnsi="Times New Roman"/>
          <w:spacing w:val="-2"/>
          <w:kern w:val="0"/>
          <w:sz w:val="24"/>
          <w:szCs w:val="24"/>
          <w:lang w:eastAsia="zh-CN"/>
        </w:rPr>
        <w:t>的</w:t>
      </w:r>
      <w:r>
        <w:rPr>
          <w:rFonts w:hint="eastAsia" w:ascii="Times New Roman" w:hAnsi="Times New Roman"/>
          <w:spacing w:val="-2"/>
          <w:kern w:val="0"/>
          <w:sz w:val="24"/>
          <w:szCs w:val="24"/>
        </w:rPr>
        <w:t>过程中具有一定的泄漏事故隐患，废机油会对周边公众健康、海洋环境造成不良影响。</w:t>
      </w:r>
    </w:p>
    <w:p w14:paraId="5354E3E4">
      <w:pPr>
        <w:spacing w:line="360" w:lineRule="auto"/>
        <w:ind w:firstLine="482"/>
        <w:rPr>
          <w:rFonts w:ascii="Times New Roman" w:hAnsi="Times New Roman"/>
          <w:spacing w:val="-2"/>
          <w:kern w:val="0"/>
          <w:sz w:val="24"/>
          <w:szCs w:val="24"/>
        </w:rPr>
      </w:pPr>
      <w:r>
        <w:rPr>
          <w:rFonts w:hint="eastAsia" w:ascii="Times New Roman" w:hAnsi="Times New Roman"/>
          <w:spacing w:val="-2"/>
          <w:kern w:val="0"/>
          <w:sz w:val="24"/>
          <w:szCs w:val="24"/>
          <w:u w:val="single"/>
        </w:rPr>
        <w:t>项目毛矿、精矿产品、中矿产品等含放射性物料在运输过程中发生交通事故或泄漏时，放射性物质释放到环境造成周边公众的健康影响。</w:t>
      </w:r>
    </w:p>
    <w:p w14:paraId="7AB78F5F">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项目设置有</w:t>
      </w:r>
      <w:r>
        <w:rPr>
          <w:rFonts w:hint="eastAsia" w:ascii="Times New Roman" w:hAnsi="Times New Roman"/>
          <w:spacing w:val="-2"/>
          <w:kern w:val="0"/>
          <w:sz w:val="24"/>
          <w:szCs w:val="24"/>
        </w:rPr>
        <w:t>3</w:t>
      </w:r>
      <w:r>
        <w:rPr>
          <w:rFonts w:ascii="Times New Roman" w:hAnsi="Times New Roman"/>
          <w:spacing w:val="-2"/>
          <w:kern w:val="0"/>
          <w:sz w:val="24"/>
          <w:szCs w:val="24"/>
        </w:rPr>
        <w:t>套袋式除尘系统，1套袋式除尘系统用于处理烘干炉燃烧烟气，</w:t>
      </w:r>
      <w:r>
        <w:rPr>
          <w:rFonts w:hint="eastAsia" w:ascii="Times New Roman" w:hAnsi="Times New Roman"/>
          <w:spacing w:val="-2"/>
          <w:kern w:val="0"/>
          <w:sz w:val="24"/>
          <w:szCs w:val="24"/>
        </w:rPr>
        <w:t>2</w:t>
      </w:r>
      <w:r>
        <w:rPr>
          <w:rFonts w:ascii="Times New Roman" w:hAnsi="Times New Roman"/>
          <w:spacing w:val="-2"/>
          <w:kern w:val="0"/>
          <w:sz w:val="24"/>
          <w:szCs w:val="24"/>
        </w:rPr>
        <w:t>套袋式除尘系统用于处理生产车间产生的粉尘。如除尘器故障，废气直接排入大气，对大气环境造成污染，同时放射性粉尘对周边公众产生影响。</w:t>
      </w:r>
    </w:p>
    <w:p w14:paraId="6F041EC7">
      <w:pPr>
        <w:pStyle w:val="6"/>
        <w:numPr>
          <w:ilvl w:val="2"/>
          <w:numId w:val="3"/>
        </w:numPr>
        <w:rPr>
          <w:szCs w:val="24"/>
        </w:rPr>
      </w:pPr>
      <w:r>
        <w:rPr>
          <w:szCs w:val="24"/>
        </w:rPr>
        <w:t>环境风险分析</w:t>
      </w:r>
    </w:p>
    <w:p w14:paraId="0C1DAE75">
      <w:pPr>
        <w:spacing w:line="360" w:lineRule="auto"/>
        <w:ind w:firstLine="482"/>
        <w:rPr>
          <w:rFonts w:ascii="Times New Roman" w:hAnsi="Times New Roman"/>
          <w:spacing w:val="-2"/>
          <w:kern w:val="0"/>
          <w:sz w:val="24"/>
          <w:szCs w:val="24"/>
        </w:rPr>
      </w:pPr>
      <w:r>
        <w:rPr>
          <w:rFonts w:hint="eastAsia" w:ascii="Times New Roman" w:hAnsi="Times New Roman"/>
          <w:spacing w:val="-2"/>
          <w:kern w:val="0"/>
          <w:sz w:val="24"/>
          <w:szCs w:val="24"/>
        </w:rPr>
        <w:t>本项目的废机油产生量较小，并且为间歇产生，废机油贮存于车间内的危废暂存间，危废暂存间以及生产车间均根据防渗要求建设，并且生产车间为封闭式车间，废机油泄漏事故</w:t>
      </w:r>
      <w:r>
        <w:rPr>
          <w:rFonts w:hint="eastAsia" w:ascii="Times New Roman" w:hAnsi="Times New Roman"/>
          <w:spacing w:val="-2"/>
          <w:kern w:val="0"/>
          <w:sz w:val="24"/>
          <w:szCs w:val="24"/>
          <w:lang w:eastAsia="zh-CN"/>
        </w:rPr>
        <w:t>发生</w:t>
      </w:r>
      <w:r>
        <w:rPr>
          <w:rFonts w:hint="eastAsia" w:ascii="Times New Roman" w:hAnsi="Times New Roman"/>
          <w:spacing w:val="-2"/>
          <w:kern w:val="0"/>
          <w:sz w:val="24"/>
          <w:szCs w:val="24"/>
        </w:rPr>
        <w:t>的</w:t>
      </w:r>
      <w:r>
        <w:rPr>
          <w:rFonts w:hint="eastAsia" w:ascii="Times New Roman" w:hAnsi="Times New Roman"/>
          <w:spacing w:val="-2"/>
          <w:kern w:val="0"/>
          <w:sz w:val="24"/>
          <w:szCs w:val="24"/>
          <w:lang w:eastAsia="zh-CN"/>
        </w:rPr>
        <w:t>概率</w:t>
      </w:r>
      <w:r>
        <w:rPr>
          <w:rFonts w:hint="eastAsia" w:ascii="Times New Roman" w:hAnsi="Times New Roman"/>
          <w:spacing w:val="-2"/>
          <w:kern w:val="0"/>
          <w:sz w:val="24"/>
          <w:szCs w:val="24"/>
        </w:rPr>
        <w:t>较小。</w:t>
      </w:r>
    </w:p>
    <w:p w14:paraId="6EB65965">
      <w:pPr>
        <w:spacing w:line="360" w:lineRule="auto"/>
        <w:ind w:firstLine="482"/>
        <w:rPr>
          <w:rFonts w:ascii="Times New Roman" w:hAnsi="Times New Roman"/>
          <w:spacing w:val="-2"/>
          <w:kern w:val="0"/>
          <w:sz w:val="24"/>
          <w:szCs w:val="24"/>
          <w:u w:val="single"/>
        </w:rPr>
      </w:pPr>
      <w:r>
        <w:rPr>
          <w:rFonts w:hint="eastAsia" w:ascii="Times New Roman" w:hAnsi="Times New Roman"/>
          <w:spacing w:val="-2"/>
          <w:kern w:val="0"/>
          <w:sz w:val="24"/>
          <w:szCs w:val="24"/>
          <w:u w:val="single"/>
        </w:rPr>
        <w:t>本项目原料及产品使用汽车运输，运输过程做好覆盖、定期保养车辆、提高驾驶安全意识，在发生交通事故或者泄漏时及时进行覆盖、立即调派其他专用运输车辆将事故车辆内的物料转移后，对周边公众产生的辐射影响较小。</w:t>
      </w:r>
    </w:p>
    <w:p w14:paraId="69BA8336">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项目主要大气环境风险为除尘器事故排放，烘干炉烟气采用袋式除尘系统处理达标后引至1</w:t>
      </w:r>
      <w:r>
        <w:rPr>
          <w:rFonts w:hint="eastAsia" w:ascii="Times New Roman" w:hAnsi="Times New Roman"/>
          <w:spacing w:val="-2"/>
          <w:kern w:val="0"/>
          <w:sz w:val="24"/>
          <w:szCs w:val="24"/>
        </w:rPr>
        <w:t>9</w:t>
      </w:r>
      <w:r>
        <w:rPr>
          <w:rFonts w:ascii="Times New Roman" w:hAnsi="Times New Roman"/>
          <w:spacing w:val="-2"/>
          <w:kern w:val="0"/>
          <w:sz w:val="24"/>
          <w:szCs w:val="24"/>
        </w:rPr>
        <w:t>m高的排气筒（DA001）排放；</w:t>
      </w:r>
      <w:r>
        <w:rPr>
          <w:rFonts w:hint="eastAsia" w:ascii="Times New Roman" w:hAnsi="Times New Roman"/>
          <w:spacing w:val="-2"/>
          <w:kern w:val="0"/>
          <w:sz w:val="24"/>
          <w:szCs w:val="24"/>
        </w:rPr>
        <w:t>2个</w:t>
      </w:r>
      <w:r>
        <w:rPr>
          <w:rFonts w:ascii="Times New Roman" w:hAnsi="Times New Roman"/>
          <w:spacing w:val="-2"/>
          <w:kern w:val="0"/>
          <w:sz w:val="24"/>
          <w:szCs w:val="24"/>
        </w:rPr>
        <w:t>车间粉尘</w:t>
      </w:r>
      <w:r>
        <w:rPr>
          <w:rFonts w:hint="eastAsia" w:ascii="Times New Roman" w:hAnsi="Times New Roman"/>
          <w:spacing w:val="-2"/>
          <w:kern w:val="0"/>
          <w:sz w:val="24"/>
          <w:szCs w:val="24"/>
        </w:rPr>
        <w:t>均</w:t>
      </w:r>
      <w:r>
        <w:rPr>
          <w:rFonts w:ascii="Times New Roman" w:hAnsi="Times New Roman"/>
          <w:spacing w:val="-2"/>
          <w:kern w:val="0"/>
          <w:sz w:val="24"/>
          <w:szCs w:val="24"/>
        </w:rPr>
        <w:t>采用袋式除尘系统处理达标后引至</w:t>
      </w:r>
      <w:r>
        <w:rPr>
          <w:rFonts w:hint="eastAsia" w:ascii="Times New Roman" w:hAnsi="Times New Roman"/>
          <w:spacing w:val="-2"/>
          <w:kern w:val="0"/>
          <w:sz w:val="24"/>
          <w:szCs w:val="24"/>
        </w:rPr>
        <w:t>2根</w:t>
      </w:r>
      <w:r>
        <w:rPr>
          <w:rFonts w:ascii="Times New Roman" w:hAnsi="Times New Roman"/>
          <w:spacing w:val="-2"/>
          <w:kern w:val="0"/>
          <w:sz w:val="24"/>
          <w:szCs w:val="24"/>
        </w:rPr>
        <w:t>1</w:t>
      </w:r>
      <w:r>
        <w:rPr>
          <w:rFonts w:hint="eastAsia" w:ascii="Times New Roman" w:hAnsi="Times New Roman"/>
          <w:spacing w:val="-2"/>
          <w:kern w:val="0"/>
          <w:sz w:val="24"/>
          <w:szCs w:val="24"/>
        </w:rPr>
        <w:t>9</w:t>
      </w:r>
      <w:r>
        <w:rPr>
          <w:rFonts w:ascii="Times New Roman" w:hAnsi="Times New Roman"/>
          <w:spacing w:val="-2"/>
          <w:kern w:val="0"/>
          <w:sz w:val="24"/>
          <w:szCs w:val="24"/>
        </w:rPr>
        <w:t>m高的排气筒（DA002</w:t>
      </w:r>
      <w:r>
        <w:rPr>
          <w:rFonts w:hint="eastAsia" w:ascii="Times New Roman" w:hAnsi="Times New Roman"/>
          <w:spacing w:val="-2"/>
          <w:kern w:val="0"/>
          <w:sz w:val="24"/>
          <w:szCs w:val="24"/>
        </w:rPr>
        <w:t>、DA003</w:t>
      </w:r>
      <w:r>
        <w:rPr>
          <w:rFonts w:ascii="Times New Roman" w:hAnsi="Times New Roman"/>
          <w:spacing w:val="-2"/>
          <w:kern w:val="0"/>
          <w:sz w:val="24"/>
          <w:szCs w:val="24"/>
        </w:rPr>
        <w:t>）排放。若除尘器故障，导致烟尘未经处理排放至大气，对大气环境造成一定影响，主要污染物是颗粒物，造成周边环境空气超标，并且生产车间粉尘的放射性粉尘随粉尘排放至大气，对公众产生辐射影响。</w:t>
      </w:r>
    </w:p>
    <w:p w14:paraId="33489E1D">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当出现事故排放的情况下，由于烟（粉）尘未经处理排入大气，会造成排气筒出口超标，造成周边环境空气污染，应严格管理除尘设施，保证废气达标排放。</w:t>
      </w:r>
    </w:p>
    <w:p w14:paraId="03E67CCE">
      <w:pPr>
        <w:pStyle w:val="6"/>
        <w:numPr>
          <w:ilvl w:val="2"/>
          <w:numId w:val="3"/>
        </w:numPr>
        <w:rPr>
          <w:szCs w:val="24"/>
        </w:rPr>
      </w:pPr>
      <w:r>
        <w:rPr>
          <w:szCs w:val="24"/>
        </w:rPr>
        <w:t>环境风险防范措施</w:t>
      </w:r>
    </w:p>
    <w:p w14:paraId="57E27430">
      <w:pPr>
        <w:pStyle w:val="7"/>
        <w:numPr>
          <w:ilvl w:val="3"/>
          <w:numId w:val="3"/>
        </w:numPr>
        <w:rPr>
          <w:szCs w:val="24"/>
        </w:rPr>
      </w:pPr>
      <w:r>
        <w:rPr>
          <w:rFonts w:hint="eastAsia"/>
          <w:szCs w:val="24"/>
        </w:rPr>
        <w:t>运输过程中的防范措施</w:t>
      </w:r>
    </w:p>
    <w:p w14:paraId="3F823372">
      <w:pPr>
        <w:spacing w:line="360" w:lineRule="auto"/>
        <w:ind w:firstLine="480" w:firstLineChars="200"/>
        <w:rPr>
          <w:rFonts w:ascii="Times New Roman" w:hAnsi="Times New Roman"/>
          <w:sz w:val="24"/>
          <w:szCs w:val="24"/>
          <w:u w:val="single"/>
        </w:rPr>
      </w:pPr>
      <w:r>
        <w:rPr>
          <w:rFonts w:hint="eastAsia" w:ascii="Times New Roman" w:hAnsi="Times New Roman"/>
          <w:sz w:val="24"/>
          <w:szCs w:val="24"/>
          <w:u w:val="single"/>
        </w:rPr>
        <w:t xml:space="preserve">根据《放射性物品安全运输规程》（GB 11806-2019）中要求，本项目原料进入国内港口后，使用汽车运输至本项目厂址内，成品一般使用汽车运输至下游企业。运输过程设置合理的原料及产品运输路线，并选择风险控制信用较好的运输单位进行原料和产品的运输，定期对运输汽车进行维修和保养、提高驾驶人员安全意识，防止极端交通事故发生，以避免对沿线道路及周边环境形成放射性污染，在车上常备有应急物品，包括防护口罩、防护手套、护目镜等防护用品。 </w:t>
      </w:r>
    </w:p>
    <w:p w14:paraId="00FC7402">
      <w:pPr>
        <w:spacing w:line="360" w:lineRule="auto"/>
        <w:ind w:firstLine="480" w:firstLineChars="200"/>
        <w:rPr>
          <w:rFonts w:ascii="Times New Roman" w:hAnsi="Times New Roman"/>
          <w:sz w:val="24"/>
          <w:szCs w:val="24"/>
          <w:u w:val="single"/>
        </w:rPr>
      </w:pPr>
      <w:r>
        <w:rPr>
          <w:rFonts w:hint="eastAsia" w:ascii="Times New Roman" w:hAnsi="Times New Roman"/>
          <w:sz w:val="24"/>
          <w:szCs w:val="24"/>
          <w:u w:val="single"/>
        </w:rPr>
        <w:t xml:space="preserve">运输工作人员应接受相关辐射防护措施等方面的培训： </w:t>
      </w:r>
    </w:p>
    <w:p w14:paraId="6FFB312A">
      <w:pPr>
        <w:spacing w:line="360" w:lineRule="auto"/>
        <w:ind w:firstLine="480" w:firstLineChars="200"/>
        <w:rPr>
          <w:rFonts w:ascii="Times New Roman" w:hAnsi="Times New Roman"/>
          <w:sz w:val="24"/>
          <w:szCs w:val="24"/>
          <w:u w:val="single"/>
        </w:rPr>
      </w:pPr>
      <w:r>
        <w:rPr>
          <w:rFonts w:hint="eastAsia" w:ascii="Times New Roman" w:hAnsi="Times New Roman"/>
          <w:sz w:val="24"/>
          <w:szCs w:val="24"/>
          <w:u w:val="single"/>
        </w:rPr>
        <w:t xml:space="preserve">（1）避免事故发生的方法和程序； </w:t>
      </w:r>
    </w:p>
    <w:p w14:paraId="1299FA32">
      <w:pPr>
        <w:spacing w:line="360" w:lineRule="auto"/>
        <w:ind w:firstLine="480" w:firstLineChars="200"/>
        <w:rPr>
          <w:rFonts w:ascii="Times New Roman" w:hAnsi="Times New Roman"/>
          <w:sz w:val="24"/>
          <w:szCs w:val="24"/>
          <w:u w:val="single"/>
        </w:rPr>
      </w:pPr>
      <w:r>
        <w:rPr>
          <w:rFonts w:hint="eastAsia" w:ascii="Times New Roman" w:hAnsi="Times New Roman"/>
          <w:sz w:val="24"/>
          <w:szCs w:val="24"/>
          <w:u w:val="single"/>
        </w:rPr>
        <w:t xml:space="preserve">（2）应急响应信息以及如何利用这些信息； </w:t>
      </w:r>
    </w:p>
    <w:p w14:paraId="381FF867">
      <w:pPr>
        <w:spacing w:line="360" w:lineRule="auto"/>
        <w:ind w:firstLine="480" w:firstLineChars="200"/>
        <w:rPr>
          <w:rFonts w:ascii="Times New Roman" w:hAnsi="Times New Roman"/>
          <w:sz w:val="24"/>
          <w:szCs w:val="24"/>
          <w:u w:val="single"/>
        </w:rPr>
      </w:pPr>
      <w:r>
        <w:rPr>
          <w:rFonts w:hint="eastAsia" w:ascii="Times New Roman" w:hAnsi="Times New Roman"/>
          <w:sz w:val="24"/>
          <w:szCs w:val="24"/>
          <w:u w:val="single"/>
        </w:rPr>
        <w:t>（3）各种放射性物品的危害和如何防止受到这些危害，必要</w:t>
      </w:r>
      <w:r>
        <w:rPr>
          <w:rFonts w:hint="eastAsia" w:ascii="Times New Roman" w:hAnsi="Times New Roman"/>
          <w:sz w:val="24"/>
          <w:szCs w:val="24"/>
          <w:u w:val="single"/>
          <w:lang w:eastAsia="zh-CN"/>
        </w:rPr>
        <w:t>时</w:t>
      </w:r>
      <w:r>
        <w:rPr>
          <w:rFonts w:hint="eastAsia" w:ascii="Times New Roman" w:hAnsi="Times New Roman"/>
          <w:sz w:val="24"/>
          <w:szCs w:val="24"/>
          <w:u w:val="single"/>
        </w:rPr>
        <w:t xml:space="preserve">包括人员防护服和防护设备的使用； </w:t>
      </w:r>
    </w:p>
    <w:p w14:paraId="3D894FA6">
      <w:pPr>
        <w:spacing w:line="360" w:lineRule="auto"/>
        <w:ind w:firstLine="480" w:firstLineChars="200"/>
        <w:rPr>
          <w:rFonts w:ascii="Times New Roman" w:hAnsi="Times New Roman"/>
          <w:sz w:val="24"/>
          <w:szCs w:val="24"/>
          <w:u w:val="single"/>
        </w:rPr>
      </w:pPr>
      <w:r>
        <w:rPr>
          <w:rFonts w:hint="eastAsia" w:ascii="Times New Roman" w:hAnsi="Times New Roman"/>
          <w:sz w:val="24"/>
          <w:szCs w:val="24"/>
          <w:u w:val="single"/>
        </w:rPr>
        <w:t>（4）发生放射性物质</w:t>
      </w:r>
      <w:r>
        <w:rPr>
          <w:rFonts w:hint="eastAsia" w:ascii="Times New Roman" w:hAnsi="Times New Roman"/>
          <w:sz w:val="24"/>
          <w:szCs w:val="24"/>
          <w:u w:val="single"/>
          <w:lang w:eastAsia="zh-CN"/>
        </w:rPr>
        <w:t>意外</w:t>
      </w:r>
      <w:r>
        <w:rPr>
          <w:rFonts w:hint="eastAsia" w:ascii="Times New Roman" w:hAnsi="Times New Roman"/>
          <w:sz w:val="24"/>
          <w:szCs w:val="24"/>
          <w:u w:val="single"/>
        </w:rPr>
        <w:t xml:space="preserve">释放时立即采取的程序，包括相关的应急响应程序和要遵守的人员防护程序。 </w:t>
      </w:r>
    </w:p>
    <w:p w14:paraId="67408030">
      <w:pPr>
        <w:spacing w:line="360" w:lineRule="auto"/>
        <w:ind w:firstLine="480" w:firstLineChars="200"/>
        <w:rPr>
          <w:rFonts w:ascii="Times New Roman" w:hAnsi="Times New Roman"/>
          <w:sz w:val="24"/>
          <w:szCs w:val="24"/>
          <w:u w:val="single"/>
        </w:rPr>
      </w:pPr>
      <w:r>
        <w:rPr>
          <w:rFonts w:hint="eastAsia" w:ascii="Times New Roman" w:hAnsi="Times New Roman"/>
          <w:sz w:val="24"/>
          <w:szCs w:val="24"/>
          <w:u w:val="single"/>
        </w:rPr>
        <w:t>一旦在运输矿石期间发生事故时，需要启动应急响应程序。若车辆发生事故，应疏散无关人群，立即调派其他专用运输车辆将事故车辆内的物料转移。</w:t>
      </w:r>
    </w:p>
    <w:p w14:paraId="3C4E9C24">
      <w:pPr>
        <w:pStyle w:val="7"/>
        <w:numPr>
          <w:ilvl w:val="3"/>
          <w:numId w:val="3"/>
        </w:numPr>
        <w:rPr>
          <w:szCs w:val="24"/>
        </w:rPr>
      </w:pPr>
      <w:r>
        <w:rPr>
          <w:szCs w:val="24"/>
        </w:rPr>
        <w:t>废气处理系统环境风险防范措施</w:t>
      </w:r>
    </w:p>
    <w:p w14:paraId="2EC8D87C">
      <w:pPr>
        <w:spacing w:line="360" w:lineRule="auto"/>
        <w:ind w:firstLine="480" w:firstLineChars="200"/>
        <w:rPr>
          <w:rFonts w:ascii="Times New Roman" w:hAnsi="Times New Roman"/>
          <w:sz w:val="24"/>
          <w:szCs w:val="24"/>
        </w:rPr>
      </w:pPr>
      <w:r>
        <w:rPr>
          <w:rFonts w:ascii="Times New Roman" w:hAnsi="Times New Roman"/>
          <w:sz w:val="24"/>
          <w:szCs w:val="24"/>
        </w:rPr>
        <w:t>建设单位应认真做好设备的保养、定期维护及保修工作，使处理设施达到预期效果。为确保不发生事故性废气排放，建设单位必须采取一定的事故性防范保护措施：</w:t>
      </w:r>
    </w:p>
    <w:p w14:paraId="6A25EADB">
      <w:pPr>
        <w:spacing w:line="360" w:lineRule="auto"/>
        <w:ind w:firstLine="480" w:firstLineChars="200"/>
        <w:rPr>
          <w:rFonts w:ascii="Times New Roman" w:hAnsi="Times New Roman"/>
          <w:sz w:val="24"/>
          <w:szCs w:val="24"/>
        </w:rPr>
      </w:pPr>
      <w:r>
        <w:rPr>
          <w:rFonts w:ascii="Times New Roman" w:hAnsi="Times New Roman"/>
          <w:sz w:val="24"/>
          <w:szCs w:val="24"/>
        </w:rPr>
        <w:t>（1）强化安全、消防和环保管理，建立管理机构，</w:t>
      </w:r>
      <w:r>
        <w:rPr>
          <w:rFonts w:hint="eastAsia" w:ascii="Times New Roman" w:hAnsi="Times New Roman"/>
          <w:sz w:val="24"/>
          <w:szCs w:val="24"/>
          <w:lang w:eastAsia="zh-CN"/>
        </w:rPr>
        <w:t>制定</w:t>
      </w:r>
      <w:r>
        <w:rPr>
          <w:rFonts w:ascii="Times New Roman" w:hAnsi="Times New Roman"/>
          <w:sz w:val="24"/>
          <w:szCs w:val="24"/>
        </w:rPr>
        <w:t>各项管理制度，加强日常监督检查。</w:t>
      </w:r>
    </w:p>
    <w:p w14:paraId="4BAFBD48">
      <w:pPr>
        <w:spacing w:line="360" w:lineRule="auto"/>
        <w:ind w:firstLine="480" w:firstLineChars="200"/>
        <w:rPr>
          <w:rFonts w:ascii="Times New Roman" w:hAnsi="Times New Roman"/>
          <w:sz w:val="24"/>
          <w:szCs w:val="24"/>
        </w:rPr>
      </w:pPr>
      <w:r>
        <w:rPr>
          <w:rFonts w:ascii="Times New Roman" w:hAnsi="Times New Roman"/>
          <w:sz w:val="24"/>
          <w:szCs w:val="24"/>
        </w:rPr>
        <w:t>（2）设立车间急救小组，并和当地事故应急救援部门建立正常联系，一旦出现事故能立刻采取有效救援措施。</w:t>
      </w:r>
    </w:p>
    <w:p w14:paraId="2FFD5850">
      <w:pPr>
        <w:spacing w:line="360" w:lineRule="auto"/>
        <w:ind w:firstLine="480" w:firstLineChars="200"/>
        <w:rPr>
          <w:rFonts w:ascii="Times New Roman" w:hAnsi="Times New Roman"/>
          <w:sz w:val="24"/>
          <w:szCs w:val="24"/>
        </w:rPr>
      </w:pPr>
      <w:r>
        <w:rPr>
          <w:rFonts w:ascii="Times New Roman" w:hAnsi="Times New Roman"/>
          <w:sz w:val="24"/>
          <w:szCs w:val="24"/>
        </w:rPr>
        <w:t>（3）废气净化设施一旦出现事故，厂房必须立即停产检修，确保不发生污染事件。</w:t>
      </w:r>
    </w:p>
    <w:p w14:paraId="2531B0C8">
      <w:pPr>
        <w:spacing w:line="360" w:lineRule="auto"/>
        <w:ind w:firstLine="480" w:firstLineChars="200"/>
        <w:rPr>
          <w:rFonts w:ascii="Times New Roman" w:hAnsi="Times New Roman"/>
          <w:sz w:val="24"/>
          <w:szCs w:val="24"/>
        </w:rPr>
      </w:pPr>
      <w:r>
        <w:rPr>
          <w:rFonts w:ascii="Times New Roman" w:hAnsi="Times New Roman"/>
          <w:sz w:val="24"/>
          <w:szCs w:val="24"/>
        </w:rPr>
        <w:t>（4）加强技术培训，提高事故应急处理的能力，定期进行应急事故模拟演习，提高事故应变能力。</w:t>
      </w:r>
    </w:p>
    <w:p w14:paraId="7E57B993">
      <w:pPr>
        <w:pStyle w:val="7"/>
        <w:numPr>
          <w:ilvl w:val="3"/>
          <w:numId w:val="3"/>
        </w:numPr>
        <w:rPr>
          <w:szCs w:val="24"/>
        </w:rPr>
      </w:pPr>
      <w:r>
        <w:rPr>
          <w:szCs w:val="24"/>
        </w:rPr>
        <w:t>生物质燃料燃烧引发火灾的风险防范措施</w:t>
      </w:r>
    </w:p>
    <w:p w14:paraId="06774334">
      <w:pPr>
        <w:spacing w:line="360" w:lineRule="auto"/>
        <w:ind w:firstLine="480" w:firstLineChars="200"/>
        <w:rPr>
          <w:rFonts w:ascii="Times New Roman" w:hAnsi="Times New Roman"/>
          <w:sz w:val="24"/>
          <w:szCs w:val="24"/>
        </w:rPr>
      </w:pPr>
      <w:r>
        <w:rPr>
          <w:rFonts w:ascii="Times New Roman" w:hAnsi="Times New Roman"/>
          <w:sz w:val="24"/>
          <w:szCs w:val="24"/>
        </w:rPr>
        <w:t>建立企业安全管理规章制度，严格控制进入生物质燃料暂存场所的火种火源，禁止在厂区吸烟，不得将</w:t>
      </w:r>
      <w:r>
        <w:rPr>
          <w:rFonts w:hint="eastAsia" w:ascii="Times New Roman" w:hAnsi="Times New Roman"/>
          <w:sz w:val="24"/>
          <w:szCs w:val="24"/>
        </w:rPr>
        <w:t>易燃</w:t>
      </w:r>
      <w:r>
        <w:rPr>
          <w:rFonts w:ascii="Times New Roman" w:hAnsi="Times New Roman"/>
          <w:sz w:val="24"/>
          <w:szCs w:val="24"/>
        </w:rPr>
        <w:t>易爆物资放置在生物质燃料暂存场所。</w:t>
      </w:r>
    </w:p>
    <w:p w14:paraId="2859CCAD">
      <w:pPr>
        <w:pStyle w:val="6"/>
        <w:numPr>
          <w:ilvl w:val="2"/>
          <w:numId w:val="3"/>
        </w:numPr>
        <w:rPr>
          <w:szCs w:val="24"/>
        </w:rPr>
      </w:pPr>
      <w:r>
        <w:rPr>
          <w:szCs w:val="24"/>
        </w:rPr>
        <w:t>环境风险应急预案</w:t>
      </w:r>
    </w:p>
    <w:p w14:paraId="180DD7D3">
      <w:pPr>
        <w:pStyle w:val="7"/>
        <w:numPr>
          <w:ilvl w:val="3"/>
          <w:numId w:val="3"/>
        </w:numPr>
        <w:rPr>
          <w:szCs w:val="24"/>
        </w:rPr>
      </w:pPr>
      <w:r>
        <w:rPr>
          <w:szCs w:val="24"/>
        </w:rPr>
        <w:t>应急预案编制内容</w:t>
      </w:r>
    </w:p>
    <w:p w14:paraId="6B8B7E53">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本项目应急预案包括以下内容：应急救援组织机构、应急救援组织职责任务、环境突发事故的报告制度、事故污染区应急环境监测和消息发布、应急救援保障措施和污染事故善后处理等。应急预案信息内容见表4.9-</w:t>
      </w:r>
      <w:r>
        <w:rPr>
          <w:rFonts w:hint="eastAsia" w:ascii="Times New Roman" w:hAnsi="Times New Roman"/>
          <w:spacing w:val="-2"/>
          <w:kern w:val="0"/>
          <w:sz w:val="24"/>
          <w:szCs w:val="24"/>
        </w:rPr>
        <w:t>5</w:t>
      </w:r>
      <w:r>
        <w:rPr>
          <w:rFonts w:ascii="Times New Roman" w:hAnsi="Times New Roman"/>
          <w:spacing w:val="-2"/>
          <w:kern w:val="0"/>
          <w:sz w:val="24"/>
          <w:szCs w:val="24"/>
        </w:rPr>
        <w:t>～</w:t>
      </w:r>
      <w:r>
        <w:rPr>
          <w:rFonts w:hint="eastAsia" w:ascii="Times New Roman" w:hAnsi="Times New Roman"/>
          <w:spacing w:val="-2"/>
          <w:kern w:val="0"/>
          <w:sz w:val="24"/>
          <w:szCs w:val="24"/>
        </w:rPr>
        <w:t>6</w:t>
      </w:r>
      <w:r>
        <w:rPr>
          <w:rFonts w:ascii="Times New Roman" w:hAnsi="Times New Roman"/>
          <w:spacing w:val="-2"/>
          <w:kern w:val="0"/>
          <w:sz w:val="24"/>
          <w:szCs w:val="24"/>
        </w:rPr>
        <w:t>。</w:t>
      </w:r>
    </w:p>
    <w:p w14:paraId="14857EEB">
      <w:pPr>
        <w:pStyle w:val="8"/>
        <w:numPr>
          <w:ilvl w:val="4"/>
          <w:numId w:val="3"/>
        </w:numPr>
        <w:rPr>
          <w:sz w:val="24"/>
          <w:szCs w:val="24"/>
        </w:rPr>
      </w:pPr>
      <w:r>
        <w:rPr>
          <w:sz w:val="24"/>
          <w:szCs w:val="24"/>
        </w:rPr>
        <w:t>本项目主要应急设备及监测设施</w:t>
      </w:r>
    </w:p>
    <w:tbl>
      <w:tblPr>
        <w:tblStyle w:val="88"/>
        <w:tblW w:w="905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88"/>
        <w:gridCol w:w="2416"/>
        <w:gridCol w:w="5953"/>
      </w:tblGrid>
      <w:tr w14:paraId="1C0C55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88" w:type="dxa"/>
            <w:vAlign w:val="center"/>
          </w:tcPr>
          <w:p w14:paraId="6062BBA3">
            <w:pPr>
              <w:spacing w:line="300" w:lineRule="exact"/>
              <w:jc w:val="center"/>
              <w:rPr>
                <w:rFonts w:ascii="Times New Roman" w:hAnsi="Times New Roman"/>
                <w:b/>
                <w:bCs/>
                <w:spacing w:val="-2"/>
                <w:kern w:val="0"/>
                <w:szCs w:val="21"/>
              </w:rPr>
            </w:pPr>
            <w:r>
              <w:rPr>
                <w:rFonts w:ascii="Times New Roman" w:hAnsi="Times New Roman"/>
                <w:b/>
                <w:bCs/>
                <w:spacing w:val="-2"/>
                <w:kern w:val="0"/>
                <w:szCs w:val="21"/>
              </w:rPr>
              <w:t>序号</w:t>
            </w:r>
          </w:p>
        </w:tc>
        <w:tc>
          <w:tcPr>
            <w:tcW w:w="2416" w:type="dxa"/>
            <w:vAlign w:val="center"/>
          </w:tcPr>
          <w:p w14:paraId="46C533E1">
            <w:pPr>
              <w:spacing w:line="300" w:lineRule="exact"/>
              <w:jc w:val="center"/>
              <w:rPr>
                <w:rFonts w:ascii="Times New Roman" w:hAnsi="Times New Roman"/>
                <w:b/>
                <w:bCs/>
                <w:spacing w:val="-2"/>
                <w:kern w:val="0"/>
                <w:szCs w:val="21"/>
              </w:rPr>
            </w:pPr>
            <w:r>
              <w:rPr>
                <w:rFonts w:ascii="Times New Roman" w:hAnsi="Times New Roman"/>
                <w:b/>
                <w:bCs/>
                <w:spacing w:val="-2"/>
                <w:kern w:val="0"/>
                <w:szCs w:val="21"/>
              </w:rPr>
              <w:t>项目</w:t>
            </w:r>
          </w:p>
        </w:tc>
        <w:tc>
          <w:tcPr>
            <w:tcW w:w="5953" w:type="dxa"/>
            <w:vAlign w:val="center"/>
          </w:tcPr>
          <w:p w14:paraId="16642C83">
            <w:pPr>
              <w:spacing w:line="300" w:lineRule="exact"/>
              <w:jc w:val="center"/>
              <w:rPr>
                <w:rFonts w:ascii="Times New Roman" w:hAnsi="Times New Roman"/>
                <w:b/>
                <w:bCs/>
                <w:spacing w:val="-2"/>
                <w:kern w:val="0"/>
                <w:szCs w:val="21"/>
              </w:rPr>
            </w:pPr>
            <w:r>
              <w:rPr>
                <w:rFonts w:ascii="Times New Roman" w:hAnsi="Times New Roman"/>
                <w:b/>
                <w:bCs/>
                <w:spacing w:val="-2"/>
                <w:kern w:val="0"/>
                <w:szCs w:val="21"/>
              </w:rPr>
              <w:t>内容与要求</w:t>
            </w:r>
          </w:p>
        </w:tc>
      </w:tr>
      <w:tr w14:paraId="1CECEB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8" w:type="dxa"/>
            <w:vAlign w:val="center"/>
          </w:tcPr>
          <w:p w14:paraId="202723FF">
            <w:pPr>
              <w:spacing w:line="300" w:lineRule="exact"/>
              <w:jc w:val="center"/>
              <w:rPr>
                <w:rFonts w:ascii="Times New Roman" w:hAnsi="Times New Roman"/>
                <w:spacing w:val="-2"/>
                <w:kern w:val="0"/>
                <w:szCs w:val="21"/>
              </w:rPr>
            </w:pPr>
            <w:r>
              <w:rPr>
                <w:rFonts w:ascii="Times New Roman" w:hAnsi="Times New Roman"/>
                <w:spacing w:val="-2"/>
                <w:kern w:val="0"/>
                <w:szCs w:val="21"/>
              </w:rPr>
              <w:t>1</w:t>
            </w:r>
          </w:p>
        </w:tc>
        <w:tc>
          <w:tcPr>
            <w:tcW w:w="2416" w:type="dxa"/>
            <w:vAlign w:val="center"/>
          </w:tcPr>
          <w:p w14:paraId="189CAC6E">
            <w:pPr>
              <w:spacing w:line="300" w:lineRule="exact"/>
              <w:rPr>
                <w:rFonts w:ascii="Times New Roman" w:hAnsi="Times New Roman"/>
                <w:spacing w:val="-2"/>
                <w:kern w:val="0"/>
                <w:szCs w:val="21"/>
              </w:rPr>
            </w:pPr>
            <w:r>
              <w:rPr>
                <w:rFonts w:ascii="Times New Roman" w:hAnsi="Times New Roman"/>
                <w:spacing w:val="-2"/>
                <w:kern w:val="0"/>
                <w:szCs w:val="21"/>
              </w:rPr>
              <w:t>应急计划区</w:t>
            </w:r>
          </w:p>
        </w:tc>
        <w:tc>
          <w:tcPr>
            <w:tcW w:w="5953" w:type="dxa"/>
            <w:vAlign w:val="center"/>
          </w:tcPr>
          <w:p w14:paraId="4D8FB3AE">
            <w:pPr>
              <w:spacing w:line="300" w:lineRule="exact"/>
              <w:rPr>
                <w:rFonts w:ascii="Times New Roman" w:hAnsi="Times New Roman"/>
                <w:spacing w:val="-2"/>
                <w:kern w:val="0"/>
                <w:szCs w:val="21"/>
              </w:rPr>
            </w:pPr>
            <w:r>
              <w:rPr>
                <w:rFonts w:ascii="Times New Roman" w:hAnsi="Times New Roman"/>
                <w:spacing w:val="-2"/>
                <w:kern w:val="0"/>
                <w:szCs w:val="21"/>
              </w:rPr>
              <w:t>生产车间、环境保护目标</w:t>
            </w:r>
          </w:p>
        </w:tc>
      </w:tr>
      <w:tr w14:paraId="3F54AB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8" w:type="dxa"/>
            <w:vAlign w:val="center"/>
          </w:tcPr>
          <w:p w14:paraId="480557C9">
            <w:pPr>
              <w:spacing w:line="300" w:lineRule="exact"/>
              <w:jc w:val="center"/>
              <w:rPr>
                <w:rFonts w:ascii="Times New Roman" w:hAnsi="Times New Roman"/>
                <w:spacing w:val="-2"/>
                <w:kern w:val="0"/>
                <w:szCs w:val="21"/>
              </w:rPr>
            </w:pPr>
            <w:r>
              <w:rPr>
                <w:rFonts w:ascii="Times New Roman" w:hAnsi="Times New Roman"/>
                <w:spacing w:val="-2"/>
                <w:kern w:val="0"/>
                <w:szCs w:val="21"/>
              </w:rPr>
              <w:t>2</w:t>
            </w:r>
          </w:p>
        </w:tc>
        <w:tc>
          <w:tcPr>
            <w:tcW w:w="2416" w:type="dxa"/>
            <w:vAlign w:val="center"/>
          </w:tcPr>
          <w:p w14:paraId="10058B18">
            <w:pPr>
              <w:spacing w:line="300" w:lineRule="exact"/>
              <w:rPr>
                <w:rFonts w:ascii="Times New Roman" w:hAnsi="Times New Roman"/>
                <w:spacing w:val="-2"/>
                <w:kern w:val="0"/>
                <w:szCs w:val="21"/>
              </w:rPr>
            </w:pPr>
            <w:r>
              <w:rPr>
                <w:rFonts w:ascii="Times New Roman" w:hAnsi="Times New Roman"/>
                <w:spacing w:val="-2"/>
                <w:kern w:val="0"/>
                <w:szCs w:val="21"/>
              </w:rPr>
              <w:t>应急组织机构、人员</w:t>
            </w:r>
          </w:p>
        </w:tc>
        <w:tc>
          <w:tcPr>
            <w:tcW w:w="5953" w:type="dxa"/>
            <w:vAlign w:val="center"/>
          </w:tcPr>
          <w:p w14:paraId="3FB5DFBA">
            <w:pPr>
              <w:spacing w:line="300" w:lineRule="exact"/>
              <w:rPr>
                <w:rFonts w:ascii="Times New Roman" w:hAnsi="Times New Roman"/>
                <w:spacing w:val="-2"/>
                <w:kern w:val="0"/>
                <w:szCs w:val="21"/>
              </w:rPr>
            </w:pPr>
            <w:r>
              <w:rPr>
                <w:rFonts w:ascii="Times New Roman" w:hAnsi="Times New Roman"/>
                <w:spacing w:val="-2"/>
                <w:kern w:val="0"/>
                <w:szCs w:val="21"/>
              </w:rPr>
              <w:t>设防灾减灾办公室，同时成立应急救援组织机构</w:t>
            </w:r>
          </w:p>
        </w:tc>
      </w:tr>
      <w:tr w14:paraId="255166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8" w:type="dxa"/>
            <w:vAlign w:val="center"/>
          </w:tcPr>
          <w:p w14:paraId="2E40572D">
            <w:pPr>
              <w:spacing w:line="300" w:lineRule="exact"/>
              <w:jc w:val="center"/>
              <w:rPr>
                <w:rFonts w:ascii="Times New Roman" w:hAnsi="Times New Roman"/>
                <w:spacing w:val="-2"/>
                <w:kern w:val="0"/>
                <w:szCs w:val="21"/>
              </w:rPr>
            </w:pPr>
            <w:r>
              <w:rPr>
                <w:rFonts w:ascii="Times New Roman" w:hAnsi="Times New Roman"/>
                <w:spacing w:val="-2"/>
                <w:kern w:val="0"/>
                <w:szCs w:val="21"/>
              </w:rPr>
              <w:t>3</w:t>
            </w:r>
          </w:p>
        </w:tc>
        <w:tc>
          <w:tcPr>
            <w:tcW w:w="2416" w:type="dxa"/>
            <w:vAlign w:val="center"/>
          </w:tcPr>
          <w:p w14:paraId="755D1B22">
            <w:pPr>
              <w:spacing w:line="300" w:lineRule="exact"/>
              <w:rPr>
                <w:rFonts w:ascii="Times New Roman" w:hAnsi="Times New Roman"/>
                <w:spacing w:val="-2"/>
                <w:kern w:val="0"/>
                <w:szCs w:val="21"/>
              </w:rPr>
            </w:pPr>
            <w:r>
              <w:rPr>
                <w:rFonts w:ascii="Times New Roman" w:hAnsi="Times New Roman"/>
                <w:spacing w:val="-2"/>
                <w:kern w:val="0"/>
                <w:szCs w:val="21"/>
              </w:rPr>
              <w:t>预案分级响应条件</w:t>
            </w:r>
          </w:p>
        </w:tc>
        <w:tc>
          <w:tcPr>
            <w:tcW w:w="5953" w:type="dxa"/>
            <w:vAlign w:val="center"/>
          </w:tcPr>
          <w:p w14:paraId="0FE6D3A0">
            <w:pPr>
              <w:spacing w:line="300" w:lineRule="exact"/>
              <w:rPr>
                <w:rFonts w:ascii="Times New Roman" w:hAnsi="Times New Roman"/>
                <w:spacing w:val="-2"/>
                <w:kern w:val="0"/>
                <w:szCs w:val="21"/>
              </w:rPr>
            </w:pPr>
            <w:r>
              <w:rPr>
                <w:rFonts w:ascii="Times New Roman" w:hAnsi="Times New Roman"/>
                <w:spacing w:val="-2"/>
                <w:kern w:val="0"/>
                <w:szCs w:val="21"/>
              </w:rPr>
              <w:t>规定预案的级别和分级响应程序</w:t>
            </w:r>
          </w:p>
        </w:tc>
      </w:tr>
      <w:tr w14:paraId="650FED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8" w:type="dxa"/>
            <w:vAlign w:val="center"/>
          </w:tcPr>
          <w:p w14:paraId="3EDF0A52">
            <w:pPr>
              <w:spacing w:line="300" w:lineRule="exact"/>
              <w:jc w:val="center"/>
              <w:rPr>
                <w:rFonts w:ascii="Times New Roman" w:hAnsi="Times New Roman"/>
                <w:spacing w:val="-2"/>
                <w:kern w:val="0"/>
                <w:szCs w:val="21"/>
              </w:rPr>
            </w:pPr>
            <w:r>
              <w:rPr>
                <w:rFonts w:ascii="Times New Roman" w:hAnsi="Times New Roman"/>
                <w:spacing w:val="-2"/>
                <w:kern w:val="0"/>
                <w:szCs w:val="21"/>
              </w:rPr>
              <w:t>4</w:t>
            </w:r>
          </w:p>
        </w:tc>
        <w:tc>
          <w:tcPr>
            <w:tcW w:w="2416" w:type="dxa"/>
            <w:vAlign w:val="center"/>
          </w:tcPr>
          <w:p w14:paraId="0D9BC555">
            <w:pPr>
              <w:spacing w:line="300" w:lineRule="exact"/>
              <w:rPr>
                <w:rFonts w:ascii="Times New Roman" w:hAnsi="Times New Roman"/>
                <w:spacing w:val="-2"/>
                <w:kern w:val="0"/>
                <w:szCs w:val="21"/>
              </w:rPr>
            </w:pPr>
            <w:r>
              <w:rPr>
                <w:rFonts w:ascii="Times New Roman" w:hAnsi="Times New Roman"/>
                <w:spacing w:val="-2"/>
                <w:kern w:val="0"/>
                <w:szCs w:val="21"/>
              </w:rPr>
              <w:t>应急救援保障</w:t>
            </w:r>
          </w:p>
        </w:tc>
        <w:tc>
          <w:tcPr>
            <w:tcW w:w="5953" w:type="dxa"/>
            <w:vAlign w:val="center"/>
          </w:tcPr>
          <w:p w14:paraId="2BEE03AE">
            <w:pPr>
              <w:spacing w:line="300" w:lineRule="exact"/>
              <w:rPr>
                <w:rFonts w:ascii="Times New Roman" w:hAnsi="Times New Roman"/>
                <w:spacing w:val="-2"/>
                <w:kern w:val="0"/>
                <w:szCs w:val="21"/>
              </w:rPr>
            </w:pPr>
            <w:r>
              <w:rPr>
                <w:rFonts w:ascii="Times New Roman" w:hAnsi="Times New Roman"/>
                <w:spacing w:val="-2"/>
                <w:kern w:val="0"/>
                <w:szCs w:val="21"/>
              </w:rPr>
              <w:t>地内应配齐应急设施，防火、防爆、防毒等设施、设备与器材。</w:t>
            </w:r>
            <w:r>
              <w:rPr>
                <w:rFonts w:hint="eastAsia" w:ascii="Times New Roman" w:hAnsi="Times New Roman"/>
                <w:spacing w:val="-2"/>
                <w:kern w:val="0"/>
                <w:szCs w:val="21"/>
                <w:u w:val="single"/>
              </w:rPr>
              <w:t>运输车辆配置防护口罩、防护手套、护目镜等防护物品。</w:t>
            </w:r>
          </w:p>
        </w:tc>
      </w:tr>
      <w:tr w14:paraId="1CEE24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8" w:type="dxa"/>
            <w:vAlign w:val="center"/>
          </w:tcPr>
          <w:p w14:paraId="2F1F9EEF">
            <w:pPr>
              <w:spacing w:line="300" w:lineRule="exact"/>
              <w:jc w:val="center"/>
              <w:rPr>
                <w:rFonts w:ascii="Times New Roman" w:hAnsi="Times New Roman"/>
                <w:spacing w:val="-2"/>
                <w:kern w:val="0"/>
                <w:szCs w:val="21"/>
              </w:rPr>
            </w:pPr>
            <w:r>
              <w:rPr>
                <w:rFonts w:ascii="Times New Roman" w:hAnsi="Times New Roman"/>
                <w:spacing w:val="-2"/>
                <w:kern w:val="0"/>
                <w:szCs w:val="21"/>
              </w:rPr>
              <w:t>5</w:t>
            </w:r>
          </w:p>
        </w:tc>
        <w:tc>
          <w:tcPr>
            <w:tcW w:w="2416" w:type="dxa"/>
            <w:vAlign w:val="center"/>
          </w:tcPr>
          <w:p w14:paraId="6B2110A9">
            <w:pPr>
              <w:spacing w:line="300" w:lineRule="exact"/>
              <w:rPr>
                <w:rFonts w:ascii="Times New Roman" w:hAnsi="Times New Roman"/>
                <w:spacing w:val="-2"/>
                <w:kern w:val="0"/>
                <w:szCs w:val="21"/>
              </w:rPr>
            </w:pPr>
            <w:r>
              <w:rPr>
                <w:rFonts w:ascii="Times New Roman" w:hAnsi="Times New Roman"/>
                <w:spacing w:val="-2"/>
                <w:kern w:val="0"/>
                <w:szCs w:val="21"/>
              </w:rPr>
              <w:t>报警、通讯联络方式</w:t>
            </w:r>
          </w:p>
        </w:tc>
        <w:tc>
          <w:tcPr>
            <w:tcW w:w="5953" w:type="dxa"/>
            <w:vAlign w:val="center"/>
          </w:tcPr>
          <w:p w14:paraId="6E891B6D">
            <w:pPr>
              <w:spacing w:line="300" w:lineRule="exact"/>
              <w:rPr>
                <w:rFonts w:ascii="Times New Roman" w:hAnsi="Times New Roman"/>
                <w:spacing w:val="-2"/>
                <w:kern w:val="0"/>
                <w:szCs w:val="21"/>
              </w:rPr>
            </w:pPr>
            <w:r>
              <w:rPr>
                <w:rFonts w:ascii="Times New Roman" w:hAnsi="Times New Roman"/>
                <w:spacing w:val="-2"/>
                <w:kern w:val="0"/>
                <w:szCs w:val="21"/>
              </w:rPr>
              <w:t>落实应急状态下的报警通讯和通知方式，迅速通知相关人员到场。</w:t>
            </w:r>
          </w:p>
        </w:tc>
      </w:tr>
      <w:tr w14:paraId="307D87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8" w:type="dxa"/>
            <w:vAlign w:val="center"/>
          </w:tcPr>
          <w:p w14:paraId="76FB1EBC">
            <w:pPr>
              <w:spacing w:line="300" w:lineRule="exact"/>
              <w:jc w:val="center"/>
              <w:rPr>
                <w:rFonts w:ascii="Times New Roman" w:hAnsi="Times New Roman"/>
                <w:spacing w:val="-2"/>
                <w:kern w:val="0"/>
                <w:szCs w:val="21"/>
              </w:rPr>
            </w:pPr>
            <w:r>
              <w:rPr>
                <w:rFonts w:ascii="Times New Roman" w:hAnsi="Times New Roman"/>
                <w:spacing w:val="-2"/>
                <w:kern w:val="0"/>
                <w:szCs w:val="21"/>
              </w:rPr>
              <w:t>6</w:t>
            </w:r>
          </w:p>
        </w:tc>
        <w:tc>
          <w:tcPr>
            <w:tcW w:w="2416" w:type="dxa"/>
            <w:vAlign w:val="center"/>
          </w:tcPr>
          <w:p w14:paraId="1AD70324">
            <w:pPr>
              <w:spacing w:line="300" w:lineRule="exact"/>
              <w:rPr>
                <w:rFonts w:ascii="Times New Roman" w:hAnsi="Times New Roman"/>
                <w:spacing w:val="-2"/>
                <w:kern w:val="0"/>
                <w:szCs w:val="21"/>
              </w:rPr>
            </w:pPr>
            <w:r>
              <w:rPr>
                <w:rFonts w:ascii="Times New Roman" w:hAnsi="Times New Roman"/>
                <w:spacing w:val="-2"/>
                <w:kern w:val="0"/>
                <w:szCs w:val="21"/>
              </w:rPr>
              <w:t>应急环境监测、抢险、救援及控制措施</w:t>
            </w:r>
          </w:p>
        </w:tc>
        <w:tc>
          <w:tcPr>
            <w:tcW w:w="5953" w:type="dxa"/>
            <w:vAlign w:val="center"/>
          </w:tcPr>
          <w:p w14:paraId="45A044D5">
            <w:pPr>
              <w:spacing w:line="300" w:lineRule="exact"/>
              <w:rPr>
                <w:rFonts w:ascii="Times New Roman" w:hAnsi="Times New Roman"/>
                <w:spacing w:val="-2"/>
                <w:kern w:val="0"/>
                <w:szCs w:val="21"/>
              </w:rPr>
            </w:pPr>
            <w:r>
              <w:rPr>
                <w:rFonts w:ascii="Times New Roman" w:hAnsi="Times New Roman"/>
                <w:spacing w:val="-2"/>
                <w:kern w:val="0"/>
                <w:szCs w:val="21"/>
              </w:rPr>
              <w:t>由专业队伍负责对事故现场进行侦察监测，对事故性质、参数与后果进行评估，为指挥部门提供决策依据</w:t>
            </w:r>
          </w:p>
        </w:tc>
      </w:tr>
      <w:tr w14:paraId="278A7C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8" w:type="dxa"/>
            <w:vAlign w:val="center"/>
          </w:tcPr>
          <w:p w14:paraId="5AC53250">
            <w:pPr>
              <w:spacing w:line="300" w:lineRule="exact"/>
              <w:jc w:val="center"/>
              <w:rPr>
                <w:rFonts w:ascii="Times New Roman" w:hAnsi="Times New Roman"/>
                <w:spacing w:val="-2"/>
                <w:kern w:val="0"/>
                <w:szCs w:val="21"/>
              </w:rPr>
            </w:pPr>
            <w:r>
              <w:rPr>
                <w:rFonts w:ascii="Times New Roman" w:hAnsi="Times New Roman"/>
                <w:spacing w:val="-2"/>
                <w:kern w:val="0"/>
                <w:szCs w:val="21"/>
              </w:rPr>
              <w:t>7</w:t>
            </w:r>
          </w:p>
        </w:tc>
        <w:tc>
          <w:tcPr>
            <w:tcW w:w="2416" w:type="dxa"/>
            <w:vAlign w:val="center"/>
          </w:tcPr>
          <w:p w14:paraId="5A2812F5">
            <w:pPr>
              <w:spacing w:line="300" w:lineRule="exact"/>
              <w:rPr>
                <w:rFonts w:ascii="Times New Roman" w:hAnsi="Times New Roman"/>
                <w:spacing w:val="-2"/>
                <w:kern w:val="0"/>
                <w:szCs w:val="21"/>
              </w:rPr>
            </w:pPr>
            <w:r>
              <w:rPr>
                <w:rFonts w:ascii="Times New Roman" w:hAnsi="Times New Roman"/>
                <w:spacing w:val="-2"/>
                <w:kern w:val="0"/>
                <w:szCs w:val="21"/>
              </w:rPr>
              <w:t>应急检测、防护措施、清除泄漏措施和器材</w:t>
            </w:r>
          </w:p>
        </w:tc>
        <w:tc>
          <w:tcPr>
            <w:tcW w:w="5953" w:type="dxa"/>
            <w:vAlign w:val="center"/>
          </w:tcPr>
          <w:p w14:paraId="4E6C306C">
            <w:pPr>
              <w:spacing w:line="300" w:lineRule="exact"/>
              <w:rPr>
                <w:rFonts w:ascii="Times New Roman" w:hAnsi="Times New Roman"/>
                <w:spacing w:val="-2"/>
                <w:kern w:val="0"/>
                <w:szCs w:val="21"/>
              </w:rPr>
            </w:pPr>
            <w:r>
              <w:rPr>
                <w:rFonts w:ascii="Times New Roman" w:hAnsi="Times New Roman"/>
                <w:spacing w:val="-2"/>
                <w:kern w:val="0"/>
                <w:szCs w:val="21"/>
              </w:rPr>
              <w:t>事故现场、邻近区域、控制防火区域、控制和清除污染措施及相应设备</w:t>
            </w:r>
            <w:r>
              <w:rPr>
                <w:rFonts w:hint="eastAsia" w:ascii="Times New Roman" w:hAnsi="Times New Roman"/>
                <w:spacing w:val="-2"/>
                <w:kern w:val="0"/>
                <w:szCs w:val="21"/>
              </w:rPr>
              <w:t>。</w:t>
            </w:r>
            <w:r>
              <w:rPr>
                <w:rFonts w:hint="eastAsia" w:ascii="Times New Roman" w:hAnsi="Times New Roman"/>
                <w:spacing w:val="-2"/>
                <w:kern w:val="0"/>
                <w:szCs w:val="21"/>
                <w:u w:val="single"/>
              </w:rPr>
              <w:t>运输泄漏立即疏散无关人群，调派其他专用运输车辆将事故车辆内的物料转移。</w:t>
            </w:r>
          </w:p>
        </w:tc>
      </w:tr>
      <w:tr w14:paraId="6502B4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8" w:type="dxa"/>
            <w:vAlign w:val="center"/>
          </w:tcPr>
          <w:p w14:paraId="06E638FB">
            <w:pPr>
              <w:spacing w:line="300" w:lineRule="exact"/>
              <w:jc w:val="center"/>
              <w:rPr>
                <w:rFonts w:ascii="Times New Roman" w:hAnsi="Times New Roman"/>
                <w:spacing w:val="-2"/>
                <w:kern w:val="0"/>
                <w:szCs w:val="21"/>
              </w:rPr>
            </w:pPr>
            <w:r>
              <w:rPr>
                <w:rFonts w:ascii="Times New Roman" w:hAnsi="Times New Roman"/>
                <w:spacing w:val="-2"/>
                <w:kern w:val="0"/>
                <w:szCs w:val="21"/>
              </w:rPr>
              <w:t>8</w:t>
            </w:r>
          </w:p>
        </w:tc>
        <w:tc>
          <w:tcPr>
            <w:tcW w:w="2416" w:type="dxa"/>
            <w:vAlign w:val="center"/>
          </w:tcPr>
          <w:p w14:paraId="4924BC37">
            <w:pPr>
              <w:spacing w:line="300" w:lineRule="exact"/>
              <w:rPr>
                <w:rFonts w:ascii="Times New Roman" w:hAnsi="Times New Roman"/>
                <w:spacing w:val="-2"/>
                <w:kern w:val="0"/>
                <w:szCs w:val="21"/>
              </w:rPr>
            </w:pPr>
            <w:r>
              <w:rPr>
                <w:rFonts w:ascii="Times New Roman" w:hAnsi="Times New Roman"/>
                <w:spacing w:val="-2"/>
                <w:kern w:val="0"/>
                <w:szCs w:val="21"/>
              </w:rPr>
              <w:t>人员紧急撤离、疏散，应急剂量控制、撤离组织计划</w:t>
            </w:r>
          </w:p>
        </w:tc>
        <w:tc>
          <w:tcPr>
            <w:tcW w:w="5953" w:type="dxa"/>
            <w:vAlign w:val="center"/>
          </w:tcPr>
          <w:p w14:paraId="21556B51">
            <w:pPr>
              <w:spacing w:line="300" w:lineRule="exact"/>
              <w:rPr>
                <w:rFonts w:ascii="Times New Roman" w:hAnsi="Times New Roman"/>
                <w:spacing w:val="-2"/>
                <w:kern w:val="0"/>
                <w:szCs w:val="21"/>
              </w:rPr>
            </w:pPr>
            <w:r>
              <w:rPr>
                <w:rFonts w:ascii="Times New Roman" w:hAnsi="Times New Roman"/>
                <w:spacing w:val="-2"/>
                <w:kern w:val="0"/>
                <w:szCs w:val="21"/>
              </w:rPr>
              <w:t>事故现场、邻近区域、受事故影响的区域人员及公众对毒物应急剂量控制规定，撤离组织计划及救护、医疗救护与公众健康。</w:t>
            </w:r>
          </w:p>
        </w:tc>
      </w:tr>
      <w:tr w14:paraId="6165B9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8" w:type="dxa"/>
            <w:vAlign w:val="center"/>
          </w:tcPr>
          <w:p w14:paraId="33C153D3">
            <w:pPr>
              <w:spacing w:line="300" w:lineRule="exact"/>
              <w:jc w:val="center"/>
              <w:rPr>
                <w:rFonts w:ascii="Times New Roman" w:hAnsi="Times New Roman"/>
                <w:spacing w:val="-2"/>
                <w:kern w:val="0"/>
                <w:szCs w:val="21"/>
              </w:rPr>
            </w:pPr>
            <w:r>
              <w:rPr>
                <w:rFonts w:ascii="Times New Roman" w:hAnsi="Times New Roman"/>
                <w:spacing w:val="-2"/>
                <w:kern w:val="0"/>
                <w:szCs w:val="21"/>
              </w:rPr>
              <w:t>9</w:t>
            </w:r>
          </w:p>
        </w:tc>
        <w:tc>
          <w:tcPr>
            <w:tcW w:w="2416" w:type="dxa"/>
            <w:vAlign w:val="center"/>
          </w:tcPr>
          <w:p w14:paraId="1AB992FB">
            <w:pPr>
              <w:spacing w:line="300" w:lineRule="exact"/>
              <w:rPr>
                <w:rFonts w:ascii="Times New Roman" w:hAnsi="Times New Roman"/>
                <w:spacing w:val="-2"/>
                <w:kern w:val="0"/>
                <w:szCs w:val="21"/>
              </w:rPr>
            </w:pPr>
            <w:r>
              <w:rPr>
                <w:rFonts w:ascii="Times New Roman" w:hAnsi="Times New Roman"/>
                <w:spacing w:val="-2"/>
                <w:kern w:val="0"/>
                <w:szCs w:val="21"/>
              </w:rPr>
              <w:t>事故应急救援关闭程序与恢复措施</w:t>
            </w:r>
          </w:p>
        </w:tc>
        <w:tc>
          <w:tcPr>
            <w:tcW w:w="5953" w:type="dxa"/>
            <w:vAlign w:val="center"/>
          </w:tcPr>
          <w:p w14:paraId="5C486C0B">
            <w:pPr>
              <w:spacing w:line="300" w:lineRule="exact"/>
              <w:rPr>
                <w:rFonts w:ascii="Times New Roman" w:hAnsi="Times New Roman"/>
                <w:spacing w:val="-2"/>
                <w:kern w:val="0"/>
                <w:szCs w:val="21"/>
              </w:rPr>
            </w:pPr>
            <w:r>
              <w:rPr>
                <w:rFonts w:ascii="Times New Roman" w:hAnsi="Times New Roman"/>
                <w:spacing w:val="-2"/>
                <w:kern w:val="0"/>
                <w:szCs w:val="21"/>
              </w:rPr>
              <w:t>规定应急状态终止程序；事故现场善后处理，恢复措施；邻近区域解除事故警戒及善后恢复措施</w:t>
            </w:r>
          </w:p>
        </w:tc>
      </w:tr>
      <w:tr w14:paraId="1376A1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8" w:type="dxa"/>
            <w:vAlign w:val="center"/>
          </w:tcPr>
          <w:p w14:paraId="16797734">
            <w:pPr>
              <w:spacing w:line="300" w:lineRule="exact"/>
              <w:jc w:val="center"/>
              <w:rPr>
                <w:rFonts w:ascii="Times New Roman" w:hAnsi="Times New Roman"/>
                <w:spacing w:val="-2"/>
                <w:kern w:val="0"/>
                <w:szCs w:val="21"/>
              </w:rPr>
            </w:pPr>
            <w:r>
              <w:rPr>
                <w:rFonts w:ascii="Times New Roman" w:hAnsi="Times New Roman"/>
                <w:spacing w:val="-2"/>
                <w:kern w:val="0"/>
                <w:szCs w:val="21"/>
              </w:rPr>
              <w:t>10</w:t>
            </w:r>
          </w:p>
        </w:tc>
        <w:tc>
          <w:tcPr>
            <w:tcW w:w="2416" w:type="dxa"/>
            <w:vAlign w:val="center"/>
          </w:tcPr>
          <w:p w14:paraId="4CDEB7F1">
            <w:pPr>
              <w:spacing w:line="300" w:lineRule="exact"/>
              <w:rPr>
                <w:rFonts w:ascii="Times New Roman" w:hAnsi="Times New Roman"/>
                <w:spacing w:val="-2"/>
                <w:kern w:val="0"/>
                <w:szCs w:val="21"/>
              </w:rPr>
            </w:pPr>
            <w:r>
              <w:rPr>
                <w:rFonts w:ascii="Times New Roman" w:hAnsi="Times New Roman"/>
                <w:spacing w:val="-2"/>
                <w:kern w:val="0"/>
                <w:szCs w:val="21"/>
              </w:rPr>
              <w:t>应急培训计划</w:t>
            </w:r>
          </w:p>
        </w:tc>
        <w:tc>
          <w:tcPr>
            <w:tcW w:w="5953" w:type="dxa"/>
            <w:vAlign w:val="center"/>
          </w:tcPr>
          <w:p w14:paraId="17437F48">
            <w:pPr>
              <w:spacing w:line="300" w:lineRule="exact"/>
              <w:rPr>
                <w:rFonts w:ascii="Times New Roman" w:hAnsi="Times New Roman"/>
                <w:spacing w:val="-2"/>
                <w:kern w:val="0"/>
                <w:szCs w:val="21"/>
              </w:rPr>
            </w:pPr>
            <w:r>
              <w:rPr>
                <w:rFonts w:ascii="Times New Roman" w:hAnsi="Times New Roman"/>
                <w:spacing w:val="-2"/>
                <w:kern w:val="0"/>
                <w:szCs w:val="21"/>
              </w:rPr>
              <w:t>应急计划制定后，平时安排人员培训与演练</w:t>
            </w:r>
          </w:p>
        </w:tc>
      </w:tr>
      <w:tr w14:paraId="377B3F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8" w:type="dxa"/>
            <w:vAlign w:val="center"/>
          </w:tcPr>
          <w:p w14:paraId="49285695">
            <w:pPr>
              <w:spacing w:line="300" w:lineRule="exact"/>
              <w:jc w:val="center"/>
              <w:rPr>
                <w:rFonts w:ascii="Times New Roman" w:hAnsi="Times New Roman"/>
                <w:spacing w:val="-2"/>
                <w:kern w:val="0"/>
                <w:szCs w:val="21"/>
              </w:rPr>
            </w:pPr>
            <w:r>
              <w:rPr>
                <w:rFonts w:ascii="Times New Roman" w:hAnsi="Times New Roman"/>
                <w:spacing w:val="-2"/>
                <w:kern w:val="0"/>
                <w:szCs w:val="21"/>
              </w:rPr>
              <w:t>11</w:t>
            </w:r>
          </w:p>
        </w:tc>
        <w:tc>
          <w:tcPr>
            <w:tcW w:w="2416" w:type="dxa"/>
            <w:vAlign w:val="center"/>
          </w:tcPr>
          <w:p w14:paraId="2B8E7A6E">
            <w:pPr>
              <w:spacing w:line="300" w:lineRule="exact"/>
              <w:rPr>
                <w:rFonts w:ascii="Times New Roman" w:hAnsi="Times New Roman"/>
                <w:spacing w:val="-2"/>
                <w:kern w:val="0"/>
                <w:szCs w:val="21"/>
              </w:rPr>
            </w:pPr>
            <w:r>
              <w:rPr>
                <w:rFonts w:ascii="Times New Roman" w:hAnsi="Times New Roman"/>
                <w:spacing w:val="-2"/>
                <w:kern w:val="0"/>
                <w:szCs w:val="21"/>
              </w:rPr>
              <w:t>公众教育和信息</w:t>
            </w:r>
          </w:p>
        </w:tc>
        <w:tc>
          <w:tcPr>
            <w:tcW w:w="5953" w:type="dxa"/>
            <w:vAlign w:val="center"/>
          </w:tcPr>
          <w:p w14:paraId="13FBA1CF">
            <w:pPr>
              <w:spacing w:line="300" w:lineRule="exact"/>
              <w:rPr>
                <w:rFonts w:ascii="Times New Roman" w:hAnsi="Times New Roman"/>
                <w:spacing w:val="-2"/>
                <w:kern w:val="0"/>
                <w:szCs w:val="21"/>
              </w:rPr>
            </w:pPr>
            <w:r>
              <w:rPr>
                <w:rFonts w:ascii="Times New Roman" w:hAnsi="Times New Roman"/>
                <w:spacing w:val="-2"/>
                <w:kern w:val="0"/>
                <w:szCs w:val="21"/>
              </w:rPr>
              <w:t>对项目邻近地区开展公众教育、培训和发布有关信息</w:t>
            </w:r>
          </w:p>
        </w:tc>
      </w:tr>
    </w:tbl>
    <w:p w14:paraId="0E3F8E95">
      <w:pPr>
        <w:spacing w:line="360" w:lineRule="auto"/>
        <w:ind w:firstLine="480" w:firstLineChars="200"/>
        <w:rPr>
          <w:rFonts w:ascii="Times New Roman" w:hAnsi="Times New Roman"/>
          <w:sz w:val="24"/>
          <w:szCs w:val="24"/>
        </w:rPr>
      </w:pPr>
    </w:p>
    <w:p w14:paraId="374D9A62">
      <w:pPr>
        <w:pStyle w:val="8"/>
        <w:numPr>
          <w:ilvl w:val="4"/>
          <w:numId w:val="3"/>
        </w:numPr>
        <w:rPr>
          <w:sz w:val="24"/>
          <w:szCs w:val="24"/>
        </w:rPr>
      </w:pPr>
      <w:r>
        <w:rPr>
          <w:sz w:val="24"/>
          <w:szCs w:val="24"/>
        </w:rPr>
        <w:t>本项目突发性风险事故应急预案主要内容和要求</w:t>
      </w:r>
    </w:p>
    <w:tbl>
      <w:tblPr>
        <w:tblStyle w:val="88"/>
        <w:tblW w:w="905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4"/>
        <w:gridCol w:w="1843"/>
        <w:gridCol w:w="6520"/>
      </w:tblGrid>
      <w:tr w14:paraId="6CF72A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94" w:type="dxa"/>
            <w:vAlign w:val="center"/>
          </w:tcPr>
          <w:p w14:paraId="37287A8B">
            <w:pPr>
              <w:jc w:val="center"/>
              <w:rPr>
                <w:rFonts w:ascii="Times New Roman" w:hAnsi="Times New Roman"/>
                <w:b/>
                <w:szCs w:val="21"/>
              </w:rPr>
            </w:pPr>
            <w:r>
              <w:rPr>
                <w:rFonts w:ascii="Times New Roman" w:hAnsi="Times New Roman"/>
                <w:b/>
                <w:szCs w:val="21"/>
              </w:rPr>
              <w:t>序号</w:t>
            </w:r>
          </w:p>
        </w:tc>
        <w:tc>
          <w:tcPr>
            <w:tcW w:w="1843" w:type="dxa"/>
            <w:vAlign w:val="center"/>
          </w:tcPr>
          <w:p w14:paraId="26F1F147">
            <w:pPr>
              <w:jc w:val="center"/>
              <w:rPr>
                <w:rFonts w:ascii="Times New Roman" w:hAnsi="Times New Roman"/>
                <w:b/>
                <w:szCs w:val="21"/>
              </w:rPr>
            </w:pPr>
            <w:r>
              <w:rPr>
                <w:rFonts w:ascii="Times New Roman" w:hAnsi="Times New Roman"/>
                <w:b/>
                <w:szCs w:val="21"/>
              </w:rPr>
              <w:t>项目</w:t>
            </w:r>
          </w:p>
        </w:tc>
        <w:tc>
          <w:tcPr>
            <w:tcW w:w="6520" w:type="dxa"/>
            <w:vAlign w:val="center"/>
          </w:tcPr>
          <w:p w14:paraId="2AC1EEE9">
            <w:pPr>
              <w:jc w:val="center"/>
              <w:rPr>
                <w:rFonts w:ascii="Times New Roman" w:hAnsi="Times New Roman"/>
                <w:b/>
                <w:szCs w:val="21"/>
              </w:rPr>
            </w:pPr>
            <w:r>
              <w:rPr>
                <w:rFonts w:ascii="Times New Roman" w:hAnsi="Times New Roman"/>
                <w:b/>
                <w:szCs w:val="21"/>
              </w:rPr>
              <w:t>内容及要求</w:t>
            </w:r>
          </w:p>
        </w:tc>
      </w:tr>
      <w:tr w14:paraId="19647B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dxa"/>
            <w:vAlign w:val="center"/>
          </w:tcPr>
          <w:p w14:paraId="61217486">
            <w:pPr>
              <w:jc w:val="center"/>
              <w:rPr>
                <w:rFonts w:ascii="Times New Roman" w:hAnsi="Times New Roman"/>
                <w:bCs/>
                <w:szCs w:val="21"/>
              </w:rPr>
            </w:pPr>
            <w:r>
              <w:rPr>
                <w:rFonts w:ascii="Times New Roman" w:hAnsi="Times New Roman"/>
                <w:bCs/>
                <w:szCs w:val="21"/>
              </w:rPr>
              <w:t>1</w:t>
            </w:r>
          </w:p>
        </w:tc>
        <w:tc>
          <w:tcPr>
            <w:tcW w:w="1843" w:type="dxa"/>
            <w:vAlign w:val="center"/>
          </w:tcPr>
          <w:p w14:paraId="5B8015D0">
            <w:pPr>
              <w:jc w:val="center"/>
              <w:rPr>
                <w:rFonts w:ascii="Times New Roman" w:hAnsi="Times New Roman"/>
                <w:bCs/>
                <w:szCs w:val="21"/>
              </w:rPr>
            </w:pPr>
            <w:r>
              <w:rPr>
                <w:rFonts w:ascii="Times New Roman" w:hAnsi="Times New Roman"/>
                <w:bCs/>
                <w:szCs w:val="21"/>
              </w:rPr>
              <w:t>危险源情况</w:t>
            </w:r>
          </w:p>
        </w:tc>
        <w:tc>
          <w:tcPr>
            <w:tcW w:w="6520" w:type="dxa"/>
            <w:vAlign w:val="center"/>
          </w:tcPr>
          <w:p w14:paraId="5BD1C44C">
            <w:pPr>
              <w:jc w:val="center"/>
              <w:rPr>
                <w:rFonts w:ascii="Times New Roman" w:hAnsi="Times New Roman"/>
                <w:bCs/>
                <w:szCs w:val="21"/>
              </w:rPr>
            </w:pPr>
            <w:r>
              <w:rPr>
                <w:rFonts w:ascii="Times New Roman" w:hAnsi="Times New Roman"/>
                <w:bCs/>
                <w:szCs w:val="21"/>
              </w:rPr>
              <w:t>原料或产品撒漏；除尘系统失效</w:t>
            </w:r>
          </w:p>
        </w:tc>
      </w:tr>
      <w:tr w14:paraId="6D0AEE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dxa"/>
            <w:vAlign w:val="center"/>
          </w:tcPr>
          <w:p w14:paraId="3EE2491F">
            <w:pPr>
              <w:jc w:val="center"/>
              <w:rPr>
                <w:rFonts w:ascii="Times New Roman" w:hAnsi="Times New Roman"/>
                <w:bCs/>
                <w:szCs w:val="21"/>
              </w:rPr>
            </w:pPr>
            <w:r>
              <w:rPr>
                <w:rFonts w:ascii="Times New Roman" w:hAnsi="Times New Roman"/>
                <w:bCs/>
                <w:szCs w:val="21"/>
              </w:rPr>
              <w:t>2</w:t>
            </w:r>
          </w:p>
        </w:tc>
        <w:tc>
          <w:tcPr>
            <w:tcW w:w="1843" w:type="dxa"/>
            <w:vAlign w:val="center"/>
          </w:tcPr>
          <w:p w14:paraId="0A1BF485">
            <w:pPr>
              <w:jc w:val="center"/>
              <w:rPr>
                <w:rFonts w:ascii="Times New Roman" w:hAnsi="Times New Roman"/>
                <w:bCs/>
                <w:szCs w:val="21"/>
              </w:rPr>
            </w:pPr>
            <w:r>
              <w:rPr>
                <w:rFonts w:ascii="Times New Roman" w:hAnsi="Times New Roman"/>
                <w:bCs/>
                <w:szCs w:val="21"/>
              </w:rPr>
              <w:t>应急计划区</w:t>
            </w:r>
          </w:p>
        </w:tc>
        <w:tc>
          <w:tcPr>
            <w:tcW w:w="6520" w:type="dxa"/>
            <w:vAlign w:val="center"/>
          </w:tcPr>
          <w:p w14:paraId="6D804604">
            <w:pPr>
              <w:jc w:val="center"/>
              <w:rPr>
                <w:rFonts w:ascii="Times New Roman" w:hAnsi="Times New Roman"/>
                <w:bCs/>
                <w:szCs w:val="21"/>
              </w:rPr>
            </w:pPr>
            <w:r>
              <w:rPr>
                <w:rFonts w:ascii="Times New Roman" w:hAnsi="Times New Roman"/>
                <w:bCs/>
                <w:szCs w:val="21"/>
              </w:rPr>
              <w:t>厂区</w:t>
            </w:r>
          </w:p>
        </w:tc>
      </w:tr>
      <w:tr w14:paraId="361D28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dxa"/>
            <w:vAlign w:val="center"/>
          </w:tcPr>
          <w:p w14:paraId="575A7602">
            <w:pPr>
              <w:jc w:val="center"/>
              <w:rPr>
                <w:rFonts w:ascii="Times New Roman" w:hAnsi="Times New Roman"/>
                <w:bCs/>
                <w:szCs w:val="21"/>
              </w:rPr>
            </w:pPr>
            <w:r>
              <w:rPr>
                <w:rFonts w:ascii="Times New Roman" w:hAnsi="Times New Roman"/>
                <w:bCs/>
                <w:szCs w:val="21"/>
              </w:rPr>
              <w:t>3</w:t>
            </w:r>
          </w:p>
        </w:tc>
        <w:tc>
          <w:tcPr>
            <w:tcW w:w="1843" w:type="dxa"/>
            <w:vAlign w:val="center"/>
          </w:tcPr>
          <w:p w14:paraId="446E011E">
            <w:pPr>
              <w:jc w:val="center"/>
              <w:rPr>
                <w:rFonts w:ascii="Times New Roman" w:hAnsi="Times New Roman"/>
                <w:bCs/>
                <w:szCs w:val="21"/>
              </w:rPr>
            </w:pPr>
            <w:r>
              <w:rPr>
                <w:rFonts w:ascii="Times New Roman" w:hAnsi="Times New Roman"/>
                <w:bCs/>
                <w:szCs w:val="21"/>
              </w:rPr>
              <w:t>应急组织</w:t>
            </w:r>
          </w:p>
        </w:tc>
        <w:tc>
          <w:tcPr>
            <w:tcW w:w="6520" w:type="dxa"/>
            <w:vAlign w:val="center"/>
          </w:tcPr>
          <w:p w14:paraId="4B2DC64C">
            <w:pPr>
              <w:jc w:val="center"/>
              <w:rPr>
                <w:rFonts w:ascii="Times New Roman" w:hAnsi="Times New Roman"/>
                <w:bCs/>
                <w:szCs w:val="21"/>
              </w:rPr>
            </w:pPr>
            <w:r>
              <w:rPr>
                <w:rFonts w:ascii="Times New Roman" w:hAnsi="Times New Roman"/>
                <w:bCs/>
                <w:szCs w:val="21"/>
              </w:rPr>
              <w:t>厂区：厂区负责人—负责现场全面指挥，专业救援队伍—负责事故控制、救援和善后处理</w:t>
            </w:r>
          </w:p>
        </w:tc>
      </w:tr>
      <w:tr w14:paraId="6F0E39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dxa"/>
            <w:vAlign w:val="center"/>
          </w:tcPr>
          <w:p w14:paraId="17B1311C">
            <w:pPr>
              <w:jc w:val="center"/>
              <w:rPr>
                <w:rFonts w:ascii="Times New Roman" w:hAnsi="Times New Roman"/>
                <w:bCs/>
                <w:szCs w:val="21"/>
              </w:rPr>
            </w:pPr>
            <w:r>
              <w:rPr>
                <w:rFonts w:ascii="Times New Roman" w:hAnsi="Times New Roman"/>
                <w:bCs/>
                <w:szCs w:val="21"/>
              </w:rPr>
              <w:t>4</w:t>
            </w:r>
          </w:p>
        </w:tc>
        <w:tc>
          <w:tcPr>
            <w:tcW w:w="1843" w:type="dxa"/>
            <w:vAlign w:val="center"/>
          </w:tcPr>
          <w:p w14:paraId="03B5AD1B">
            <w:pPr>
              <w:jc w:val="center"/>
              <w:rPr>
                <w:rFonts w:ascii="Times New Roman" w:hAnsi="Times New Roman"/>
                <w:bCs/>
                <w:szCs w:val="21"/>
              </w:rPr>
            </w:pPr>
            <w:r>
              <w:rPr>
                <w:rFonts w:ascii="Times New Roman" w:hAnsi="Times New Roman"/>
                <w:bCs/>
                <w:szCs w:val="21"/>
              </w:rPr>
              <w:t>应急状态分类</w:t>
            </w:r>
          </w:p>
          <w:p w14:paraId="6BBEA58B">
            <w:pPr>
              <w:jc w:val="center"/>
              <w:rPr>
                <w:rFonts w:ascii="Times New Roman" w:hAnsi="Times New Roman"/>
                <w:bCs/>
                <w:szCs w:val="21"/>
              </w:rPr>
            </w:pPr>
            <w:r>
              <w:rPr>
                <w:rFonts w:ascii="Times New Roman" w:hAnsi="Times New Roman"/>
                <w:bCs/>
                <w:szCs w:val="21"/>
              </w:rPr>
              <w:t>应急响应程序</w:t>
            </w:r>
          </w:p>
        </w:tc>
        <w:tc>
          <w:tcPr>
            <w:tcW w:w="6520" w:type="dxa"/>
            <w:vAlign w:val="center"/>
          </w:tcPr>
          <w:p w14:paraId="0BE1C34E">
            <w:pPr>
              <w:jc w:val="center"/>
              <w:rPr>
                <w:rFonts w:ascii="Times New Roman" w:hAnsi="Times New Roman"/>
                <w:bCs/>
                <w:szCs w:val="21"/>
              </w:rPr>
            </w:pPr>
            <w:r>
              <w:rPr>
                <w:rFonts w:ascii="Times New Roman" w:hAnsi="Times New Roman"/>
                <w:bCs/>
                <w:szCs w:val="21"/>
              </w:rPr>
              <w:t>规定环境风险事故的级别及相应的应急状态分类，以此制定相应的应急响应程序</w:t>
            </w:r>
          </w:p>
        </w:tc>
      </w:tr>
      <w:tr w14:paraId="0BE6A5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dxa"/>
            <w:vAlign w:val="center"/>
          </w:tcPr>
          <w:p w14:paraId="0FD090CA">
            <w:pPr>
              <w:jc w:val="center"/>
              <w:rPr>
                <w:rFonts w:ascii="Times New Roman" w:hAnsi="Times New Roman"/>
                <w:bCs/>
                <w:szCs w:val="21"/>
              </w:rPr>
            </w:pPr>
            <w:r>
              <w:rPr>
                <w:rFonts w:ascii="Times New Roman" w:hAnsi="Times New Roman"/>
                <w:bCs/>
                <w:szCs w:val="21"/>
              </w:rPr>
              <w:t>5</w:t>
            </w:r>
          </w:p>
        </w:tc>
        <w:tc>
          <w:tcPr>
            <w:tcW w:w="1843" w:type="dxa"/>
            <w:vAlign w:val="center"/>
          </w:tcPr>
          <w:p w14:paraId="4F4F53A6">
            <w:pPr>
              <w:jc w:val="center"/>
              <w:rPr>
                <w:rFonts w:ascii="Times New Roman" w:hAnsi="Times New Roman"/>
                <w:bCs/>
                <w:szCs w:val="21"/>
              </w:rPr>
            </w:pPr>
            <w:r>
              <w:rPr>
                <w:rFonts w:ascii="Times New Roman" w:hAnsi="Times New Roman"/>
                <w:bCs/>
                <w:szCs w:val="21"/>
              </w:rPr>
              <w:t>应急设施设备</w:t>
            </w:r>
          </w:p>
          <w:p w14:paraId="3148DEF9">
            <w:pPr>
              <w:jc w:val="center"/>
              <w:rPr>
                <w:rFonts w:ascii="Times New Roman" w:hAnsi="Times New Roman"/>
                <w:bCs/>
                <w:szCs w:val="21"/>
              </w:rPr>
            </w:pPr>
            <w:r>
              <w:rPr>
                <w:rFonts w:ascii="Times New Roman" w:hAnsi="Times New Roman"/>
                <w:bCs/>
                <w:szCs w:val="21"/>
              </w:rPr>
              <w:t>与材料</w:t>
            </w:r>
          </w:p>
        </w:tc>
        <w:tc>
          <w:tcPr>
            <w:tcW w:w="6520" w:type="dxa"/>
            <w:vAlign w:val="center"/>
          </w:tcPr>
          <w:p w14:paraId="539EBDDD">
            <w:pPr>
              <w:jc w:val="center"/>
              <w:rPr>
                <w:rFonts w:ascii="Times New Roman" w:hAnsi="Times New Roman"/>
                <w:bCs/>
                <w:szCs w:val="21"/>
              </w:rPr>
            </w:pPr>
            <w:r>
              <w:rPr>
                <w:rFonts w:ascii="Times New Roman" w:hAnsi="Times New Roman"/>
                <w:bCs/>
                <w:szCs w:val="21"/>
              </w:rPr>
              <w:t>防毒面具、防护服、步话机、警戒带、急救用品等器材</w:t>
            </w:r>
          </w:p>
        </w:tc>
      </w:tr>
      <w:tr w14:paraId="611E79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dxa"/>
            <w:vAlign w:val="center"/>
          </w:tcPr>
          <w:p w14:paraId="2A587372">
            <w:pPr>
              <w:jc w:val="center"/>
              <w:rPr>
                <w:rFonts w:ascii="Times New Roman" w:hAnsi="Times New Roman"/>
                <w:bCs/>
                <w:szCs w:val="21"/>
              </w:rPr>
            </w:pPr>
            <w:r>
              <w:rPr>
                <w:rFonts w:ascii="Times New Roman" w:hAnsi="Times New Roman"/>
                <w:bCs/>
                <w:szCs w:val="21"/>
              </w:rPr>
              <w:t>6</w:t>
            </w:r>
          </w:p>
        </w:tc>
        <w:tc>
          <w:tcPr>
            <w:tcW w:w="1843" w:type="dxa"/>
            <w:vAlign w:val="center"/>
          </w:tcPr>
          <w:p w14:paraId="1E519B35">
            <w:pPr>
              <w:jc w:val="center"/>
              <w:rPr>
                <w:rFonts w:ascii="Times New Roman" w:hAnsi="Times New Roman"/>
                <w:bCs/>
                <w:szCs w:val="21"/>
              </w:rPr>
            </w:pPr>
            <w:r>
              <w:rPr>
                <w:rFonts w:ascii="Times New Roman" w:hAnsi="Times New Roman"/>
                <w:bCs/>
                <w:szCs w:val="21"/>
              </w:rPr>
              <w:t>应急环境监测</w:t>
            </w:r>
          </w:p>
          <w:p w14:paraId="3BBBFBF9">
            <w:pPr>
              <w:jc w:val="center"/>
              <w:rPr>
                <w:rFonts w:ascii="Times New Roman" w:hAnsi="Times New Roman"/>
                <w:bCs/>
                <w:szCs w:val="21"/>
              </w:rPr>
            </w:pPr>
            <w:r>
              <w:rPr>
                <w:rFonts w:ascii="Times New Roman" w:hAnsi="Times New Roman"/>
                <w:bCs/>
                <w:szCs w:val="21"/>
              </w:rPr>
              <w:t>及事故后评估</w:t>
            </w:r>
          </w:p>
        </w:tc>
        <w:tc>
          <w:tcPr>
            <w:tcW w:w="6520" w:type="dxa"/>
            <w:vAlign w:val="center"/>
          </w:tcPr>
          <w:p w14:paraId="35BE5061">
            <w:pPr>
              <w:jc w:val="center"/>
              <w:rPr>
                <w:rFonts w:ascii="Times New Roman" w:hAnsi="Times New Roman"/>
                <w:bCs/>
                <w:szCs w:val="21"/>
              </w:rPr>
            </w:pPr>
            <w:r>
              <w:rPr>
                <w:rFonts w:ascii="Times New Roman" w:hAnsi="Times New Roman"/>
                <w:bCs/>
                <w:szCs w:val="21"/>
              </w:rPr>
              <w:t>由专业人员对环境风险事故现场进行应急监测，对事故性质、严重程度等所造成的环境危害后果进行评估，吸取经验教训以免再次发生事故，为指挥部门提供决策依据</w:t>
            </w:r>
          </w:p>
        </w:tc>
      </w:tr>
      <w:tr w14:paraId="3E4756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dxa"/>
            <w:vAlign w:val="center"/>
          </w:tcPr>
          <w:p w14:paraId="692E8C8E">
            <w:pPr>
              <w:jc w:val="center"/>
              <w:rPr>
                <w:rFonts w:ascii="Times New Roman" w:hAnsi="Times New Roman"/>
                <w:bCs/>
                <w:szCs w:val="21"/>
              </w:rPr>
            </w:pPr>
            <w:r>
              <w:rPr>
                <w:rFonts w:ascii="Times New Roman" w:hAnsi="Times New Roman"/>
                <w:bCs/>
                <w:szCs w:val="21"/>
              </w:rPr>
              <w:t>7</w:t>
            </w:r>
          </w:p>
        </w:tc>
        <w:tc>
          <w:tcPr>
            <w:tcW w:w="1843" w:type="dxa"/>
            <w:vAlign w:val="center"/>
          </w:tcPr>
          <w:p w14:paraId="39D311F5">
            <w:pPr>
              <w:jc w:val="center"/>
              <w:rPr>
                <w:rFonts w:ascii="Times New Roman" w:hAnsi="Times New Roman"/>
                <w:bCs/>
                <w:szCs w:val="21"/>
              </w:rPr>
            </w:pPr>
            <w:r>
              <w:rPr>
                <w:rFonts w:ascii="Times New Roman" w:hAnsi="Times New Roman"/>
                <w:bCs/>
                <w:szCs w:val="21"/>
              </w:rPr>
              <w:t>应急状态中止</w:t>
            </w:r>
          </w:p>
        </w:tc>
        <w:tc>
          <w:tcPr>
            <w:tcW w:w="6520" w:type="dxa"/>
            <w:vAlign w:val="center"/>
          </w:tcPr>
          <w:p w14:paraId="7164ACD5">
            <w:pPr>
              <w:jc w:val="center"/>
              <w:rPr>
                <w:rFonts w:ascii="Times New Roman" w:hAnsi="Times New Roman"/>
                <w:bCs/>
                <w:szCs w:val="21"/>
              </w:rPr>
            </w:pPr>
            <w:r>
              <w:rPr>
                <w:rFonts w:ascii="Times New Roman" w:hAnsi="Times New Roman"/>
                <w:bCs/>
                <w:szCs w:val="21"/>
              </w:rPr>
              <w:t>事故现场：规定应急状态终止秩序；事故现场善后处理，恢复生产</w:t>
            </w:r>
          </w:p>
        </w:tc>
      </w:tr>
      <w:tr w14:paraId="047952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dxa"/>
            <w:vAlign w:val="center"/>
          </w:tcPr>
          <w:p w14:paraId="51CE2E5C">
            <w:pPr>
              <w:jc w:val="center"/>
              <w:rPr>
                <w:rFonts w:ascii="Times New Roman" w:hAnsi="Times New Roman"/>
                <w:bCs/>
                <w:szCs w:val="21"/>
              </w:rPr>
            </w:pPr>
            <w:r>
              <w:rPr>
                <w:rFonts w:ascii="Times New Roman" w:hAnsi="Times New Roman"/>
                <w:bCs/>
                <w:szCs w:val="21"/>
              </w:rPr>
              <w:t>8</w:t>
            </w:r>
          </w:p>
        </w:tc>
        <w:tc>
          <w:tcPr>
            <w:tcW w:w="1843" w:type="dxa"/>
            <w:vAlign w:val="center"/>
          </w:tcPr>
          <w:p w14:paraId="6DD572A9">
            <w:pPr>
              <w:jc w:val="center"/>
              <w:rPr>
                <w:rFonts w:ascii="Times New Roman" w:hAnsi="Times New Roman"/>
                <w:bCs/>
                <w:szCs w:val="21"/>
              </w:rPr>
            </w:pPr>
            <w:r>
              <w:rPr>
                <w:rFonts w:ascii="Times New Roman" w:hAnsi="Times New Roman"/>
                <w:bCs/>
                <w:szCs w:val="21"/>
              </w:rPr>
              <w:t>记录和报告</w:t>
            </w:r>
          </w:p>
        </w:tc>
        <w:tc>
          <w:tcPr>
            <w:tcW w:w="6520" w:type="dxa"/>
            <w:vAlign w:val="center"/>
          </w:tcPr>
          <w:p w14:paraId="309CA52C">
            <w:pPr>
              <w:jc w:val="center"/>
              <w:rPr>
                <w:rFonts w:ascii="Times New Roman" w:hAnsi="Times New Roman"/>
                <w:bCs/>
                <w:szCs w:val="21"/>
              </w:rPr>
            </w:pPr>
            <w:r>
              <w:rPr>
                <w:rFonts w:ascii="Times New Roman" w:hAnsi="Times New Roman"/>
                <w:bCs/>
                <w:szCs w:val="21"/>
              </w:rPr>
              <w:t>准备并形成环境风险事故应急处理有关的附件材料</w:t>
            </w:r>
          </w:p>
        </w:tc>
      </w:tr>
    </w:tbl>
    <w:p w14:paraId="3D5E6685">
      <w:pPr>
        <w:spacing w:line="360" w:lineRule="auto"/>
        <w:ind w:firstLine="420" w:firstLineChars="200"/>
        <w:rPr>
          <w:rFonts w:ascii="Times New Roman" w:hAnsi="Times New Roman"/>
        </w:rPr>
      </w:pPr>
    </w:p>
    <w:p w14:paraId="698FBF60">
      <w:pPr>
        <w:pStyle w:val="7"/>
        <w:numPr>
          <w:ilvl w:val="3"/>
          <w:numId w:val="3"/>
        </w:numPr>
      </w:pPr>
      <w:r>
        <w:t>应急救援组织机构</w:t>
      </w:r>
    </w:p>
    <w:p w14:paraId="4AADB585">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建设单位首先要设立</w:t>
      </w:r>
      <w:r>
        <w:rPr>
          <w:rFonts w:ascii="宋体" w:hAnsi="宋体"/>
          <w:spacing w:val="-2"/>
          <w:kern w:val="0"/>
          <w:sz w:val="24"/>
          <w:szCs w:val="20"/>
        </w:rPr>
        <w:t>“重大事故应急救援组织机构”</w:t>
      </w:r>
      <w:r>
        <w:rPr>
          <w:rFonts w:ascii="Times New Roman" w:hAnsi="Times New Roman"/>
          <w:spacing w:val="-2"/>
          <w:kern w:val="0"/>
          <w:sz w:val="24"/>
          <w:szCs w:val="20"/>
        </w:rPr>
        <w:t>，成立应急救援组织机构指挥领导小组，以便在紧急情况下启动实施。应急组织救援机构管理组织及成员如下：</w:t>
      </w:r>
    </w:p>
    <w:p w14:paraId="05197B86">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总指挥：1人，由公司总经理担任；</w:t>
      </w:r>
    </w:p>
    <w:p w14:paraId="3DA46CBE">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副总指挥：2～4人组成，由公司副总经理担任；</w:t>
      </w:r>
    </w:p>
    <w:p w14:paraId="67EC7D2D">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指挥小组领导成员：数人，由公司各部门的负责人担任；</w:t>
      </w:r>
    </w:p>
    <w:p w14:paraId="768B247A">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指挥部：设在公司办公室，日常工作由办公室兼管。</w:t>
      </w:r>
    </w:p>
    <w:p w14:paraId="53034332">
      <w:pPr>
        <w:spacing w:line="360" w:lineRule="auto"/>
        <w:ind w:firstLine="472" w:firstLineChars="200"/>
        <w:rPr>
          <w:rFonts w:ascii="Times New Roman" w:hAnsi="Times New Roman"/>
          <w:bCs/>
          <w:spacing w:val="-2"/>
          <w:kern w:val="0"/>
          <w:sz w:val="24"/>
          <w:szCs w:val="24"/>
        </w:rPr>
      </w:pPr>
      <w:r>
        <w:rPr>
          <w:rFonts w:ascii="Times New Roman" w:hAnsi="Times New Roman"/>
          <w:spacing w:val="-2"/>
          <w:kern w:val="0"/>
          <w:sz w:val="24"/>
          <w:szCs w:val="20"/>
        </w:rPr>
        <w:t>在指挥部下设灭火组、疏散组、通讯组、救护组、抢险组等。</w:t>
      </w:r>
    </w:p>
    <w:p w14:paraId="3F35BE24">
      <w:pPr>
        <w:pStyle w:val="7"/>
        <w:numPr>
          <w:ilvl w:val="3"/>
          <w:numId w:val="3"/>
        </w:numPr>
      </w:pPr>
      <w:r>
        <w:t>应急救援组织职责任务</w:t>
      </w:r>
    </w:p>
    <w:p w14:paraId="0BCC30EA">
      <w:pPr>
        <w:spacing w:line="360" w:lineRule="auto"/>
        <w:ind w:firstLine="472" w:firstLineChars="200"/>
        <w:rPr>
          <w:rFonts w:ascii="Times New Roman" w:hAnsi="Times New Roman"/>
          <w:spacing w:val="-2"/>
          <w:kern w:val="0"/>
          <w:sz w:val="24"/>
          <w:szCs w:val="20"/>
        </w:rPr>
      </w:pPr>
      <w:r>
        <w:rPr>
          <w:rFonts w:ascii="宋体" w:hAnsi="宋体"/>
          <w:spacing w:val="-2"/>
          <w:kern w:val="0"/>
          <w:sz w:val="24"/>
          <w:szCs w:val="20"/>
        </w:rPr>
        <w:t>“重大事故应急救援组织机构”及各</w:t>
      </w:r>
      <w:r>
        <w:rPr>
          <w:rFonts w:ascii="Times New Roman" w:hAnsi="Times New Roman"/>
          <w:spacing w:val="-2"/>
          <w:kern w:val="0"/>
          <w:sz w:val="24"/>
          <w:szCs w:val="20"/>
        </w:rPr>
        <w:t>部门主要职责如下：</w:t>
      </w:r>
    </w:p>
    <w:p w14:paraId="337D3F93">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（1）指挥领导小组</w:t>
      </w:r>
    </w:p>
    <w:p w14:paraId="66FCB794">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负责公司“应急预案”的制定、修订；</w:t>
      </w:r>
    </w:p>
    <w:p w14:paraId="081B860E">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组建应急救援队伍，并组织实施和演练；</w:t>
      </w:r>
    </w:p>
    <w:p w14:paraId="22F28009">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检查督促做好重大突发环境事故的预防措施和应急救援的各项准备工作；</w:t>
      </w:r>
    </w:p>
    <w:p w14:paraId="4C268E8B">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组织指挥救援队伍实施救援行动；</w:t>
      </w:r>
    </w:p>
    <w:p w14:paraId="7E3749F4">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发布和解除应急救援命令信号；</w:t>
      </w:r>
    </w:p>
    <w:p w14:paraId="2A1CFF37">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向上级政府部门汇报或向周边单位或群众通报污染事故，必要时请求救援。</w:t>
      </w:r>
    </w:p>
    <w:p w14:paraId="3577B846">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组织事故调查，总结应急救援工作经验教训。</w:t>
      </w:r>
    </w:p>
    <w:p w14:paraId="4CE5205C">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（2）指挥人员</w:t>
      </w:r>
    </w:p>
    <w:p w14:paraId="0D17357A">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总指挥：负责公司应急救援工作的组织和指挥，总指挥不在时，由总指挥指定一位副总指挥代理。</w:t>
      </w:r>
    </w:p>
    <w:p w14:paraId="4E6B4ACF">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副总指挥：协助总指挥工作的。</w:t>
      </w:r>
    </w:p>
    <w:p w14:paraId="0521B79A">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（3）疏散组的职责</w:t>
      </w:r>
    </w:p>
    <w:p w14:paraId="798D3E99">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执行现场指挥的命令，进行疏散工作；</w:t>
      </w:r>
    </w:p>
    <w:p w14:paraId="3AA76181">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按指定的疏散路线，引导员工进入紧急疏散集合点，应选择集合到当时风向的上风侧；</w:t>
      </w:r>
    </w:p>
    <w:p w14:paraId="42545752">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执行危险区域的管制、警戒，防止无关人员及车辆进入危险区；</w:t>
      </w:r>
    </w:p>
    <w:p w14:paraId="38A6CD3D">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清点已进入集合点的人员，请通讯组协助查找失散、失踪人员，并通报相关人员；</w:t>
      </w:r>
    </w:p>
    <w:p w14:paraId="721C7EF0">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疏散组组长随时向现场指挥通报人员疏散情况。</w:t>
      </w:r>
    </w:p>
    <w:p w14:paraId="4A3EBEF7">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（4）通讯组的职责</w:t>
      </w:r>
    </w:p>
    <w:p w14:paraId="6430D448">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确保各专业组与现场指挥之间通讯的畅通；</w:t>
      </w:r>
    </w:p>
    <w:p w14:paraId="404CC418">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协助现场指挥工作并负责相关的资源、人员、设施等联络，保证救援需要的物资、人员、设施现场指挥的调动要求；</w:t>
      </w:r>
    </w:p>
    <w:p w14:paraId="5C0BA2CF">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与外部救援机构的联系与引导；</w:t>
      </w:r>
    </w:p>
    <w:p w14:paraId="4571D416">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环保、安全资讯的提供及通报；</w:t>
      </w:r>
    </w:p>
    <w:p w14:paraId="3AE2379E">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协助指挥人员安全疏散和自救。</w:t>
      </w:r>
    </w:p>
    <w:p w14:paraId="137C8A42">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（5）救护组的职责</w:t>
      </w:r>
    </w:p>
    <w:p w14:paraId="2BD0C1FF">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负责对灾害中受轻伤人员进行止血、简单包扎、人工呼吸等急救工作；</w:t>
      </w:r>
    </w:p>
    <w:p w14:paraId="02AF1A13">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经初步抢救后，对受伤人员进行检查分类和观察，采取进一步治疗措施；</w:t>
      </w:r>
    </w:p>
    <w:p w14:paraId="1287F47E">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负责将重伤人员送往医院治疗；</w:t>
      </w:r>
    </w:p>
    <w:p w14:paraId="04BB31FD">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向通讯组提供人员简单自救、互救方法，通过广播向被困员工宣传；</w:t>
      </w:r>
    </w:p>
    <w:p w14:paraId="1C796179">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救护组组长随时向现场指挥通报人员伤害及救治情况。</w:t>
      </w:r>
    </w:p>
    <w:p w14:paraId="779D1906">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（6）抢险组的职责</w:t>
      </w:r>
    </w:p>
    <w:p w14:paraId="60D5F29D">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负责设备抢检抢修或设备安装，电源供电保障、电器抢检抢修及保障，负责应急</w:t>
      </w:r>
      <w:r>
        <w:rPr>
          <w:rFonts w:hint="eastAsia" w:ascii="Times New Roman" w:hAnsi="Times New Roman"/>
          <w:spacing w:val="-2"/>
          <w:kern w:val="0"/>
          <w:sz w:val="24"/>
          <w:szCs w:val="20"/>
          <w:lang w:eastAsia="zh-CN"/>
        </w:rPr>
        <w:t>救援</w:t>
      </w:r>
      <w:r>
        <w:rPr>
          <w:rFonts w:hint="eastAsia" w:ascii="Times New Roman" w:hAnsi="Times New Roman"/>
          <w:spacing w:val="-2"/>
          <w:kern w:val="0"/>
          <w:sz w:val="24"/>
          <w:szCs w:val="20"/>
        </w:rPr>
        <w:t>物资</w:t>
      </w:r>
      <w:r>
        <w:rPr>
          <w:rFonts w:ascii="Times New Roman" w:hAnsi="Times New Roman"/>
          <w:spacing w:val="-2"/>
          <w:kern w:val="0"/>
          <w:sz w:val="24"/>
          <w:szCs w:val="20"/>
        </w:rPr>
        <w:t>的供应和运输，保证救援</w:t>
      </w:r>
      <w:r>
        <w:rPr>
          <w:rFonts w:hint="eastAsia" w:ascii="Times New Roman" w:hAnsi="Times New Roman"/>
          <w:spacing w:val="-2"/>
          <w:kern w:val="0"/>
          <w:sz w:val="24"/>
          <w:szCs w:val="20"/>
          <w:lang w:eastAsia="zh-CN"/>
        </w:rPr>
        <w:t>物资</w:t>
      </w:r>
      <w:r>
        <w:rPr>
          <w:rFonts w:ascii="Times New Roman" w:hAnsi="Times New Roman"/>
          <w:spacing w:val="-2"/>
          <w:kern w:val="0"/>
          <w:sz w:val="24"/>
          <w:szCs w:val="20"/>
        </w:rPr>
        <w:t>及时到位。</w:t>
      </w:r>
    </w:p>
    <w:p w14:paraId="0AC95F8F">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抢险组的成员应对事故现场、地形、设施、工艺熟悉，在具有防护措施的前提下，抢修设备、防止事故扩大，降低事故损失，抑制危险范围的扩大；</w:t>
      </w:r>
    </w:p>
    <w:p w14:paraId="6A63A15A">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执行现场指挥的命令，进行抢险、抢修、阻漏等工作；</w:t>
      </w:r>
    </w:p>
    <w:p w14:paraId="0B31E093">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需要时架设临时照明电源；</w:t>
      </w:r>
    </w:p>
    <w:p w14:paraId="138129F1">
      <w:pPr>
        <w:spacing w:line="360" w:lineRule="auto"/>
        <w:ind w:firstLine="472" w:firstLineChars="200"/>
        <w:rPr>
          <w:rFonts w:ascii="Times New Roman" w:hAnsi="Times New Roman"/>
          <w:bCs/>
          <w:spacing w:val="-2"/>
          <w:kern w:val="0"/>
          <w:sz w:val="24"/>
          <w:szCs w:val="24"/>
        </w:rPr>
      </w:pPr>
      <w:r>
        <w:rPr>
          <w:rFonts w:ascii="Times New Roman" w:hAnsi="Times New Roman"/>
          <w:spacing w:val="-2"/>
          <w:kern w:val="0"/>
          <w:sz w:val="24"/>
          <w:szCs w:val="20"/>
        </w:rPr>
        <w:t>抢险组组长随时向现场指挥通报现场抢险进展情况。</w:t>
      </w:r>
    </w:p>
    <w:p w14:paraId="5D32C16A">
      <w:pPr>
        <w:pStyle w:val="7"/>
        <w:numPr>
          <w:ilvl w:val="3"/>
          <w:numId w:val="3"/>
        </w:numPr>
      </w:pPr>
      <w:r>
        <w:t>环境突发事故的报告制度</w:t>
      </w:r>
    </w:p>
    <w:p w14:paraId="7F32E88E">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当发生重特大环境事故时，立即报告总指挥，及时做好重特大环境事故上报工作。并立即请求社会应急联动系统支援。</w:t>
      </w:r>
    </w:p>
    <w:p w14:paraId="5F1082C0">
      <w:pPr>
        <w:spacing w:line="360" w:lineRule="auto"/>
        <w:ind w:firstLine="472" w:firstLineChars="200"/>
        <w:rPr>
          <w:rFonts w:ascii="Times New Roman" w:hAnsi="Times New Roman"/>
          <w:bCs/>
          <w:spacing w:val="-2"/>
          <w:kern w:val="0"/>
          <w:sz w:val="24"/>
          <w:szCs w:val="24"/>
        </w:rPr>
      </w:pPr>
      <w:r>
        <w:rPr>
          <w:rFonts w:ascii="Times New Roman" w:hAnsi="Times New Roman"/>
          <w:spacing w:val="-2"/>
          <w:kern w:val="0"/>
          <w:sz w:val="24"/>
          <w:szCs w:val="20"/>
        </w:rPr>
        <w:t>环境事故报告要按照国家环保局《报告环境污染与破坏事故的暂行办法》的规定执行，并及时向地方人民政府报告。重大事故应急救援组织机构领导首先向当地生态环境</w:t>
      </w:r>
      <w:r>
        <w:rPr>
          <w:rFonts w:hint="eastAsia" w:ascii="Times New Roman" w:hAnsi="Times New Roman"/>
          <w:spacing w:val="-2"/>
          <w:kern w:val="0"/>
          <w:sz w:val="24"/>
          <w:szCs w:val="20"/>
          <w:lang w:eastAsia="zh-CN"/>
        </w:rPr>
        <w:t>部</w:t>
      </w:r>
      <w:r>
        <w:rPr>
          <w:rFonts w:ascii="Times New Roman" w:hAnsi="Times New Roman"/>
          <w:spacing w:val="-2"/>
          <w:kern w:val="0"/>
          <w:sz w:val="24"/>
          <w:szCs w:val="20"/>
        </w:rPr>
        <w:t>门报告，当地生态环境部门按照规定程序，逐级向广西生态环境厅报告污染状况，并随时上报调查处理的进展情况。</w:t>
      </w:r>
    </w:p>
    <w:p w14:paraId="1774E0A3">
      <w:pPr>
        <w:pStyle w:val="7"/>
        <w:numPr>
          <w:ilvl w:val="3"/>
          <w:numId w:val="3"/>
        </w:numPr>
      </w:pPr>
      <w:r>
        <w:t>事故污染区应急环境监测和消息发布</w:t>
      </w:r>
    </w:p>
    <w:p w14:paraId="79DA7B5E">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指挥部配合与当地公安、消防、地方生态环境部门等单位迅速展开现场调查、判明事故、事件发生的时间、地点、原因、污染物种类、性质，及时做好事故污染区应急环境监测和污染跟踪，对已造成污染区域的污染范围、影响程度进行评估，为指挥部门提供决策依据。</w:t>
      </w:r>
    </w:p>
    <w:p w14:paraId="4DBBC127">
      <w:pPr>
        <w:spacing w:line="360" w:lineRule="auto"/>
        <w:ind w:firstLine="472" w:firstLineChars="200"/>
        <w:rPr>
          <w:rFonts w:ascii="Times New Roman" w:hAnsi="Times New Roman"/>
          <w:bCs/>
          <w:spacing w:val="-2"/>
          <w:kern w:val="0"/>
          <w:sz w:val="24"/>
          <w:szCs w:val="24"/>
        </w:rPr>
      </w:pPr>
      <w:r>
        <w:rPr>
          <w:rFonts w:ascii="Times New Roman" w:hAnsi="Times New Roman"/>
          <w:spacing w:val="-2"/>
          <w:kern w:val="0"/>
          <w:sz w:val="24"/>
          <w:szCs w:val="20"/>
        </w:rPr>
        <w:t>根据现场污染监测数据和现场调查，事故应急环境监测应当向地方政府建议建立污染警戒区域，由地方生态环境局及时通报有关部门，作出是否发布警报决定。同时要按照国家保密局、原国家环保局《环境保护工作国家秘密范围》和原</w:t>
      </w:r>
      <w:r>
        <w:rPr>
          <w:rFonts w:hint="eastAsia" w:ascii="Times New Roman" w:hAnsi="Times New Roman"/>
          <w:spacing w:val="-2"/>
          <w:kern w:val="0"/>
          <w:sz w:val="24"/>
          <w:szCs w:val="20"/>
          <w:lang w:eastAsia="zh-CN"/>
        </w:rPr>
        <w:t>国家环境保护局</w:t>
      </w:r>
      <w:r>
        <w:rPr>
          <w:rFonts w:ascii="Times New Roman" w:hAnsi="Times New Roman"/>
          <w:spacing w:val="-2"/>
          <w:kern w:val="0"/>
          <w:sz w:val="24"/>
          <w:szCs w:val="20"/>
        </w:rPr>
        <w:t>《环境污染与破坏事故新闻发布管理办法》的规定，有关突发事件信息、由事故处理地新闻媒体发布污染事故消息。其他相关部门单位及个人未经批准，不得擅自泄漏事件信息。</w:t>
      </w:r>
    </w:p>
    <w:p w14:paraId="36EDE6AF">
      <w:pPr>
        <w:pStyle w:val="7"/>
        <w:numPr>
          <w:ilvl w:val="3"/>
          <w:numId w:val="3"/>
        </w:numPr>
      </w:pPr>
      <w:r>
        <w:t>应急救援保障措施</w:t>
      </w:r>
    </w:p>
    <w:p w14:paraId="5FB7A888">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指挥部配合与当地公安、消防、生态环境部门等单位迅速展开现场调查、判明事故、事件发生的时间、地点、原因、污染物种类、性质，及时做好事故污染区应急环境监测和污染跟踪，对污染范围、影响程度进行评估，为指挥部门提供决策依据。</w:t>
      </w:r>
    </w:p>
    <w:p w14:paraId="23C944E5">
      <w:pPr>
        <w:spacing w:line="360" w:lineRule="auto"/>
        <w:ind w:firstLine="472" w:firstLineChars="200"/>
        <w:rPr>
          <w:rFonts w:ascii="Times New Roman" w:hAnsi="Times New Roman"/>
          <w:bCs/>
          <w:spacing w:val="-2"/>
          <w:kern w:val="0"/>
          <w:sz w:val="24"/>
          <w:szCs w:val="24"/>
        </w:rPr>
      </w:pPr>
      <w:r>
        <w:rPr>
          <w:rFonts w:ascii="Times New Roman" w:hAnsi="Times New Roman"/>
          <w:spacing w:val="-2"/>
          <w:kern w:val="0"/>
          <w:sz w:val="24"/>
          <w:szCs w:val="20"/>
        </w:rPr>
        <w:t>根据现场污染监测数据和现场调查，事故应急环境监测应当向地方政府建议建立污染警戒区域，由地方生态环境局及时通报有关部门，作出是否发布警报决定。同时要按照国家保密局、国家生态环境</w:t>
      </w:r>
      <w:r>
        <w:rPr>
          <w:rFonts w:hint="eastAsia" w:ascii="Times New Roman" w:hAnsi="Times New Roman"/>
          <w:spacing w:val="-2"/>
          <w:kern w:val="0"/>
          <w:sz w:val="24"/>
          <w:szCs w:val="20"/>
        </w:rPr>
        <w:t>部</w:t>
      </w:r>
      <w:r>
        <w:rPr>
          <w:rFonts w:ascii="Times New Roman" w:hAnsi="Times New Roman"/>
          <w:spacing w:val="-2"/>
          <w:kern w:val="0"/>
          <w:sz w:val="24"/>
          <w:szCs w:val="20"/>
        </w:rPr>
        <w:t>《环境保护工作国家秘密范围》和国家生态环境</w:t>
      </w:r>
      <w:r>
        <w:rPr>
          <w:rFonts w:hint="eastAsia" w:ascii="Times New Roman" w:hAnsi="Times New Roman"/>
          <w:spacing w:val="-2"/>
          <w:kern w:val="0"/>
          <w:sz w:val="24"/>
          <w:szCs w:val="20"/>
        </w:rPr>
        <w:t>部</w:t>
      </w:r>
      <w:r>
        <w:rPr>
          <w:rFonts w:ascii="Times New Roman" w:hAnsi="Times New Roman"/>
          <w:spacing w:val="-2"/>
          <w:kern w:val="0"/>
          <w:sz w:val="24"/>
          <w:szCs w:val="20"/>
        </w:rPr>
        <w:t>《环境污染与破坏事故新闻发布管理办法》的规定，有关突发事件信息、由事故处理地新闻媒体发布污染事故消息。其他相关部门单位及个人未经批准，不得擅自泄漏事件信息。</w:t>
      </w:r>
    </w:p>
    <w:p w14:paraId="7B64D6B6">
      <w:pPr>
        <w:pStyle w:val="7"/>
        <w:numPr>
          <w:ilvl w:val="3"/>
          <w:numId w:val="3"/>
        </w:numPr>
      </w:pPr>
      <w:r>
        <w:t>污染事故善后处理</w:t>
      </w:r>
    </w:p>
    <w:p w14:paraId="668DF5EE">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环境突发事故控制住后，要同时进行如下的善后处理：</w:t>
      </w:r>
    </w:p>
    <w:p w14:paraId="6F20A85D">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（1）及时调查环境事故的起因，对事故基本情况进行定性和定量描述，对整个事故进行评估，对玩忽职守并造成严重后果的，追究相关人员责任。</w:t>
      </w:r>
    </w:p>
    <w:p w14:paraId="52E7F01F">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（2）收集相关资料</w:t>
      </w:r>
      <w:r>
        <w:rPr>
          <w:rFonts w:hint="eastAsia" w:ascii="Times New Roman" w:hAnsi="Times New Roman"/>
          <w:spacing w:val="-2"/>
          <w:kern w:val="0"/>
          <w:sz w:val="24"/>
          <w:szCs w:val="20"/>
        </w:rPr>
        <w:t>存档</w:t>
      </w:r>
      <w:r>
        <w:rPr>
          <w:rFonts w:ascii="Times New Roman" w:hAnsi="Times New Roman"/>
          <w:spacing w:val="-2"/>
          <w:kern w:val="0"/>
          <w:sz w:val="24"/>
          <w:szCs w:val="20"/>
        </w:rPr>
        <w:t>，包括事故性质、参数与后果、决策记录、信息分析等，进行工作总结，为防范环境突发事故指挥部门提供决策依据。</w:t>
      </w:r>
    </w:p>
    <w:p w14:paraId="26F3A450">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（3）对受伤工人或群众进行抢救及安抚，制定相应的赔偿计划等善后工作；</w:t>
      </w:r>
    </w:p>
    <w:p w14:paraId="4B3C46F9">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（4）对受损的设施设备进行检修等善后工作，待确定设施设备能正常运行时再恢复生产。</w:t>
      </w:r>
    </w:p>
    <w:p w14:paraId="414033BB">
      <w:pPr>
        <w:pStyle w:val="7"/>
        <w:numPr>
          <w:ilvl w:val="3"/>
          <w:numId w:val="3"/>
        </w:numPr>
      </w:pPr>
      <w:r>
        <w:rPr>
          <w:rFonts w:hint="eastAsia"/>
        </w:rPr>
        <w:t>环境风险三级防控措施</w:t>
      </w:r>
    </w:p>
    <w:p w14:paraId="570D5CA8">
      <w:pPr>
        <w:spacing w:line="360" w:lineRule="auto"/>
        <w:ind w:firstLine="472" w:firstLineChars="200"/>
        <w:rPr>
          <w:rFonts w:ascii="Times New Roman" w:hAnsi="Times New Roman"/>
          <w:spacing w:val="-2"/>
          <w:kern w:val="0"/>
          <w:sz w:val="24"/>
          <w:szCs w:val="20"/>
          <w:u w:val="single"/>
        </w:rPr>
      </w:pPr>
      <w:r>
        <w:rPr>
          <w:rFonts w:hint="eastAsia" w:ascii="Times New Roman" w:hAnsi="Times New Roman"/>
          <w:spacing w:val="-2"/>
          <w:kern w:val="0"/>
          <w:sz w:val="24"/>
          <w:szCs w:val="20"/>
          <w:u w:val="single"/>
        </w:rPr>
        <w:t>本项目以实现达标排放和满足应急处置为原则，建立污染源头、过程处理和最终排放的“三级防控”机制。</w:t>
      </w:r>
    </w:p>
    <w:p w14:paraId="595B2904">
      <w:pPr>
        <w:spacing w:line="360" w:lineRule="auto"/>
        <w:ind w:firstLine="472" w:firstLineChars="200"/>
        <w:rPr>
          <w:rFonts w:ascii="Times New Roman" w:hAnsi="Times New Roman"/>
          <w:spacing w:val="-2"/>
          <w:kern w:val="0"/>
          <w:sz w:val="24"/>
          <w:szCs w:val="20"/>
          <w:u w:val="single"/>
        </w:rPr>
      </w:pPr>
      <w:r>
        <w:rPr>
          <w:rFonts w:hint="eastAsia" w:ascii="Times New Roman" w:hAnsi="Times New Roman"/>
          <w:spacing w:val="-2"/>
          <w:kern w:val="0"/>
          <w:sz w:val="24"/>
          <w:szCs w:val="20"/>
          <w:u w:val="single"/>
        </w:rPr>
        <w:t>（1）第一级防控措施是保证放射性产尘单元的收集措施，落实</w:t>
      </w:r>
      <w:r>
        <w:rPr>
          <w:rFonts w:hint="eastAsia" w:ascii="Times New Roman" w:hAnsi="Times New Roman"/>
          <w:spacing w:val="-2"/>
          <w:kern w:val="0"/>
          <w:sz w:val="24"/>
          <w:szCs w:val="20"/>
          <w:u w:val="single"/>
          <w:lang w:eastAsia="zh-CN"/>
        </w:rPr>
        <w:t>车间</w:t>
      </w:r>
      <w:r>
        <w:rPr>
          <w:rFonts w:hint="eastAsia" w:ascii="Times New Roman" w:hAnsi="Times New Roman"/>
          <w:spacing w:val="-2"/>
          <w:kern w:val="0"/>
          <w:sz w:val="24"/>
          <w:szCs w:val="20"/>
          <w:u w:val="single"/>
        </w:rPr>
        <w:t>内产尘量较大的烘干进出料口、磁选机组进出料口等，落实集尘罩进行有效收集，构筑生产过程中环境安全的第一层防控网，使逸散粉尘切换到处理系统，防止放射性粉尘大量积聚在车间内，在车间出入口大门开闭时造成进入环境事故造成环境污染。</w:t>
      </w:r>
    </w:p>
    <w:p w14:paraId="78D29518">
      <w:pPr>
        <w:spacing w:line="360" w:lineRule="auto"/>
        <w:ind w:firstLine="472" w:firstLineChars="200"/>
        <w:rPr>
          <w:rFonts w:ascii="Times New Roman" w:hAnsi="Times New Roman"/>
          <w:spacing w:val="-2"/>
          <w:kern w:val="0"/>
          <w:sz w:val="24"/>
          <w:szCs w:val="20"/>
          <w:u w:val="single"/>
        </w:rPr>
      </w:pPr>
      <w:r>
        <w:rPr>
          <w:rFonts w:hint="eastAsia" w:ascii="Times New Roman" w:hAnsi="Times New Roman"/>
          <w:spacing w:val="-2"/>
          <w:kern w:val="0"/>
          <w:sz w:val="24"/>
          <w:szCs w:val="20"/>
          <w:u w:val="single"/>
        </w:rPr>
        <w:t>（2）第二级防控措施是保证放射性产尘单元的收集措施，落实车间的无组织扬尘降尘措施及防止逸散的管理及设施，物料装卸均在车间内且处于封闭状态下进行，保证厂区内的无组织粉尘</w:t>
      </w:r>
      <w:r>
        <w:rPr>
          <w:rFonts w:hint="eastAsia" w:ascii="Times New Roman" w:hAnsi="Times New Roman"/>
          <w:spacing w:val="-2"/>
          <w:kern w:val="0"/>
          <w:sz w:val="24"/>
          <w:szCs w:val="20"/>
          <w:u w:val="single"/>
          <w:lang w:eastAsia="zh-CN"/>
        </w:rPr>
        <w:t>可以有效地</w:t>
      </w:r>
      <w:r>
        <w:rPr>
          <w:rFonts w:hint="eastAsia" w:ascii="Times New Roman" w:hAnsi="Times New Roman"/>
          <w:spacing w:val="-2"/>
          <w:kern w:val="0"/>
          <w:sz w:val="24"/>
          <w:szCs w:val="20"/>
          <w:u w:val="single"/>
        </w:rPr>
        <w:t>沉降到车间地面，再进行收集。在车间粉尘浓度较高时加大水雾喷淋效率作为车间无组织粉尘的缓冲措施，切断污染物与外部的通道，将污染控制在厂内，防止较大生产事故泄漏物料造成的环境污染；</w:t>
      </w:r>
    </w:p>
    <w:p w14:paraId="3CA2355B">
      <w:pPr>
        <w:spacing w:line="360" w:lineRule="auto"/>
        <w:ind w:firstLine="472" w:firstLineChars="200"/>
        <w:rPr>
          <w:rFonts w:ascii="Times New Roman" w:hAnsi="Times New Roman"/>
          <w:spacing w:val="-2"/>
          <w:kern w:val="0"/>
          <w:sz w:val="24"/>
          <w:szCs w:val="20"/>
          <w:u w:val="single"/>
        </w:rPr>
      </w:pPr>
      <w:r>
        <w:rPr>
          <w:rFonts w:hint="eastAsia" w:ascii="Times New Roman" w:hAnsi="Times New Roman"/>
          <w:spacing w:val="-2"/>
          <w:kern w:val="0"/>
          <w:sz w:val="24"/>
          <w:szCs w:val="20"/>
          <w:u w:val="single"/>
        </w:rPr>
        <w:t>（3）第三级防控措施是在</w:t>
      </w:r>
      <w:r>
        <w:rPr>
          <w:rFonts w:hint="eastAsia" w:ascii="Times New Roman" w:hAnsi="Times New Roman"/>
          <w:sz w:val="24"/>
          <w:szCs w:val="24"/>
          <w:u w:val="single"/>
        </w:rPr>
        <w:t>创大进口汽车仓储物流园东大门附近设置一个150m</w:t>
      </w:r>
      <w:r>
        <w:rPr>
          <w:rFonts w:hint="eastAsia" w:ascii="Times New Roman" w:hAnsi="Times New Roman"/>
          <w:sz w:val="24"/>
          <w:szCs w:val="24"/>
          <w:u w:val="single"/>
          <w:vertAlign w:val="superscript"/>
        </w:rPr>
        <w:t>3</w:t>
      </w:r>
      <w:r>
        <w:rPr>
          <w:rFonts w:hint="eastAsia" w:ascii="Times New Roman" w:hAnsi="Times New Roman"/>
          <w:sz w:val="24"/>
          <w:szCs w:val="24"/>
          <w:u w:val="single"/>
        </w:rPr>
        <w:t>的初期雨水池及应急池，项目生产过程中无生产废水，运营过程中可能造成水污染的途径是初期雨水冲刷有含放射性矿尘的地面造成的污染，因此初期雨水池同时也是项目应急池，主要收集项目车间屋面及靠近车间出入口附近的地面。初期雨水进入初期雨水池，同时也</w:t>
      </w:r>
      <w:r>
        <w:rPr>
          <w:rFonts w:hint="eastAsia" w:ascii="Times New Roman" w:hAnsi="Times New Roman"/>
          <w:spacing w:val="-2"/>
          <w:kern w:val="0"/>
          <w:sz w:val="24"/>
          <w:szCs w:val="20"/>
          <w:u w:val="single"/>
        </w:rPr>
        <w:t>作为出现地面物料撒漏经雨水冲刷的事故状态下的储存与调控手段，将污染物控制在区内，防止重大事故泄漏物料和污染消防水造成的环境污染。</w:t>
      </w:r>
    </w:p>
    <w:p w14:paraId="7239AA08">
      <w:pPr>
        <w:pStyle w:val="6"/>
        <w:numPr>
          <w:ilvl w:val="2"/>
          <w:numId w:val="3"/>
        </w:numPr>
      </w:pPr>
      <w:r>
        <w:t>分析结论</w:t>
      </w:r>
    </w:p>
    <w:p w14:paraId="293CD9FC">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项目主要环境风险为除尘器事故排放环境风险。通过制定严格风险防范措施和管理规定，落实岗位责任制，加强职工的安全生产教育，</w:t>
      </w:r>
      <w:r>
        <w:rPr>
          <w:rFonts w:hint="eastAsia" w:ascii="Times New Roman" w:hAnsi="Times New Roman"/>
          <w:spacing w:val="-2"/>
          <w:kern w:val="0"/>
          <w:sz w:val="24"/>
          <w:szCs w:val="20"/>
          <w:lang w:eastAsia="zh-CN"/>
        </w:rPr>
        <w:t>增强风险意识</w:t>
      </w:r>
      <w:r>
        <w:rPr>
          <w:rFonts w:ascii="Times New Roman" w:hAnsi="Times New Roman"/>
          <w:spacing w:val="-2"/>
          <w:kern w:val="0"/>
          <w:sz w:val="24"/>
          <w:szCs w:val="20"/>
        </w:rPr>
        <w:t>，能够最大限度地减少可能发生的环境风险，在发生环境风险事故时，要及时启动风险应急预案。在认真贯彻落实报告提出的各项环境风险防范措施和加强管理的前提下，本项目的环境风险是可控的，环境是可以接受的。</w:t>
      </w:r>
    </w:p>
    <w:p w14:paraId="1E8373BD">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项目环境风险简单分析内容表详见表4.9-</w:t>
      </w:r>
      <w:r>
        <w:rPr>
          <w:rFonts w:hint="eastAsia" w:ascii="Times New Roman" w:hAnsi="Times New Roman"/>
          <w:sz w:val="24"/>
          <w:szCs w:val="24"/>
        </w:rPr>
        <w:t>7</w:t>
      </w:r>
      <w:r>
        <w:rPr>
          <w:rFonts w:ascii="Times New Roman" w:hAnsi="Times New Roman"/>
          <w:sz w:val="24"/>
          <w:szCs w:val="24"/>
        </w:rPr>
        <w:t>。</w:t>
      </w:r>
    </w:p>
    <w:p w14:paraId="33FBCF4F">
      <w:pPr>
        <w:pStyle w:val="8"/>
        <w:numPr>
          <w:ilvl w:val="4"/>
          <w:numId w:val="3"/>
        </w:numPr>
        <w:rPr>
          <w:sz w:val="24"/>
          <w:szCs w:val="24"/>
        </w:rPr>
      </w:pPr>
      <w:r>
        <w:rPr>
          <w:sz w:val="24"/>
          <w:szCs w:val="24"/>
        </w:rPr>
        <w:t>建设项目环境风险简单分析内容表</w:t>
      </w:r>
    </w:p>
    <w:tbl>
      <w:tblPr>
        <w:tblStyle w:val="88"/>
        <w:tblW w:w="8930" w:type="dxa"/>
        <w:tblInd w:w="5"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2694"/>
        <w:gridCol w:w="1134"/>
        <w:gridCol w:w="1539"/>
        <w:gridCol w:w="1276"/>
        <w:gridCol w:w="2287"/>
      </w:tblGrid>
      <w:tr w14:paraId="29D9AB2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2694" w:type="dxa"/>
            <w:shd w:val="clear" w:color="auto" w:fill="FFFFFF"/>
            <w:vAlign w:val="center"/>
          </w:tcPr>
          <w:p w14:paraId="5E4CE5A2">
            <w:pPr>
              <w:autoSpaceDE w:val="0"/>
              <w:autoSpaceDN w:val="0"/>
              <w:adjustRightInd w:val="0"/>
              <w:jc w:val="center"/>
              <w:rPr>
                <w:rFonts w:ascii="Times New Roman" w:hAnsi="Times New Roman"/>
                <w:kern w:val="0"/>
                <w:szCs w:val="21"/>
              </w:rPr>
            </w:pPr>
            <w:r>
              <w:rPr>
                <w:rFonts w:ascii="Times New Roman" w:hAnsi="Times New Roman"/>
                <w:kern w:val="0"/>
                <w:szCs w:val="21"/>
              </w:rPr>
              <w:t>建设项目名称</w:t>
            </w:r>
          </w:p>
        </w:tc>
        <w:tc>
          <w:tcPr>
            <w:tcW w:w="6236" w:type="dxa"/>
            <w:gridSpan w:val="4"/>
            <w:shd w:val="clear" w:color="auto" w:fill="FFFFFF"/>
            <w:vAlign w:val="center"/>
          </w:tcPr>
          <w:p w14:paraId="4712732F">
            <w:pPr>
              <w:autoSpaceDE w:val="0"/>
              <w:autoSpaceDN w:val="0"/>
              <w:adjustRightInd w:val="0"/>
              <w:jc w:val="center"/>
              <w:rPr>
                <w:rFonts w:ascii="Times New Roman" w:hAnsi="Times New Roman"/>
                <w:kern w:val="0"/>
                <w:szCs w:val="21"/>
              </w:rPr>
            </w:pPr>
            <w:r>
              <w:rPr>
                <w:rFonts w:ascii="Times New Roman" w:hAnsi="Times New Roman"/>
                <w:kern w:val="0"/>
                <w:szCs w:val="21"/>
              </w:rPr>
              <w:t>锆钛矿石分选加工项目</w:t>
            </w:r>
          </w:p>
        </w:tc>
      </w:tr>
      <w:tr w14:paraId="7412447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2694" w:type="dxa"/>
            <w:shd w:val="clear" w:color="auto" w:fill="FFFFFF"/>
            <w:vAlign w:val="center"/>
          </w:tcPr>
          <w:p w14:paraId="1E8842FA">
            <w:pPr>
              <w:autoSpaceDE w:val="0"/>
              <w:autoSpaceDN w:val="0"/>
              <w:adjustRightInd w:val="0"/>
              <w:jc w:val="center"/>
              <w:rPr>
                <w:rFonts w:ascii="Times New Roman" w:hAnsi="Times New Roman"/>
                <w:kern w:val="0"/>
                <w:szCs w:val="21"/>
              </w:rPr>
            </w:pPr>
            <w:r>
              <w:rPr>
                <w:rFonts w:ascii="Times New Roman" w:hAnsi="Times New Roman"/>
                <w:kern w:val="0"/>
                <w:szCs w:val="21"/>
              </w:rPr>
              <w:t>建设地点</w:t>
            </w:r>
          </w:p>
        </w:tc>
        <w:tc>
          <w:tcPr>
            <w:tcW w:w="1134" w:type="dxa"/>
            <w:shd w:val="clear" w:color="auto" w:fill="FFFFFF"/>
            <w:vAlign w:val="center"/>
          </w:tcPr>
          <w:p w14:paraId="6C7E26B1">
            <w:pPr>
              <w:autoSpaceDE w:val="0"/>
              <w:autoSpaceDN w:val="0"/>
              <w:adjustRightInd w:val="0"/>
              <w:jc w:val="center"/>
              <w:rPr>
                <w:rFonts w:ascii="Times New Roman" w:hAnsi="Times New Roman"/>
                <w:kern w:val="0"/>
                <w:szCs w:val="21"/>
              </w:rPr>
            </w:pPr>
            <w:r>
              <w:rPr>
                <w:rFonts w:ascii="Times New Roman" w:hAnsi="Times New Roman"/>
                <w:kern w:val="0"/>
                <w:szCs w:val="21"/>
              </w:rPr>
              <w:t>广西</w:t>
            </w:r>
          </w:p>
        </w:tc>
        <w:tc>
          <w:tcPr>
            <w:tcW w:w="1539" w:type="dxa"/>
            <w:shd w:val="clear" w:color="auto" w:fill="FFFFFF"/>
            <w:vAlign w:val="center"/>
          </w:tcPr>
          <w:p w14:paraId="3E9F4525">
            <w:pPr>
              <w:autoSpaceDE w:val="0"/>
              <w:autoSpaceDN w:val="0"/>
              <w:adjustRightInd w:val="0"/>
              <w:jc w:val="center"/>
              <w:rPr>
                <w:rFonts w:ascii="Times New Roman" w:hAnsi="Times New Roman"/>
                <w:kern w:val="0"/>
                <w:szCs w:val="21"/>
              </w:rPr>
            </w:pPr>
            <w:r>
              <w:rPr>
                <w:rFonts w:ascii="Times New Roman" w:hAnsi="Times New Roman"/>
                <w:kern w:val="0"/>
                <w:szCs w:val="21"/>
              </w:rPr>
              <w:t>钦州市</w:t>
            </w:r>
          </w:p>
        </w:tc>
        <w:tc>
          <w:tcPr>
            <w:tcW w:w="1276" w:type="dxa"/>
            <w:shd w:val="clear" w:color="auto" w:fill="FFFFFF"/>
            <w:vAlign w:val="center"/>
          </w:tcPr>
          <w:p w14:paraId="7F2C6531">
            <w:pPr>
              <w:autoSpaceDE w:val="0"/>
              <w:autoSpaceDN w:val="0"/>
              <w:adjustRightInd w:val="0"/>
              <w:jc w:val="center"/>
              <w:rPr>
                <w:rFonts w:ascii="Times New Roman" w:hAnsi="Times New Roman"/>
                <w:kern w:val="0"/>
                <w:szCs w:val="21"/>
              </w:rPr>
            </w:pPr>
            <w:r>
              <w:rPr>
                <w:rFonts w:ascii="Times New Roman" w:hAnsi="Times New Roman"/>
                <w:kern w:val="0"/>
                <w:szCs w:val="21"/>
              </w:rPr>
              <w:t>钦南区</w:t>
            </w:r>
          </w:p>
        </w:tc>
        <w:tc>
          <w:tcPr>
            <w:tcW w:w="2287" w:type="dxa"/>
            <w:shd w:val="clear" w:color="auto" w:fill="FFFFFF"/>
            <w:vAlign w:val="center"/>
          </w:tcPr>
          <w:p w14:paraId="65331750">
            <w:pPr>
              <w:autoSpaceDE w:val="0"/>
              <w:autoSpaceDN w:val="0"/>
              <w:adjustRightInd w:val="0"/>
              <w:jc w:val="center"/>
              <w:rPr>
                <w:rFonts w:ascii="Times New Roman" w:hAnsi="Times New Roman"/>
                <w:kern w:val="0"/>
                <w:szCs w:val="21"/>
              </w:rPr>
            </w:pPr>
            <w:r>
              <w:rPr>
                <w:rFonts w:ascii="Times New Roman" w:hAnsi="Times New Roman"/>
                <w:kern w:val="0"/>
                <w:szCs w:val="21"/>
              </w:rPr>
              <w:t>广西钦州保税港区内</w:t>
            </w:r>
          </w:p>
        </w:tc>
      </w:tr>
      <w:tr w14:paraId="061A06D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2694" w:type="dxa"/>
            <w:shd w:val="clear" w:color="auto" w:fill="FFFFFF"/>
            <w:vAlign w:val="center"/>
          </w:tcPr>
          <w:p w14:paraId="7BDA1C84">
            <w:pPr>
              <w:autoSpaceDE w:val="0"/>
              <w:autoSpaceDN w:val="0"/>
              <w:adjustRightInd w:val="0"/>
              <w:jc w:val="center"/>
              <w:rPr>
                <w:rFonts w:ascii="Times New Roman" w:hAnsi="Times New Roman"/>
                <w:kern w:val="0"/>
                <w:szCs w:val="21"/>
              </w:rPr>
            </w:pPr>
            <w:r>
              <w:rPr>
                <w:rFonts w:ascii="Times New Roman" w:hAnsi="Times New Roman"/>
                <w:kern w:val="0"/>
                <w:szCs w:val="21"/>
              </w:rPr>
              <w:t>地理坐标</w:t>
            </w:r>
          </w:p>
        </w:tc>
        <w:tc>
          <w:tcPr>
            <w:tcW w:w="1134" w:type="dxa"/>
            <w:shd w:val="clear" w:color="auto" w:fill="FFFFFF"/>
            <w:vAlign w:val="center"/>
          </w:tcPr>
          <w:p w14:paraId="7984DB47">
            <w:pPr>
              <w:autoSpaceDE w:val="0"/>
              <w:autoSpaceDN w:val="0"/>
              <w:adjustRightInd w:val="0"/>
              <w:jc w:val="center"/>
              <w:rPr>
                <w:rFonts w:ascii="Times New Roman" w:hAnsi="Times New Roman"/>
                <w:kern w:val="0"/>
                <w:szCs w:val="21"/>
              </w:rPr>
            </w:pPr>
            <w:r>
              <w:rPr>
                <w:rFonts w:ascii="Times New Roman" w:hAnsi="Times New Roman"/>
                <w:kern w:val="0"/>
                <w:szCs w:val="21"/>
              </w:rPr>
              <w:t>经度</w:t>
            </w:r>
          </w:p>
        </w:tc>
        <w:tc>
          <w:tcPr>
            <w:tcW w:w="1539" w:type="dxa"/>
            <w:shd w:val="clear" w:color="auto" w:fill="FFFFFF"/>
            <w:vAlign w:val="center"/>
          </w:tcPr>
          <w:p w14:paraId="78DD1F36">
            <w:pPr>
              <w:autoSpaceDE w:val="0"/>
              <w:autoSpaceDN w:val="0"/>
              <w:adjustRightInd w:val="0"/>
              <w:jc w:val="center"/>
              <w:rPr>
                <w:rFonts w:ascii="Times New Roman" w:hAnsi="Times New Roman"/>
                <w:kern w:val="0"/>
                <w:szCs w:val="21"/>
              </w:rPr>
            </w:pPr>
            <w:r>
              <w:rPr>
                <w:rFonts w:ascii="Times New Roman" w:hAnsi="Times New Roman"/>
                <w:spacing w:val="-2"/>
                <w:kern w:val="0"/>
                <w:szCs w:val="21"/>
              </w:rPr>
              <w:t>108.66786629°</w:t>
            </w:r>
          </w:p>
        </w:tc>
        <w:tc>
          <w:tcPr>
            <w:tcW w:w="1276" w:type="dxa"/>
            <w:shd w:val="clear" w:color="auto" w:fill="FFFFFF"/>
            <w:vAlign w:val="center"/>
          </w:tcPr>
          <w:p w14:paraId="56035486">
            <w:pPr>
              <w:autoSpaceDE w:val="0"/>
              <w:autoSpaceDN w:val="0"/>
              <w:adjustRightInd w:val="0"/>
              <w:jc w:val="center"/>
              <w:rPr>
                <w:rFonts w:ascii="Times New Roman" w:hAnsi="Times New Roman"/>
                <w:kern w:val="0"/>
                <w:szCs w:val="21"/>
              </w:rPr>
            </w:pPr>
            <w:r>
              <w:rPr>
                <w:rFonts w:ascii="Times New Roman" w:hAnsi="Times New Roman"/>
                <w:kern w:val="0"/>
                <w:szCs w:val="21"/>
              </w:rPr>
              <w:t>纬度</w:t>
            </w:r>
          </w:p>
        </w:tc>
        <w:tc>
          <w:tcPr>
            <w:tcW w:w="2287" w:type="dxa"/>
            <w:shd w:val="clear" w:color="auto" w:fill="FFFFFF"/>
            <w:vAlign w:val="center"/>
          </w:tcPr>
          <w:p w14:paraId="58CE86E6">
            <w:pPr>
              <w:autoSpaceDE w:val="0"/>
              <w:autoSpaceDN w:val="0"/>
              <w:adjustRightInd w:val="0"/>
              <w:jc w:val="center"/>
              <w:rPr>
                <w:rFonts w:ascii="Times New Roman" w:hAnsi="Times New Roman"/>
                <w:kern w:val="0"/>
                <w:szCs w:val="21"/>
              </w:rPr>
            </w:pPr>
            <w:r>
              <w:rPr>
                <w:rFonts w:ascii="Times New Roman" w:hAnsi="Times New Roman"/>
                <w:spacing w:val="-2"/>
                <w:kern w:val="0"/>
                <w:szCs w:val="21"/>
              </w:rPr>
              <w:t>21.67253665°</w:t>
            </w:r>
          </w:p>
        </w:tc>
      </w:tr>
      <w:tr w14:paraId="46F824A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2694" w:type="dxa"/>
            <w:shd w:val="clear" w:color="auto" w:fill="FFFFFF"/>
            <w:vAlign w:val="center"/>
          </w:tcPr>
          <w:p w14:paraId="2F842A90">
            <w:pPr>
              <w:autoSpaceDE w:val="0"/>
              <w:autoSpaceDN w:val="0"/>
              <w:adjustRightInd w:val="0"/>
              <w:jc w:val="center"/>
              <w:rPr>
                <w:rFonts w:ascii="Times New Roman" w:hAnsi="Times New Roman"/>
                <w:kern w:val="0"/>
                <w:szCs w:val="21"/>
              </w:rPr>
            </w:pPr>
            <w:r>
              <w:rPr>
                <w:rFonts w:ascii="Times New Roman" w:hAnsi="Times New Roman"/>
                <w:kern w:val="0"/>
                <w:szCs w:val="21"/>
              </w:rPr>
              <w:t>主要危险物质及分布</w:t>
            </w:r>
          </w:p>
        </w:tc>
        <w:tc>
          <w:tcPr>
            <w:tcW w:w="6236" w:type="dxa"/>
            <w:gridSpan w:val="4"/>
            <w:shd w:val="clear" w:color="auto" w:fill="FFFFFF"/>
            <w:vAlign w:val="center"/>
          </w:tcPr>
          <w:p w14:paraId="7C619759">
            <w:pPr>
              <w:autoSpaceDE w:val="0"/>
              <w:autoSpaceDN w:val="0"/>
              <w:adjustRightInd w:val="0"/>
              <w:jc w:val="center"/>
              <w:rPr>
                <w:rFonts w:ascii="Times New Roman" w:hAnsi="Times New Roman"/>
                <w:kern w:val="0"/>
                <w:szCs w:val="21"/>
              </w:rPr>
            </w:pPr>
            <w:r>
              <w:rPr>
                <w:rFonts w:ascii="Times New Roman" w:hAnsi="Times New Roman"/>
                <w:kern w:val="0"/>
                <w:szCs w:val="21"/>
              </w:rPr>
              <w:t>根据《建设项目环境风险评价技术导则》（HJ169-2018）附录B，本项目涉及</w:t>
            </w:r>
            <w:r>
              <w:rPr>
                <w:rFonts w:hint="eastAsia" w:ascii="Times New Roman" w:hAnsi="Times New Roman"/>
                <w:kern w:val="0"/>
                <w:szCs w:val="21"/>
              </w:rPr>
              <w:t>的</w:t>
            </w:r>
            <w:r>
              <w:rPr>
                <w:rFonts w:ascii="Times New Roman" w:hAnsi="Times New Roman"/>
                <w:kern w:val="0"/>
                <w:szCs w:val="21"/>
              </w:rPr>
              <w:t>风险物质</w:t>
            </w:r>
            <w:r>
              <w:rPr>
                <w:rFonts w:hint="eastAsia" w:ascii="Times New Roman" w:hAnsi="Times New Roman"/>
                <w:kern w:val="0"/>
                <w:szCs w:val="21"/>
              </w:rPr>
              <w:t>为废机油</w:t>
            </w:r>
            <w:r>
              <w:rPr>
                <w:rFonts w:ascii="Times New Roman" w:hAnsi="Times New Roman"/>
                <w:kern w:val="0"/>
                <w:szCs w:val="21"/>
              </w:rPr>
              <w:t>。</w:t>
            </w:r>
          </w:p>
        </w:tc>
      </w:tr>
      <w:tr w14:paraId="49BE7B4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37" w:hRule="atLeast"/>
        </w:trPr>
        <w:tc>
          <w:tcPr>
            <w:tcW w:w="2694" w:type="dxa"/>
            <w:shd w:val="clear" w:color="auto" w:fill="FFFFFF"/>
            <w:vAlign w:val="center"/>
          </w:tcPr>
          <w:p w14:paraId="38A2BCC3">
            <w:pPr>
              <w:autoSpaceDE w:val="0"/>
              <w:autoSpaceDN w:val="0"/>
              <w:adjustRightInd w:val="0"/>
              <w:jc w:val="center"/>
              <w:rPr>
                <w:rFonts w:ascii="Times New Roman" w:hAnsi="Times New Roman"/>
                <w:kern w:val="0"/>
                <w:szCs w:val="21"/>
              </w:rPr>
            </w:pPr>
            <w:r>
              <w:rPr>
                <w:rFonts w:ascii="Times New Roman" w:hAnsi="Times New Roman"/>
                <w:kern w:val="0"/>
                <w:szCs w:val="21"/>
              </w:rPr>
              <w:t>环境影响途径及危害后果（大气、地表水、地下水等）</w:t>
            </w:r>
          </w:p>
        </w:tc>
        <w:tc>
          <w:tcPr>
            <w:tcW w:w="6236" w:type="dxa"/>
            <w:gridSpan w:val="4"/>
            <w:shd w:val="clear" w:color="auto" w:fill="FFFFFF"/>
            <w:vAlign w:val="center"/>
          </w:tcPr>
          <w:p w14:paraId="16A4C24B">
            <w:pPr>
              <w:autoSpaceDE w:val="0"/>
              <w:autoSpaceDN w:val="0"/>
              <w:adjustRightInd w:val="0"/>
              <w:jc w:val="center"/>
              <w:rPr>
                <w:rFonts w:ascii="Times New Roman" w:hAnsi="Times New Roman"/>
                <w:kern w:val="0"/>
                <w:szCs w:val="21"/>
              </w:rPr>
            </w:pPr>
            <w:r>
              <w:rPr>
                <w:rFonts w:hint="eastAsia" w:ascii="Times New Roman" w:hAnsi="Times New Roman"/>
                <w:kern w:val="0"/>
                <w:szCs w:val="21"/>
              </w:rPr>
              <w:t>废机油泄漏；</w:t>
            </w:r>
            <w:r>
              <w:rPr>
                <w:rFonts w:hint="eastAsia" w:ascii="Times New Roman" w:hAnsi="Times New Roman"/>
                <w:kern w:val="0"/>
                <w:szCs w:val="21"/>
                <w:u w:val="single"/>
              </w:rPr>
              <w:t>物料运输泄漏；</w:t>
            </w:r>
            <w:r>
              <w:rPr>
                <w:rFonts w:ascii="Times New Roman" w:hAnsi="Times New Roman"/>
                <w:kern w:val="0"/>
                <w:szCs w:val="21"/>
              </w:rPr>
              <w:t>烘干炉烟气除尘系统、生产车间除尘系统事故性排放污染大气</w:t>
            </w:r>
          </w:p>
        </w:tc>
      </w:tr>
      <w:tr w14:paraId="05A2160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2694" w:type="dxa"/>
            <w:shd w:val="clear" w:color="auto" w:fill="FFFFFF"/>
            <w:vAlign w:val="center"/>
          </w:tcPr>
          <w:p w14:paraId="2B8C504D">
            <w:pPr>
              <w:autoSpaceDE w:val="0"/>
              <w:autoSpaceDN w:val="0"/>
              <w:adjustRightInd w:val="0"/>
              <w:jc w:val="center"/>
              <w:rPr>
                <w:rFonts w:ascii="Times New Roman" w:hAnsi="Times New Roman"/>
                <w:kern w:val="0"/>
                <w:szCs w:val="21"/>
              </w:rPr>
            </w:pPr>
            <w:r>
              <w:rPr>
                <w:rFonts w:ascii="Times New Roman" w:hAnsi="Times New Roman"/>
                <w:kern w:val="0"/>
                <w:szCs w:val="21"/>
              </w:rPr>
              <w:t>风险防范措施要求</w:t>
            </w:r>
          </w:p>
        </w:tc>
        <w:tc>
          <w:tcPr>
            <w:tcW w:w="6236" w:type="dxa"/>
            <w:gridSpan w:val="4"/>
            <w:shd w:val="clear" w:color="auto" w:fill="FFFFFF"/>
            <w:vAlign w:val="center"/>
          </w:tcPr>
          <w:p w14:paraId="40F156F7">
            <w:pPr>
              <w:autoSpaceDE w:val="0"/>
              <w:autoSpaceDN w:val="0"/>
              <w:adjustRightInd w:val="0"/>
              <w:jc w:val="center"/>
              <w:rPr>
                <w:rFonts w:ascii="Times New Roman" w:hAnsi="Times New Roman"/>
                <w:kern w:val="0"/>
                <w:szCs w:val="21"/>
              </w:rPr>
            </w:pPr>
            <w:r>
              <w:rPr>
                <w:rFonts w:ascii="Times New Roman" w:hAnsi="Times New Roman"/>
                <w:kern w:val="0"/>
                <w:szCs w:val="21"/>
              </w:rPr>
              <w:t>做好应急演练工作，定期对消防设备进行检查，</w:t>
            </w:r>
            <w:r>
              <w:rPr>
                <w:rFonts w:hint="eastAsia" w:ascii="Times New Roman" w:hAnsi="Times New Roman"/>
                <w:kern w:val="0"/>
                <w:szCs w:val="21"/>
                <w:u w:val="single"/>
              </w:rPr>
              <w:t>运输车辆配置防护口罩、防护手套、护目镜等防护物品。</w:t>
            </w:r>
            <w:r>
              <w:rPr>
                <w:rFonts w:ascii="Times New Roman" w:hAnsi="Times New Roman"/>
                <w:kern w:val="0"/>
                <w:szCs w:val="21"/>
              </w:rPr>
              <w:t>加强烟气处理设施设备的日常管理和维护，加强工作人员培训</w:t>
            </w:r>
          </w:p>
        </w:tc>
      </w:tr>
      <w:tr w14:paraId="73864DB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8930" w:type="dxa"/>
            <w:gridSpan w:val="5"/>
            <w:shd w:val="clear" w:color="auto" w:fill="FFFFFF"/>
            <w:vAlign w:val="center"/>
          </w:tcPr>
          <w:p w14:paraId="3633CB48">
            <w:pPr>
              <w:autoSpaceDE w:val="0"/>
              <w:autoSpaceDN w:val="0"/>
              <w:adjustRightInd w:val="0"/>
              <w:jc w:val="left"/>
              <w:rPr>
                <w:rFonts w:ascii="Times New Roman" w:hAnsi="Times New Roman"/>
                <w:kern w:val="0"/>
                <w:szCs w:val="21"/>
              </w:rPr>
            </w:pPr>
            <w:r>
              <w:rPr>
                <w:rFonts w:ascii="Times New Roman" w:hAnsi="Times New Roman"/>
                <w:kern w:val="0"/>
                <w:szCs w:val="21"/>
              </w:rPr>
              <w:t>填表说明（列出项目相关信息及评价说明）：</w:t>
            </w:r>
          </w:p>
          <w:p w14:paraId="7C0A6098">
            <w:pPr>
              <w:autoSpaceDE w:val="0"/>
              <w:autoSpaceDN w:val="0"/>
              <w:adjustRightInd w:val="0"/>
              <w:ind w:firstLine="420" w:firstLineChars="200"/>
              <w:jc w:val="left"/>
              <w:rPr>
                <w:rFonts w:ascii="Times New Roman" w:hAnsi="Times New Roman"/>
                <w:kern w:val="0"/>
                <w:szCs w:val="21"/>
              </w:rPr>
            </w:pPr>
            <w:r>
              <w:rPr>
                <w:rFonts w:ascii="Times New Roman" w:hAnsi="Times New Roman"/>
                <w:kern w:val="0"/>
                <w:szCs w:val="21"/>
              </w:rPr>
              <w:t>本项目Q＜1，根据</w:t>
            </w:r>
            <w:r>
              <w:rPr>
                <w:rFonts w:ascii="Times New Roman" w:hAnsi="Times New Roman"/>
                <w:spacing w:val="-2"/>
                <w:kern w:val="0"/>
                <w:szCs w:val="21"/>
              </w:rPr>
              <w:t>《</w:t>
            </w:r>
            <w:r>
              <w:rPr>
                <w:rFonts w:ascii="Times New Roman" w:hAnsi="Times New Roman"/>
                <w:kern w:val="0"/>
                <w:szCs w:val="21"/>
              </w:rPr>
              <w:t>建设项目环境风险评价技术导则》（HJ169-2018），本项目只需简单分析。</w:t>
            </w:r>
          </w:p>
          <w:p w14:paraId="3528A673">
            <w:pPr>
              <w:autoSpaceDE w:val="0"/>
              <w:autoSpaceDN w:val="0"/>
              <w:adjustRightInd w:val="0"/>
              <w:ind w:firstLine="420" w:firstLineChars="200"/>
              <w:jc w:val="left"/>
              <w:rPr>
                <w:rFonts w:ascii="Times New Roman" w:hAnsi="Times New Roman"/>
                <w:kern w:val="0"/>
                <w:szCs w:val="21"/>
              </w:rPr>
            </w:pPr>
            <w:r>
              <w:rPr>
                <w:rFonts w:ascii="Times New Roman" w:hAnsi="Times New Roman"/>
                <w:kern w:val="0"/>
                <w:szCs w:val="21"/>
              </w:rPr>
              <w:t>本项目具有潜在的环境风险为烘干炉废气处理系统事故性排放污染大气，消防废水及选矿废水泄漏影响地表水、地下水。通过对项目运行期可能发生的环境风险事故进行定性分析，通过采取安全防范措施、综合管理措施、制定风险应急预案等措施防范事故发生或降低事故的损害程度，从而将风险事故对环境的影响减少到最低和可接受范围，避免使项目区域环境及居民遭受损失。因此，事故风险水平是可以接受的。</w:t>
            </w:r>
          </w:p>
        </w:tc>
      </w:tr>
    </w:tbl>
    <w:p w14:paraId="02611BD6">
      <w:pPr>
        <w:tabs>
          <w:tab w:val="left" w:pos="900"/>
        </w:tabs>
        <w:spacing w:line="360" w:lineRule="auto"/>
        <w:ind w:firstLine="472" w:firstLineChars="200"/>
        <w:rPr>
          <w:rFonts w:ascii="Times New Roman" w:hAnsi="Times New Roman"/>
          <w:spacing w:val="-2"/>
          <w:kern w:val="0"/>
          <w:sz w:val="24"/>
          <w:szCs w:val="24"/>
        </w:rPr>
        <w:sectPr>
          <w:pgSz w:w="11906" w:h="16838"/>
          <w:pgMar w:top="1418" w:right="1418" w:bottom="1418" w:left="1418" w:header="851" w:footer="992" w:gutter="0"/>
          <w:cols w:space="720" w:num="1"/>
          <w:docGrid w:type="lines" w:linePitch="312" w:charSpace="0"/>
        </w:sectPr>
      </w:pPr>
    </w:p>
    <w:p w14:paraId="6275A201">
      <w:pPr>
        <w:pStyle w:val="4"/>
        <w:numPr>
          <w:ilvl w:val="0"/>
          <w:numId w:val="3"/>
        </w:numPr>
        <w:rPr>
          <w:kern w:val="0"/>
          <w:szCs w:val="20"/>
        </w:rPr>
      </w:pPr>
      <w:bookmarkStart w:id="233" w:name="_Toc410662421"/>
      <w:bookmarkStart w:id="234" w:name="_Toc26073"/>
      <w:bookmarkStart w:id="235" w:name="_Toc233683444"/>
      <w:bookmarkStart w:id="236" w:name="_Toc291682149"/>
      <w:bookmarkStart w:id="237" w:name="_Toc340072336"/>
      <w:bookmarkStart w:id="238" w:name="_Toc278296466"/>
      <w:r>
        <w:t>环境保护措施及其可行性</w:t>
      </w:r>
      <w:bookmarkEnd w:id="233"/>
      <w:r>
        <w:t>论证</w:t>
      </w:r>
      <w:bookmarkEnd w:id="234"/>
    </w:p>
    <w:bookmarkEnd w:id="235"/>
    <w:bookmarkEnd w:id="236"/>
    <w:bookmarkEnd w:id="237"/>
    <w:bookmarkEnd w:id="238"/>
    <w:p w14:paraId="55D4E239">
      <w:pPr>
        <w:pStyle w:val="5"/>
        <w:numPr>
          <w:ilvl w:val="1"/>
          <w:numId w:val="3"/>
        </w:numPr>
      </w:pPr>
      <w:bookmarkStart w:id="239" w:name="_Toc331108726"/>
      <w:bookmarkStart w:id="240" w:name="_Toc335572249"/>
      <w:bookmarkStart w:id="241" w:name="_Toc454744452"/>
      <w:bookmarkStart w:id="242" w:name="_Toc342142621"/>
      <w:bookmarkStart w:id="243" w:name="_Toc199211755"/>
      <w:bookmarkStart w:id="244" w:name="_Toc444161766"/>
      <w:bookmarkStart w:id="245" w:name="_Toc452828643"/>
      <w:bookmarkStart w:id="246" w:name="_Toc168324663"/>
      <w:bookmarkStart w:id="247" w:name="_Toc199144586"/>
      <w:bookmarkStart w:id="248" w:name="_Toc168322375"/>
      <w:bookmarkStart w:id="249" w:name="_Toc161127430"/>
      <w:bookmarkStart w:id="250" w:name="_Toc185052807"/>
      <w:bookmarkStart w:id="251" w:name="_Toc199144455"/>
      <w:bookmarkStart w:id="252" w:name="_Toc454869210"/>
      <w:bookmarkStart w:id="253" w:name="_Toc491159679"/>
      <w:bookmarkStart w:id="254" w:name="_Toc161228814"/>
      <w:bookmarkStart w:id="255" w:name="_Toc454557085"/>
      <w:bookmarkStart w:id="256" w:name="_Toc452828877"/>
      <w:bookmarkStart w:id="257" w:name="_Toc454487351"/>
      <w:bookmarkStart w:id="258" w:name="_Toc184988593"/>
      <w:bookmarkStart w:id="259" w:name="_Toc443206358"/>
      <w:bookmarkStart w:id="260" w:name="_Toc464206821"/>
      <w:bookmarkStart w:id="261" w:name="_Toc444162149"/>
      <w:bookmarkStart w:id="262" w:name="_Toc444161959"/>
      <w:bookmarkStart w:id="263" w:name="_Toc184969775"/>
      <w:bookmarkStart w:id="264" w:name="_Toc182472175"/>
      <w:bookmarkStart w:id="265" w:name="_Toc199250083"/>
      <w:bookmarkStart w:id="266" w:name="_Toc343644237"/>
      <w:bookmarkStart w:id="267" w:name="_Toc199141995"/>
      <w:bookmarkStart w:id="268" w:name="_Toc523493848"/>
      <w:bookmarkStart w:id="269" w:name="_Toc5761"/>
      <w:r>
        <w:t>施工期</w: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r>
        <w:t>污染防治措施分析</w:t>
      </w:r>
      <w:bookmarkEnd w:id="268"/>
      <w:bookmarkEnd w:id="269"/>
    </w:p>
    <w:p w14:paraId="62F777BA">
      <w:pPr>
        <w:tabs>
          <w:tab w:val="left" w:pos="900"/>
        </w:tabs>
        <w:spacing w:line="360" w:lineRule="auto"/>
        <w:ind w:firstLine="480" w:firstLineChars="200"/>
        <w:rPr>
          <w:rFonts w:ascii="Times New Roman" w:hAnsi="Times New Roman"/>
          <w:kern w:val="0"/>
          <w:sz w:val="24"/>
          <w:szCs w:val="24"/>
        </w:rPr>
      </w:pPr>
      <w:r>
        <w:rPr>
          <w:rFonts w:ascii="Times New Roman" w:hAnsi="Times New Roman"/>
          <w:kern w:val="0"/>
          <w:sz w:val="24"/>
          <w:szCs w:val="24"/>
        </w:rPr>
        <w:t>（1）施工期大气污染防治措施</w:t>
      </w:r>
    </w:p>
    <w:p w14:paraId="4AB8FE4D">
      <w:pPr>
        <w:tabs>
          <w:tab w:val="left" w:pos="900"/>
        </w:tabs>
        <w:spacing w:line="360" w:lineRule="auto"/>
        <w:ind w:firstLine="480" w:firstLineChars="200"/>
        <w:rPr>
          <w:rFonts w:ascii="Times New Roman" w:hAnsi="Times New Roman"/>
          <w:kern w:val="0"/>
          <w:sz w:val="24"/>
          <w:szCs w:val="24"/>
        </w:rPr>
      </w:pPr>
      <w:r>
        <w:rPr>
          <w:rFonts w:hint="eastAsia" w:ascii="Times New Roman" w:hAnsi="Times New Roman"/>
          <w:kern w:val="0"/>
          <w:sz w:val="24"/>
          <w:szCs w:val="24"/>
        </w:rPr>
        <w:t>项目施工期厂房内生产线安装阶段设备基础钻孔、安装产生的少量扬尘，主要沉降在车间厂房内，主要影响在车间厂房内，极少量逸散到车间外，项目所在区域开阔，大气扩散条件较好，且周边无居民区，施工期生产线安装产生的扬尘，对周边环境影响较小。项目在生产线装配过程中，通过加强过程管理，集中施工作业，减少污染产生天数或时长，减少对周边影响的时长，可以有效控制废气的影响。</w:t>
      </w:r>
    </w:p>
    <w:p w14:paraId="3600A0BF">
      <w:pPr>
        <w:tabs>
          <w:tab w:val="left" w:pos="900"/>
        </w:tabs>
        <w:spacing w:line="360" w:lineRule="auto"/>
        <w:ind w:firstLine="480" w:firstLineChars="200"/>
        <w:rPr>
          <w:rFonts w:ascii="Times New Roman" w:hAnsi="Times New Roman"/>
          <w:kern w:val="0"/>
          <w:sz w:val="24"/>
          <w:szCs w:val="24"/>
        </w:rPr>
      </w:pPr>
      <w:r>
        <w:rPr>
          <w:rFonts w:ascii="Times New Roman" w:hAnsi="Times New Roman"/>
          <w:kern w:val="0"/>
          <w:sz w:val="24"/>
          <w:szCs w:val="24"/>
        </w:rPr>
        <w:t>（2）施工期水污染防治措施</w:t>
      </w:r>
    </w:p>
    <w:p w14:paraId="512391E2">
      <w:pPr>
        <w:spacing w:line="360" w:lineRule="auto"/>
        <w:ind w:firstLine="480"/>
        <w:rPr>
          <w:rFonts w:ascii="Times New Roman" w:hAnsi="Times New Roman"/>
          <w:sz w:val="24"/>
          <w:szCs w:val="20"/>
        </w:rPr>
      </w:pPr>
      <w:r>
        <w:rPr>
          <w:rFonts w:ascii="Times New Roman" w:hAnsi="Times New Roman"/>
          <w:kern w:val="0"/>
          <w:sz w:val="24"/>
          <w:szCs w:val="24"/>
        </w:rPr>
        <w:t>项目施工周期较短，施工人员产生少量的生活污水，可依托广西钦州保税区创大冷链物流公司的3号仓库南部现有的化粪池进行处理，处理后排入市政污水管网送钦州港大榄坪污水处理厂处理。</w:t>
      </w:r>
      <w:r>
        <w:rPr>
          <w:rFonts w:ascii="Times New Roman" w:hAnsi="Times New Roman"/>
          <w:spacing w:val="-2"/>
          <w:kern w:val="0"/>
          <w:sz w:val="24"/>
          <w:szCs w:val="24"/>
        </w:rPr>
        <w:t>创大冷链物流公司进口汽车仓储物流园内的排水设施完善，施工期少量污水的处理是有保障的。</w:t>
      </w:r>
    </w:p>
    <w:p w14:paraId="5CA0646A">
      <w:pPr>
        <w:tabs>
          <w:tab w:val="left" w:pos="900"/>
        </w:tabs>
        <w:spacing w:line="360" w:lineRule="auto"/>
        <w:ind w:firstLine="480" w:firstLineChars="200"/>
        <w:rPr>
          <w:rFonts w:ascii="Times New Roman" w:hAnsi="Times New Roman"/>
          <w:kern w:val="0"/>
          <w:sz w:val="24"/>
          <w:szCs w:val="24"/>
        </w:rPr>
      </w:pPr>
      <w:r>
        <w:rPr>
          <w:rFonts w:ascii="Times New Roman" w:hAnsi="Times New Roman"/>
          <w:kern w:val="0"/>
          <w:sz w:val="24"/>
          <w:szCs w:val="24"/>
        </w:rPr>
        <w:t>（3）施工期噪声防治措施</w:t>
      </w:r>
    </w:p>
    <w:p w14:paraId="10392422">
      <w:pPr>
        <w:spacing w:line="360" w:lineRule="auto"/>
        <w:ind w:firstLine="480" w:firstLineChars="200"/>
        <w:rPr>
          <w:rFonts w:ascii="Times New Roman" w:hAnsi="Times New Roman"/>
          <w:kern w:val="0"/>
          <w:sz w:val="24"/>
          <w:szCs w:val="24"/>
        </w:rPr>
      </w:pPr>
      <w:r>
        <w:rPr>
          <w:rFonts w:ascii="Times New Roman" w:hAnsi="Times New Roman"/>
          <w:kern w:val="0"/>
          <w:sz w:val="24"/>
          <w:szCs w:val="24"/>
        </w:rPr>
        <w:t>项目施工期厂房装修及设备安装噪声为间断偶发性的噪声，随着装修结束，该影响是可逆的。项目周边区域均为工业用地、物流仓储用地，周边的宿舍区、居民区距离较远，且项目主要在室内进行施工，施工期噪声不会影响周边居民和企业员工休息。项目做好施工管理，尽量集中时段使用切割机、电钻、电锯等高噪音设备，缩短噪声产生的周期，可以尽可能降低噪声对环境的影响。</w:t>
      </w:r>
    </w:p>
    <w:p w14:paraId="7B2BD5DC">
      <w:pPr>
        <w:tabs>
          <w:tab w:val="left" w:pos="900"/>
        </w:tabs>
        <w:spacing w:line="360" w:lineRule="auto"/>
        <w:ind w:firstLine="480" w:firstLineChars="200"/>
        <w:rPr>
          <w:rFonts w:ascii="Times New Roman" w:hAnsi="Times New Roman"/>
          <w:kern w:val="0"/>
          <w:sz w:val="24"/>
          <w:szCs w:val="24"/>
        </w:rPr>
      </w:pPr>
      <w:r>
        <w:rPr>
          <w:rFonts w:ascii="Times New Roman" w:hAnsi="Times New Roman"/>
          <w:kern w:val="0"/>
          <w:sz w:val="24"/>
          <w:szCs w:val="24"/>
        </w:rPr>
        <w:t>（4）施工期固废防治措施</w:t>
      </w:r>
    </w:p>
    <w:p w14:paraId="5BB84AE3">
      <w:pPr>
        <w:spacing w:line="360" w:lineRule="auto"/>
        <w:ind w:firstLine="480" w:firstLineChars="200"/>
        <w:rPr>
          <w:rFonts w:ascii="Times New Roman" w:hAnsi="Times New Roman"/>
          <w:kern w:val="0"/>
          <w:sz w:val="24"/>
          <w:szCs w:val="24"/>
        </w:rPr>
      </w:pPr>
      <w:r>
        <w:rPr>
          <w:rFonts w:ascii="Times New Roman" w:hAnsi="Times New Roman"/>
          <w:kern w:val="0"/>
          <w:sz w:val="24"/>
          <w:szCs w:val="24"/>
        </w:rPr>
        <w:t>项目施工期产生固体废物主要是装修垃圾、生产线装配的包装废料、少量施工人员生活垃圾，</w:t>
      </w:r>
      <w:r>
        <w:rPr>
          <w:rFonts w:ascii="Times New Roman" w:hAnsi="Times New Roman"/>
          <w:spacing w:val="-2"/>
          <w:kern w:val="0"/>
          <w:sz w:val="24"/>
          <w:szCs w:val="20"/>
        </w:rPr>
        <w:t>收集到创大进口汽车仓储物流园垃圾收集点后由环卫部门统一收运</w:t>
      </w:r>
      <w:r>
        <w:rPr>
          <w:rFonts w:ascii="Times New Roman" w:hAnsi="Times New Roman"/>
          <w:kern w:val="0"/>
          <w:sz w:val="24"/>
          <w:szCs w:val="24"/>
        </w:rPr>
        <w:t>。加强与施工人员沟通，落实好垃圾的处置点，避免随意丢弃、倾倒，做好固废的定点收集的管理。</w:t>
      </w:r>
    </w:p>
    <w:p w14:paraId="481DCAF2">
      <w:pPr>
        <w:pStyle w:val="5"/>
        <w:numPr>
          <w:ilvl w:val="1"/>
          <w:numId w:val="3"/>
        </w:numPr>
      </w:pPr>
      <w:bookmarkStart w:id="270" w:name="_Toc340072340"/>
      <w:bookmarkStart w:id="271" w:name="_Toc410662426"/>
      <w:bookmarkStart w:id="272" w:name="_Toc291682151"/>
      <w:bookmarkStart w:id="273" w:name="_Toc22415"/>
      <w:bookmarkStart w:id="274" w:name="_Toc291682150"/>
      <w:bookmarkStart w:id="275" w:name="_Toc340072338"/>
      <w:r>
        <w:t>运营期废气污染防治措施</w:t>
      </w:r>
      <w:bookmarkEnd w:id="270"/>
      <w:bookmarkEnd w:id="271"/>
      <w:bookmarkEnd w:id="272"/>
      <w:r>
        <w:t>论证</w:t>
      </w:r>
      <w:bookmarkEnd w:id="273"/>
    </w:p>
    <w:p w14:paraId="39FF6FA5">
      <w:pPr>
        <w:pStyle w:val="6"/>
        <w:numPr>
          <w:ilvl w:val="2"/>
          <w:numId w:val="3"/>
        </w:numPr>
      </w:pPr>
      <w:bookmarkStart w:id="276" w:name="_Toc410662424"/>
      <w:r>
        <w:t>运营期废气污染防治措施</w:t>
      </w:r>
    </w:p>
    <w:p w14:paraId="176ADC98">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项目产生的废气主要为烘干炉烟气、生产车间设备进出料口粉尘</w:t>
      </w:r>
      <w:r>
        <w:rPr>
          <w:rFonts w:ascii="Times New Roman" w:hAnsi="Times New Roman"/>
          <w:spacing w:val="-2"/>
          <w:kern w:val="0"/>
          <w:sz w:val="24"/>
          <w:szCs w:val="24"/>
          <w:u w:val="single"/>
        </w:rPr>
        <w:t>、</w:t>
      </w:r>
      <w:r>
        <w:rPr>
          <w:rFonts w:hint="eastAsia" w:ascii="Times New Roman" w:hAnsi="Times New Roman"/>
          <w:spacing w:val="-2"/>
          <w:kern w:val="0"/>
          <w:sz w:val="24"/>
          <w:szCs w:val="24"/>
          <w:u w:val="single"/>
        </w:rPr>
        <w:t>磁选过程落料扬尘、物料装卸转运过程的扬尘</w:t>
      </w:r>
      <w:r>
        <w:rPr>
          <w:rFonts w:hint="eastAsia" w:ascii="Times New Roman" w:hAnsi="Times New Roman"/>
          <w:spacing w:val="-2"/>
          <w:kern w:val="0"/>
          <w:sz w:val="24"/>
          <w:szCs w:val="24"/>
        </w:rPr>
        <w:t>、</w:t>
      </w:r>
      <w:r>
        <w:rPr>
          <w:rFonts w:ascii="Times New Roman" w:hAnsi="Times New Roman"/>
          <w:spacing w:val="-2"/>
          <w:kern w:val="0"/>
          <w:sz w:val="24"/>
          <w:szCs w:val="24"/>
        </w:rPr>
        <w:t>物料进出厂运输扬尘。</w:t>
      </w:r>
    </w:p>
    <w:p w14:paraId="799D69EA">
      <w:pPr>
        <w:spacing w:line="360" w:lineRule="auto"/>
        <w:ind w:firstLine="474" w:firstLineChars="200"/>
        <w:rPr>
          <w:rFonts w:ascii="Times New Roman" w:hAnsi="Times New Roman"/>
          <w:spacing w:val="-2"/>
          <w:kern w:val="0"/>
          <w:sz w:val="24"/>
          <w:szCs w:val="24"/>
        </w:rPr>
      </w:pPr>
      <w:r>
        <w:rPr>
          <w:rFonts w:ascii="Times New Roman" w:hAnsi="Times New Roman"/>
          <w:b/>
          <w:bCs/>
          <w:spacing w:val="-2"/>
          <w:kern w:val="0"/>
          <w:sz w:val="24"/>
          <w:szCs w:val="24"/>
        </w:rPr>
        <w:t>烘干炉烟气治理措施：</w:t>
      </w:r>
      <w:r>
        <w:rPr>
          <w:rFonts w:ascii="Times New Roman" w:hAnsi="Times New Roman"/>
          <w:spacing w:val="-2"/>
          <w:kern w:val="0"/>
          <w:sz w:val="24"/>
          <w:szCs w:val="20"/>
        </w:rPr>
        <w:t>项目生物质燃料烘干炉，燃烧烟气采用脉冲袋式除尘器进行处理，风机规模为5000m</w:t>
      </w:r>
      <w:r>
        <w:rPr>
          <w:rFonts w:ascii="Times New Roman" w:hAnsi="Times New Roman"/>
          <w:spacing w:val="-2"/>
          <w:kern w:val="0"/>
          <w:sz w:val="24"/>
          <w:szCs w:val="20"/>
          <w:vertAlign w:val="superscript"/>
        </w:rPr>
        <w:t>3</w:t>
      </w:r>
      <w:r>
        <w:rPr>
          <w:rFonts w:ascii="Times New Roman" w:hAnsi="Times New Roman"/>
          <w:spacing w:val="-2"/>
          <w:kern w:val="0"/>
          <w:sz w:val="24"/>
          <w:szCs w:val="20"/>
        </w:rPr>
        <w:t>/h，处理后的烟气经1</w:t>
      </w:r>
      <w:r>
        <w:rPr>
          <w:rFonts w:hint="eastAsia" w:ascii="Times New Roman" w:hAnsi="Times New Roman"/>
          <w:spacing w:val="-2"/>
          <w:kern w:val="0"/>
          <w:sz w:val="24"/>
          <w:szCs w:val="20"/>
        </w:rPr>
        <w:t>9</w:t>
      </w:r>
      <w:r>
        <w:rPr>
          <w:rFonts w:ascii="Times New Roman" w:hAnsi="Times New Roman"/>
          <w:spacing w:val="-2"/>
          <w:kern w:val="0"/>
          <w:sz w:val="24"/>
          <w:szCs w:val="20"/>
        </w:rPr>
        <w:t>m高的排气筒排放（DA001）。</w:t>
      </w:r>
    </w:p>
    <w:p w14:paraId="26F526C7">
      <w:pPr>
        <w:spacing w:line="360" w:lineRule="auto"/>
        <w:ind w:firstLine="474" w:firstLineChars="200"/>
        <w:rPr>
          <w:rFonts w:ascii="Times New Roman" w:hAnsi="Times New Roman"/>
          <w:spacing w:val="-2"/>
          <w:kern w:val="0"/>
          <w:sz w:val="24"/>
          <w:szCs w:val="24"/>
        </w:rPr>
      </w:pPr>
      <w:r>
        <w:rPr>
          <w:rFonts w:ascii="Times New Roman" w:hAnsi="Times New Roman"/>
          <w:b/>
          <w:bCs/>
          <w:spacing w:val="-2"/>
          <w:kern w:val="0"/>
          <w:sz w:val="24"/>
          <w:szCs w:val="24"/>
        </w:rPr>
        <w:t>生产车间粉尘治理措施：</w:t>
      </w:r>
      <w:r>
        <w:rPr>
          <w:rFonts w:hint="eastAsia" w:ascii="Times New Roman" w:hAnsi="Times New Roman"/>
          <w:spacing w:val="-2"/>
          <w:kern w:val="0"/>
          <w:sz w:val="24"/>
          <w:szCs w:val="24"/>
          <w:u w:val="single"/>
        </w:rPr>
        <w:t>项目原料毛矿进厂集装箱拆箱卸货、精矿及中矿产品装车出厂均在车间内进行，装卸过程中关闭车间门防止装卸粉尘外溢。</w:t>
      </w:r>
      <w:r>
        <w:rPr>
          <w:rFonts w:ascii="Times New Roman" w:hAnsi="Times New Roman"/>
          <w:spacing w:val="-2"/>
          <w:kern w:val="0"/>
          <w:sz w:val="24"/>
          <w:szCs w:val="24"/>
        </w:rPr>
        <w:t>项目</w:t>
      </w:r>
      <w:r>
        <w:rPr>
          <w:rFonts w:hint="eastAsia" w:ascii="Times New Roman" w:hAnsi="Times New Roman"/>
          <w:spacing w:val="-2"/>
          <w:kern w:val="0"/>
          <w:sz w:val="24"/>
          <w:szCs w:val="24"/>
        </w:rPr>
        <w:t>1#原料处理车间、2#分选车间分别</w:t>
      </w:r>
      <w:r>
        <w:rPr>
          <w:rFonts w:ascii="Times New Roman" w:hAnsi="Times New Roman"/>
          <w:spacing w:val="-2"/>
          <w:kern w:val="0"/>
          <w:sz w:val="24"/>
          <w:szCs w:val="24"/>
        </w:rPr>
        <w:t>在烘干机、磁选机进出料口等主要扬尘产生点配套安装集气罩，采用负压抽风进行收尘，收集后的粉尘</w:t>
      </w:r>
      <w:r>
        <w:rPr>
          <w:rFonts w:hint="eastAsia" w:ascii="Times New Roman" w:hAnsi="Times New Roman"/>
          <w:spacing w:val="-2"/>
          <w:kern w:val="0"/>
          <w:sz w:val="24"/>
          <w:szCs w:val="24"/>
        </w:rPr>
        <w:t>各车间采用1套</w:t>
      </w:r>
      <w:r>
        <w:rPr>
          <w:rFonts w:ascii="Times New Roman" w:hAnsi="Times New Roman"/>
          <w:spacing w:val="-2"/>
          <w:kern w:val="0"/>
          <w:sz w:val="24"/>
          <w:szCs w:val="20"/>
        </w:rPr>
        <w:t>脉冲袋式除尘器</w:t>
      </w:r>
      <w:r>
        <w:rPr>
          <w:rFonts w:ascii="Times New Roman" w:hAnsi="Times New Roman"/>
          <w:spacing w:val="-2"/>
          <w:kern w:val="0"/>
          <w:sz w:val="24"/>
          <w:szCs w:val="24"/>
        </w:rPr>
        <w:t>进行治理，</w:t>
      </w:r>
      <w:r>
        <w:rPr>
          <w:rFonts w:hint="eastAsia" w:ascii="Times New Roman" w:hAnsi="Times New Roman"/>
          <w:spacing w:val="-2"/>
          <w:kern w:val="0"/>
          <w:sz w:val="24"/>
          <w:szCs w:val="24"/>
        </w:rPr>
        <w:t>配套</w:t>
      </w:r>
      <w:r>
        <w:rPr>
          <w:rFonts w:ascii="Times New Roman" w:hAnsi="Times New Roman"/>
          <w:spacing w:val="-2"/>
          <w:kern w:val="0"/>
          <w:sz w:val="24"/>
          <w:szCs w:val="20"/>
        </w:rPr>
        <w:t>风机规模</w:t>
      </w:r>
      <w:r>
        <w:rPr>
          <w:rFonts w:hint="eastAsia" w:ascii="Times New Roman" w:hAnsi="Times New Roman"/>
          <w:spacing w:val="-2"/>
          <w:kern w:val="0"/>
          <w:sz w:val="24"/>
          <w:szCs w:val="20"/>
        </w:rPr>
        <w:t>均</w:t>
      </w:r>
      <w:r>
        <w:rPr>
          <w:rFonts w:ascii="Times New Roman" w:hAnsi="Times New Roman"/>
          <w:spacing w:val="-2"/>
          <w:kern w:val="0"/>
          <w:sz w:val="24"/>
          <w:szCs w:val="20"/>
        </w:rPr>
        <w:t>为</w:t>
      </w:r>
      <w:r>
        <w:rPr>
          <w:rFonts w:hint="eastAsia" w:ascii="Times New Roman" w:hAnsi="Times New Roman"/>
          <w:spacing w:val="-2"/>
          <w:kern w:val="0"/>
          <w:sz w:val="24"/>
          <w:szCs w:val="20"/>
        </w:rPr>
        <w:t>8</w:t>
      </w:r>
      <w:r>
        <w:rPr>
          <w:rFonts w:ascii="Times New Roman" w:hAnsi="Times New Roman"/>
          <w:spacing w:val="-2"/>
          <w:kern w:val="0"/>
          <w:sz w:val="24"/>
          <w:szCs w:val="20"/>
        </w:rPr>
        <w:t>000m</w:t>
      </w:r>
      <w:r>
        <w:rPr>
          <w:rFonts w:ascii="Times New Roman" w:hAnsi="Times New Roman"/>
          <w:spacing w:val="-2"/>
          <w:kern w:val="0"/>
          <w:sz w:val="24"/>
          <w:szCs w:val="20"/>
          <w:vertAlign w:val="superscript"/>
        </w:rPr>
        <w:t>3</w:t>
      </w:r>
      <w:r>
        <w:rPr>
          <w:rFonts w:ascii="Times New Roman" w:hAnsi="Times New Roman"/>
          <w:spacing w:val="-2"/>
          <w:kern w:val="0"/>
          <w:sz w:val="24"/>
          <w:szCs w:val="20"/>
        </w:rPr>
        <w:t>/h，</w:t>
      </w:r>
      <w:r>
        <w:rPr>
          <w:rFonts w:hint="eastAsia" w:ascii="Times New Roman" w:hAnsi="Times New Roman"/>
          <w:spacing w:val="-2"/>
          <w:kern w:val="0"/>
          <w:sz w:val="24"/>
          <w:szCs w:val="24"/>
        </w:rPr>
        <w:t>1#原料处理车间粉尘</w:t>
      </w:r>
      <w:r>
        <w:rPr>
          <w:rFonts w:ascii="Times New Roman" w:hAnsi="Times New Roman"/>
          <w:spacing w:val="-2"/>
          <w:kern w:val="0"/>
          <w:sz w:val="24"/>
          <w:szCs w:val="20"/>
        </w:rPr>
        <w:t>处理后的烟气经1</w:t>
      </w:r>
      <w:r>
        <w:rPr>
          <w:rFonts w:hint="eastAsia" w:ascii="Times New Roman" w:hAnsi="Times New Roman"/>
          <w:spacing w:val="-2"/>
          <w:kern w:val="0"/>
          <w:sz w:val="24"/>
          <w:szCs w:val="20"/>
        </w:rPr>
        <w:t>9</w:t>
      </w:r>
      <w:r>
        <w:rPr>
          <w:rFonts w:ascii="Times New Roman" w:hAnsi="Times New Roman"/>
          <w:spacing w:val="-2"/>
          <w:kern w:val="0"/>
          <w:sz w:val="24"/>
          <w:szCs w:val="20"/>
        </w:rPr>
        <w:t>m高的排气筒排放（DA002）</w:t>
      </w:r>
      <w:r>
        <w:rPr>
          <w:rFonts w:hint="eastAsia" w:ascii="Times New Roman" w:hAnsi="Times New Roman"/>
          <w:spacing w:val="-2"/>
          <w:kern w:val="0"/>
          <w:sz w:val="24"/>
          <w:szCs w:val="20"/>
        </w:rPr>
        <w:t>，2</w:t>
      </w:r>
      <w:r>
        <w:rPr>
          <w:rFonts w:hint="eastAsia" w:ascii="Times New Roman" w:hAnsi="Times New Roman"/>
          <w:spacing w:val="-2"/>
          <w:kern w:val="0"/>
          <w:sz w:val="24"/>
          <w:szCs w:val="24"/>
        </w:rPr>
        <w:t>#分选车间粉尘</w:t>
      </w:r>
      <w:r>
        <w:rPr>
          <w:rFonts w:ascii="Times New Roman" w:hAnsi="Times New Roman"/>
          <w:spacing w:val="-2"/>
          <w:kern w:val="0"/>
          <w:sz w:val="24"/>
          <w:szCs w:val="20"/>
        </w:rPr>
        <w:t>处理后的烟气经</w:t>
      </w:r>
      <w:r>
        <w:rPr>
          <w:rFonts w:hint="eastAsia" w:ascii="Times New Roman" w:hAnsi="Times New Roman"/>
          <w:spacing w:val="-2"/>
          <w:kern w:val="0"/>
          <w:sz w:val="24"/>
          <w:szCs w:val="20"/>
        </w:rPr>
        <w:t>另一根</w:t>
      </w:r>
      <w:r>
        <w:rPr>
          <w:rFonts w:ascii="Times New Roman" w:hAnsi="Times New Roman"/>
          <w:spacing w:val="-2"/>
          <w:kern w:val="0"/>
          <w:sz w:val="24"/>
          <w:szCs w:val="20"/>
        </w:rPr>
        <w:t>1</w:t>
      </w:r>
      <w:r>
        <w:rPr>
          <w:rFonts w:hint="eastAsia" w:ascii="Times New Roman" w:hAnsi="Times New Roman"/>
          <w:spacing w:val="-2"/>
          <w:kern w:val="0"/>
          <w:sz w:val="24"/>
          <w:szCs w:val="20"/>
        </w:rPr>
        <w:t>9</w:t>
      </w:r>
      <w:r>
        <w:rPr>
          <w:rFonts w:ascii="Times New Roman" w:hAnsi="Times New Roman"/>
          <w:spacing w:val="-2"/>
          <w:kern w:val="0"/>
          <w:sz w:val="24"/>
          <w:szCs w:val="20"/>
        </w:rPr>
        <w:t>m高的排气筒排放（DA00</w:t>
      </w:r>
      <w:r>
        <w:rPr>
          <w:rFonts w:hint="eastAsia" w:ascii="Times New Roman" w:hAnsi="Times New Roman"/>
          <w:spacing w:val="-2"/>
          <w:kern w:val="0"/>
          <w:sz w:val="24"/>
          <w:szCs w:val="20"/>
        </w:rPr>
        <w:t>3</w:t>
      </w:r>
      <w:r>
        <w:rPr>
          <w:rFonts w:ascii="Times New Roman" w:hAnsi="Times New Roman"/>
          <w:spacing w:val="-2"/>
          <w:kern w:val="0"/>
          <w:sz w:val="24"/>
          <w:szCs w:val="20"/>
        </w:rPr>
        <w:t>）。</w:t>
      </w:r>
      <w:r>
        <w:rPr>
          <w:rFonts w:hint="eastAsia" w:ascii="Times New Roman" w:hAnsi="Times New Roman"/>
          <w:spacing w:val="-2"/>
          <w:kern w:val="0"/>
          <w:sz w:val="24"/>
          <w:szCs w:val="24"/>
          <w:u w:val="single"/>
        </w:rPr>
        <w:t>项目车间的内物料装卸区域、车间出入口及磁选机组两侧配置水雾喷淋系统降尘；</w:t>
      </w:r>
      <w:r>
        <w:rPr>
          <w:rFonts w:ascii="Times New Roman" w:hAnsi="Times New Roman"/>
          <w:spacing w:val="-2"/>
          <w:kern w:val="0"/>
          <w:sz w:val="24"/>
          <w:szCs w:val="20"/>
          <w:u w:val="single"/>
        </w:rPr>
        <w:t>除尘系统未收集的粉尘</w:t>
      </w:r>
      <w:r>
        <w:rPr>
          <w:rFonts w:ascii="Times New Roman" w:hAnsi="Times New Roman"/>
          <w:spacing w:val="-2"/>
          <w:kern w:val="0"/>
          <w:sz w:val="24"/>
          <w:szCs w:val="24"/>
          <w:u w:val="single"/>
        </w:rPr>
        <w:t>在无风扰动的</w:t>
      </w:r>
      <w:r>
        <w:rPr>
          <w:rFonts w:hint="eastAsia" w:ascii="Times New Roman" w:hAnsi="Times New Roman"/>
          <w:spacing w:val="-2"/>
          <w:kern w:val="0"/>
          <w:sz w:val="24"/>
          <w:szCs w:val="24"/>
          <w:u w:val="single"/>
        </w:rPr>
        <w:t>封闭式</w:t>
      </w:r>
      <w:r>
        <w:rPr>
          <w:rFonts w:ascii="Times New Roman" w:hAnsi="Times New Roman"/>
          <w:spacing w:val="-2"/>
          <w:kern w:val="0"/>
          <w:sz w:val="24"/>
          <w:szCs w:val="24"/>
          <w:u w:val="single"/>
        </w:rPr>
        <w:t>车间环境</w:t>
      </w:r>
      <w:r>
        <w:rPr>
          <w:rFonts w:hint="eastAsia" w:ascii="Times New Roman" w:hAnsi="Times New Roman"/>
          <w:spacing w:val="-2"/>
          <w:kern w:val="0"/>
          <w:sz w:val="24"/>
          <w:szCs w:val="24"/>
          <w:u w:val="single"/>
        </w:rPr>
        <w:t>内，结合水雾喷淋降尘系统快速</w:t>
      </w:r>
      <w:r>
        <w:rPr>
          <w:rFonts w:ascii="Times New Roman" w:hAnsi="Times New Roman"/>
          <w:spacing w:val="-2"/>
          <w:kern w:val="0"/>
          <w:sz w:val="24"/>
          <w:szCs w:val="24"/>
          <w:u w:val="single"/>
        </w:rPr>
        <w:t>下沉降到地面，通过车间清扫收集，少量粉尘由车间换风口逸散到环境。</w:t>
      </w:r>
    </w:p>
    <w:p w14:paraId="25DD6202">
      <w:pPr>
        <w:spacing w:line="360" w:lineRule="auto"/>
        <w:ind w:firstLine="474" w:firstLineChars="200"/>
        <w:rPr>
          <w:rFonts w:ascii="Times New Roman" w:hAnsi="Times New Roman"/>
          <w:spacing w:val="-2"/>
          <w:kern w:val="0"/>
          <w:sz w:val="24"/>
          <w:szCs w:val="24"/>
        </w:rPr>
      </w:pPr>
      <w:r>
        <w:rPr>
          <w:rFonts w:ascii="Times New Roman" w:hAnsi="Times New Roman"/>
          <w:b/>
          <w:bCs/>
          <w:spacing w:val="-2"/>
          <w:kern w:val="0"/>
          <w:sz w:val="24"/>
          <w:szCs w:val="24"/>
        </w:rPr>
        <w:t>物料运输扬尘治理措施：物料</w:t>
      </w:r>
      <w:r>
        <w:rPr>
          <w:rFonts w:ascii="Times New Roman" w:hAnsi="Times New Roman"/>
          <w:spacing w:val="-2"/>
          <w:kern w:val="0"/>
          <w:sz w:val="24"/>
          <w:szCs w:val="24"/>
        </w:rPr>
        <w:t>装载车辆篷布覆盖，运输期间定期道路洒水方式降尘。</w:t>
      </w:r>
    </w:p>
    <w:p w14:paraId="3905A5AB">
      <w:pPr>
        <w:pStyle w:val="6"/>
        <w:numPr>
          <w:ilvl w:val="2"/>
          <w:numId w:val="3"/>
        </w:numPr>
      </w:pPr>
      <w:r>
        <w:t>有组织废气防治措施技术经济可行性分析</w:t>
      </w:r>
    </w:p>
    <w:p w14:paraId="28B15AC7">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本项目烘干炉烟气、生产车间粉尘均采用袋式除尘器对废气进行治理，袋式除尘器是一种干式滤尘装置。它适用于捕集细小、干燥、非纤维性粉尘。滤袋采用纺织的滤布或非纺织的毡制成，利用纤维织物的过滤作用对含尘气体进行过滤，当含尘气体进入袋式除尘器，颗粒大、比重大的粉尘，由于重力的作用沉降下来，落入灰斗，含有较细小粉尘的气体在通过滤料时，粉尘被阻留，使气体得到净化。袋式除尘器结构示意图见图5.2-1。</w:t>
      </w:r>
    </w:p>
    <w:p w14:paraId="36F44CF9">
      <w:pPr>
        <w:pStyle w:val="4067"/>
        <w:spacing w:after="0"/>
        <w:ind w:left="0" w:leftChars="0" w:firstLine="0" w:firstLineChars="0"/>
        <w:jc w:val="center"/>
        <w:rPr>
          <w:rFonts w:ascii="Times New Roman" w:eastAsia="宋体"/>
        </w:rPr>
      </w:pPr>
      <w:r>
        <w:rPr>
          <w:rFonts w:ascii="Times New Roman" w:eastAsia="宋体"/>
        </w:rPr>
        <w:drawing>
          <wp:inline distT="0" distB="0" distL="0" distR="0">
            <wp:extent cx="2984500" cy="2967355"/>
            <wp:effectExtent l="0" t="0" r="6350" b="4445"/>
            <wp:docPr id="924039327"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039327" name="图片 16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984500" cy="2967355"/>
                    </a:xfrm>
                    <a:prstGeom prst="rect">
                      <a:avLst/>
                    </a:prstGeom>
                    <a:noFill/>
                    <a:ln>
                      <a:noFill/>
                    </a:ln>
                  </pic:spPr>
                </pic:pic>
              </a:graphicData>
            </a:graphic>
          </wp:inline>
        </w:drawing>
      </w:r>
    </w:p>
    <w:p w14:paraId="5539CDA3">
      <w:pPr>
        <w:pStyle w:val="9"/>
        <w:numPr>
          <w:ilvl w:val="5"/>
          <w:numId w:val="3"/>
        </w:numPr>
        <w:rPr>
          <w:sz w:val="24"/>
        </w:rPr>
      </w:pPr>
      <w:r>
        <w:rPr>
          <w:sz w:val="24"/>
        </w:rPr>
        <w:t>袋式除尘器结构示意图</w:t>
      </w:r>
    </w:p>
    <w:p w14:paraId="2592D69C">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袋式除尘器结构简单，维护操作方便除尘效率高，一般在99%以上，除尘器出口气体含尘浓度在15mg/m</w:t>
      </w:r>
      <w:r>
        <w:rPr>
          <w:rFonts w:ascii="Times New Roman" w:hAnsi="Times New Roman"/>
          <w:spacing w:val="-2"/>
          <w:kern w:val="0"/>
          <w:sz w:val="24"/>
          <w:szCs w:val="24"/>
          <w:vertAlign w:val="superscript"/>
        </w:rPr>
        <w:t>3</w:t>
      </w:r>
      <w:r>
        <w:rPr>
          <w:rFonts w:ascii="Times New Roman" w:hAnsi="Times New Roman"/>
          <w:spacing w:val="-2"/>
          <w:kern w:val="0"/>
          <w:sz w:val="24"/>
          <w:szCs w:val="24"/>
        </w:rPr>
        <w:t>以下。袋式除尘器在处理效率上普遍要优于水膜除尘、旋风除尘等工艺，较同等除尘效率的静电除尘器具有较低的造价和维护成本。袋式除尘器具有净化效率高，性能稳定，操作简便，适应性强，回收的粉尘便于利用等特点。根据《袋式除尘器通用技术规范》（HJ2020-2012），袋式除尘器工艺适用于含尘空气的净化、炉窑烟气的净化、粉尘具有回收价值的粉尘净化等应用场合，以上场合宜优先采用袋式除尘工艺。</w:t>
      </w:r>
    </w:p>
    <w:p w14:paraId="0D3FE3D6">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结合本项目有组织排放废气的特点进行分析，项目烘干炉烟气中的灰尘属于非纤维性、非粘结性的干燥粉尘，炉烟气含尘浓度较高，湿度较低，适合采用袋式除尘器进行治理，不容易因粉尘湿度或者纤维结构特征造成滤袋堵塞、阻力增高，而导致除尘系统效率和寿命的下降。项目生产车间粉尘同样属于非纤维性、非粘结性的干燥粉尘，并且车间含矿粉尘具有回收利用价值，采用袋式除尘器处理有利于回收的粉尘的利用。</w:t>
      </w:r>
      <w:r>
        <w:rPr>
          <w:rFonts w:hint="eastAsia" w:ascii="Times New Roman" w:hAnsi="Times New Roman"/>
          <w:spacing w:val="-2"/>
          <w:kern w:val="0"/>
          <w:sz w:val="24"/>
          <w:szCs w:val="24"/>
        </w:rPr>
        <w:t>袋式除尘工艺属于</w:t>
      </w:r>
      <w:r>
        <w:rPr>
          <w:rFonts w:ascii="Times New Roman" w:hAnsi="Times New Roman"/>
          <w:spacing w:val="-2"/>
          <w:kern w:val="0"/>
          <w:sz w:val="24"/>
          <w:szCs w:val="24"/>
        </w:rPr>
        <w:t>《排污许可申请与核发技术规范 工业窑炉》（HJ1121-2020）推荐</w:t>
      </w:r>
      <w:r>
        <w:rPr>
          <w:rFonts w:hint="eastAsia" w:ascii="Times New Roman" w:hAnsi="Times New Roman"/>
          <w:spacing w:val="-2"/>
          <w:kern w:val="0"/>
          <w:sz w:val="24"/>
          <w:szCs w:val="24"/>
        </w:rPr>
        <w:t>的</w:t>
      </w:r>
      <w:r>
        <w:rPr>
          <w:rFonts w:ascii="Times New Roman" w:hAnsi="Times New Roman"/>
          <w:spacing w:val="-2"/>
          <w:kern w:val="0"/>
          <w:sz w:val="24"/>
          <w:szCs w:val="24"/>
        </w:rPr>
        <w:t>可行治理技术。</w:t>
      </w:r>
    </w:p>
    <w:p w14:paraId="67142EF4">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综上所述，本项目烘干炉烟气、生产车间粉尘等废气除尘采用袋式除尘器，在相对经济的环保投入下，可获得较好的除尘效果，且有利于含矿粉尘的回收利用，项目采取的废气污染防治措施可行。</w:t>
      </w:r>
    </w:p>
    <w:p w14:paraId="0C5A38E9">
      <w:pPr>
        <w:pStyle w:val="6"/>
        <w:numPr>
          <w:ilvl w:val="2"/>
          <w:numId w:val="3"/>
        </w:numPr>
      </w:pPr>
      <w:r>
        <w:t>无组织废气防治措施技术经济可行性分析</w:t>
      </w:r>
    </w:p>
    <w:p w14:paraId="7C45F631">
      <w:pPr>
        <w:spacing w:line="360" w:lineRule="auto"/>
        <w:ind w:firstLine="474" w:firstLineChars="200"/>
        <w:rPr>
          <w:rFonts w:ascii="Times New Roman" w:hAnsi="Times New Roman"/>
          <w:b/>
          <w:bCs/>
          <w:spacing w:val="-2"/>
          <w:kern w:val="0"/>
          <w:sz w:val="24"/>
          <w:szCs w:val="24"/>
        </w:rPr>
      </w:pPr>
      <w:r>
        <w:rPr>
          <w:rFonts w:ascii="Times New Roman" w:hAnsi="Times New Roman"/>
          <w:b/>
          <w:bCs/>
          <w:spacing w:val="-2"/>
          <w:kern w:val="0"/>
          <w:sz w:val="24"/>
          <w:szCs w:val="24"/>
        </w:rPr>
        <w:t>（1）生产车间无组织排放粉尘</w:t>
      </w:r>
    </w:p>
    <w:p w14:paraId="56181FDC">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u w:val="single"/>
        </w:rPr>
        <w:t>在项目生产与车间外环境有关的装卸环节中，原料毛矿进厂集装箱拆箱卸货、精矿及中矿产品装车出厂均在车间内进行，装卸过程中关闭车间门，在封闭车间内进行装卸作业，降低车间内扬尘逸散到外环境的几率。</w:t>
      </w:r>
      <w:r>
        <w:rPr>
          <w:rFonts w:ascii="Times New Roman" w:hAnsi="Times New Roman"/>
          <w:spacing w:val="-2"/>
          <w:kern w:val="0"/>
          <w:sz w:val="24"/>
          <w:szCs w:val="24"/>
        </w:rPr>
        <w:t>项目厂房采用封闭式设计，</w:t>
      </w:r>
      <w:r>
        <w:rPr>
          <w:rFonts w:ascii="Times New Roman" w:hAnsi="Times New Roman"/>
          <w:sz w:val="24"/>
          <w:szCs w:val="24"/>
        </w:rPr>
        <w:t>生产线及物料堆放用地均布置在车间内，室内作业可有效地减少因自然风力风蚀作用产生的扬尘，并且将大部分粉尘控制在车间内。同时，</w:t>
      </w:r>
      <w:r>
        <w:rPr>
          <w:rFonts w:ascii="Times New Roman" w:hAnsi="Times New Roman"/>
          <w:spacing w:val="-2"/>
          <w:kern w:val="0"/>
          <w:sz w:val="24"/>
          <w:szCs w:val="24"/>
        </w:rPr>
        <w:t>项目在烘干机、磁选机进出料口等主要粉尘产生点配套安装集气罩，采用负压抽风进行收尘，可以有效地减少粉尘在车间内部的扩散量。</w:t>
      </w:r>
      <w:r>
        <w:rPr>
          <w:rFonts w:hint="eastAsia" w:ascii="Times New Roman" w:hAnsi="Times New Roman"/>
          <w:spacing w:val="-2"/>
          <w:kern w:val="0"/>
          <w:sz w:val="24"/>
          <w:szCs w:val="24"/>
          <w:u w:val="single"/>
        </w:rPr>
        <w:t>针对项目车间内的物料装卸、磁选等产生的较难进行收集的扬尘，采用水雾喷淋系统降尘，如毛矿进厂卸车、铲车转运至烘干、铲车转运至磁选、铲车产品移堆、磁选机组两侧、车间出入口等容易产生物料扬尘的环节，经过水雾喷淋系统降尘后可以有效地抑制扬尘的扩展，水雾喷淋降尘大大加重了含矿粉尘的自重，能使本来就较重的粉尘更多更快地进行沉降，大大减少了扬尘经过车间出入口及车间顶部换风口排放的逸散量，降低了项目粉尘进入外环境的几率。</w:t>
      </w:r>
    </w:p>
    <w:p w14:paraId="39DF182E">
      <w:pPr>
        <w:spacing w:line="360" w:lineRule="auto"/>
        <w:ind w:firstLine="472" w:firstLineChars="200"/>
        <w:rPr>
          <w:rFonts w:ascii="Times New Roman" w:hAnsi="Times New Roman"/>
          <w:spacing w:val="-2"/>
          <w:kern w:val="0"/>
          <w:sz w:val="24"/>
          <w:szCs w:val="24"/>
          <w:u w:val="single"/>
        </w:rPr>
      </w:pPr>
      <w:r>
        <w:rPr>
          <w:rFonts w:ascii="Times New Roman" w:hAnsi="Times New Roman"/>
          <w:spacing w:val="-2"/>
          <w:kern w:val="0"/>
          <w:sz w:val="24"/>
          <w:szCs w:val="24"/>
          <w:u w:val="single"/>
        </w:rPr>
        <w:t>车间采用封闭设计，无风扰动的车间环境下，含矿粉尘自重较大</w:t>
      </w:r>
      <w:r>
        <w:rPr>
          <w:rFonts w:hint="eastAsia" w:ascii="Times New Roman" w:hAnsi="Times New Roman"/>
          <w:spacing w:val="-2"/>
          <w:kern w:val="0"/>
          <w:sz w:val="24"/>
          <w:szCs w:val="24"/>
          <w:u w:val="single"/>
        </w:rPr>
        <w:t>，结合水雾喷淋，可使</w:t>
      </w:r>
      <w:r>
        <w:rPr>
          <w:rFonts w:ascii="Times New Roman" w:hAnsi="Times New Roman"/>
          <w:spacing w:val="-2"/>
          <w:kern w:val="0"/>
          <w:sz w:val="24"/>
          <w:szCs w:val="24"/>
          <w:u w:val="single"/>
        </w:rPr>
        <w:t>大部</w:t>
      </w:r>
      <w:r>
        <w:rPr>
          <w:rFonts w:hint="eastAsia" w:ascii="Times New Roman" w:hAnsi="Times New Roman"/>
          <w:spacing w:val="-2"/>
          <w:kern w:val="0"/>
          <w:sz w:val="24"/>
          <w:szCs w:val="24"/>
          <w:u w:val="single"/>
        </w:rPr>
        <w:t>含矿粉</w:t>
      </w:r>
      <w:r>
        <w:rPr>
          <w:rFonts w:hint="eastAsia" w:ascii="Times New Roman" w:hAnsi="Times New Roman"/>
          <w:spacing w:val="-2"/>
          <w:kern w:val="0"/>
          <w:sz w:val="24"/>
          <w:szCs w:val="24"/>
          <w:u w:val="single"/>
          <w:lang w:eastAsia="zh-CN"/>
        </w:rPr>
        <w:t>尘充</w:t>
      </w:r>
      <w:r>
        <w:rPr>
          <w:rFonts w:ascii="Times New Roman" w:hAnsi="Times New Roman"/>
          <w:spacing w:val="-2"/>
          <w:kern w:val="0"/>
          <w:sz w:val="24"/>
          <w:szCs w:val="24"/>
          <w:u w:val="single"/>
        </w:rPr>
        <w:t>分沉降到车间地面</w:t>
      </w:r>
      <w:r>
        <w:rPr>
          <w:rFonts w:hint="eastAsia" w:ascii="Times New Roman" w:hAnsi="Times New Roman"/>
          <w:spacing w:val="-2"/>
          <w:kern w:val="0"/>
          <w:sz w:val="24"/>
          <w:szCs w:val="24"/>
          <w:u w:val="single"/>
        </w:rPr>
        <w:t>，</w:t>
      </w:r>
      <w:r>
        <w:rPr>
          <w:rFonts w:ascii="Times New Roman" w:hAnsi="Times New Roman"/>
          <w:spacing w:val="-2"/>
          <w:kern w:val="0"/>
          <w:sz w:val="24"/>
          <w:szCs w:val="24"/>
          <w:u w:val="single"/>
        </w:rPr>
        <w:t>通过车间清扫收集</w:t>
      </w:r>
      <w:r>
        <w:rPr>
          <w:rFonts w:hint="eastAsia" w:ascii="Times New Roman" w:hAnsi="Times New Roman"/>
          <w:spacing w:val="-2"/>
          <w:kern w:val="0"/>
          <w:sz w:val="24"/>
          <w:szCs w:val="24"/>
          <w:u w:val="single"/>
        </w:rPr>
        <w:t>回用到生产。</w:t>
      </w:r>
      <w:r>
        <w:rPr>
          <w:rFonts w:ascii="Times New Roman" w:hAnsi="Times New Roman"/>
          <w:spacing w:val="-2"/>
          <w:kern w:val="0"/>
          <w:sz w:val="24"/>
          <w:szCs w:val="24"/>
          <w:u w:val="single"/>
        </w:rPr>
        <w:t>项目封闭</w:t>
      </w:r>
      <w:r>
        <w:rPr>
          <w:rFonts w:hint="eastAsia" w:ascii="Times New Roman" w:hAnsi="Times New Roman"/>
          <w:spacing w:val="-2"/>
          <w:kern w:val="0"/>
          <w:sz w:val="24"/>
          <w:szCs w:val="24"/>
          <w:u w:val="single"/>
        </w:rPr>
        <w:t>式生产车间、水雾喷淋系统等无组织粉尘治理组合方案，</w:t>
      </w:r>
      <w:r>
        <w:rPr>
          <w:rFonts w:ascii="Times New Roman" w:hAnsi="Times New Roman"/>
          <w:spacing w:val="-2"/>
          <w:kern w:val="0"/>
          <w:sz w:val="24"/>
          <w:szCs w:val="24"/>
          <w:u w:val="single"/>
        </w:rPr>
        <w:t>可以有效地降低粉尘无组织的产生量和排放量，项目利用创大冷链物流公司现有的3号仓库，厂房建设条件较好，封闭设计改造投资较小，</w:t>
      </w:r>
      <w:r>
        <w:rPr>
          <w:rFonts w:hint="eastAsia" w:ascii="Times New Roman" w:hAnsi="Times New Roman"/>
          <w:spacing w:val="-2"/>
          <w:kern w:val="0"/>
          <w:sz w:val="24"/>
          <w:szCs w:val="24"/>
          <w:u w:val="single"/>
        </w:rPr>
        <w:t>水雾喷淋系统技术成熟，运行成本较低，</w:t>
      </w:r>
      <w:r>
        <w:rPr>
          <w:rFonts w:ascii="Times New Roman" w:hAnsi="Times New Roman"/>
          <w:spacing w:val="-2"/>
          <w:kern w:val="0"/>
          <w:sz w:val="24"/>
          <w:szCs w:val="24"/>
          <w:u w:val="single"/>
        </w:rPr>
        <w:t>治理措施在经济技术上可行。</w:t>
      </w:r>
    </w:p>
    <w:p w14:paraId="3EAF7248">
      <w:pPr>
        <w:spacing w:line="360" w:lineRule="auto"/>
        <w:ind w:firstLine="474" w:firstLineChars="200"/>
        <w:rPr>
          <w:rFonts w:ascii="Times New Roman" w:hAnsi="Times New Roman"/>
          <w:b/>
          <w:bCs/>
          <w:spacing w:val="-2"/>
          <w:kern w:val="0"/>
          <w:sz w:val="24"/>
          <w:szCs w:val="24"/>
        </w:rPr>
      </w:pPr>
      <w:r>
        <w:rPr>
          <w:rFonts w:ascii="Times New Roman" w:hAnsi="Times New Roman"/>
          <w:b/>
          <w:bCs/>
          <w:spacing w:val="-2"/>
          <w:kern w:val="0"/>
          <w:sz w:val="24"/>
          <w:szCs w:val="24"/>
        </w:rPr>
        <w:t>（2）物料运输无组织排放扬尘</w:t>
      </w:r>
    </w:p>
    <w:p w14:paraId="6BBFF844">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项目物料运输进出场时产生的扬尘，主要是车辆在场地行驶、运输车辆行驶过程中矿料洒落路面、运输车辆的车轮夹带泥土污染场地附近路面而产生扬尘。通过加强物流运输的管理，严格执行篷布覆盖运输物料，在物料装载汽车运输期间定期道路洒水降尘，可有效减少道路扬尘的产生。同时，通过对运输车辆的合规使用宣传，避免装载过满，定期对措施进行检查，篷布</w:t>
      </w:r>
      <w:r>
        <w:rPr>
          <w:rFonts w:ascii="Times New Roman" w:hAnsi="Times New Roman"/>
          <w:spacing w:val="-2"/>
          <w:kern w:val="0"/>
          <w:sz w:val="24"/>
          <w:szCs w:val="20"/>
        </w:rPr>
        <w:t>如有破损及时修补，以免矿砂洒落，遵守在</w:t>
      </w:r>
      <w:r>
        <w:rPr>
          <w:rFonts w:ascii="Times New Roman" w:hAnsi="Times New Roman"/>
          <w:spacing w:val="-2"/>
          <w:kern w:val="0"/>
          <w:sz w:val="24"/>
          <w:szCs w:val="24"/>
        </w:rPr>
        <w:t>园区内低速行驶等规定。通过以上措施，可以较好地控制物料运输的扬尘产生，治理措施可行。</w:t>
      </w:r>
    </w:p>
    <w:p w14:paraId="3EA426D0">
      <w:pPr>
        <w:spacing w:line="336"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综上所述，运营期产生的废气在经以上防治措施处理后，能</w:t>
      </w:r>
      <w:r>
        <w:rPr>
          <w:rFonts w:hint="eastAsia" w:ascii="Times New Roman" w:hAnsi="Times New Roman"/>
          <w:spacing w:val="-2"/>
          <w:kern w:val="0"/>
          <w:sz w:val="24"/>
          <w:szCs w:val="24"/>
          <w:lang w:eastAsia="zh-CN"/>
        </w:rPr>
        <w:t>得到有效地</w:t>
      </w:r>
      <w:r>
        <w:rPr>
          <w:rFonts w:ascii="Times New Roman" w:hAnsi="Times New Roman"/>
          <w:spacing w:val="-2"/>
          <w:kern w:val="0"/>
          <w:sz w:val="24"/>
          <w:szCs w:val="24"/>
        </w:rPr>
        <w:t>控制，对周边环境影响较小，本项目采取的废气防治措施在技术上和经济上是可行的。</w:t>
      </w:r>
    </w:p>
    <w:p w14:paraId="3A71D8CC">
      <w:pPr>
        <w:pStyle w:val="5"/>
        <w:numPr>
          <w:ilvl w:val="1"/>
          <w:numId w:val="3"/>
        </w:numPr>
      </w:pPr>
      <w:bookmarkStart w:id="277" w:name="_Toc29886"/>
      <w:r>
        <w:t>运营期废水污染防治措施</w:t>
      </w:r>
      <w:bookmarkEnd w:id="274"/>
      <w:bookmarkEnd w:id="275"/>
      <w:bookmarkEnd w:id="276"/>
      <w:r>
        <w:t>论证</w:t>
      </w:r>
      <w:bookmarkEnd w:id="277"/>
    </w:p>
    <w:p w14:paraId="3C96DEC7">
      <w:pPr>
        <w:spacing w:line="360" w:lineRule="auto"/>
        <w:ind w:firstLine="480" w:firstLineChars="200"/>
        <w:rPr>
          <w:rFonts w:ascii="Times New Roman" w:hAnsi="Times New Roman"/>
          <w:sz w:val="24"/>
          <w:szCs w:val="21"/>
        </w:rPr>
      </w:pPr>
      <w:bookmarkStart w:id="278" w:name="_Toc410662425"/>
      <w:bookmarkStart w:id="279" w:name="_Toc340072339"/>
      <w:bookmarkStart w:id="280" w:name="_Toc327346327"/>
      <w:r>
        <w:rPr>
          <w:rFonts w:ascii="Times New Roman" w:hAnsi="Times New Roman"/>
          <w:sz w:val="24"/>
          <w:szCs w:val="24"/>
        </w:rPr>
        <w:t>本项目采用干式磁选工艺对原料进行分选加工，原料毛矿无需进行清洗，生产过程中无需用水，毛矿含水率不高，烘干后的水分蒸发到空气中，并且原料均存放于厂房内，在堆存过程中也不产生渗滤液。项目运营期的用水主要是工作人员工作期间的生活用水</w:t>
      </w:r>
      <w:r>
        <w:rPr>
          <w:rFonts w:ascii="Times New Roman" w:hAnsi="Times New Roman"/>
          <w:sz w:val="24"/>
          <w:szCs w:val="21"/>
        </w:rPr>
        <w:t>。</w:t>
      </w:r>
    </w:p>
    <w:p w14:paraId="02ED5BE0">
      <w:pPr>
        <w:spacing w:line="360" w:lineRule="auto"/>
        <w:ind w:firstLine="480" w:firstLineChars="200"/>
        <w:rPr>
          <w:rFonts w:ascii="Times New Roman" w:hAnsi="Times New Roman"/>
          <w:spacing w:val="-2"/>
          <w:kern w:val="0"/>
          <w:sz w:val="24"/>
          <w:szCs w:val="24"/>
        </w:rPr>
      </w:pPr>
      <w:r>
        <w:rPr>
          <w:rFonts w:ascii="Times New Roman" w:hAnsi="Times New Roman"/>
          <w:kern w:val="0"/>
          <w:sz w:val="24"/>
          <w:szCs w:val="24"/>
        </w:rPr>
        <w:t>项目运营期生活污水经化粪池处理后，接入</w:t>
      </w:r>
      <w:r>
        <w:rPr>
          <w:rFonts w:ascii="Times New Roman" w:hAnsi="Times New Roman"/>
          <w:spacing w:val="-2"/>
          <w:kern w:val="0"/>
          <w:sz w:val="24"/>
          <w:szCs w:val="24"/>
        </w:rPr>
        <w:t>创大冷链物流公司进口汽车仓储物流园区室外排水系统，</w:t>
      </w:r>
      <w:r>
        <w:rPr>
          <w:rFonts w:ascii="Times New Roman" w:hAnsi="Times New Roman"/>
          <w:kern w:val="0"/>
          <w:sz w:val="24"/>
          <w:szCs w:val="24"/>
        </w:rPr>
        <w:t>排入市政污水管网送钦州港大榄坪污水处理厂处理。</w:t>
      </w:r>
      <w:r>
        <w:rPr>
          <w:rFonts w:ascii="Times New Roman" w:hAnsi="Times New Roman"/>
          <w:spacing w:val="-2"/>
          <w:kern w:val="0"/>
          <w:sz w:val="24"/>
          <w:szCs w:val="24"/>
        </w:rPr>
        <w:t>创大冷链物流公司进口汽车仓储物流园内的排水设施完善，施工期少量污水的处理是有保障的。</w:t>
      </w:r>
    </w:p>
    <w:p w14:paraId="66EA6336">
      <w:pPr>
        <w:spacing w:line="360" w:lineRule="auto"/>
        <w:ind w:firstLine="480" w:firstLineChars="200"/>
        <w:rPr>
          <w:rFonts w:ascii="Times New Roman" w:hAnsi="Times New Roman"/>
          <w:spacing w:val="-2"/>
          <w:kern w:val="0"/>
          <w:sz w:val="24"/>
          <w:szCs w:val="24"/>
        </w:rPr>
      </w:pPr>
      <w:r>
        <w:rPr>
          <w:rFonts w:ascii="Times New Roman" w:hAnsi="Times New Roman"/>
          <w:sz w:val="24"/>
        </w:rPr>
        <w:t>项目废水排放量为</w:t>
      </w:r>
      <w:r>
        <w:rPr>
          <w:rFonts w:ascii="Times New Roman" w:hAnsi="Times New Roman" w:eastAsiaTheme="minorEastAsia"/>
          <w:sz w:val="24"/>
        </w:rPr>
        <w:t>0.4</w:t>
      </w:r>
      <w:r>
        <w:rPr>
          <w:rFonts w:ascii="Times New Roman" w:hAnsi="Times New Roman" w:eastAsia="Times New Roman"/>
          <w:sz w:val="24"/>
        </w:rPr>
        <w:t>m</w:t>
      </w:r>
      <w:r>
        <w:rPr>
          <w:rFonts w:ascii="Times New Roman" w:hAnsi="Times New Roman" w:eastAsia="Times New Roman"/>
          <w:sz w:val="24"/>
          <w:vertAlign w:val="superscript"/>
        </w:rPr>
        <w:t>3</w:t>
      </w:r>
      <w:r>
        <w:rPr>
          <w:rFonts w:ascii="Times New Roman" w:hAnsi="Times New Roman" w:eastAsia="Times New Roman"/>
          <w:sz w:val="24"/>
        </w:rPr>
        <w:t>/d</w:t>
      </w:r>
      <w:r>
        <w:rPr>
          <w:rFonts w:ascii="Times New Roman" w:hAnsi="Times New Roman"/>
          <w:sz w:val="24"/>
        </w:rPr>
        <w:t>，钦州市大榄坪污水处理厂一期规模为</w:t>
      </w:r>
      <w:r>
        <w:rPr>
          <w:rFonts w:ascii="Times New Roman" w:hAnsi="Times New Roman" w:eastAsia="Times New Roman"/>
          <w:sz w:val="24"/>
        </w:rPr>
        <w:t>5</w:t>
      </w:r>
      <w:r>
        <w:rPr>
          <w:rFonts w:ascii="Times New Roman" w:hAnsi="Times New Roman"/>
          <w:sz w:val="24"/>
        </w:rPr>
        <w:t>万</w:t>
      </w:r>
      <w:r>
        <w:rPr>
          <w:rFonts w:ascii="Times New Roman" w:hAnsi="Times New Roman" w:eastAsia="Times New Roman"/>
          <w:sz w:val="24"/>
        </w:rPr>
        <w:t>m</w:t>
      </w:r>
      <w:r>
        <w:rPr>
          <w:rFonts w:ascii="Times New Roman" w:hAnsi="Times New Roman" w:eastAsia="Times New Roman"/>
          <w:sz w:val="24"/>
          <w:vertAlign w:val="superscript"/>
        </w:rPr>
        <w:t>3</w:t>
      </w:r>
      <w:r>
        <w:rPr>
          <w:rFonts w:ascii="Times New Roman" w:hAnsi="Times New Roman" w:eastAsia="Times New Roman"/>
          <w:sz w:val="24"/>
        </w:rPr>
        <w:t>/d</w:t>
      </w:r>
      <w:r>
        <w:rPr>
          <w:rFonts w:ascii="Times New Roman" w:hAnsi="Times New Roman"/>
          <w:sz w:val="24"/>
        </w:rPr>
        <w:t>，远期（</w:t>
      </w:r>
      <w:r>
        <w:rPr>
          <w:rFonts w:ascii="Times New Roman" w:hAnsi="Times New Roman" w:eastAsia="Times New Roman"/>
          <w:sz w:val="24"/>
        </w:rPr>
        <w:t xml:space="preserve">2025 </w:t>
      </w:r>
      <w:r>
        <w:rPr>
          <w:rFonts w:ascii="Times New Roman" w:hAnsi="Times New Roman"/>
          <w:sz w:val="24"/>
        </w:rPr>
        <w:t>年）规划达到</w:t>
      </w:r>
      <w:r>
        <w:rPr>
          <w:rFonts w:ascii="Times New Roman" w:hAnsi="Times New Roman" w:eastAsia="Times New Roman"/>
          <w:sz w:val="24"/>
        </w:rPr>
        <w:t xml:space="preserve">25 </w:t>
      </w:r>
      <w:r>
        <w:rPr>
          <w:rFonts w:ascii="Times New Roman" w:hAnsi="Times New Roman"/>
          <w:sz w:val="24"/>
        </w:rPr>
        <w:t>万</w:t>
      </w:r>
      <w:r>
        <w:rPr>
          <w:rFonts w:ascii="Times New Roman" w:hAnsi="Times New Roman" w:eastAsia="Times New Roman"/>
          <w:sz w:val="24"/>
        </w:rPr>
        <w:t>m</w:t>
      </w:r>
      <w:r>
        <w:rPr>
          <w:rFonts w:ascii="Times New Roman" w:hAnsi="Times New Roman" w:eastAsia="Times New Roman"/>
          <w:sz w:val="24"/>
          <w:vertAlign w:val="superscript"/>
        </w:rPr>
        <w:t>3</w:t>
      </w:r>
      <w:r>
        <w:rPr>
          <w:rFonts w:ascii="Times New Roman" w:hAnsi="Times New Roman" w:eastAsia="Times New Roman"/>
          <w:sz w:val="24"/>
        </w:rPr>
        <w:t>/d</w:t>
      </w:r>
      <w:r>
        <w:rPr>
          <w:rFonts w:ascii="Times New Roman" w:hAnsi="Times New Roman"/>
          <w:sz w:val="24"/>
        </w:rPr>
        <w:t>，</w:t>
      </w:r>
      <w:r>
        <w:rPr>
          <w:rFonts w:ascii="Times New Roman" w:hAnsi="Times New Roman"/>
          <w:sz w:val="24"/>
          <w:u w:val="single"/>
        </w:rPr>
        <w:t>目前日处理废水量约为</w:t>
      </w:r>
      <w:r>
        <w:rPr>
          <w:rFonts w:hint="eastAsia" w:ascii="Times New Roman" w:hAnsi="Times New Roman" w:eastAsiaTheme="minorEastAsia"/>
          <w:sz w:val="24"/>
          <w:u w:val="single"/>
        </w:rPr>
        <w:t>4000</w:t>
      </w:r>
      <w:r>
        <w:rPr>
          <w:rFonts w:ascii="Times New Roman" w:hAnsi="Times New Roman" w:eastAsia="Times New Roman"/>
          <w:sz w:val="24"/>
          <w:u w:val="single"/>
        </w:rPr>
        <w:t>m</w:t>
      </w:r>
      <w:r>
        <w:rPr>
          <w:rFonts w:ascii="Times New Roman" w:hAnsi="Times New Roman" w:eastAsia="Times New Roman"/>
          <w:sz w:val="24"/>
          <w:u w:val="single"/>
          <w:vertAlign w:val="superscript"/>
        </w:rPr>
        <w:t>3</w:t>
      </w:r>
      <w:r>
        <w:rPr>
          <w:rFonts w:ascii="Times New Roman" w:hAnsi="Times New Roman" w:eastAsia="Times New Roman"/>
          <w:sz w:val="24"/>
          <w:u w:val="single"/>
        </w:rPr>
        <w:t>/d</w:t>
      </w:r>
      <w:r>
        <w:rPr>
          <w:rFonts w:hint="eastAsia" w:ascii="宋体" w:hAnsi="宋体" w:cs="宋体"/>
          <w:sz w:val="24"/>
          <w:u w:val="single"/>
        </w:rPr>
        <w:t>，有富余处理能力接纳项目的废水</w:t>
      </w:r>
      <w:r>
        <w:rPr>
          <w:rFonts w:ascii="Times New Roman" w:hAnsi="Times New Roman"/>
          <w:sz w:val="24"/>
          <w:u w:val="single"/>
        </w:rPr>
        <w:t>。</w:t>
      </w:r>
      <w:r>
        <w:rPr>
          <w:rFonts w:ascii="Times New Roman" w:hAnsi="Times New Roman"/>
          <w:sz w:val="24"/>
        </w:rPr>
        <w:t>项目废水仅占污水处理厂一期处理规模的</w:t>
      </w:r>
      <w:r>
        <w:rPr>
          <w:rFonts w:ascii="Times New Roman" w:hAnsi="Times New Roman" w:eastAsia="Times New Roman"/>
          <w:sz w:val="24"/>
        </w:rPr>
        <w:t>0.</w:t>
      </w:r>
      <w:r>
        <w:rPr>
          <w:rFonts w:ascii="Times New Roman" w:hAnsi="Times New Roman" w:eastAsiaTheme="minorEastAsia"/>
          <w:sz w:val="24"/>
        </w:rPr>
        <w:t>0008</w:t>
      </w:r>
      <w:r>
        <w:rPr>
          <w:rFonts w:ascii="Times New Roman" w:hAnsi="Times New Roman" w:eastAsia="Times New Roman"/>
          <w:sz w:val="24"/>
        </w:rPr>
        <w:t>%</w:t>
      </w:r>
      <w:r>
        <w:rPr>
          <w:rFonts w:ascii="Times New Roman" w:hAnsi="Times New Roman"/>
          <w:sz w:val="24"/>
        </w:rPr>
        <w:t>、占污水处理厂二期处理规模的</w:t>
      </w:r>
      <w:r>
        <w:rPr>
          <w:rFonts w:ascii="Times New Roman" w:hAnsi="Times New Roman" w:eastAsia="Times New Roman"/>
          <w:sz w:val="24"/>
        </w:rPr>
        <w:t>0.0</w:t>
      </w:r>
      <w:r>
        <w:rPr>
          <w:rFonts w:ascii="Times New Roman" w:hAnsi="Times New Roman" w:eastAsiaTheme="minorEastAsia"/>
          <w:sz w:val="24"/>
        </w:rPr>
        <w:t>002</w:t>
      </w:r>
      <w:r>
        <w:rPr>
          <w:rFonts w:ascii="Times New Roman" w:hAnsi="Times New Roman" w:eastAsia="Times New Roman"/>
          <w:sz w:val="24"/>
        </w:rPr>
        <w:t>%</w:t>
      </w:r>
      <w:r>
        <w:rPr>
          <w:rFonts w:ascii="Times New Roman" w:hAnsi="Times New Roman"/>
          <w:sz w:val="24"/>
        </w:rPr>
        <w:t>，占比很小，大榄坪污水处理厂剩余容量可接纳本项目生活污水排放量，所以本项目废水不会在水量上对污水处理厂造成冲击。</w:t>
      </w:r>
    </w:p>
    <w:p w14:paraId="48ECE95C">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钦州大榄坪污水处理厂采用</w:t>
      </w:r>
      <w:r>
        <w:rPr>
          <w:rFonts w:ascii="宋体" w:hAnsi="宋体"/>
          <w:spacing w:val="-2"/>
          <w:kern w:val="0"/>
          <w:sz w:val="24"/>
          <w:szCs w:val="24"/>
        </w:rPr>
        <w:t>“</w:t>
      </w:r>
      <w:r>
        <w:rPr>
          <w:rFonts w:ascii="Times New Roman" w:hAnsi="Times New Roman"/>
          <w:spacing w:val="-2"/>
          <w:kern w:val="0"/>
          <w:sz w:val="24"/>
          <w:szCs w:val="24"/>
        </w:rPr>
        <w:t>A/A/O曝气氧化沟+化学辅助除磷</w:t>
      </w:r>
      <w:r>
        <w:rPr>
          <w:rFonts w:ascii="宋体" w:hAnsi="宋体"/>
          <w:spacing w:val="-2"/>
          <w:kern w:val="0"/>
          <w:sz w:val="24"/>
          <w:szCs w:val="24"/>
        </w:rPr>
        <w:t>”</w:t>
      </w:r>
      <w:r>
        <w:rPr>
          <w:rFonts w:ascii="Times New Roman" w:hAnsi="Times New Roman"/>
          <w:spacing w:val="-2"/>
          <w:kern w:val="0"/>
          <w:sz w:val="24"/>
          <w:szCs w:val="24"/>
        </w:rPr>
        <w:t>工艺</w:t>
      </w:r>
      <w:r>
        <w:rPr>
          <w:rFonts w:ascii="Times New Roman" w:hAnsi="Times New Roman"/>
          <w:spacing w:val="-2"/>
          <w:kern w:val="0"/>
          <w:sz w:val="24"/>
          <w:szCs w:val="20"/>
        </w:rPr>
        <w:t>，出水水质要求达到《城镇污水处理厂污染物排放标准》一级A标准</w:t>
      </w:r>
      <w:r>
        <w:rPr>
          <w:rFonts w:ascii="Times New Roman" w:hAnsi="Times New Roman"/>
          <w:spacing w:val="-2"/>
          <w:kern w:val="0"/>
          <w:sz w:val="24"/>
          <w:szCs w:val="24"/>
        </w:rPr>
        <w:t>，该处理工艺能满足项目生活污水处理要求。</w:t>
      </w:r>
    </w:p>
    <w:p w14:paraId="43C137A0">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综上所述，项目生活废水经合理有效处理后，在技术和经济上均可行。</w:t>
      </w:r>
    </w:p>
    <w:p w14:paraId="667FE0B8">
      <w:pPr>
        <w:pStyle w:val="5"/>
        <w:numPr>
          <w:ilvl w:val="1"/>
          <w:numId w:val="3"/>
        </w:numPr>
      </w:pPr>
      <w:bookmarkStart w:id="281" w:name="_Toc12246"/>
      <w:r>
        <w:t>运营期地下水影响防治措施</w:t>
      </w:r>
      <w:bookmarkEnd w:id="278"/>
      <w:bookmarkEnd w:id="279"/>
      <w:bookmarkEnd w:id="280"/>
      <w:r>
        <w:t>论证</w:t>
      </w:r>
      <w:bookmarkEnd w:id="281"/>
    </w:p>
    <w:p w14:paraId="52DCECC0">
      <w:pPr>
        <w:spacing w:line="360" w:lineRule="auto"/>
        <w:ind w:firstLine="472" w:firstLineChars="200"/>
        <w:rPr>
          <w:rFonts w:ascii="Times New Roman" w:hAnsi="Times New Roman"/>
          <w:spacing w:val="-2"/>
          <w:kern w:val="0"/>
          <w:sz w:val="24"/>
          <w:szCs w:val="24"/>
        </w:rPr>
      </w:pPr>
      <w:r>
        <w:rPr>
          <w:rFonts w:ascii="宋体" w:hAnsi="宋体"/>
          <w:spacing w:val="-2"/>
          <w:kern w:val="0"/>
          <w:sz w:val="24"/>
          <w:szCs w:val="24"/>
        </w:rPr>
        <w:t>地下水污染的防治措施与保护对策应按照“源头控制、分区防治、污染监控、应急响应”</w:t>
      </w:r>
      <w:r>
        <w:rPr>
          <w:rFonts w:ascii="Times New Roman" w:hAnsi="Times New Roman"/>
          <w:spacing w:val="-2"/>
          <w:kern w:val="0"/>
          <w:sz w:val="24"/>
          <w:szCs w:val="24"/>
        </w:rPr>
        <w:t>的原则确定，依据本项目的污染水质特点、水文地质条件，提出以下几点防治措施</w:t>
      </w:r>
      <w:r>
        <w:rPr>
          <w:rFonts w:hint="eastAsia" w:ascii="Times New Roman" w:hAnsi="Times New Roman"/>
          <w:spacing w:val="-2"/>
          <w:kern w:val="0"/>
          <w:sz w:val="24"/>
          <w:szCs w:val="24"/>
        </w:rPr>
        <w:t>。</w:t>
      </w:r>
    </w:p>
    <w:p w14:paraId="00736FE6">
      <w:pPr>
        <w:pStyle w:val="6"/>
        <w:numPr>
          <w:ilvl w:val="2"/>
          <w:numId w:val="3"/>
        </w:numPr>
      </w:pPr>
      <w:r>
        <w:t>源头控制措施</w:t>
      </w:r>
    </w:p>
    <w:p w14:paraId="67987E7A">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w:t>
      </w:r>
      <w:r>
        <w:rPr>
          <w:rFonts w:ascii="Times New Roman" w:hAnsi="Times New Roman"/>
          <w:spacing w:val="-2"/>
          <w:kern w:val="0"/>
          <w:sz w:val="24"/>
          <w:szCs w:val="24"/>
        </w:rPr>
        <w:t>1）项目生产过程不产生污水，项目物料堆存均设置在厂房内无雨水淋溶，在生产过程中注意管控厂房内用水，车间清洁应采用清扫方式进行，避免用水进行清洗。</w:t>
      </w:r>
    </w:p>
    <w:p w14:paraId="603909CD">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w:t>
      </w:r>
      <w:r>
        <w:rPr>
          <w:rFonts w:ascii="Times New Roman" w:hAnsi="Times New Roman"/>
          <w:spacing w:val="-2"/>
          <w:kern w:val="0"/>
          <w:sz w:val="24"/>
          <w:szCs w:val="24"/>
        </w:rPr>
        <w:t>2）</w:t>
      </w:r>
      <w:r>
        <w:rPr>
          <w:rFonts w:hint="eastAsia" w:ascii="Times New Roman" w:hAnsi="Times New Roman"/>
          <w:spacing w:val="-2"/>
          <w:kern w:val="0"/>
          <w:sz w:val="24"/>
          <w:szCs w:val="24"/>
        </w:rPr>
        <w:t>各含矿物料堆放区及化粪池均</w:t>
      </w:r>
      <w:r>
        <w:rPr>
          <w:rFonts w:ascii="Times New Roman" w:hAnsi="Times New Roman"/>
          <w:spacing w:val="-2"/>
          <w:kern w:val="0"/>
          <w:sz w:val="24"/>
          <w:szCs w:val="24"/>
        </w:rPr>
        <w:t>采取适当的防渗漏处理措施，对化粪池等下垫粘土，池底及四周设置浆砌水泥抹面结构，可有效</w:t>
      </w:r>
      <w:r>
        <w:rPr>
          <w:rFonts w:hint="eastAsia" w:ascii="Times New Roman" w:hAnsi="Times New Roman"/>
          <w:spacing w:val="-2"/>
          <w:kern w:val="0"/>
          <w:sz w:val="24"/>
          <w:szCs w:val="24"/>
        </w:rPr>
        <w:t>降低</w:t>
      </w:r>
      <w:r>
        <w:rPr>
          <w:rFonts w:ascii="Times New Roman" w:hAnsi="Times New Roman"/>
          <w:spacing w:val="-2"/>
          <w:kern w:val="0"/>
          <w:sz w:val="24"/>
          <w:szCs w:val="24"/>
        </w:rPr>
        <w:t>废水渗入地下水而造成地下水污染</w:t>
      </w:r>
      <w:r>
        <w:rPr>
          <w:rFonts w:hint="eastAsia" w:ascii="Times New Roman" w:hAnsi="Times New Roman"/>
          <w:spacing w:val="-2"/>
          <w:kern w:val="0"/>
          <w:sz w:val="24"/>
          <w:szCs w:val="24"/>
        </w:rPr>
        <w:t>的可能</w:t>
      </w:r>
      <w:r>
        <w:rPr>
          <w:rFonts w:ascii="Times New Roman" w:hAnsi="Times New Roman"/>
          <w:spacing w:val="-2"/>
          <w:kern w:val="0"/>
          <w:sz w:val="24"/>
          <w:szCs w:val="24"/>
        </w:rPr>
        <w:t>，同时注意尽量避免含矿物质大量排入化粪池。</w:t>
      </w:r>
    </w:p>
    <w:p w14:paraId="0739EFF8">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w:t>
      </w:r>
      <w:r>
        <w:rPr>
          <w:rFonts w:ascii="Times New Roman" w:hAnsi="Times New Roman"/>
          <w:spacing w:val="-2"/>
          <w:kern w:val="0"/>
          <w:sz w:val="24"/>
          <w:szCs w:val="24"/>
        </w:rPr>
        <w:t>3）对生活垃圾应加强管理，用垃圾桶收集，垃圾堆放点不得排放生活污水，不得倾倒建筑垃圾。</w:t>
      </w:r>
    </w:p>
    <w:p w14:paraId="54B79F2F">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w:t>
      </w:r>
      <w:r>
        <w:rPr>
          <w:rFonts w:ascii="Times New Roman" w:hAnsi="Times New Roman"/>
          <w:spacing w:val="-2"/>
          <w:kern w:val="0"/>
          <w:sz w:val="24"/>
          <w:szCs w:val="24"/>
        </w:rPr>
        <w:t>4）建立经常性的检修制度，如每年对厂区的污水管线进行一次或两次全面的检查以便及时发现问题，及时处理解决，及时更新维护。加强生产管理，杜绝事故性排放和泄漏。</w:t>
      </w:r>
    </w:p>
    <w:p w14:paraId="2362C0B7">
      <w:pPr>
        <w:pStyle w:val="6"/>
        <w:numPr>
          <w:ilvl w:val="2"/>
          <w:numId w:val="3"/>
        </w:numPr>
      </w:pPr>
      <w:r>
        <w:t>分区防控措施</w:t>
      </w:r>
    </w:p>
    <w:p w14:paraId="1E8802E0">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为保护区域地下水安全，需要对项目厂区进行防渗。根据现场调查，本项目以水平防渗为主。对照《环境影响评价技术导则 地下水环境》（HJ 610-2016），可根据建设项目污染控制难易程度、场地天然包气带防污性能和污染物特性（见表5.</w:t>
      </w:r>
      <w:r>
        <w:rPr>
          <w:rFonts w:hint="eastAsia" w:ascii="Times New Roman" w:hAnsi="Times New Roman"/>
          <w:spacing w:val="-2"/>
          <w:kern w:val="0"/>
          <w:sz w:val="24"/>
          <w:szCs w:val="24"/>
        </w:rPr>
        <w:t>4</w:t>
      </w:r>
      <w:r>
        <w:rPr>
          <w:rFonts w:ascii="Times New Roman" w:hAnsi="Times New Roman"/>
          <w:spacing w:val="-2"/>
          <w:kern w:val="0"/>
          <w:sz w:val="24"/>
          <w:szCs w:val="24"/>
        </w:rPr>
        <w:t>-</w:t>
      </w:r>
      <w:r>
        <w:rPr>
          <w:rFonts w:hint="eastAsia" w:ascii="Times New Roman" w:hAnsi="Times New Roman"/>
          <w:spacing w:val="-2"/>
          <w:kern w:val="0"/>
          <w:sz w:val="24"/>
          <w:szCs w:val="24"/>
        </w:rPr>
        <w:t>1</w:t>
      </w:r>
      <w:r>
        <w:rPr>
          <w:rFonts w:ascii="Times New Roman" w:hAnsi="Times New Roman"/>
          <w:spacing w:val="-2"/>
          <w:kern w:val="0"/>
          <w:sz w:val="24"/>
          <w:szCs w:val="24"/>
        </w:rPr>
        <w:t>～5.</w:t>
      </w:r>
      <w:r>
        <w:rPr>
          <w:rFonts w:hint="eastAsia" w:ascii="Times New Roman" w:hAnsi="Times New Roman"/>
          <w:spacing w:val="-2"/>
          <w:kern w:val="0"/>
          <w:sz w:val="24"/>
          <w:szCs w:val="24"/>
        </w:rPr>
        <w:t>4</w:t>
      </w:r>
      <w:r>
        <w:rPr>
          <w:rFonts w:ascii="Times New Roman" w:hAnsi="Times New Roman"/>
          <w:spacing w:val="-2"/>
          <w:kern w:val="0"/>
          <w:sz w:val="24"/>
          <w:szCs w:val="24"/>
        </w:rPr>
        <w:t>-</w:t>
      </w:r>
      <w:r>
        <w:rPr>
          <w:rFonts w:hint="eastAsia" w:ascii="Times New Roman" w:hAnsi="Times New Roman"/>
          <w:spacing w:val="-2"/>
          <w:kern w:val="0"/>
          <w:sz w:val="24"/>
          <w:szCs w:val="24"/>
        </w:rPr>
        <w:t>3</w:t>
      </w:r>
      <w:r>
        <w:rPr>
          <w:rFonts w:ascii="Times New Roman" w:hAnsi="Times New Roman"/>
          <w:spacing w:val="-2"/>
          <w:kern w:val="0"/>
          <w:sz w:val="24"/>
          <w:szCs w:val="24"/>
        </w:rPr>
        <w:t>），来划分地下水污染防渗分区。</w:t>
      </w:r>
    </w:p>
    <w:p w14:paraId="62E30F68">
      <w:pPr>
        <w:pStyle w:val="8"/>
        <w:numPr>
          <w:ilvl w:val="4"/>
          <w:numId w:val="3"/>
        </w:numPr>
        <w:rPr>
          <w:sz w:val="24"/>
          <w:szCs w:val="24"/>
        </w:rPr>
      </w:pPr>
      <w:r>
        <w:rPr>
          <w:sz w:val="24"/>
          <w:szCs w:val="24"/>
        </w:rPr>
        <w:t>污染控制难易程度分级参照表</w:t>
      </w:r>
    </w:p>
    <w:tbl>
      <w:tblPr>
        <w:tblStyle w:val="88"/>
        <w:tblW w:w="9040"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2175"/>
        <w:gridCol w:w="6865"/>
      </w:tblGrid>
      <w:tr w14:paraId="3A45C2A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175" w:type="dxa"/>
            <w:vAlign w:val="center"/>
          </w:tcPr>
          <w:p w14:paraId="3BD30649">
            <w:pPr>
              <w:snapToGrid w:val="0"/>
              <w:jc w:val="center"/>
              <w:rPr>
                <w:rFonts w:ascii="Times New Roman" w:hAnsi="Times New Roman"/>
                <w:b/>
                <w:bCs/>
              </w:rPr>
            </w:pPr>
            <w:r>
              <w:rPr>
                <w:rFonts w:ascii="Times New Roman" w:hAnsi="Times New Roman"/>
                <w:b/>
                <w:bCs/>
              </w:rPr>
              <w:t>污染控制难易程度</w:t>
            </w:r>
          </w:p>
        </w:tc>
        <w:tc>
          <w:tcPr>
            <w:tcW w:w="6865" w:type="dxa"/>
            <w:vAlign w:val="center"/>
          </w:tcPr>
          <w:p w14:paraId="29A501E0">
            <w:pPr>
              <w:snapToGrid w:val="0"/>
              <w:jc w:val="center"/>
              <w:rPr>
                <w:rFonts w:ascii="Times New Roman" w:hAnsi="Times New Roman"/>
                <w:b/>
                <w:bCs/>
              </w:rPr>
            </w:pPr>
            <w:r>
              <w:rPr>
                <w:rFonts w:ascii="Times New Roman" w:hAnsi="Times New Roman"/>
                <w:b/>
                <w:bCs/>
              </w:rPr>
              <w:t>主要特征</w:t>
            </w:r>
          </w:p>
        </w:tc>
      </w:tr>
      <w:tr w14:paraId="233AEDA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175" w:type="dxa"/>
            <w:vAlign w:val="center"/>
          </w:tcPr>
          <w:p w14:paraId="214A013A">
            <w:pPr>
              <w:snapToGrid w:val="0"/>
              <w:jc w:val="center"/>
              <w:rPr>
                <w:rFonts w:ascii="Times New Roman" w:hAnsi="Times New Roman"/>
              </w:rPr>
            </w:pPr>
            <w:r>
              <w:rPr>
                <w:rFonts w:ascii="Times New Roman" w:hAnsi="Times New Roman"/>
              </w:rPr>
              <w:t>难</w:t>
            </w:r>
          </w:p>
        </w:tc>
        <w:tc>
          <w:tcPr>
            <w:tcW w:w="6865" w:type="dxa"/>
            <w:vAlign w:val="center"/>
          </w:tcPr>
          <w:p w14:paraId="2F1DBF26">
            <w:pPr>
              <w:snapToGrid w:val="0"/>
              <w:jc w:val="center"/>
              <w:rPr>
                <w:rFonts w:ascii="Times New Roman" w:hAnsi="Times New Roman"/>
              </w:rPr>
            </w:pPr>
            <w:r>
              <w:rPr>
                <w:rFonts w:ascii="Times New Roman" w:hAnsi="Times New Roman"/>
              </w:rPr>
              <w:t>对地下水环境有污染的物料或污染物泄漏后，不能及时发现和处理。</w:t>
            </w:r>
          </w:p>
        </w:tc>
      </w:tr>
      <w:tr w14:paraId="53E3BA3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175" w:type="dxa"/>
            <w:vAlign w:val="center"/>
          </w:tcPr>
          <w:p w14:paraId="26BCA34C">
            <w:pPr>
              <w:snapToGrid w:val="0"/>
              <w:jc w:val="center"/>
              <w:rPr>
                <w:rFonts w:ascii="Times New Roman" w:hAnsi="Times New Roman"/>
              </w:rPr>
            </w:pPr>
            <w:r>
              <w:rPr>
                <w:rFonts w:ascii="Times New Roman" w:hAnsi="Times New Roman"/>
              </w:rPr>
              <w:t>易</w:t>
            </w:r>
          </w:p>
        </w:tc>
        <w:tc>
          <w:tcPr>
            <w:tcW w:w="6865" w:type="dxa"/>
            <w:vAlign w:val="center"/>
          </w:tcPr>
          <w:p w14:paraId="2DD15CD9">
            <w:pPr>
              <w:snapToGrid w:val="0"/>
              <w:jc w:val="center"/>
              <w:rPr>
                <w:rFonts w:ascii="Times New Roman" w:hAnsi="Times New Roman"/>
              </w:rPr>
            </w:pPr>
            <w:r>
              <w:rPr>
                <w:rFonts w:ascii="Times New Roman" w:hAnsi="Times New Roman"/>
              </w:rPr>
              <w:t>对地下水环境有污染的物料或污染物泄漏后，可及时发现和处理。</w:t>
            </w:r>
          </w:p>
        </w:tc>
      </w:tr>
    </w:tbl>
    <w:p w14:paraId="626A969B">
      <w:pPr>
        <w:spacing w:line="360" w:lineRule="auto"/>
        <w:ind w:firstLine="420" w:firstLineChars="200"/>
        <w:rPr>
          <w:u w:val="single"/>
        </w:rPr>
      </w:pPr>
    </w:p>
    <w:p w14:paraId="2E20A9FA">
      <w:pPr>
        <w:pStyle w:val="8"/>
        <w:numPr>
          <w:ilvl w:val="4"/>
          <w:numId w:val="3"/>
        </w:numPr>
        <w:rPr>
          <w:sz w:val="24"/>
          <w:szCs w:val="24"/>
        </w:rPr>
      </w:pPr>
      <w:r>
        <w:rPr>
          <w:sz w:val="24"/>
          <w:szCs w:val="24"/>
        </w:rPr>
        <w:t>天然包气带防污性能分级参照表</w:t>
      </w:r>
    </w:p>
    <w:tbl>
      <w:tblPr>
        <w:tblStyle w:val="88"/>
        <w:tblW w:w="9040"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978"/>
        <w:gridCol w:w="8062"/>
      </w:tblGrid>
      <w:tr w14:paraId="051B66D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978" w:type="dxa"/>
            <w:vAlign w:val="center"/>
          </w:tcPr>
          <w:p w14:paraId="3625A45A">
            <w:pPr>
              <w:snapToGrid w:val="0"/>
              <w:jc w:val="center"/>
              <w:rPr>
                <w:rFonts w:ascii="Times New Roman" w:hAnsi="Times New Roman"/>
                <w:b/>
                <w:bCs/>
              </w:rPr>
            </w:pPr>
            <w:r>
              <w:rPr>
                <w:rFonts w:ascii="Times New Roman" w:hAnsi="Times New Roman"/>
                <w:b/>
                <w:bCs/>
              </w:rPr>
              <w:t>分级</w:t>
            </w:r>
          </w:p>
        </w:tc>
        <w:tc>
          <w:tcPr>
            <w:tcW w:w="8062" w:type="dxa"/>
            <w:vAlign w:val="center"/>
          </w:tcPr>
          <w:p w14:paraId="5D1EE3F0">
            <w:pPr>
              <w:snapToGrid w:val="0"/>
              <w:jc w:val="center"/>
              <w:rPr>
                <w:rFonts w:ascii="Times New Roman" w:hAnsi="Times New Roman"/>
                <w:b/>
                <w:bCs/>
              </w:rPr>
            </w:pPr>
            <w:r>
              <w:rPr>
                <w:rFonts w:ascii="Times New Roman" w:hAnsi="Times New Roman"/>
                <w:b/>
                <w:bCs/>
              </w:rPr>
              <w:t>包气带岩土的渗透性能</w:t>
            </w:r>
          </w:p>
        </w:tc>
      </w:tr>
      <w:tr w14:paraId="3D44DF1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978" w:type="dxa"/>
            <w:vAlign w:val="center"/>
          </w:tcPr>
          <w:p w14:paraId="07447111">
            <w:pPr>
              <w:snapToGrid w:val="0"/>
              <w:jc w:val="center"/>
              <w:rPr>
                <w:rFonts w:ascii="Times New Roman" w:hAnsi="Times New Roman"/>
              </w:rPr>
            </w:pPr>
            <w:r>
              <w:rPr>
                <w:rFonts w:ascii="Times New Roman" w:hAnsi="Times New Roman"/>
              </w:rPr>
              <w:t>强</w:t>
            </w:r>
          </w:p>
        </w:tc>
        <w:tc>
          <w:tcPr>
            <w:tcW w:w="8062" w:type="dxa"/>
            <w:vAlign w:val="center"/>
          </w:tcPr>
          <w:p w14:paraId="67B2466E">
            <w:pPr>
              <w:snapToGrid w:val="0"/>
              <w:jc w:val="center"/>
              <w:rPr>
                <w:rFonts w:ascii="Times New Roman" w:hAnsi="Times New Roman"/>
              </w:rPr>
            </w:pPr>
            <w:r>
              <w:rPr>
                <w:rFonts w:ascii="Times New Roman" w:hAnsi="Times New Roman"/>
              </w:rPr>
              <w:t>岩（土）层单层厚度Mb≥1.0m，渗透系数K≤1×10</w:t>
            </w:r>
            <w:r>
              <w:rPr>
                <w:rFonts w:ascii="Times New Roman" w:hAnsi="Times New Roman"/>
                <w:vertAlign w:val="superscript"/>
              </w:rPr>
              <w:t>-6</w:t>
            </w:r>
            <w:r>
              <w:rPr>
                <w:rFonts w:ascii="Times New Roman" w:hAnsi="Times New Roman"/>
              </w:rPr>
              <w:t>cm/s，且分布连续、稳定。</w:t>
            </w:r>
          </w:p>
        </w:tc>
      </w:tr>
      <w:tr w14:paraId="5511DE6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978" w:type="dxa"/>
            <w:vAlign w:val="center"/>
          </w:tcPr>
          <w:p w14:paraId="162EB213">
            <w:pPr>
              <w:snapToGrid w:val="0"/>
              <w:jc w:val="center"/>
              <w:rPr>
                <w:rFonts w:ascii="Times New Roman" w:hAnsi="Times New Roman"/>
              </w:rPr>
            </w:pPr>
            <w:r>
              <w:rPr>
                <w:rFonts w:ascii="Times New Roman" w:hAnsi="Times New Roman"/>
              </w:rPr>
              <w:t>中</w:t>
            </w:r>
          </w:p>
        </w:tc>
        <w:tc>
          <w:tcPr>
            <w:tcW w:w="8062" w:type="dxa"/>
            <w:vAlign w:val="center"/>
          </w:tcPr>
          <w:p w14:paraId="18723209">
            <w:pPr>
              <w:snapToGrid w:val="0"/>
              <w:jc w:val="center"/>
              <w:rPr>
                <w:rFonts w:ascii="Times New Roman" w:hAnsi="Times New Roman"/>
              </w:rPr>
            </w:pPr>
            <w:r>
              <w:rPr>
                <w:rFonts w:ascii="Times New Roman" w:hAnsi="Times New Roman"/>
              </w:rPr>
              <w:t>岩（土）层单层厚度0.5m≤Mb&lt;1.0m，渗透系数K≤1×10</w:t>
            </w:r>
            <w:r>
              <w:rPr>
                <w:rFonts w:ascii="Times New Roman" w:hAnsi="Times New Roman"/>
                <w:vertAlign w:val="superscript"/>
              </w:rPr>
              <w:t>-6</w:t>
            </w:r>
            <w:r>
              <w:rPr>
                <w:rFonts w:ascii="Times New Roman" w:hAnsi="Times New Roman"/>
              </w:rPr>
              <w:t>cm/s，且分布连续、稳定。</w:t>
            </w:r>
          </w:p>
          <w:p w14:paraId="6FF64069">
            <w:pPr>
              <w:snapToGrid w:val="0"/>
              <w:jc w:val="center"/>
              <w:rPr>
                <w:rFonts w:ascii="Times New Roman" w:hAnsi="Times New Roman"/>
              </w:rPr>
            </w:pPr>
            <w:r>
              <w:rPr>
                <w:rFonts w:ascii="Times New Roman" w:hAnsi="Times New Roman"/>
              </w:rPr>
              <w:t>岩（土）层单层厚度Mb≥1.0m，渗透系数1×10</w:t>
            </w:r>
            <w:r>
              <w:rPr>
                <w:rFonts w:ascii="Times New Roman" w:hAnsi="Times New Roman"/>
                <w:vertAlign w:val="superscript"/>
              </w:rPr>
              <w:t>-6</w:t>
            </w:r>
            <w:r>
              <w:rPr>
                <w:rFonts w:ascii="Times New Roman" w:hAnsi="Times New Roman"/>
              </w:rPr>
              <w:t>cm/s&lt;K≤1×10</w:t>
            </w:r>
            <w:r>
              <w:rPr>
                <w:rFonts w:ascii="Times New Roman" w:hAnsi="Times New Roman"/>
                <w:vertAlign w:val="superscript"/>
              </w:rPr>
              <w:t>-4</w:t>
            </w:r>
            <w:r>
              <w:rPr>
                <w:rFonts w:ascii="Times New Roman" w:hAnsi="Times New Roman"/>
              </w:rPr>
              <w:t>cm/s，且分布连续、稳定。</w:t>
            </w:r>
          </w:p>
        </w:tc>
      </w:tr>
      <w:tr w14:paraId="7D10CA1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978" w:type="dxa"/>
            <w:vAlign w:val="center"/>
          </w:tcPr>
          <w:p w14:paraId="298CE7D0">
            <w:pPr>
              <w:snapToGrid w:val="0"/>
              <w:jc w:val="center"/>
              <w:rPr>
                <w:rFonts w:ascii="Times New Roman" w:hAnsi="Times New Roman"/>
              </w:rPr>
            </w:pPr>
            <w:r>
              <w:rPr>
                <w:rFonts w:ascii="Times New Roman" w:hAnsi="Times New Roman"/>
              </w:rPr>
              <w:t>弱</w:t>
            </w:r>
          </w:p>
        </w:tc>
        <w:tc>
          <w:tcPr>
            <w:tcW w:w="8062" w:type="dxa"/>
            <w:vAlign w:val="center"/>
          </w:tcPr>
          <w:p w14:paraId="1DA5CF5C">
            <w:pPr>
              <w:snapToGrid w:val="0"/>
              <w:jc w:val="center"/>
              <w:rPr>
                <w:rFonts w:ascii="Times New Roman" w:hAnsi="Times New Roman"/>
              </w:rPr>
            </w:pPr>
            <w:r>
              <w:rPr>
                <w:rFonts w:ascii="Times New Roman" w:hAnsi="Times New Roman"/>
              </w:rPr>
              <w:t>岩（土）层不满足上述</w:t>
            </w:r>
            <w:r>
              <w:rPr>
                <w:rFonts w:ascii="宋体" w:hAnsi="宋体"/>
              </w:rPr>
              <w:t>“强”和“中”条件</w:t>
            </w:r>
          </w:p>
        </w:tc>
      </w:tr>
    </w:tbl>
    <w:p w14:paraId="0826EEF7">
      <w:pPr>
        <w:spacing w:line="360" w:lineRule="auto"/>
        <w:ind w:firstLine="420" w:firstLineChars="200"/>
        <w:rPr>
          <w:u w:val="single"/>
        </w:rPr>
      </w:pPr>
    </w:p>
    <w:p w14:paraId="58AA3C31">
      <w:pPr>
        <w:pStyle w:val="8"/>
        <w:numPr>
          <w:ilvl w:val="4"/>
          <w:numId w:val="3"/>
        </w:numPr>
        <w:rPr>
          <w:sz w:val="24"/>
          <w:szCs w:val="24"/>
        </w:rPr>
      </w:pPr>
      <w:r>
        <w:rPr>
          <w:sz w:val="24"/>
          <w:szCs w:val="24"/>
        </w:rPr>
        <w:t>地下水污染防渗分区参照表</w:t>
      </w:r>
    </w:p>
    <w:tbl>
      <w:tblPr>
        <w:tblStyle w:val="88"/>
        <w:tblW w:w="9040"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347"/>
        <w:gridCol w:w="1381"/>
        <w:gridCol w:w="1517"/>
        <w:gridCol w:w="1931"/>
        <w:gridCol w:w="2864"/>
      </w:tblGrid>
      <w:tr w14:paraId="6AD2616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347" w:type="dxa"/>
            <w:vAlign w:val="center"/>
          </w:tcPr>
          <w:p w14:paraId="15D40210">
            <w:pPr>
              <w:pStyle w:val="31"/>
              <w:spacing w:after="0"/>
              <w:jc w:val="center"/>
              <w:rPr>
                <w:rFonts w:ascii="Times New Roman" w:hAnsi="Times New Roman"/>
                <w:b/>
                <w:bCs/>
                <w:sz w:val="21"/>
                <w:szCs w:val="21"/>
              </w:rPr>
            </w:pPr>
            <w:r>
              <w:rPr>
                <w:rFonts w:ascii="Times New Roman" w:hAnsi="Times New Roman"/>
                <w:b/>
                <w:bCs/>
                <w:sz w:val="21"/>
                <w:szCs w:val="21"/>
              </w:rPr>
              <w:t>防渗分区</w:t>
            </w:r>
          </w:p>
        </w:tc>
        <w:tc>
          <w:tcPr>
            <w:tcW w:w="1381" w:type="dxa"/>
            <w:vAlign w:val="center"/>
          </w:tcPr>
          <w:p w14:paraId="015FE6A0">
            <w:pPr>
              <w:pStyle w:val="31"/>
              <w:spacing w:after="0"/>
              <w:jc w:val="center"/>
              <w:rPr>
                <w:rFonts w:ascii="Times New Roman" w:hAnsi="Times New Roman"/>
                <w:b/>
                <w:bCs/>
                <w:sz w:val="21"/>
                <w:szCs w:val="21"/>
              </w:rPr>
            </w:pPr>
            <w:r>
              <w:rPr>
                <w:rFonts w:ascii="Times New Roman" w:hAnsi="Times New Roman"/>
                <w:b/>
                <w:bCs/>
                <w:sz w:val="21"/>
                <w:szCs w:val="21"/>
              </w:rPr>
              <w:t>天然包气带</w:t>
            </w:r>
          </w:p>
          <w:p w14:paraId="571F2E30">
            <w:pPr>
              <w:pStyle w:val="31"/>
              <w:spacing w:after="0"/>
              <w:jc w:val="center"/>
              <w:rPr>
                <w:rFonts w:ascii="Times New Roman" w:hAnsi="Times New Roman"/>
                <w:b/>
                <w:bCs/>
                <w:sz w:val="21"/>
                <w:szCs w:val="21"/>
              </w:rPr>
            </w:pPr>
            <w:r>
              <w:rPr>
                <w:rFonts w:ascii="Times New Roman" w:hAnsi="Times New Roman"/>
                <w:b/>
                <w:bCs/>
                <w:sz w:val="21"/>
                <w:szCs w:val="21"/>
              </w:rPr>
              <w:t>防污性能</w:t>
            </w:r>
          </w:p>
        </w:tc>
        <w:tc>
          <w:tcPr>
            <w:tcW w:w="1517" w:type="dxa"/>
            <w:vAlign w:val="center"/>
          </w:tcPr>
          <w:p w14:paraId="623BCBC4">
            <w:pPr>
              <w:pStyle w:val="31"/>
              <w:spacing w:after="0"/>
              <w:jc w:val="center"/>
              <w:rPr>
                <w:rFonts w:ascii="Times New Roman" w:hAnsi="Times New Roman"/>
                <w:b/>
                <w:bCs/>
                <w:sz w:val="21"/>
                <w:szCs w:val="21"/>
              </w:rPr>
            </w:pPr>
            <w:r>
              <w:rPr>
                <w:rFonts w:ascii="Times New Roman" w:hAnsi="Times New Roman"/>
                <w:b/>
                <w:bCs/>
                <w:sz w:val="21"/>
                <w:szCs w:val="21"/>
              </w:rPr>
              <w:t>污染控制难</w:t>
            </w:r>
          </w:p>
          <w:p w14:paraId="2B050BD3">
            <w:pPr>
              <w:pStyle w:val="31"/>
              <w:spacing w:after="0"/>
              <w:jc w:val="center"/>
              <w:rPr>
                <w:rFonts w:ascii="Times New Roman" w:hAnsi="Times New Roman"/>
                <w:b/>
                <w:bCs/>
                <w:sz w:val="21"/>
                <w:szCs w:val="21"/>
              </w:rPr>
            </w:pPr>
            <w:r>
              <w:rPr>
                <w:rFonts w:ascii="Times New Roman" w:hAnsi="Times New Roman"/>
                <w:b/>
                <w:bCs/>
                <w:sz w:val="21"/>
                <w:szCs w:val="21"/>
              </w:rPr>
              <w:t>易程度</w:t>
            </w:r>
          </w:p>
        </w:tc>
        <w:tc>
          <w:tcPr>
            <w:tcW w:w="1931" w:type="dxa"/>
            <w:vAlign w:val="center"/>
          </w:tcPr>
          <w:p w14:paraId="7BA36D86">
            <w:pPr>
              <w:pStyle w:val="31"/>
              <w:spacing w:after="0"/>
              <w:jc w:val="center"/>
              <w:rPr>
                <w:rFonts w:ascii="Times New Roman" w:hAnsi="Times New Roman"/>
                <w:b/>
                <w:bCs/>
                <w:sz w:val="21"/>
                <w:szCs w:val="21"/>
              </w:rPr>
            </w:pPr>
            <w:r>
              <w:rPr>
                <w:rFonts w:ascii="Times New Roman" w:hAnsi="Times New Roman"/>
                <w:b/>
                <w:bCs/>
                <w:sz w:val="21"/>
                <w:szCs w:val="21"/>
              </w:rPr>
              <w:t>污染物类型</w:t>
            </w:r>
          </w:p>
        </w:tc>
        <w:tc>
          <w:tcPr>
            <w:tcW w:w="2864" w:type="dxa"/>
            <w:vAlign w:val="center"/>
          </w:tcPr>
          <w:p w14:paraId="47AD9FA5">
            <w:pPr>
              <w:pStyle w:val="31"/>
              <w:spacing w:after="0"/>
              <w:jc w:val="center"/>
              <w:rPr>
                <w:rFonts w:ascii="Times New Roman" w:hAnsi="Times New Roman"/>
                <w:b/>
                <w:bCs/>
                <w:sz w:val="21"/>
                <w:szCs w:val="21"/>
              </w:rPr>
            </w:pPr>
            <w:r>
              <w:rPr>
                <w:rFonts w:ascii="Times New Roman" w:hAnsi="Times New Roman"/>
                <w:b/>
                <w:bCs/>
                <w:sz w:val="21"/>
                <w:szCs w:val="21"/>
              </w:rPr>
              <w:t>防渗技术要求</w:t>
            </w:r>
          </w:p>
        </w:tc>
      </w:tr>
      <w:tr w14:paraId="02F158C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347" w:type="dxa"/>
            <w:vMerge w:val="restart"/>
            <w:vAlign w:val="center"/>
          </w:tcPr>
          <w:p w14:paraId="23F035F7">
            <w:pPr>
              <w:pStyle w:val="31"/>
              <w:spacing w:after="0"/>
              <w:jc w:val="center"/>
              <w:rPr>
                <w:rFonts w:ascii="Times New Roman" w:hAnsi="Times New Roman"/>
                <w:sz w:val="21"/>
                <w:szCs w:val="21"/>
              </w:rPr>
            </w:pPr>
            <w:r>
              <w:rPr>
                <w:rFonts w:ascii="Times New Roman" w:hAnsi="Times New Roman"/>
                <w:sz w:val="21"/>
                <w:szCs w:val="21"/>
              </w:rPr>
              <w:t>重点防渗区</w:t>
            </w:r>
          </w:p>
        </w:tc>
        <w:tc>
          <w:tcPr>
            <w:tcW w:w="1381" w:type="dxa"/>
            <w:vAlign w:val="center"/>
          </w:tcPr>
          <w:p w14:paraId="51531461">
            <w:pPr>
              <w:pStyle w:val="31"/>
              <w:spacing w:after="0"/>
              <w:jc w:val="center"/>
              <w:rPr>
                <w:rFonts w:ascii="Times New Roman" w:hAnsi="Times New Roman"/>
                <w:sz w:val="21"/>
                <w:szCs w:val="21"/>
              </w:rPr>
            </w:pPr>
            <w:r>
              <w:rPr>
                <w:rFonts w:ascii="Times New Roman" w:hAnsi="Times New Roman"/>
                <w:sz w:val="21"/>
                <w:szCs w:val="21"/>
              </w:rPr>
              <w:t>弱</w:t>
            </w:r>
          </w:p>
        </w:tc>
        <w:tc>
          <w:tcPr>
            <w:tcW w:w="1517" w:type="dxa"/>
            <w:vAlign w:val="center"/>
          </w:tcPr>
          <w:p w14:paraId="7B41AA4C">
            <w:pPr>
              <w:pStyle w:val="31"/>
              <w:spacing w:after="0"/>
              <w:jc w:val="center"/>
              <w:rPr>
                <w:rFonts w:ascii="Times New Roman" w:hAnsi="Times New Roman"/>
                <w:sz w:val="21"/>
                <w:szCs w:val="21"/>
              </w:rPr>
            </w:pPr>
            <w:r>
              <w:rPr>
                <w:rFonts w:ascii="Times New Roman" w:hAnsi="Times New Roman"/>
                <w:sz w:val="21"/>
                <w:szCs w:val="21"/>
              </w:rPr>
              <w:t>难</w:t>
            </w:r>
          </w:p>
        </w:tc>
        <w:tc>
          <w:tcPr>
            <w:tcW w:w="1931" w:type="dxa"/>
            <w:vMerge w:val="restart"/>
            <w:vAlign w:val="center"/>
          </w:tcPr>
          <w:p w14:paraId="212F1661">
            <w:pPr>
              <w:pStyle w:val="31"/>
              <w:spacing w:after="0"/>
              <w:jc w:val="center"/>
              <w:rPr>
                <w:rFonts w:ascii="Times New Roman" w:hAnsi="Times New Roman"/>
                <w:sz w:val="21"/>
                <w:szCs w:val="21"/>
              </w:rPr>
            </w:pPr>
            <w:r>
              <w:rPr>
                <w:rFonts w:ascii="Times New Roman" w:hAnsi="Times New Roman"/>
                <w:sz w:val="21"/>
                <w:szCs w:val="21"/>
              </w:rPr>
              <w:t>重金属、持久性</w:t>
            </w:r>
          </w:p>
          <w:p w14:paraId="267A48F4">
            <w:pPr>
              <w:pStyle w:val="31"/>
              <w:spacing w:after="0"/>
              <w:jc w:val="center"/>
              <w:rPr>
                <w:rFonts w:ascii="Times New Roman" w:hAnsi="Times New Roman"/>
                <w:sz w:val="21"/>
                <w:szCs w:val="21"/>
              </w:rPr>
            </w:pPr>
            <w:r>
              <w:rPr>
                <w:rFonts w:ascii="Times New Roman" w:hAnsi="Times New Roman"/>
                <w:sz w:val="21"/>
                <w:szCs w:val="21"/>
              </w:rPr>
              <w:t>有机物污染物</w:t>
            </w:r>
          </w:p>
        </w:tc>
        <w:tc>
          <w:tcPr>
            <w:tcW w:w="2864" w:type="dxa"/>
            <w:vMerge w:val="restart"/>
            <w:vAlign w:val="center"/>
          </w:tcPr>
          <w:p w14:paraId="3C4D7795">
            <w:pPr>
              <w:pStyle w:val="31"/>
              <w:spacing w:after="0"/>
              <w:rPr>
                <w:rFonts w:ascii="Times New Roman" w:hAnsi="Times New Roman"/>
                <w:sz w:val="21"/>
                <w:szCs w:val="21"/>
              </w:rPr>
            </w:pPr>
            <w:r>
              <w:rPr>
                <w:rFonts w:ascii="Times New Roman" w:hAnsi="Times New Roman"/>
                <w:sz w:val="21"/>
                <w:szCs w:val="21"/>
              </w:rPr>
              <w:t>等效黏土防渗层Mb≥6.0m，K≤1×10</w:t>
            </w:r>
            <w:r>
              <w:rPr>
                <w:rFonts w:ascii="Times New Roman" w:hAnsi="Times New Roman"/>
                <w:sz w:val="21"/>
                <w:szCs w:val="21"/>
                <w:vertAlign w:val="superscript"/>
              </w:rPr>
              <w:t>-7</w:t>
            </w:r>
            <w:r>
              <w:rPr>
                <w:rFonts w:ascii="Times New Roman" w:hAnsi="Times New Roman"/>
                <w:sz w:val="21"/>
                <w:szCs w:val="21"/>
              </w:rPr>
              <w:t>cm/s；或参照 GB18598 执行</w:t>
            </w:r>
          </w:p>
        </w:tc>
      </w:tr>
      <w:tr w14:paraId="4CD03F6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347" w:type="dxa"/>
            <w:vMerge w:val="continue"/>
            <w:vAlign w:val="center"/>
          </w:tcPr>
          <w:p w14:paraId="7FE7DFB2">
            <w:pPr>
              <w:pStyle w:val="31"/>
              <w:spacing w:after="0"/>
              <w:jc w:val="center"/>
              <w:rPr>
                <w:rFonts w:ascii="Times New Roman" w:hAnsi="Times New Roman"/>
                <w:sz w:val="21"/>
                <w:szCs w:val="21"/>
              </w:rPr>
            </w:pPr>
          </w:p>
        </w:tc>
        <w:tc>
          <w:tcPr>
            <w:tcW w:w="1381" w:type="dxa"/>
            <w:vAlign w:val="center"/>
          </w:tcPr>
          <w:p w14:paraId="7D7DB735">
            <w:pPr>
              <w:pStyle w:val="31"/>
              <w:spacing w:after="0"/>
              <w:jc w:val="center"/>
              <w:rPr>
                <w:rFonts w:ascii="Times New Roman" w:hAnsi="Times New Roman"/>
                <w:sz w:val="21"/>
                <w:szCs w:val="21"/>
              </w:rPr>
            </w:pPr>
            <w:r>
              <w:rPr>
                <w:rFonts w:ascii="Times New Roman" w:hAnsi="Times New Roman"/>
                <w:sz w:val="21"/>
                <w:szCs w:val="21"/>
              </w:rPr>
              <w:t>中-强</w:t>
            </w:r>
          </w:p>
        </w:tc>
        <w:tc>
          <w:tcPr>
            <w:tcW w:w="1517" w:type="dxa"/>
            <w:vAlign w:val="center"/>
          </w:tcPr>
          <w:p w14:paraId="5AEA73A6">
            <w:pPr>
              <w:pStyle w:val="31"/>
              <w:spacing w:after="0"/>
              <w:jc w:val="center"/>
              <w:rPr>
                <w:rFonts w:ascii="Times New Roman" w:hAnsi="Times New Roman"/>
                <w:sz w:val="21"/>
                <w:szCs w:val="21"/>
              </w:rPr>
            </w:pPr>
            <w:r>
              <w:rPr>
                <w:rFonts w:ascii="Times New Roman" w:hAnsi="Times New Roman"/>
                <w:sz w:val="21"/>
                <w:szCs w:val="21"/>
              </w:rPr>
              <w:t>难</w:t>
            </w:r>
          </w:p>
        </w:tc>
        <w:tc>
          <w:tcPr>
            <w:tcW w:w="1931" w:type="dxa"/>
            <w:vMerge w:val="continue"/>
            <w:vAlign w:val="center"/>
          </w:tcPr>
          <w:p w14:paraId="6F6389D5">
            <w:pPr>
              <w:pStyle w:val="31"/>
              <w:spacing w:after="0"/>
              <w:jc w:val="center"/>
              <w:rPr>
                <w:rFonts w:ascii="Times New Roman" w:hAnsi="Times New Roman"/>
                <w:sz w:val="21"/>
                <w:szCs w:val="21"/>
              </w:rPr>
            </w:pPr>
          </w:p>
        </w:tc>
        <w:tc>
          <w:tcPr>
            <w:tcW w:w="2864" w:type="dxa"/>
            <w:vMerge w:val="continue"/>
            <w:vAlign w:val="center"/>
          </w:tcPr>
          <w:p w14:paraId="58ABAB1C">
            <w:pPr>
              <w:pStyle w:val="31"/>
              <w:spacing w:after="0"/>
              <w:rPr>
                <w:rFonts w:ascii="Times New Roman" w:hAnsi="Times New Roman"/>
                <w:sz w:val="21"/>
                <w:szCs w:val="21"/>
              </w:rPr>
            </w:pPr>
          </w:p>
        </w:tc>
      </w:tr>
      <w:tr w14:paraId="550125C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347" w:type="dxa"/>
            <w:vMerge w:val="continue"/>
            <w:vAlign w:val="center"/>
          </w:tcPr>
          <w:p w14:paraId="6C1CC095">
            <w:pPr>
              <w:pStyle w:val="31"/>
              <w:spacing w:after="0"/>
              <w:jc w:val="center"/>
              <w:rPr>
                <w:rFonts w:ascii="Times New Roman" w:hAnsi="Times New Roman"/>
                <w:sz w:val="21"/>
                <w:szCs w:val="21"/>
              </w:rPr>
            </w:pPr>
          </w:p>
        </w:tc>
        <w:tc>
          <w:tcPr>
            <w:tcW w:w="1381" w:type="dxa"/>
            <w:vAlign w:val="center"/>
          </w:tcPr>
          <w:p w14:paraId="26150B7E">
            <w:pPr>
              <w:pStyle w:val="31"/>
              <w:spacing w:after="0"/>
              <w:jc w:val="center"/>
              <w:rPr>
                <w:rFonts w:ascii="Times New Roman" w:hAnsi="Times New Roman"/>
                <w:sz w:val="21"/>
                <w:szCs w:val="21"/>
              </w:rPr>
            </w:pPr>
            <w:r>
              <w:rPr>
                <w:rFonts w:ascii="Times New Roman" w:hAnsi="Times New Roman"/>
                <w:sz w:val="21"/>
                <w:szCs w:val="21"/>
              </w:rPr>
              <w:t>弱</w:t>
            </w:r>
          </w:p>
        </w:tc>
        <w:tc>
          <w:tcPr>
            <w:tcW w:w="1517" w:type="dxa"/>
            <w:vAlign w:val="center"/>
          </w:tcPr>
          <w:p w14:paraId="1066A1E4">
            <w:pPr>
              <w:pStyle w:val="31"/>
              <w:spacing w:after="0"/>
              <w:jc w:val="center"/>
              <w:rPr>
                <w:rFonts w:ascii="Times New Roman" w:hAnsi="Times New Roman"/>
                <w:sz w:val="21"/>
                <w:szCs w:val="21"/>
              </w:rPr>
            </w:pPr>
            <w:r>
              <w:rPr>
                <w:rFonts w:ascii="Times New Roman" w:hAnsi="Times New Roman"/>
                <w:sz w:val="21"/>
                <w:szCs w:val="21"/>
              </w:rPr>
              <w:t>易</w:t>
            </w:r>
          </w:p>
        </w:tc>
        <w:tc>
          <w:tcPr>
            <w:tcW w:w="1931" w:type="dxa"/>
            <w:vMerge w:val="continue"/>
            <w:vAlign w:val="center"/>
          </w:tcPr>
          <w:p w14:paraId="4C5D5562">
            <w:pPr>
              <w:pStyle w:val="31"/>
              <w:spacing w:after="0"/>
              <w:jc w:val="center"/>
              <w:rPr>
                <w:rFonts w:ascii="Times New Roman" w:hAnsi="Times New Roman"/>
                <w:sz w:val="21"/>
                <w:szCs w:val="21"/>
              </w:rPr>
            </w:pPr>
          </w:p>
        </w:tc>
        <w:tc>
          <w:tcPr>
            <w:tcW w:w="2864" w:type="dxa"/>
            <w:vMerge w:val="continue"/>
            <w:vAlign w:val="center"/>
          </w:tcPr>
          <w:p w14:paraId="33A17B3A">
            <w:pPr>
              <w:pStyle w:val="31"/>
              <w:spacing w:after="0"/>
              <w:rPr>
                <w:rFonts w:ascii="Times New Roman" w:hAnsi="Times New Roman"/>
                <w:sz w:val="21"/>
                <w:szCs w:val="21"/>
              </w:rPr>
            </w:pPr>
          </w:p>
        </w:tc>
      </w:tr>
      <w:tr w14:paraId="653E167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347" w:type="dxa"/>
            <w:vMerge w:val="restart"/>
            <w:vAlign w:val="center"/>
          </w:tcPr>
          <w:p w14:paraId="2812341B">
            <w:pPr>
              <w:pStyle w:val="31"/>
              <w:spacing w:after="0"/>
              <w:jc w:val="center"/>
              <w:rPr>
                <w:rFonts w:ascii="Times New Roman" w:hAnsi="Times New Roman"/>
                <w:sz w:val="21"/>
                <w:szCs w:val="21"/>
              </w:rPr>
            </w:pPr>
            <w:r>
              <w:rPr>
                <w:rFonts w:ascii="Times New Roman" w:hAnsi="Times New Roman"/>
                <w:sz w:val="21"/>
                <w:szCs w:val="21"/>
              </w:rPr>
              <w:t>一般防渗区</w:t>
            </w:r>
          </w:p>
        </w:tc>
        <w:tc>
          <w:tcPr>
            <w:tcW w:w="1381" w:type="dxa"/>
            <w:vAlign w:val="center"/>
          </w:tcPr>
          <w:p w14:paraId="5D65C53A">
            <w:pPr>
              <w:pStyle w:val="31"/>
              <w:spacing w:after="0"/>
              <w:jc w:val="center"/>
              <w:rPr>
                <w:rFonts w:ascii="Times New Roman" w:hAnsi="Times New Roman"/>
                <w:sz w:val="21"/>
                <w:szCs w:val="21"/>
              </w:rPr>
            </w:pPr>
            <w:r>
              <w:rPr>
                <w:rFonts w:ascii="Times New Roman" w:hAnsi="Times New Roman"/>
                <w:sz w:val="21"/>
                <w:szCs w:val="21"/>
              </w:rPr>
              <w:t>弱</w:t>
            </w:r>
          </w:p>
        </w:tc>
        <w:tc>
          <w:tcPr>
            <w:tcW w:w="1517" w:type="dxa"/>
            <w:vAlign w:val="center"/>
          </w:tcPr>
          <w:p w14:paraId="244C1E9C">
            <w:pPr>
              <w:pStyle w:val="31"/>
              <w:spacing w:after="0"/>
              <w:jc w:val="center"/>
              <w:rPr>
                <w:rFonts w:ascii="Times New Roman" w:hAnsi="Times New Roman"/>
                <w:sz w:val="21"/>
                <w:szCs w:val="21"/>
              </w:rPr>
            </w:pPr>
            <w:r>
              <w:rPr>
                <w:rFonts w:ascii="Times New Roman" w:hAnsi="Times New Roman"/>
                <w:sz w:val="21"/>
                <w:szCs w:val="21"/>
              </w:rPr>
              <w:t>易-难</w:t>
            </w:r>
          </w:p>
        </w:tc>
        <w:tc>
          <w:tcPr>
            <w:tcW w:w="1931" w:type="dxa"/>
            <w:vMerge w:val="restart"/>
            <w:vAlign w:val="center"/>
          </w:tcPr>
          <w:p w14:paraId="173F06AA">
            <w:pPr>
              <w:pStyle w:val="31"/>
              <w:spacing w:after="0"/>
              <w:jc w:val="center"/>
              <w:rPr>
                <w:rFonts w:ascii="Times New Roman" w:hAnsi="Times New Roman"/>
                <w:sz w:val="21"/>
                <w:szCs w:val="21"/>
              </w:rPr>
            </w:pPr>
            <w:r>
              <w:rPr>
                <w:rFonts w:ascii="Times New Roman" w:hAnsi="Times New Roman"/>
                <w:sz w:val="21"/>
                <w:szCs w:val="21"/>
              </w:rPr>
              <w:t>其他类型</w:t>
            </w:r>
          </w:p>
        </w:tc>
        <w:tc>
          <w:tcPr>
            <w:tcW w:w="2864" w:type="dxa"/>
            <w:vMerge w:val="restart"/>
            <w:vAlign w:val="center"/>
          </w:tcPr>
          <w:p w14:paraId="67EF5FE1">
            <w:pPr>
              <w:pStyle w:val="31"/>
              <w:spacing w:after="0"/>
              <w:rPr>
                <w:rFonts w:ascii="Times New Roman" w:hAnsi="Times New Roman"/>
                <w:sz w:val="21"/>
                <w:szCs w:val="21"/>
              </w:rPr>
            </w:pPr>
            <w:r>
              <w:rPr>
                <w:rFonts w:ascii="Times New Roman" w:hAnsi="Times New Roman"/>
                <w:sz w:val="21"/>
                <w:szCs w:val="21"/>
              </w:rPr>
              <w:t>等效黏土防渗层Mb≥1.5m，K≤1×10</w:t>
            </w:r>
            <w:r>
              <w:rPr>
                <w:rFonts w:ascii="Times New Roman" w:hAnsi="Times New Roman"/>
                <w:sz w:val="21"/>
                <w:szCs w:val="21"/>
                <w:vertAlign w:val="superscript"/>
              </w:rPr>
              <w:t>-7</w:t>
            </w:r>
            <w:r>
              <w:rPr>
                <w:rFonts w:ascii="Times New Roman" w:hAnsi="Times New Roman"/>
                <w:sz w:val="21"/>
                <w:szCs w:val="21"/>
              </w:rPr>
              <w:t>cm/s；或参照 GB16889 执行</w:t>
            </w:r>
          </w:p>
        </w:tc>
      </w:tr>
      <w:tr w14:paraId="25860E9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347" w:type="dxa"/>
            <w:vMerge w:val="continue"/>
            <w:vAlign w:val="center"/>
          </w:tcPr>
          <w:p w14:paraId="19F02035">
            <w:pPr>
              <w:pStyle w:val="31"/>
              <w:spacing w:after="0"/>
              <w:jc w:val="center"/>
              <w:rPr>
                <w:rFonts w:ascii="Times New Roman" w:hAnsi="Times New Roman"/>
                <w:sz w:val="21"/>
                <w:szCs w:val="21"/>
              </w:rPr>
            </w:pPr>
          </w:p>
        </w:tc>
        <w:tc>
          <w:tcPr>
            <w:tcW w:w="1381" w:type="dxa"/>
            <w:vAlign w:val="center"/>
          </w:tcPr>
          <w:p w14:paraId="2C105058">
            <w:pPr>
              <w:pStyle w:val="31"/>
              <w:spacing w:after="0"/>
              <w:jc w:val="center"/>
              <w:rPr>
                <w:rFonts w:ascii="Times New Roman" w:hAnsi="Times New Roman"/>
                <w:sz w:val="21"/>
                <w:szCs w:val="21"/>
              </w:rPr>
            </w:pPr>
            <w:r>
              <w:rPr>
                <w:rFonts w:ascii="Times New Roman" w:hAnsi="Times New Roman"/>
                <w:sz w:val="21"/>
                <w:szCs w:val="21"/>
              </w:rPr>
              <w:t>中-强</w:t>
            </w:r>
          </w:p>
        </w:tc>
        <w:tc>
          <w:tcPr>
            <w:tcW w:w="1517" w:type="dxa"/>
            <w:vAlign w:val="center"/>
          </w:tcPr>
          <w:p w14:paraId="08E71790">
            <w:pPr>
              <w:pStyle w:val="31"/>
              <w:spacing w:after="0"/>
              <w:jc w:val="center"/>
              <w:rPr>
                <w:rFonts w:ascii="Times New Roman" w:hAnsi="Times New Roman"/>
                <w:sz w:val="21"/>
                <w:szCs w:val="21"/>
              </w:rPr>
            </w:pPr>
            <w:r>
              <w:rPr>
                <w:rFonts w:ascii="Times New Roman" w:hAnsi="Times New Roman"/>
                <w:sz w:val="21"/>
                <w:szCs w:val="21"/>
              </w:rPr>
              <w:t>难</w:t>
            </w:r>
          </w:p>
        </w:tc>
        <w:tc>
          <w:tcPr>
            <w:tcW w:w="1931" w:type="dxa"/>
            <w:vMerge w:val="continue"/>
            <w:vAlign w:val="center"/>
          </w:tcPr>
          <w:p w14:paraId="247FAFC1">
            <w:pPr>
              <w:pStyle w:val="31"/>
              <w:spacing w:after="0"/>
              <w:jc w:val="center"/>
              <w:rPr>
                <w:rFonts w:ascii="Times New Roman" w:hAnsi="Times New Roman"/>
                <w:sz w:val="21"/>
                <w:szCs w:val="21"/>
              </w:rPr>
            </w:pPr>
          </w:p>
        </w:tc>
        <w:tc>
          <w:tcPr>
            <w:tcW w:w="2864" w:type="dxa"/>
            <w:vMerge w:val="continue"/>
            <w:vAlign w:val="center"/>
          </w:tcPr>
          <w:p w14:paraId="51863AAE">
            <w:pPr>
              <w:pStyle w:val="31"/>
              <w:spacing w:after="0"/>
              <w:rPr>
                <w:rFonts w:ascii="Times New Roman" w:hAnsi="Times New Roman"/>
                <w:sz w:val="21"/>
                <w:szCs w:val="21"/>
              </w:rPr>
            </w:pPr>
          </w:p>
        </w:tc>
      </w:tr>
      <w:tr w14:paraId="181C3FC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347" w:type="dxa"/>
            <w:vMerge w:val="continue"/>
            <w:vAlign w:val="center"/>
          </w:tcPr>
          <w:p w14:paraId="22E96CA0">
            <w:pPr>
              <w:pStyle w:val="31"/>
              <w:spacing w:after="0"/>
              <w:jc w:val="center"/>
              <w:rPr>
                <w:rFonts w:ascii="Times New Roman" w:hAnsi="Times New Roman"/>
                <w:sz w:val="21"/>
                <w:szCs w:val="21"/>
              </w:rPr>
            </w:pPr>
          </w:p>
        </w:tc>
        <w:tc>
          <w:tcPr>
            <w:tcW w:w="1381" w:type="dxa"/>
            <w:vAlign w:val="center"/>
          </w:tcPr>
          <w:p w14:paraId="6FF90672">
            <w:pPr>
              <w:pStyle w:val="31"/>
              <w:spacing w:after="0"/>
              <w:jc w:val="center"/>
              <w:rPr>
                <w:rFonts w:ascii="Times New Roman" w:hAnsi="Times New Roman"/>
                <w:sz w:val="21"/>
                <w:szCs w:val="21"/>
              </w:rPr>
            </w:pPr>
            <w:r>
              <w:rPr>
                <w:rFonts w:ascii="Times New Roman" w:hAnsi="Times New Roman"/>
                <w:sz w:val="21"/>
                <w:szCs w:val="21"/>
              </w:rPr>
              <w:t>中</w:t>
            </w:r>
          </w:p>
        </w:tc>
        <w:tc>
          <w:tcPr>
            <w:tcW w:w="1517" w:type="dxa"/>
            <w:vAlign w:val="center"/>
          </w:tcPr>
          <w:p w14:paraId="3F7938D4">
            <w:pPr>
              <w:pStyle w:val="31"/>
              <w:spacing w:after="0"/>
              <w:jc w:val="center"/>
              <w:rPr>
                <w:rFonts w:ascii="Times New Roman" w:hAnsi="Times New Roman"/>
                <w:sz w:val="21"/>
                <w:szCs w:val="21"/>
              </w:rPr>
            </w:pPr>
            <w:r>
              <w:rPr>
                <w:rFonts w:ascii="Times New Roman" w:hAnsi="Times New Roman"/>
                <w:sz w:val="21"/>
                <w:szCs w:val="21"/>
              </w:rPr>
              <w:t>易</w:t>
            </w:r>
          </w:p>
        </w:tc>
        <w:tc>
          <w:tcPr>
            <w:tcW w:w="1931" w:type="dxa"/>
            <w:vMerge w:val="restart"/>
            <w:vAlign w:val="center"/>
          </w:tcPr>
          <w:p w14:paraId="2885E8C5">
            <w:pPr>
              <w:pStyle w:val="31"/>
              <w:spacing w:after="0"/>
              <w:jc w:val="center"/>
              <w:rPr>
                <w:rFonts w:ascii="Times New Roman" w:hAnsi="Times New Roman"/>
                <w:sz w:val="21"/>
                <w:szCs w:val="21"/>
              </w:rPr>
            </w:pPr>
            <w:r>
              <w:rPr>
                <w:rFonts w:ascii="Times New Roman" w:hAnsi="Times New Roman"/>
                <w:sz w:val="21"/>
                <w:szCs w:val="21"/>
              </w:rPr>
              <w:t>重金属、持久性</w:t>
            </w:r>
          </w:p>
          <w:p w14:paraId="343F998B">
            <w:pPr>
              <w:pStyle w:val="31"/>
              <w:spacing w:after="0"/>
              <w:jc w:val="center"/>
              <w:rPr>
                <w:rFonts w:ascii="Times New Roman" w:hAnsi="Times New Roman"/>
                <w:sz w:val="21"/>
                <w:szCs w:val="21"/>
              </w:rPr>
            </w:pPr>
            <w:r>
              <w:rPr>
                <w:rFonts w:ascii="Times New Roman" w:hAnsi="Times New Roman"/>
                <w:sz w:val="21"/>
                <w:szCs w:val="21"/>
              </w:rPr>
              <w:t>有机物污染物</w:t>
            </w:r>
          </w:p>
        </w:tc>
        <w:tc>
          <w:tcPr>
            <w:tcW w:w="2864" w:type="dxa"/>
            <w:vMerge w:val="continue"/>
            <w:vAlign w:val="center"/>
          </w:tcPr>
          <w:p w14:paraId="06F24A62">
            <w:pPr>
              <w:pStyle w:val="31"/>
              <w:spacing w:after="0"/>
              <w:rPr>
                <w:rFonts w:ascii="Times New Roman" w:hAnsi="Times New Roman"/>
                <w:sz w:val="21"/>
                <w:szCs w:val="21"/>
              </w:rPr>
            </w:pPr>
          </w:p>
        </w:tc>
      </w:tr>
      <w:tr w14:paraId="1D9F262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347" w:type="dxa"/>
            <w:vMerge w:val="continue"/>
            <w:vAlign w:val="center"/>
          </w:tcPr>
          <w:p w14:paraId="0EC6CB1F">
            <w:pPr>
              <w:pStyle w:val="31"/>
              <w:spacing w:after="0"/>
              <w:jc w:val="center"/>
              <w:rPr>
                <w:rFonts w:ascii="Times New Roman" w:hAnsi="Times New Roman"/>
                <w:sz w:val="21"/>
                <w:szCs w:val="21"/>
              </w:rPr>
            </w:pPr>
          </w:p>
        </w:tc>
        <w:tc>
          <w:tcPr>
            <w:tcW w:w="1381" w:type="dxa"/>
            <w:vAlign w:val="center"/>
          </w:tcPr>
          <w:p w14:paraId="7B6B2F56">
            <w:pPr>
              <w:pStyle w:val="31"/>
              <w:spacing w:after="0"/>
              <w:jc w:val="center"/>
              <w:rPr>
                <w:rFonts w:ascii="Times New Roman" w:hAnsi="Times New Roman"/>
                <w:sz w:val="21"/>
                <w:szCs w:val="21"/>
              </w:rPr>
            </w:pPr>
            <w:r>
              <w:rPr>
                <w:rFonts w:ascii="Times New Roman" w:hAnsi="Times New Roman"/>
                <w:sz w:val="21"/>
                <w:szCs w:val="21"/>
              </w:rPr>
              <w:t>强</w:t>
            </w:r>
          </w:p>
        </w:tc>
        <w:tc>
          <w:tcPr>
            <w:tcW w:w="1517" w:type="dxa"/>
            <w:vAlign w:val="center"/>
          </w:tcPr>
          <w:p w14:paraId="5A03F698">
            <w:pPr>
              <w:pStyle w:val="31"/>
              <w:spacing w:after="0"/>
              <w:jc w:val="center"/>
              <w:rPr>
                <w:rFonts w:ascii="Times New Roman" w:hAnsi="Times New Roman"/>
                <w:sz w:val="21"/>
                <w:szCs w:val="21"/>
              </w:rPr>
            </w:pPr>
            <w:r>
              <w:rPr>
                <w:rFonts w:ascii="Times New Roman" w:hAnsi="Times New Roman"/>
                <w:sz w:val="21"/>
                <w:szCs w:val="21"/>
              </w:rPr>
              <w:t>易</w:t>
            </w:r>
          </w:p>
        </w:tc>
        <w:tc>
          <w:tcPr>
            <w:tcW w:w="1931" w:type="dxa"/>
            <w:vMerge w:val="continue"/>
            <w:vAlign w:val="center"/>
          </w:tcPr>
          <w:p w14:paraId="651804E6">
            <w:pPr>
              <w:pStyle w:val="31"/>
              <w:spacing w:after="0"/>
              <w:jc w:val="center"/>
              <w:rPr>
                <w:rFonts w:ascii="Times New Roman" w:hAnsi="Times New Roman"/>
                <w:sz w:val="21"/>
                <w:szCs w:val="21"/>
              </w:rPr>
            </w:pPr>
          </w:p>
        </w:tc>
        <w:tc>
          <w:tcPr>
            <w:tcW w:w="2864" w:type="dxa"/>
            <w:vMerge w:val="continue"/>
            <w:vAlign w:val="center"/>
          </w:tcPr>
          <w:p w14:paraId="6580EA08">
            <w:pPr>
              <w:pStyle w:val="31"/>
              <w:spacing w:after="0"/>
              <w:rPr>
                <w:rFonts w:ascii="Times New Roman" w:hAnsi="Times New Roman"/>
                <w:sz w:val="21"/>
                <w:szCs w:val="21"/>
              </w:rPr>
            </w:pPr>
          </w:p>
        </w:tc>
      </w:tr>
      <w:tr w14:paraId="2E28294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347" w:type="dxa"/>
            <w:vAlign w:val="center"/>
          </w:tcPr>
          <w:p w14:paraId="7D865EB5">
            <w:pPr>
              <w:pStyle w:val="31"/>
              <w:spacing w:after="0"/>
              <w:jc w:val="center"/>
              <w:rPr>
                <w:rFonts w:ascii="Times New Roman" w:hAnsi="Times New Roman"/>
                <w:sz w:val="21"/>
                <w:szCs w:val="21"/>
              </w:rPr>
            </w:pPr>
            <w:r>
              <w:rPr>
                <w:rFonts w:ascii="Times New Roman" w:hAnsi="Times New Roman"/>
                <w:sz w:val="21"/>
                <w:szCs w:val="21"/>
              </w:rPr>
              <w:t>简单防渗区</w:t>
            </w:r>
          </w:p>
        </w:tc>
        <w:tc>
          <w:tcPr>
            <w:tcW w:w="1381" w:type="dxa"/>
            <w:vAlign w:val="center"/>
          </w:tcPr>
          <w:p w14:paraId="26EC31BA">
            <w:pPr>
              <w:pStyle w:val="31"/>
              <w:spacing w:after="0"/>
              <w:jc w:val="center"/>
              <w:rPr>
                <w:rFonts w:ascii="Times New Roman" w:hAnsi="Times New Roman"/>
                <w:sz w:val="21"/>
                <w:szCs w:val="21"/>
              </w:rPr>
            </w:pPr>
            <w:r>
              <w:rPr>
                <w:rFonts w:ascii="Times New Roman" w:hAnsi="Times New Roman"/>
                <w:sz w:val="21"/>
                <w:szCs w:val="21"/>
              </w:rPr>
              <w:t>中-强</w:t>
            </w:r>
          </w:p>
        </w:tc>
        <w:tc>
          <w:tcPr>
            <w:tcW w:w="1517" w:type="dxa"/>
            <w:vAlign w:val="center"/>
          </w:tcPr>
          <w:p w14:paraId="4E3C7CAB">
            <w:pPr>
              <w:pStyle w:val="31"/>
              <w:spacing w:after="0"/>
              <w:jc w:val="center"/>
              <w:rPr>
                <w:rFonts w:ascii="Times New Roman" w:hAnsi="Times New Roman"/>
                <w:sz w:val="21"/>
                <w:szCs w:val="21"/>
              </w:rPr>
            </w:pPr>
            <w:r>
              <w:rPr>
                <w:rFonts w:ascii="Times New Roman" w:hAnsi="Times New Roman"/>
                <w:sz w:val="21"/>
                <w:szCs w:val="21"/>
              </w:rPr>
              <w:t>易</w:t>
            </w:r>
          </w:p>
        </w:tc>
        <w:tc>
          <w:tcPr>
            <w:tcW w:w="1931" w:type="dxa"/>
            <w:vAlign w:val="center"/>
          </w:tcPr>
          <w:p w14:paraId="01878CA2">
            <w:pPr>
              <w:pStyle w:val="31"/>
              <w:spacing w:after="0"/>
              <w:jc w:val="center"/>
              <w:rPr>
                <w:rFonts w:ascii="Times New Roman" w:hAnsi="Times New Roman"/>
                <w:sz w:val="21"/>
                <w:szCs w:val="21"/>
              </w:rPr>
            </w:pPr>
            <w:r>
              <w:rPr>
                <w:rFonts w:ascii="Times New Roman" w:hAnsi="Times New Roman"/>
                <w:sz w:val="21"/>
                <w:szCs w:val="21"/>
              </w:rPr>
              <w:t>其他类型</w:t>
            </w:r>
          </w:p>
        </w:tc>
        <w:tc>
          <w:tcPr>
            <w:tcW w:w="2864" w:type="dxa"/>
            <w:vAlign w:val="center"/>
          </w:tcPr>
          <w:p w14:paraId="482AD487">
            <w:pPr>
              <w:pStyle w:val="31"/>
              <w:spacing w:after="0"/>
              <w:rPr>
                <w:rFonts w:ascii="Times New Roman" w:hAnsi="Times New Roman"/>
                <w:sz w:val="21"/>
                <w:szCs w:val="21"/>
              </w:rPr>
            </w:pPr>
            <w:r>
              <w:rPr>
                <w:rFonts w:ascii="Times New Roman" w:hAnsi="Times New Roman"/>
                <w:sz w:val="21"/>
                <w:szCs w:val="21"/>
              </w:rPr>
              <w:t>一般地面硬化</w:t>
            </w:r>
          </w:p>
        </w:tc>
      </w:tr>
    </w:tbl>
    <w:p w14:paraId="55C4F6EA">
      <w:pPr>
        <w:spacing w:line="360" w:lineRule="auto"/>
        <w:ind w:firstLine="472" w:firstLineChars="200"/>
        <w:rPr>
          <w:rFonts w:ascii="Times New Roman" w:hAnsi="Times New Roman"/>
          <w:spacing w:val="-2"/>
          <w:kern w:val="0"/>
          <w:sz w:val="24"/>
          <w:szCs w:val="24"/>
        </w:rPr>
      </w:pPr>
    </w:p>
    <w:p w14:paraId="00415297">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根据《环境影响评价技术导则 地下水环境》（HJ610－2016），建设项目应根据建设项目场地天然包气带防污性能、污染控制难易程度和污染物特性提出防渗技术要求。</w:t>
      </w:r>
      <w:r>
        <w:rPr>
          <w:rFonts w:hint="eastAsia" w:ascii="Times New Roman" w:hAnsi="Times New Roman"/>
          <w:spacing w:val="-2"/>
          <w:kern w:val="0"/>
          <w:sz w:val="24"/>
          <w:szCs w:val="24"/>
        </w:rPr>
        <w:t>项目所在场地原为海域，属于海岸阶地地貌，经人工吹填砂形成，场地较为平整，K约为0.002cm/s，包气带防污性能分级为弱；原料、产品、副产品等污染类型主要为放射性物质，污染类型定为“其他类型”，废机油污染类型属于“持久性有机物污染”。</w:t>
      </w:r>
      <w:r>
        <w:rPr>
          <w:rFonts w:ascii="Times New Roman" w:hAnsi="Times New Roman"/>
          <w:spacing w:val="-2"/>
          <w:kern w:val="0"/>
          <w:sz w:val="24"/>
          <w:szCs w:val="24"/>
        </w:rPr>
        <w:t>根据导则，</w:t>
      </w:r>
      <w:r>
        <w:rPr>
          <w:rFonts w:hint="eastAsia" w:ascii="Times New Roman" w:hAnsi="Times New Roman"/>
          <w:spacing w:val="-2"/>
          <w:kern w:val="0"/>
          <w:sz w:val="24"/>
          <w:szCs w:val="24"/>
        </w:rPr>
        <w:t>结合《伴生放射性物料贮存及固体废物填埋辐射环境保护技术规范（试行）》（HJ1114-2020）中“贮存设施应进行防腐防渗设计，防渗性能应不低于渗透系数为1×10</w:t>
      </w:r>
      <w:r>
        <w:rPr>
          <w:rFonts w:hint="eastAsia" w:ascii="Times New Roman" w:hAnsi="Times New Roman"/>
          <w:spacing w:val="-2"/>
          <w:kern w:val="0"/>
          <w:sz w:val="24"/>
          <w:szCs w:val="24"/>
          <w:vertAlign w:val="superscript"/>
        </w:rPr>
        <w:t>-7</w:t>
      </w:r>
      <w:r>
        <w:rPr>
          <w:rFonts w:hint="eastAsia" w:ascii="Times New Roman" w:hAnsi="Times New Roman"/>
          <w:spacing w:val="-2"/>
          <w:kern w:val="0"/>
          <w:sz w:val="24"/>
          <w:szCs w:val="24"/>
        </w:rPr>
        <w:t>cm/s、厚度为2m的</w:t>
      </w:r>
      <w:r>
        <w:rPr>
          <w:rFonts w:hint="eastAsia" w:ascii="Times New Roman" w:hAnsi="Times New Roman"/>
          <w:spacing w:val="-2"/>
          <w:kern w:val="0"/>
          <w:sz w:val="24"/>
          <w:szCs w:val="24"/>
          <w:lang w:eastAsia="zh-CN"/>
        </w:rPr>
        <w:t>黏土层</w:t>
      </w:r>
      <w:r>
        <w:rPr>
          <w:rFonts w:hint="eastAsia" w:ascii="Times New Roman" w:hAnsi="Times New Roman"/>
          <w:spacing w:val="-2"/>
          <w:kern w:val="0"/>
          <w:sz w:val="24"/>
          <w:szCs w:val="24"/>
        </w:rPr>
        <w:t>的防渗效果”相关要求，</w:t>
      </w:r>
      <w:r>
        <w:rPr>
          <w:rFonts w:ascii="Times New Roman" w:hAnsi="Times New Roman"/>
          <w:spacing w:val="-2"/>
          <w:kern w:val="0"/>
          <w:sz w:val="24"/>
          <w:szCs w:val="24"/>
        </w:rPr>
        <w:t>项目地下水污染防渗分区分为重点防渗区</w:t>
      </w:r>
      <w:r>
        <w:rPr>
          <w:rFonts w:hint="eastAsia" w:ascii="Times New Roman" w:hAnsi="Times New Roman"/>
          <w:spacing w:val="-2"/>
          <w:kern w:val="0"/>
          <w:sz w:val="24"/>
          <w:szCs w:val="24"/>
        </w:rPr>
        <w:t>、</w:t>
      </w:r>
      <w:r>
        <w:rPr>
          <w:rFonts w:ascii="Times New Roman" w:hAnsi="Times New Roman"/>
          <w:spacing w:val="-2"/>
          <w:kern w:val="0"/>
          <w:sz w:val="24"/>
          <w:szCs w:val="24"/>
        </w:rPr>
        <w:t>一般防渗区</w:t>
      </w:r>
      <w:r>
        <w:rPr>
          <w:rFonts w:hint="eastAsia" w:ascii="Times New Roman" w:hAnsi="Times New Roman"/>
          <w:spacing w:val="-2"/>
          <w:kern w:val="0"/>
          <w:sz w:val="24"/>
          <w:szCs w:val="24"/>
        </w:rPr>
        <w:t>要求</w:t>
      </w:r>
      <w:r>
        <w:rPr>
          <w:rFonts w:ascii="Times New Roman" w:hAnsi="Times New Roman"/>
          <w:spacing w:val="-2"/>
          <w:kern w:val="0"/>
          <w:sz w:val="24"/>
          <w:szCs w:val="24"/>
        </w:rPr>
        <w:t>详见</w:t>
      </w:r>
      <w:r>
        <w:rPr>
          <w:rFonts w:hint="eastAsia" w:ascii="Times New Roman" w:hAnsi="Times New Roman"/>
          <w:spacing w:val="-2"/>
          <w:kern w:val="0"/>
          <w:sz w:val="24"/>
          <w:szCs w:val="24"/>
        </w:rPr>
        <w:t>下</w:t>
      </w:r>
      <w:r>
        <w:rPr>
          <w:rFonts w:ascii="Times New Roman" w:hAnsi="Times New Roman"/>
          <w:spacing w:val="-2"/>
          <w:kern w:val="0"/>
          <w:sz w:val="24"/>
          <w:szCs w:val="24"/>
        </w:rPr>
        <w:t>表5.</w:t>
      </w:r>
      <w:r>
        <w:rPr>
          <w:rFonts w:hint="eastAsia" w:ascii="Times New Roman" w:hAnsi="Times New Roman"/>
          <w:spacing w:val="-2"/>
          <w:kern w:val="0"/>
          <w:sz w:val="24"/>
          <w:szCs w:val="24"/>
        </w:rPr>
        <w:t>4</w:t>
      </w:r>
      <w:r>
        <w:rPr>
          <w:rFonts w:ascii="Times New Roman" w:hAnsi="Times New Roman"/>
          <w:spacing w:val="-2"/>
          <w:kern w:val="0"/>
          <w:sz w:val="24"/>
          <w:szCs w:val="24"/>
        </w:rPr>
        <w:t>-</w:t>
      </w:r>
      <w:r>
        <w:rPr>
          <w:rFonts w:hint="eastAsia" w:ascii="Times New Roman" w:hAnsi="Times New Roman"/>
          <w:spacing w:val="-2"/>
          <w:kern w:val="0"/>
          <w:sz w:val="24"/>
          <w:szCs w:val="24"/>
        </w:rPr>
        <w:t>4</w:t>
      </w:r>
      <w:r>
        <w:rPr>
          <w:rFonts w:ascii="Times New Roman" w:hAnsi="Times New Roman"/>
          <w:spacing w:val="-2"/>
          <w:kern w:val="0"/>
          <w:sz w:val="24"/>
          <w:szCs w:val="24"/>
        </w:rPr>
        <w:t>。</w:t>
      </w:r>
    </w:p>
    <w:p w14:paraId="650A2DB1">
      <w:pPr>
        <w:pStyle w:val="8"/>
        <w:numPr>
          <w:ilvl w:val="4"/>
          <w:numId w:val="3"/>
        </w:numPr>
        <w:rPr>
          <w:sz w:val="24"/>
          <w:szCs w:val="24"/>
        </w:rPr>
      </w:pPr>
      <w:r>
        <w:rPr>
          <w:sz w:val="24"/>
          <w:szCs w:val="24"/>
        </w:rPr>
        <w:t>建设项目地下水防渗分区一览表</w:t>
      </w:r>
    </w:p>
    <w:tbl>
      <w:tblPr>
        <w:tblStyle w:val="88"/>
        <w:tblW w:w="9031"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862"/>
        <w:gridCol w:w="2444"/>
        <w:gridCol w:w="1553"/>
        <w:gridCol w:w="4172"/>
      </w:tblGrid>
      <w:tr w14:paraId="7BE6307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862" w:type="dxa"/>
            <w:vAlign w:val="center"/>
          </w:tcPr>
          <w:p w14:paraId="5287BA0A">
            <w:pPr>
              <w:jc w:val="center"/>
              <w:rPr>
                <w:rFonts w:ascii="Times New Roman" w:hAnsi="Times New Roman"/>
                <w:b/>
                <w:bCs/>
              </w:rPr>
            </w:pPr>
            <w:r>
              <w:rPr>
                <w:rFonts w:ascii="Times New Roman" w:hAnsi="Times New Roman"/>
                <w:b/>
                <w:bCs/>
              </w:rPr>
              <w:t>序号</w:t>
            </w:r>
          </w:p>
        </w:tc>
        <w:tc>
          <w:tcPr>
            <w:tcW w:w="2444" w:type="dxa"/>
            <w:vAlign w:val="center"/>
          </w:tcPr>
          <w:p w14:paraId="3BF8F896">
            <w:pPr>
              <w:jc w:val="center"/>
              <w:rPr>
                <w:rFonts w:ascii="Times New Roman" w:hAnsi="Times New Roman"/>
                <w:b/>
                <w:bCs/>
              </w:rPr>
            </w:pPr>
            <w:r>
              <w:rPr>
                <w:rFonts w:ascii="Times New Roman" w:hAnsi="Times New Roman"/>
                <w:b/>
                <w:bCs/>
              </w:rPr>
              <w:t>单元/设施名称</w:t>
            </w:r>
          </w:p>
        </w:tc>
        <w:tc>
          <w:tcPr>
            <w:tcW w:w="1553" w:type="dxa"/>
            <w:vAlign w:val="center"/>
          </w:tcPr>
          <w:p w14:paraId="59655BFF">
            <w:pPr>
              <w:jc w:val="center"/>
              <w:rPr>
                <w:rFonts w:ascii="Times New Roman" w:hAnsi="Times New Roman"/>
                <w:b/>
                <w:bCs/>
              </w:rPr>
            </w:pPr>
            <w:r>
              <w:rPr>
                <w:rFonts w:ascii="Times New Roman" w:hAnsi="Times New Roman"/>
                <w:b/>
                <w:bCs/>
              </w:rPr>
              <w:t>防渗等级</w:t>
            </w:r>
          </w:p>
        </w:tc>
        <w:tc>
          <w:tcPr>
            <w:tcW w:w="4172" w:type="dxa"/>
            <w:vAlign w:val="center"/>
          </w:tcPr>
          <w:p w14:paraId="208726BF">
            <w:pPr>
              <w:jc w:val="center"/>
              <w:rPr>
                <w:rFonts w:ascii="Times New Roman" w:hAnsi="Times New Roman"/>
                <w:b/>
                <w:bCs/>
              </w:rPr>
            </w:pPr>
            <w:r>
              <w:rPr>
                <w:rFonts w:ascii="Times New Roman" w:hAnsi="Times New Roman"/>
                <w:b/>
                <w:bCs/>
              </w:rPr>
              <w:t>防渗要求</w:t>
            </w:r>
          </w:p>
        </w:tc>
      </w:tr>
      <w:tr w14:paraId="5E756A4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862" w:type="dxa"/>
            <w:vAlign w:val="center"/>
          </w:tcPr>
          <w:p w14:paraId="48DD750F">
            <w:pPr>
              <w:jc w:val="center"/>
              <w:rPr>
                <w:rFonts w:ascii="Times New Roman" w:hAnsi="Times New Roman"/>
              </w:rPr>
            </w:pPr>
            <w:r>
              <w:rPr>
                <w:rFonts w:hint="eastAsia" w:ascii="Times New Roman" w:hAnsi="Times New Roman"/>
              </w:rPr>
              <w:t>1</w:t>
            </w:r>
          </w:p>
        </w:tc>
        <w:tc>
          <w:tcPr>
            <w:tcW w:w="2444" w:type="dxa"/>
            <w:vAlign w:val="center"/>
          </w:tcPr>
          <w:p w14:paraId="72E08CCC">
            <w:pPr>
              <w:jc w:val="center"/>
              <w:rPr>
                <w:rFonts w:ascii="Times New Roman" w:hAnsi="Times New Roman"/>
              </w:rPr>
            </w:pPr>
            <w:r>
              <w:rPr>
                <w:rFonts w:hint="eastAsia" w:ascii="Times New Roman" w:hAnsi="Times New Roman"/>
              </w:rPr>
              <w:t>1#原料车间</w:t>
            </w:r>
          </w:p>
        </w:tc>
        <w:tc>
          <w:tcPr>
            <w:tcW w:w="1553" w:type="dxa"/>
            <w:vAlign w:val="center"/>
          </w:tcPr>
          <w:p w14:paraId="2B8671D6">
            <w:pPr>
              <w:jc w:val="center"/>
              <w:rPr>
                <w:rFonts w:ascii="Times New Roman" w:hAnsi="Times New Roman"/>
              </w:rPr>
            </w:pPr>
            <w:r>
              <w:rPr>
                <w:rFonts w:ascii="Times New Roman" w:hAnsi="Times New Roman"/>
              </w:rPr>
              <w:t>一般防渗区</w:t>
            </w:r>
          </w:p>
        </w:tc>
        <w:tc>
          <w:tcPr>
            <w:tcW w:w="4172" w:type="dxa"/>
            <w:vAlign w:val="center"/>
          </w:tcPr>
          <w:p w14:paraId="5FC9DECE">
            <w:pPr>
              <w:jc w:val="center"/>
              <w:rPr>
                <w:rFonts w:ascii="Times New Roman" w:hAnsi="Times New Roman"/>
              </w:rPr>
            </w:pPr>
            <w:r>
              <w:rPr>
                <w:rFonts w:ascii="Times New Roman" w:hAnsi="Times New Roman"/>
              </w:rPr>
              <w:t>等效黏土防渗层Mb≥</w:t>
            </w:r>
            <w:r>
              <w:rPr>
                <w:rFonts w:hint="eastAsia" w:ascii="Times New Roman" w:hAnsi="Times New Roman"/>
              </w:rPr>
              <w:t>2.0</w:t>
            </w:r>
            <w:r>
              <w:rPr>
                <w:rFonts w:ascii="Times New Roman" w:hAnsi="Times New Roman"/>
              </w:rPr>
              <w:t>m，K≤1×10</w:t>
            </w:r>
            <w:r>
              <w:rPr>
                <w:rFonts w:ascii="Times New Roman" w:hAnsi="Times New Roman"/>
                <w:vertAlign w:val="superscript"/>
              </w:rPr>
              <w:t>-7</w:t>
            </w:r>
            <w:r>
              <w:rPr>
                <w:rFonts w:ascii="Times New Roman" w:hAnsi="Times New Roman"/>
              </w:rPr>
              <w:t xml:space="preserve"> cm/s</w:t>
            </w:r>
          </w:p>
        </w:tc>
      </w:tr>
      <w:tr w14:paraId="41ED98F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862" w:type="dxa"/>
            <w:vAlign w:val="center"/>
          </w:tcPr>
          <w:p w14:paraId="597B7079">
            <w:pPr>
              <w:jc w:val="center"/>
              <w:rPr>
                <w:rFonts w:ascii="Times New Roman" w:hAnsi="Times New Roman"/>
              </w:rPr>
            </w:pPr>
            <w:r>
              <w:rPr>
                <w:rFonts w:hint="eastAsia" w:ascii="Times New Roman" w:hAnsi="Times New Roman"/>
              </w:rPr>
              <w:t>2</w:t>
            </w:r>
          </w:p>
        </w:tc>
        <w:tc>
          <w:tcPr>
            <w:tcW w:w="2444" w:type="dxa"/>
            <w:vAlign w:val="center"/>
          </w:tcPr>
          <w:p w14:paraId="6F96B8C2">
            <w:pPr>
              <w:jc w:val="center"/>
              <w:rPr>
                <w:rFonts w:ascii="Times New Roman" w:hAnsi="Times New Roman"/>
              </w:rPr>
            </w:pPr>
            <w:r>
              <w:rPr>
                <w:rFonts w:hint="eastAsia" w:ascii="Times New Roman" w:hAnsi="Times New Roman"/>
              </w:rPr>
              <w:t>2#分选车间</w:t>
            </w:r>
          </w:p>
          <w:p w14:paraId="043ACC69">
            <w:pPr>
              <w:jc w:val="center"/>
              <w:rPr>
                <w:rFonts w:ascii="Times New Roman" w:hAnsi="Times New Roman"/>
              </w:rPr>
            </w:pPr>
            <w:r>
              <w:rPr>
                <w:rFonts w:hint="eastAsia" w:ascii="Times New Roman" w:hAnsi="Times New Roman"/>
              </w:rPr>
              <w:t>（危废暂存间除外）</w:t>
            </w:r>
          </w:p>
        </w:tc>
        <w:tc>
          <w:tcPr>
            <w:tcW w:w="1553" w:type="dxa"/>
            <w:vAlign w:val="center"/>
          </w:tcPr>
          <w:p w14:paraId="5EC09B34">
            <w:pPr>
              <w:jc w:val="center"/>
              <w:rPr>
                <w:rFonts w:ascii="Times New Roman" w:hAnsi="Times New Roman"/>
              </w:rPr>
            </w:pPr>
            <w:r>
              <w:rPr>
                <w:rFonts w:ascii="Times New Roman" w:hAnsi="Times New Roman"/>
              </w:rPr>
              <w:t>一般防渗区</w:t>
            </w:r>
          </w:p>
        </w:tc>
        <w:tc>
          <w:tcPr>
            <w:tcW w:w="4172" w:type="dxa"/>
            <w:vAlign w:val="center"/>
          </w:tcPr>
          <w:p w14:paraId="1E0F0989">
            <w:pPr>
              <w:jc w:val="center"/>
              <w:rPr>
                <w:rFonts w:ascii="Times New Roman" w:hAnsi="Times New Roman"/>
              </w:rPr>
            </w:pPr>
            <w:r>
              <w:rPr>
                <w:rFonts w:ascii="Times New Roman" w:hAnsi="Times New Roman"/>
              </w:rPr>
              <w:t>等效黏土防渗层Mb≥</w:t>
            </w:r>
            <w:r>
              <w:rPr>
                <w:rFonts w:hint="eastAsia" w:ascii="Times New Roman" w:hAnsi="Times New Roman"/>
              </w:rPr>
              <w:t>2.0</w:t>
            </w:r>
            <w:r>
              <w:rPr>
                <w:rFonts w:ascii="Times New Roman" w:hAnsi="Times New Roman"/>
              </w:rPr>
              <w:t>m，K≤1×10</w:t>
            </w:r>
            <w:r>
              <w:rPr>
                <w:rFonts w:ascii="Times New Roman" w:hAnsi="Times New Roman"/>
                <w:vertAlign w:val="superscript"/>
              </w:rPr>
              <w:t>-7</w:t>
            </w:r>
            <w:r>
              <w:rPr>
                <w:rFonts w:ascii="Times New Roman" w:hAnsi="Times New Roman"/>
              </w:rPr>
              <w:t xml:space="preserve"> cm/s</w:t>
            </w:r>
          </w:p>
        </w:tc>
      </w:tr>
      <w:tr w14:paraId="4E0E497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862" w:type="dxa"/>
            <w:vAlign w:val="center"/>
          </w:tcPr>
          <w:p w14:paraId="531257E1">
            <w:pPr>
              <w:jc w:val="center"/>
              <w:rPr>
                <w:rFonts w:ascii="Times New Roman" w:hAnsi="Times New Roman"/>
              </w:rPr>
            </w:pPr>
            <w:r>
              <w:rPr>
                <w:rFonts w:hint="eastAsia" w:ascii="Times New Roman" w:hAnsi="Times New Roman"/>
              </w:rPr>
              <w:t>3</w:t>
            </w:r>
          </w:p>
        </w:tc>
        <w:tc>
          <w:tcPr>
            <w:tcW w:w="2444" w:type="dxa"/>
            <w:vAlign w:val="center"/>
          </w:tcPr>
          <w:p w14:paraId="01C24143">
            <w:pPr>
              <w:jc w:val="center"/>
              <w:rPr>
                <w:rFonts w:ascii="Times New Roman" w:hAnsi="Times New Roman"/>
              </w:rPr>
            </w:pPr>
            <w:r>
              <w:rPr>
                <w:rFonts w:ascii="Times New Roman" w:hAnsi="Times New Roman"/>
              </w:rPr>
              <w:t>危废暂存间</w:t>
            </w:r>
          </w:p>
        </w:tc>
        <w:tc>
          <w:tcPr>
            <w:tcW w:w="1553" w:type="dxa"/>
            <w:vAlign w:val="center"/>
          </w:tcPr>
          <w:p w14:paraId="144E57BF">
            <w:pPr>
              <w:jc w:val="center"/>
              <w:rPr>
                <w:rFonts w:ascii="Times New Roman" w:hAnsi="Times New Roman"/>
              </w:rPr>
            </w:pPr>
            <w:r>
              <w:rPr>
                <w:rFonts w:ascii="Times New Roman" w:hAnsi="Times New Roman"/>
              </w:rPr>
              <w:t>重点防渗区</w:t>
            </w:r>
          </w:p>
        </w:tc>
        <w:tc>
          <w:tcPr>
            <w:tcW w:w="4172" w:type="dxa"/>
            <w:vAlign w:val="center"/>
          </w:tcPr>
          <w:p w14:paraId="1C88FAE8">
            <w:pPr>
              <w:jc w:val="center"/>
              <w:rPr>
                <w:rFonts w:ascii="Times New Roman" w:hAnsi="Times New Roman"/>
              </w:rPr>
            </w:pPr>
            <w:r>
              <w:rPr>
                <w:rFonts w:ascii="Times New Roman" w:hAnsi="Times New Roman"/>
              </w:rPr>
              <w:t>等效黏土防渗层Mb≥6.0m，K≤1×10</w:t>
            </w:r>
            <w:r>
              <w:rPr>
                <w:rFonts w:ascii="Times New Roman" w:hAnsi="Times New Roman"/>
                <w:vertAlign w:val="superscript"/>
              </w:rPr>
              <w:t>-7</w:t>
            </w:r>
            <w:r>
              <w:rPr>
                <w:rFonts w:ascii="Times New Roman" w:hAnsi="Times New Roman"/>
              </w:rPr>
              <w:t xml:space="preserve"> cm/s</w:t>
            </w:r>
          </w:p>
        </w:tc>
      </w:tr>
    </w:tbl>
    <w:p w14:paraId="1524E9AB">
      <w:pPr>
        <w:spacing w:line="360" w:lineRule="auto"/>
        <w:ind w:firstLine="472" w:firstLineChars="200"/>
        <w:rPr>
          <w:rFonts w:ascii="Times New Roman" w:hAnsi="Times New Roman"/>
          <w:spacing w:val="-2"/>
          <w:kern w:val="0"/>
          <w:sz w:val="24"/>
          <w:szCs w:val="24"/>
        </w:rPr>
      </w:pPr>
    </w:p>
    <w:p w14:paraId="442508A2">
      <w:pPr>
        <w:spacing w:line="360" w:lineRule="auto"/>
        <w:ind w:firstLine="472" w:firstLineChars="200"/>
        <w:rPr>
          <w:rFonts w:ascii="Times New Roman" w:hAnsi="Times New Roman"/>
          <w:spacing w:val="-2"/>
          <w:kern w:val="0"/>
          <w:sz w:val="24"/>
          <w:szCs w:val="24"/>
          <w:u w:val="single"/>
        </w:rPr>
      </w:pPr>
      <w:r>
        <w:rPr>
          <w:rFonts w:hint="eastAsia" w:ascii="Times New Roman" w:hAnsi="Times New Roman"/>
          <w:spacing w:val="-2"/>
          <w:kern w:val="0"/>
          <w:sz w:val="24"/>
          <w:szCs w:val="24"/>
          <w:u w:val="single"/>
        </w:rPr>
        <w:t>项目主要的地下水环境风险来自伴生放射性物料贮存，必须杜绝含放射性污染进入地下水体并转移到周边环境，因此项目的分区防渗重点是项目原料毛矿、钛铁精矿、锆中矿等涉及区域的防渗。项目总平面布置紧凑，含放射性物料基本贯穿整个生产流程及车间，因此</w:t>
      </w:r>
      <w:r>
        <w:rPr>
          <w:rFonts w:ascii="Times New Roman" w:hAnsi="Times New Roman"/>
          <w:spacing w:val="-2"/>
          <w:kern w:val="0"/>
          <w:sz w:val="24"/>
          <w:szCs w:val="24"/>
          <w:u w:val="single"/>
        </w:rPr>
        <w:t>项目</w:t>
      </w:r>
      <w:r>
        <w:rPr>
          <w:rFonts w:hint="eastAsia" w:ascii="Times New Roman" w:hAnsi="Times New Roman"/>
          <w:spacing w:val="-2"/>
          <w:kern w:val="0"/>
          <w:sz w:val="24"/>
          <w:szCs w:val="24"/>
          <w:u w:val="single"/>
        </w:rPr>
        <w:t>将整个车间（除危废暂存间外）划为</w:t>
      </w:r>
      <w:r>
        <w:rPr>
          <w:rFonts w:ascii="Times New Roman" w:hAnsi="Times New Roman"/>
          <w:spacing w:val="-2"/>
          <w:kern w:val="0"/>
          <w:sz w:val="24"/>
          <w:szCs w:val="24"/>
          <w:u w:val="single"/>
        </w:rPr>
        <w:t>一般防渗区</w:t>
      </w:r>
      <w:r>
        <w:rPr>
          <w:rFonts w:hint="eastAsia" w:ascii="Times New Roman" w:hAnsi="Times New Roman"/>
          <w:spacing w:val="-2"/>
          <w:kern w:val="0"/>
          <w:sz w:val="24"/>
          <w:szCs w:val="24"/>
          <w:u w:val="single"/>
        </w:rPr>
        <w:t>，按照</w:t>
      </w:r>
      <w:r>
        <w:rPr>
          <w:rFonts w:ascii="Times New Roman" w:hAnsi="Times New Roman"/>
          <w:spacing w:val="-2"/>
          <w:kern w:val="0"/>
          <w:sz w:val="24"/>
          <w:szCs w:val="24"/>
          <w:u w:val="single"/>
        </w:rPr>
        <w:t>一般防渗区</w:t>
      </w:r>
      <w:r>
        <w:rPr>
          <w:rFonts w:hint="eastAsia" w:ascii="Times New Roman" w:hAnsi="Times New Roman"/>
          <w:spacing w:val="-2"/>
          <w:kern w:val="0"/>
          <w:sz w:val="24"/>
          <w:szCs w:val="24"/>
          <w:u w:val="single"/>
        </w:rPr>
        <w:t>及《伴生放射性物料贮存及固体废物填埋辐射环境保护技术规范（试行）》（HJ1114-2020）相关要求进行建设，危废暂存间划为重点防渗区，按照重点防渗区的相关要求进行建设。</w:t>
      </w:r>
      <w:r>
        <w:rPr>
          <w:rFonts w:ascii="Times New Roman" w:hAnsi="Times New Roman"/>
          <w:spacing w:val="-2"/>
          <w:kern w:val="0"/>
          <w:sz w:val="24"/>
          <w:szCs w:val="24"/>
          <w:u w:val="single"/>
        </w:rPr>
        <w:t>地下水污染防治区域均采取对应的污染防治措施</w:t>
      </w:r>
      <w:r>
        <w:rPr>
          <w:rFonts w:hint="eastAsia" w:ascii="Times New Roman" w:hAnsi="Times New Roman"/>
          <w:spacing w:val="-2"/>
          <w:kern w:val="0"/>
          <w:sz w:val="24"/>
          <w:szCs w:val="24"/>
          <w:u w:val="single"/>
        </w:rPr>
        <w:t>后</w:t>
      </w:r>
      <w:r>
        <w:rPr>
          <w:rFonts w:ascii="Times New Roman" w:hAnsi="Times New Roman"/>
          <w:spacing w:val="-2"/>
          <w:kern w:val="0"/>
          <w:sz w:val="24"/>
          <w:szCs w:val="24"/>
          <w:u w:val="single"/>
        </w:rPr>
        <w:t>，可有效降低项目污染地下水环境的可能性。</w:t>
      </w:r>
    </w:p>
    <w:p w14:paraId="5BC8FB94">
      <w:pPr>
        <w:pStyle w:val="6"/>
        <w:numPr>
          <w:ilvl w:val="2"/>
          <w:numId w:val="3"/>
        </w:numPr>
      </w:pPr>
      <w:r>
        <w:t>加强地下水污染监控</w:t>
      </w:r>
    </w:p>
    <w:p w14:paraId="4868369B">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建立地下水环境监控体系，包括建立地下水污染监控制度和环境管理体系、制定监测计划、配备先进的检测仪器和设备，以便及时发现问题，及时采取措施。</w:t>
      </w:r>
    </w:p>
    <w:p w14:paraId="6103A9FB">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在本项目西南侧（创大进口汽车仓储物流园区内）设置一个地下水观测点，观测地下水位水质的变化与污染情况。设置完善的厂区及其附近地下水监测网点，定期观测地下水水位和采集水样</w:t>
      </w:r>
      <w:r>
        <w:rPr>
          <w:rFonts w:hint="eastAsia" w:ascii="Times New Roman" w:hAnsi="Times New Roman"/>
          <w:spacing w:val="-2"/>
          <w:kern w:val="0"/>
          <w:sz w:val="24"/>
          <w:szCs w:val="24"/>
          <w:lang w:eastAsia="zh-CN"/>
        </w:rPr>
        <w:t>做</w:t>
      </w:r>
      <w:r>
        <w:rPr>
          <w:rFonts w:ascii="Times New Roman" w:hAnsi="Times New Roman"/>
          <w:spacing w:val="-2"/>
          <w:kern w:val="0"/>
          <w:sz w:val="24"/>
          <w:szCs w:val="24"/>
        </w:rPr>
        <w:t>水质分析。</w:t>
      </w:r>
    </w:p>
    <w:p w14:paraId="649CDB92">
      <w:pPr>
        <w:pStyle w:val="6"/>
        <w:numPr>
          <w:ilvl w:val="2"/>
          <w:numId w:val="3"/>
        </w:numPr>
      </w:pPr>
      <w:r>
        <w:t>风险事故应急响应</w:t>
      </w:r>
    </w:p>
    <w:p w14:paraId="70A064A0">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建立向生态环境主管部门报告制度：通过采取上述地下水保护措施，可以把本项目对地下水的污染影响降低到最小，有效保护厂区所在区域水文地质环境和地下水资源。</w:t>
      </w:r>
    </w:p>
    <w:p w14:paraId="5441403D">
      <w:pPr>
        <w:pStyle w:val="5"/>
        <w:numPr>
          <w:ilvl w:val="1"/>
          <w:numId w:val="3"/>
        </w:numPr>
      </w:pPr>
      <w:bookmarkStart w:id="282" w:name="_Toc410662427"/>
      <w:bookmarkStart w:id="283" w:name="_Toc340072341"/>
      <w:bookmarkStart w:id="284" w:name="_Toc291682152"/>
      <w:bookmarkStart w:id="285" w:name="_Toc27538"/>
      <w:r>
        <w:t>运营期噪声污染防治措施</w:t>
      </w:r>
      <w:bookmarkEnd w:id="282"/>
      <w:bookmarkEnd w:id="283"/>
      <w:bookmarkEnd w:id="284"/>
      <w:r>
        <w:t>论证</w:t>
      </w:r>
      <w:bookmarkEnd w:id="285"/>
    </w:p>
    <w:p w14:paraId="664A5693">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噪声属于物理性污染，其污染状况与噪声源、传播途径、接受者均有一定的关系。噪声传播途径包括反射、衍射等形式的声波行进过程。噪声控制的原理，也就是在噪声到达接受者之前，采用阻尼、隔声、消声、个人防护和建筑布局等几大措施，尽量减弱或降低声源的振动，或将传播中的声能吸收掉，使声音全部或部分反射出去，减弱噪声对接受者的影响，这样则可达到控制噪声的目的。本项目拟采取以下噪声防治措施：</w:t>
      </w:r>
    </w:p>
    <w:p w14:paraId="4CE82D41">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（1）项目在平面布置上优化设计。采用</w:t>
      </w:r>
      <w:r>
        <w:rPr>
          <w:rFonts w:ascii="宋体" w:hAnsi="宋体"/>
          <w:spacing w:val="-2"/>
          <w:kern w:val="0"/>
          <w:sz w:val="24"/>
          <w:szCs w:val="24"/>
        </w:rPr>
        <w:t>“闹静分开”</w:t>
      </w:r>
      <w:r>
        <w:rPr>
          <w:rFonts w:ascii="Times New Roman" w:hAnsi="Times New Roman"/>
          <w:spacing w:val="-2"/>
          <w:kern w:val="0"/>
          <w:sz w:val="24"/>
          <w:szCs w:val="24"/>
        </w:rPr>
        <w:t>和合理布局的设施原则，尽量将高噪声源远离噪声敏感区域和厂界，将噪声控制在一定范围内，保证项目厂界达标。</w:t>
      </w:r>
    </w:p>
    <w:p w14:paraId="021CE704">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（2）采取声学控制措施，将磁选机设置在车间内，避免露天布置，并视条件进行</w:t>
      </w:r>
      <w:r>
        <w:rPr>
          <w:rFonts w:hint="eastAsia" w:ascii="Times New Roman" w:hAnsi="Times New Roman"/>
          <w:spacing w:val="-2"/>
          <w:kern w:val="0"/>
          <w:sz w:val="24"/>
          <w:szCs w:val="24"/>
          <w:lang w:eastAsia="zh-CN"/>
        </w:rPr>
        <w:t>减振</w:t>
      </w:r>
      <w:r>
        <w:rPr>
          <w:rFonts w:ascii="Times New Roman" w:hAnsi="Times New Roman"/>
          <w:spacing w:val="-2"/>
          <w:kern w:val="0"/>
          <w:sz w:val="24"/>
          <w:szCs w:val="24"/>
        </w:rPr>
        <w:t>和隔声处理。</w:t>
      </w:r>
    </w:p>
    <w:p w14:paraId="29D7341C">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（3）选择低噪声设备，在设备基座与地基之间设橡胶隔振垫。可在风机上安装高效消声器，排烟风机出口管加装波形补偿器防止噪声传播。其它设备采用减振、隔声、消声等有效措施。</w:t>
      </w:r>
    </w:p>
    <w:p w14:paraId="3FF6DDBB">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4）针对噪声源较大的烘干炉引风机、除尘器引风机等，设置独立的隔声间，隔声间内墙面采用吸声材料进行吸声降噪，在降低了高噪声设备对厂界的噪声影响贡献的同时，也对厂房内劳动人员的劳动环境有保护作用，有利于工作人员的职业健康。</w:t>
      </w:r>
    </w:p>
    <w:p w14:paraId="7CA52B51">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（5）加强设备维护，确保设备处于良好的运转状态，杜绝因设备不正常运转时产生的高噪声现象。</w:t>
      </w:r>
    </w:p>
    <w:p w14:paraId="677BC134">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对各类噪声源采取上述噪声防治措施后，声源治理可降低噪声源强5～15dB(A)，经预测，项目厂界均可达到《工业企业厂界环境噪声排放标准》（GB12348-2008）中的3 类排放标准要求。因此，本项目拟采取的噪声污染防治措施是可行的。</w:t>
      </w:r>
    </w:p>
    <w:p w14:paraId="11AFCE9F">
      <w:pPr>
        <w:pStyle w:val="5"/>
        <w:numPr>
          <w:ilvl w:val="1"/>
          <w:numId w:val="3"/>
        </w:numPr>
      </w:pPr>
      <w:bookmarkStart w:id="286" w:name="_Toc291682153"/>
      <w:bookmarkStart w:id="287" w:name="_Toc340072342"/>
      <w:bookmarkStart w:id="288" w:name="_Toc410662428"/>
      <w:bookmarkStart w:id="289" w:name="_Toc17030"/>
      <w:r>
        <w:t>运营期固体废物处置措施</w:t>
      </w:r>
      <w:bookmarkEnd w:id="286"/>
      <w:bookmarkEnd w:id="287"/>
      <w:bookmarkEnd w:id="288"/>
      <w:r>
        <w:t>论证</w:t>
      </w:r>
      <w:bookmarkEnd w:id="289"/>
    </w:p>
    <w:p w14:paraId="20965E5D">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根据《中华人民共和国固体废物污染环境防治法》《国家危险废物名录》（2025版）及相关鉴别标准，将本项目产生的固体废物分为危险废物、一般工业固体废物和生活垃圾。</w:t>
      </w:r>
    </w:p>
    <w:p w14:paraId="43AEDCE4">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根据</w:t>
      </w:r>
      <w:r>
        <w:rPr>
          <w:rFonts w:ascii="宋体" w:hAnsi="宋体"/>
          <w:spacing w:val="-2"/>
          <w:kern w:val="0"/>
          <w:sz w:val="24"/>
          <w:szCs w:val="24"/>
        </w:rPr>
        <w:t>“资源化、无害化、减量化”</w:t>
      </w:r>
      <w:r>
        <w:rPr>
          <w:rFonts w:ascii="Times New Roman" w:hAnsi="Times New Roman"/>
          <w:spacing w:val="-2"/>
          <w:kern w:val="0"/>
          <w:sz w:val="24"/>
          <w:szCs w:val="24"/>
        </w:rPr>
        <w:t>原则，根据所产生的固体废物的不同性质，首先考虑对产生的固废实施综合利用。剩余不能利用的固废，根据其有毒有害特性和理化性质，考虑采用减量化处置措施，最后外委处理处置。</w:t>
      </w:r>
    </w:p>
    <w:p w14:paraId="265CFF21">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u w:val="single"/>
        </w:rPr>
        <w:t>一般固废共计</w:t>
      </w:r>
      <w:r>
        <w:rPr>
          <w:rFonts w:hint="eastAsia" w:ascii="Times New Roman" w:hAnsi="Times New Roman"/>
          <w:spacing w:val="-2"/>
          <w:kern w:val="0"/>
          <w:sz w:val="24"/>
          <w:szCs w:val="24"/>
          <w:u w:val="single"/>
        </w:rPr>
        <w:t>77.6797</w:t>
      </w:r>
      <w:r>
        <w:rPr>
          <w:rFonts w:ascii="Times New Roman" w:hAnsi="Times New Roman"/>
          <w:spacing w:val="-2"/>
          <w:kern w:val="0"/>
          <w:sz w:val="24"/>
          <w:szCs w:val="24"/>
          <w:u w:val="single"/>
        </w:rPr>
        <w:t>t/a，其中</w:t>
      </w:r>
      <w:r>
        <w:rPr>
          <w:rFonts w:hint="eastAsia" w:ascii="Times New Roman" w:hAnsi="Times New Roman"/>
          <w:spacing w:val="-2"/>
          <w:kern w:val="0"/>
          <w:sz w:val="24"/>
          <w:szCs w:val="24"/>
          <w:u w:val="single"/>
        </w:rPr>
        <w:t>掺入锆中矿</w:t>
      </w:r>
      <w:r>
        <w:rPr>
          <w:rFonts w:ascii="Times New Roman" w:hAnsi="Times New Roman"/>
          <w:spacing w:val="-2"/>
          <w:kern w:val="0"/>
          <w:sz w:val="24"/>
          <w:szCs w:val="24"/>
          <w:u w:val="single"/>
        </w:rPr>
        <w:t>外售给选矿企业的含矿</w:t>
      </w:r>
      <w:r>
        <w:rPr>
          <w:rFonts w:hint="eastAsia" w:ascii="Times New Roman" w:hAnsi="Times New Roman"/>
          <w:spacing w:val="-2"/>
          <w:kern w:val="0"/>
          <w:sz w:val="24"/>
          <w:szCs w:val="24"/>
          <w:u w:val="single"/>
        </w:rPr>
        <w:t>粉尘4.9697</w:t>
      </w:r>
      <w:r>
        <w:rPr>
          <w:rFonts w:ascii="Times New Roman" w:hAnsi="Times New Roman"/>
          <w:spacing w:val="-2"/>
          <w:kern w:val="0"/>
          <w:sz w:val="24"/>
          <w:szCs w:val="24"/>
          <w:u w:val="single"/>
        </w:rPr>
        <w:t>t/a，炉渣及除尘灰共</w:t>
      </w:r>
      <w:r>
        <w:rPr>
          <w:rFonts w:hint="eastAsia" w:ascii="Times New Roman" w:hAnsi="Times New Roman"/>
          <w:spacing w:val="-2"/>
          <w:kern w:val="0"/>
          <w:sz w:val="24"/>
          <w:szCs w:val="24"/>
          <w:u w:val="single"/>
        </w:rPr>
        <w:t>71.61</w:t>
      </w:r>
      <w:r>
        <w:rPr>
          <w:rFonts w:ascii="Times New Roman" w:hAnsi="Times New Roman"/>
          <w:spacing w:val="-2"/>
          <w:kern w:val="0"/>
          <w:sz w:val="24"/>
          <w:szCs w:val="24"/>
          <w:u w:val="single"/>
        </w:rPr>
        <w:t>t/a，</w:t>
      </w:r>
      <w:r>
        <w:rPr>
          <w:rFonts w:hint="eastAsia" w:ascii="Times New Roman" w:hAnsi="Times New Roman"/>
          <w:spacing w:val="-2"/>
          <w:kern w:val="0"/>
          <w:sz w:val="24"/>
          <w:szCs w:val="24"/>
        </w:rPr>
        <w:t>由厂家上门更换回收的含烘干炉灰尘的</w:t>
      </w:r>
      <w:r>
        <w:rPr>
          <w:rFonts w:ascii="Times New Roman" w:hAnsi="Times New Roman"/>
          <w:spacing w:val="-2"/>
          <w:kern w:val="0"/>
          <w:sz w:val="24"/>
          <w:szCs w:val="24"/>
        </w:rPr>
        <w:t>废除尘袋0.</w:t>
      </w:r>
      <w:r>
        <w:rPr>
          <w:rFonts w:hint="eastAsia" w:ascii="Times New Roman" w:hAnsi="Times New Roman"/>
          <w:spacing w:val="-2"/>
          <w:kern w:val="0"/>
          <w:sz w:val="24"/>
          <w:szCs w:val="24"/>
        </w:rPr>
        <w:t>2</w:t>
      </w:r>
      <w:r>
        <w:rPr>
          <w:rFonts w:ascii="Times New Roman" w:hAnsi="Times New Roman"/>
          <w:spacing w:val="-2"/>
          <w:kern w:val="0"/>
          <w:sz w:val="24"/>
          <w:szCs w:val="24"/>
        </w:rPr>
        <w:t>t/a。</w:t>
      </w:r>
      <w:r>
        <w:rPr>
          <w:rFonts w:hint="eastAsia" w:ascii="Times New Roman" w:hAnsi="Times New Roman"/>
          <w:spacing w:val="-2"/>
          <w:kern w:val="0"/>
          <w:sz w:val="24"/>
          <w:szCs w:val="24"/>
        </w:rPr>
        <w:t>需要委托处置的含辐射性矿尘的废除尘袋0.4t/a，委托</w:t>
      </w:r>
      <w:r>
        <w:rPr>
          <w:rFonts w:ascii="Times New Roman" w:hAnsi="Times New Roman"/>
          <w:spacing w:val="-2"/>
          <w:kern w:val="0"/>
          <w:sz w:val="24"/>
          <w:szCs w:val="24"/>
        </w:rPr>
        <w:t>有资质的单位处理</w:t>
      </w:r>
      <w:r>
        <w:rPr>
          <w:rFonts w:hint="eastAsia" w:ascii="Times New Roman" w:hAnsi="Times New Roman"/>
          <w:spacing w:val="-2"/>
          <w:kern w:val="0"/>
          <w:sz w:val="24"/>
          <w:szCs w:val="24"/>
        </w:rPr>
        <w:t>。</w:t>
      </w:r>
    </w:p>
    <w:p w14:paraId="58B468D5">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生活垃圾由园区环卫部门负责收集处理，共计0.9t/a。</w:t>
      </w:r>
    </w:p>
    <w:p w14:paraId="1C269709">
      <w:pPr>
        <w:spacing w:line="360" w:lineRule="auto"/>
        <w:ind w:firstLine="472" w:firstLineChars="200"/>
        <w:rPr>
          <w:rFonts w:ascii="Times New Roman" w:hAnsi="Times New Roman"/>
          <w:spacing w:val="-2"/>
          <w:kern w:val="0"/>
          <w:sz w:val="24"/>
          <w:szCs w:val="24"/>
          <w:u w:val="single"/>
        </w:rPr>
      </w:pPr>
      <w:r>
        <w:rPr>
          <w:rFonts w:hint="eastAsia" w:ascii="Times New Roman" w:hAnsi="Times New Roman"/>
          <w:spacing w:val="-2"/>
          <w:kern w:val="0"/>
          <w:sz w:val="24"/>
          <w:szCs w:val="24"/>
          <w:u w:val="single"/>
        </w:rPr>
        <w:t>危险废物共计0.3t/a，</w:t>
      </w:r>
      <w:r>
        <w:rPr>
          <w:rFonts w:ascii="Times New Roman" w:hAnsi="Times New Roman"/>
          <w:spacing w:val="-2"/>
          <w:kern w:val="0"/>
          <w:sz w:val="24"/>
          <w:szCs w:val="24"/>
          <w:u w:val="single"/>
        </w:rPr>
        <w:t>全厂需要外委处置的危险废物为废机油，总计0.3t/a，外委有资质的单位处理</w:t>
      </w:r>
      <w:r>
        <w:rPr>
          <w:rFonts w:hint="eastAsia" w:ascii="Times New Roman" w:hAnsi="Times New Roman"/>
          <w:spacing w:val="-2"/>
          <w:kern w:val="0"/>
          <w:sz w:val="24"/>
          <w:szCs w:val="24"/>
          <w:u w:val="single"/>
        </w:rPr>
        <w:t>。</w:t>
      </w:r>
    </w:p>
    <w:p w14:paraId="0F7CFE14">
      <w:pPr>
        <w:pStyle w:val="6"/>
        <w:numPr>
          <w:ilvl w:val="2"/>
          <w:numId w:val="3"/>
        </w:numPr>
      </w:pPr>
      <w:r>
        <w:t>一般固体废物</w:t>
      </w:r>
    </w:p>
    <w:p w14:paraId="492BF585">
      <w:pPr>
        <w:pStyle w:val="7"/>
        <w:numPr>
          <w:ilvl w:val="3"/>
          <w:numId w:val="3"/>
        </w:numPr>
      </w:pPr>
      <w:r>
        <w:t>储存措施</w:t>
      </w:r>
    </w:p>
    <w:p w14:paraId="0F3BD4C8">
      <w:pPr>
        <w:snapToGrid w:val="0"/>
        <w:spacing w:line="360" w:lineRule="auto"/>
        <w:ind w:firstLine="472" w:firstLineChars="200"/>
        <w:rPr>
          <w:rFonts w:ascii="Times New Roman" w:hAnsi="Times New Roman"/>
          <w:spacing w:val="-2"/>
          <w:kern w:val="0"/>
          <w:sz w:val="24"/>
          <w:szCs w:val="24"/>
          <w:u w:val="single"/>
        </w:rPr>
      </w:pPr>
      <w:r>
        <w:rPr>
          <w:rFonts w:ascii="Times New Roman" w:hAnsi="Times New Roman"/>
          <w:spacing w:val="-2"/>
          <w:kern w:val="0"/>
          <w:sz w:val="24"/>
          <w:szCs w:val="24"/>
          <w:u w:val="single"/>
        </w:rPr>
        <w:t>项目产生的烘干炉炉渣，</w:t>
      </w:r>
      <w:r>
        <w:rPr>
          <w:rFonts w:ascii="Times New Roman" w:hAnsi="Times New Roman"/>
          <w:spacing w:val="-2"/>
          <w:kern w:val="0"/>
          <w:sz w:val="24"/>
          <w:u w:val="single"/>
        </w:rPr>
        <w:t>采用编织袋袋装收集后，暂存于车间内的灰渣临时堆放点。灰渣堆放点规划在1#原料处理车间东北角，面积约为12m</w:t>
      </w:r>
      <w:r>
        <w:rPr>
          <w:rFonts w:ascii="Times New Roman" w:hAnsi="Times New Roman"/>
          <w:spacing w:val="-2"/>
          <w:kern w:val="0"/>
          <w:sz w:val="24"/>
          <w:u w:val="single"/>
          <w:vertAlign w:val="superscript"/>
        </w:rPr>
        <w:t>2</w:t>
      </w:r>
      <w:r>
        <w:rPr>
          <w:rFonts w:ascii="Times New Roman" w:hAnsi="Times New Roman"/>
          <w:spacing w:val="-2"/>
          <w:kern w:val="0"/>
          <w:sz w:val="24"/>
          <w:u w:val="single"/>
        </w:rPr>
        <w:t>。</w:t>
      </w:r>
    </w:p>
    <w:p w14:paraId="53A5E6E1">
      <w:pPr>
        <w:snapToGrid w:val="0"/>
        <w:spacing w:line="360" w:lineRule="auto"/>
        <w:ind w:firstLine="472" w:firstLineChars="200"/>
        <w:rPr>
          <w:rFonts w:ascii="Times New Roman" w:hAnsi="Times New Roman"/>
          <w:spacing w:val="-2"/>
          <w:kern w:val="0"/>
          <w:sz w:val="24"/>
          <w:szCs w:val="24"/>
          <w:u w:val="single"/>
        </w:rPr>
      </w:pPr>
      <w:r>
        <w:rPr>
          <w:rFonts w:hint="eastAsia" w:ascii="Times New Roman" w:hAnsi="Times New Roman"/>
          <w:spacing w:val="-2"/>
          <w:kern w:val="0"/>
          <w:sz w:val="24"/>
          <w:szCs w:val="24"/>
          <w:u w:val="single"/>
        </w:rPr>
        <w:t>项目产生的</w:t>
      </w:r>
      <w:r>
        <w:rPr>
          <w:rFonts w:ascii="Times New Roman" w:hAnsi="Times New Roman"/>
          <w:spacing w:val="-2"/>
          <w:kern w:val="0"/>
          <w:sz w:val="24"/>
          <w:szCs w:val="24"/>
          <w:u w:val="single"/>
        </w:rPr>
        <w:t>烘干炉除尘器粉尘</w:t>
      </w:r>
      <w:r>
        <w:rPr>
          <w:rFonts w:hint="eastAsia" w:ascii="Times New Roman" w:hAnsi="Times New Roman"/>
          <w:spacing w:val="-2"/>
          <w:kern w:val="0"/>
          <w:sz w:val="24"/>
          <w:szCs w:val="24"/>
          <w:u w:val="single"/>
        </w:rPr>
        <w:t>、</w:t>
      </w:r>
      <w:r>
        <w:rPr>
          <w:rFonts w:ascii="Times New Roman" w:hAnsi="Times New Roman"/>
          <w:spacing w:val="-2"/>
          <w:kern w:val="0"/>
          <w:sz w:val="24"/>
          <w:szCs w:val="24"/>
          <w:u w:val="single"/>
        </w:rPr>
        <w:t>生产车间</w:t>
      </w:r>
      <w:r>
        <w:rPr>
          <w:rFonts w:hint="eastAsia" w:ascii="Times New Roman" w:hAnsi="Times New Roman"/>
          <w:spacing w:val="-2"/>
          <w:kern w:val="0"/>
          <w:sz w:val="24"/>
          <w:szCs w:val="24"/>
          <w:u w:val="single"/>
        </w:rPr>
        <w:t>除尘器收集</w:t>
      </w:r>
      <w:r>
        <w:rPr>
          <w:rFonts w:ascii="Times New Roman" w:hAnsi="Times New Roman"/>
          <w:spacing w:val="-2"/>
          <w:kern w:val="0"/>
          <w:sz w:val="24"/>
          <w:szCs w:val="24"/>
          <w:u w:val="single"/>
        </w:rPr>
        <w:t>的粉尘均</w:t>
      </w:r>
      <w:r>
        <w:rPr>
          <w:rFonts w:hint="eastAsia" w:ascii="Times New Roman" w:hAnsi="Times New Roman"/>
          <w:spacing w:val="-2"/>
          <w:kern w:val="0"/>
          <w:sz w:val="24"/>
          <w:szCs w:val="24"/>
          <w:u w:val="single"/>
        </w:rPr>
        <w:t>掺入锆中矿</w:t>
      </w:r>
      <w:r>
        <w:rPr>
          <w:rFonts w:ascii="Times New Roman" w:hAnsi="Times New Roman"/>
          <w:spacing w:val="-2"/>
          <w:kern w:val="0"/>
          <w:sz w:val="24"/>
          <w:szCs w:val="24"/>
          <w:u w:val="single"/>
        </w:rPr>
        <w:t>一并</w:t>
      </w:r>
      <w:r>
        <w:rPr>
          <w:rFonts w:hint="eastAsia" w:ascii="Times New Roman" w:hAnsi="Times New Roman"/>
          <w:spacing w:val="-2"/>
          <w:kern w:val="0"/>
          <w:sz w:val="24"/>
          <w:szCs w:val="24"/>
          <w:u w:val="single"/>
        </w:rPr>
        <w:t>存放在锆中矿堆放区</w:t>
      </w:r>
      <w:r>
        <w:rPr>
          <w:rFonts w:ascii="Times New Roman" w:hAnsi="Times New Roman"/>
          <w:spacing w:val="-2"/>
          <w:kern w:val="0"/>
          <w:sz w:val="24"/>
          <w:szCs w:val="24"/>
          <w:u w:val="single"/>
        </w:rPr>
        <w:t>，项目</w:t>
      </w:r>
      <w:r>
        <w:rPr>
          <w:rFonts w:ascii="Times New Roman" w:hAnsi="Times New Roman"/>
          <w:sz w:val="24"/>
          <w:szCs w:val="24"/>
          <w:u w:val="single"/>
        </w:rPr>
        <w:t>2#分选车间内部设置2处</w:t>
      </w:r>
      <w:r>
        <w:rPr>
          <w:rFonts w:hint="eastAsia" w:ascii="Times New Roman" w:hAnsi="Times New Roman"/>
          <w:sz w:val="24"/>
          <w:szCs w:val="24"/>
          <w:u w:val="single"/>
        </w:rPr>
        <w:t>锆中矿</w:t>
      </w:r>
      <w:r>
        <w:rPr>
          <w:rFonts w:ascii="Times New Roman" w:hAnsi="Times New Roman"/>
          <w:sz w:val="24"/>
          <w:szCs w:val="24"/>
          <w:u w:val="single"/>
        </w:rPr>
        <w:t>堆放区，每处</w:t>
      </w:r>
      <w:r>
        <w:rPr>
          <w:rFonts w:hint="eastAsia" w:ascii="Times New Roman" w:hAnsi="Times New Roman"/>
          <w:sz w:val="24"/>
          <w:szCs w:val="24"/>
          <w:u w:val="single"/>
        </w:rPr>
        <w:t>锆中矿</w:t>
      </w:r>
      <w:r>
        <w:rPr>
          <w:rFonts w:ascii="Times New Roman" w:hAnsi="Times New Roman"/>
          <w:sz w:val="24"/>
          <w:szCs w:val="24"/>
          <w:u w:val="single"/>
        </w:rPr>
        <w:t>堆放区的面积约100.80m</w:t>
      </w:r>
      <w:r>
        <w:rPr>
          <w:rFonts w:ascii="Times New Roman" w:hAnsi="Times New Roman"/>
          <w:sz w:val="24"/>
          <w:szCs w:val="24"/>
          <w:u w:val="single"/>
          <w:vertAlign w:val="superscript"/>
        </w:rPr>
        <w:t>2</w:t>
      </w:r>
      <w:r>
        <w:rPr>
          <w:rFonts w:ascii="Times New Roman" w:hAnsi="Times New Roman"/>
          <w:sz w:val="24"/>
          <w:szCs w:val="24"/>
          <w:u w:val="single"/>
        </w:rPr>
        <w:t>，堆放区域位于</w:t>
      </w:r>
      <w:r>
        <w:rPr>
          <w:rFonts w:hint="eastAsia" w:ascii="Times New Roman" w:hAnsi="Times New Roman"/>
          <w:sz w:val="24"/>
          <w:szCs w:val="24"/>
          <w:u w:val="single"/>
        </w:rPr>
        <w:t>室</w:t>
      </w:r>
      <w:r>
        <w:rPr>
          <w:rFonts w:ascii="Times New Roman" w:hAnsi="Times New Roman"/>
          <w:sz w:val="24"/>
          <w:szCs w:val="24"/>
          <w:u w:val="single"/>
        </w:rPr>
        <w:t>内</w:t>
      </w:r>
      <w:r>
        <w:rPr>
          <w:rFonts w:hint="eastAsia" w:ascii="Times New Roman" w:hAnsi="Times New Roman"/>
          <w:sz w:val="24"/>
          <w:szCs w:val="24"/>
          <w:u w:val="single"/>
        </w:rPr>
        <w:t>并按一般防渗区及《伴生放射性物料贮存及固体废物填埋辐射环境保护技术规范（试行）》（HJ1114-2020）相关要求建设</w:t>
      </w:r>
      <w:r>
        <w:rPr>
          <w:rFonts w:ascii="Times New Roman" w:hAnsi="Times New Roman"/>
          <w:spacing w:val="-2"/>
          <w:kern w:val="0"/>
          <w:sz w:val="24"/>
          <w:szCs w:val="20"/>
          <w:u w:val="single"/>
        </w:rPr>
        <w:t>。</w:t>
      </w:r>
    </w:p>
    <w:p w14:paraId="26AEC1EC">
      <w:pPr>
        <w:snapToGrid w:val="0"/>
        <w:spacing w:line="360" w:lineRule="auto"/>
        <w:ind w:firstLine="472" w:firstLineChars="200"/>
        <w:rPr>
          <w:rFonts w:ascii="Times New Roman" w:hAnsi="Times New Roman"/>
          <w:spacing w:val="-2"/>
          <w:kern w:val="0"/>
          <w:sz w:val="24"/>
          <w:szCs w:val="24"/>
          <w:u w:val="single"/>
        </w:rPr>
      </w:pPr>
      <w:r>
        <w:rPr>
          <w:rFonts w:hint="eastAsia" w:ascii="Times New Roman" w:hAnsi="Times New Roman"/>
          <w:spacing w:val="-2"/>
          <w:kern w:val="0"/>
          <w:sz w:val="24"/>
          <w:szCs w:val="24"/>
          <w:u w:val="single"/>
        </w:rPr>
        <w:t>车间地面沉降粉尘收集后放置到原料堆放区，作为原料重新投入到生产线进行分选，项目在1#原料处理车间内部设置原料堆放区2处，每处原料堆放区面积181.44m</w:t>
      </w:r>
      <w:r>
        <w:rPr>
          <w:rFonts w:hint="eastAsia" w:ascii="Times New Roman" w:hAnsi="Times New Roman"/>
          <w:spacing w:val="-2"/>
          <w:kern w:val="0"/>
          <w:sz w:val="24"/>
          <w:szCs w:val="24"/>
          <w:u w:val="single"/>
          <w:vertAlign w:val="superscript"/>
        </w:rPr>
        <w:t>2</w:t>
      </w:r>
      <w:r>
        <w:rPr>
          <w:rFonts w:hint="eastAsia" w:ascii="Times New Roman" w:hAnsi="Times New Roman"/>
          <w:spacing w:val="-2"/>
          <w:kern w:val="0"/>
          <w:sz w:val="24"/>
          <w:szCs w:val="24"/>
          <w:u w:val="single"/>
        </w:rPr>
        <w:t>，</w:t>
      </w:r>
      <w:r>
        <w:rPr>
          <w:rFonts w:ascii="Times New Roman" w:hAnsi="Times New Roman"/>
          <w:sz w:val="24"/>
          <w:szCs w:val="24"/>
          <w:u w:val="single"/>
        </w:rPr>
        <w:t>堆放区域位于</w:t>
      </w:r>
      <w:r>
        <w:rPr>
          <w:rFonts w:hint="eastAsia" w:ascii="Times New Roman" w:hAnsi="Times New Roman"/>
          <w:sz w:val="24"/>
          <w:szCs w:val="24"/>
          <w:u w:val="single"/>
        </w:rPr>
        <w:t>室</w:t>
      </w:r>
      <w:r>
        <w:rPr>
          <w:rFonts w:ascii="Times New Roman" w:hAnsi="Times New Roman"/>
          <w:sz w:val="24"/>
          <w:szCs w:val="24"/>
          <w:u w:val="single"/>
        </w:rPr>
        <w:t>内</w:t>
      </w:r>
      <w:r>
        <w:rPr>
          <w:rFonts w:hint="eastAsia" w:ascii="Times New Roman" w:hAnsi="Times New Roman"/>
          <w:sz w:val="24"/>
          <w:szCs w:val="24"/>
          <w:u w:val="single"/>
        </w:rPr>
        <w:t>并按一般防渗区及《伴生放射性物料贮存及固体废物填埋辐射环境保护技术规范（试行）》（HJ1114-2020）相关要求建设</w:t>
      </w:r>
      <w:r>
        <w:rPr>
          <w:rFonts w:ascii="Times New Roman" w:hAnsi="Times New Roman"/>
          <w:spacing w:val="-2"/>
          <w:kern w:val="0"/>
          <w:sz w:val="24"/>
          <w:szCs w:val="20"/>
          <w:u w:val="single"/>
        </w:rPr>
        <w:t>。</w:t>
      </w:r>
    </w:p>
    <w:p w14:paraId="7D260E97">
      <w:pPr>
        <w:snapToGrid w:val="0"/>
        <w:spacing w:line="360" w:lineRule="auto"/>
        <w:ind w:firstLine="472" w:firstLineChars="200"/>
        <w:rPr>
          <w:rFonts w:ascii="Times New Roman" w:hAnsi="Times New Roman"/>
          <w:spacing w:val="-2"/>
          <w:kern w:val="0"/>
          <w:sz w:val="24"/>
          <w:szCs w:val="24"/>
          <w:u w:val="single"/>
        </w:rPr>
      </w:pPr>
      <w:r>
        <w:rPr>
          <w:rFonts w:ascii="Times New Roman" w:hAnsi="Times New Roman"/>
          <w:spacing w:val="-2"/>
          <w:kern w:val="0"/>
          <w:sz w:val="24"/>
          <w:szCs w:val="24"/>
          <w:u w:val="single"/>
        </w:rPr>
        <w:t>项目除尘系统废除尘袋含</w:t>
      </w:r>
      <w:r>
        <w:rPr>
          <w:rFonts w:hint="eastAsia" w:ascii="Times New Roman" w:hAnsi="Times New Roman"/>
          <w:spacing w:val="-2"/>
          <w:kern w:val="0"/>
          <w:sz w:val="24"/>
          <w:szCs w:val="24"/>
          <w:u w:val="single"/>
        </w:rPr>
        <w:t>少量</w:t>
      </w:r>
      <w:r>
        <w:rPr>
          <w:rFonts w:ascii="Times New Roman" w:hAnsi="Times New Roman"/>
          <w:spacing w:val="-2"/>
          <w:kern w:val="0"/>
          <w:sz w:val="24"/>
          <w:szCs w:val="24"/>
          <w:u w:val="single"/>
        </w:rPr>
        <w:t>放射性物质，</w:t>
      </w:r>
      <w:r>
        <w:rPr>
          <w:rFonts w:hint="eastAsia" w:ascii="Times New Roman" w:hAnsi="Times New Roman"/>
          <w:spacing w:val="-2"/>
          <w:kern w:val="0"/>
          <w:sz w:val="24"/>
          <w:szCs w:val="20"/>
          <w:u w:val="single"/>
        </w:rPr>
        <w:t>天然放射性核素的比活度远小于1</w:t>
      </w:r>
      <w:r>
        <w:rPr>
          <w:u w:val="single"/>
        </w:rPr>
        <w:t xml:space="preserve"> </w:t>
      </w:r>
      <w:r>
        <w:rPr>
          <w:rFonts w:ascii="Times New Roman" w:hAnsi="Times New Roman"/>
          <w:spacing w:val="-2"/>
          <w:kern w:val="0"/>
          <w:sz w:val="24"/>
          <w:szCs w:val="20"/>
          <w:u w:val="single"/>
        </w:rPr>
        <w:t>Bq/g</w:t>
      </w:r>
      <w:r>
        <w:rPr>
          <w:rFonts w:hint="eastAsia" w:ascii="Times New Roman" w:hAnsi="Times New Roman"/>
          <w:spacing w:val="-2"/>
          <w:kern w:val="0"/>
          <w:sz w:val="24"/>
          <w:szCs w:val="20"/>
          <w:u w:val="single"/>
        </w:rPr>
        <w:t>，根据《可免于辐射防护监管的物料中放射性核素活度浓度》（GB27742-2011）无需进行辐射监管，应妥善收集，暂存于专用贮存场地，定期外售综合利用或处置。</w:t>
      </w:r>
      <w:r>
        <w:rPr>
          <w:rFonts w:ascii="Times New Roman" w:hAnsi="Times New Roman"/>
          <w:spacing w:val="-2"/>
          <w:kern w:val="0"/>
          <w:sz w:val="24"/>
          <w:szCs w:val="24"/>
          <w:u w:val="single"/>
        </w:rPr>
        <w:t>在</w:t>
      </w:r>
      <w:r>
        <w:rPr>
          <w:rFonts w:ascii="Times New Roman" w:hAnsi="Times New Roman"/>
          <w:sz w:val="24"/>
          <w:szCs w:val="24"/>
          <w:u w:val="single"/>
        </w:rPr>
        <w:t>2#分选车间内部东北角规划一处专用暂存库进行存放，面积约为</w:t>
      </w:r>
      <w:r>
        <w:rPr>
          <w:rFonts w:hint="eastAsia" w:ascii="Times New Roman" w:hAnsi="Times New Roman"/>
          <w:sz w:val="24"/>
          <w:szCs w:val="24"/>
          <w:u w:val="single"/>
        </w:rPr>
        <w:t>3</w:t>
      </w:r>
      <w:r>
        <w:rPr>
          <w:rFonts w:ascii="Times New Roman" w:hAnsi="Times New Roman"/>
          <w:sz w:val="24"/>
          <w:szCs w:val="24"/>
          <w:u w:val="single"/>
        </w:rPr>
        <w:t>m</w:t>
      </w:r>
      <w:r>
        <w:rPr>
          <w:rFonts w:ascii="Times New Roman" w:hAnsi="Times New Roman"/>
          <w:sz w:val="24"/>
          <w:szCs w:val="24"/>
          <w:u w:val="single"/>
          <w:vertAlign w:val="superscript"/>
        </w:rPr>
        <w:t>2</w:t>
      </w:r>
      <w:r>
        <w:rPr>
          <w:rFonts w:ascii="Times New Roman" w:hAnsi="Times New Roman"/>
          <w:sz w:val="24"/>
          <w:szCs w:val="24"/>
          <w:u w:val="single"/>
        </w:rPr>
        <w:t>，最大暂存量为</w:t>
      </w:r>
      <w:r>
        <w:rPr>
          <w:rFonts w:hint="eastAsia" w:ascii="Times New Roman" w:hAnsi="Times New Roman"/>
          <w:spacing w:val="-2"/>
          <w:kern w:val="0"/>
          <w:sz w:val="24"/>
          <w:szCs w:val="24"/>
          <w:u w:val="single"/>
        </w:rPr>
        <w:t>2</w:t>
      </w:r>
      <w:r>
        <w:rPr>
          <w:rFonts w:ascii="Times New Roman" w:hAnsi="Times New Roman"/>
          <w:spacing w:val="-2"/>
          <w:kern w:val="0"/>
          <w:sz w:val="24"/>
          <w:szCs w:val="24"/>
          <w:u w:val="single"/>
        </w:rPr>
        <w:t>t/a，可满足暂存要求。</w:t>
      </w:r>
    </w:p>
    <w:p w14:paraId="380AA6F3">
      <w:pPr>
        <w:pStyle w:val="7"/>
        <w:numPr>
          <w:ilvl w:val="3"/>
          <w:numId w:val="3"/>
        </w:numPr>
      </w:pPr>
      <w:r>
        <w:t>处置去向</w:t>
      </w:r>
    </w:p>
    <w:p w14:paraId="5375EA16">
      <w:pPr>
        <w:snapToGrid w:val="0"/>
        <w:spacing w:line="360" w:lineRule="auto"/>
        <w:ind w:firstLine="472" w:firstLineChars="200"/>
        <w:rPr>
          <w:rFonts w:ascii="Times New Roman" w:hAnsi="Times New Roman"/>
          <w:spacing w:val="-2"/>
          <w:kern w:val="0"/>
          <w:sz w:val="24"/>
          <w:szCs w:val="24"/>
          <w:u w:val="single"/>
        </w:rPr>
      </w:pPr>
      <w:r>
        <w:rPr>
          <w:rFonts w:ascii="Times New Roman" w:hAnsi="Times New Roman"/>
          <w:spacing w:val="-2"/>
          <w:kern w:val="0"/>
          <w:sz w:val="24"/>
          <w:szCs w:val="24"/>
          <w:u w:val="single"/>
        </w:rPr>
        <w:t>烘干炉炉渣收集后定期</w:t>
      </w:r>
      <w:r>
        <w:rPr>
          <w:rFonts w:hint="eastAsia" w:ascii="Times New Roman" w:hAnsi="Times New Roman"/>
          <w:spacing w:val="-2"/>
          <w:kern w:val="0"/>
          <w:sz w:val="24"/>
          <w:szCs w:val="24"/>
          <w:u w:val="single"/>
        </w:rPr>
        <w:t>出售给有机肥生产企业</w:t>
      </w:r>
      <w:r>
        <w:rPr>
          <w:rFonts w:ascii="Times New Roman" w:hAnsi="Times New Roman"/>
          <w:spacing w:val="-2"/>
          <w:kern w:val="0"/>
          <w:sz w:val="24"/>
          <w:u w:val="single"/>
        </w:rPr>
        <w:t>。</w:t>
      </w:r>
    </w:p>
    <w:p w14:paraId="7EBFBE8B">
      <w:pPr>
        <w:snapToGrid w:val="0"/>
        <w:spacing w:line="360" w:lineRule="auto"/>
        <w:ind w:firstLine="472" w:firstLineChars="200"/>
        <w:rPr>
          <w:rFonts w:ascii="Times New Roman" w:hAnsi="Times New Roman"/>
          <w:spacing w:val="-2"/>
          <w:kern w:val="0"/>
          <w:sz w:val="24"/>
          <w:szCs w:val="24"/>
          <w:u w:val="single"/>
        </w:rPr>
      </w:pPr>
      <w:r>
        <w:rPr>
          <w:rFonts w:ascii="Times New Roman" w:hAnsi="Times New Roman"/>
          <w:spacing w:val="-2"/>
          <w:kern w:val="0"/>
          <w:sz w:val="24"/>
          <w:szCs w:val="24"/>
          <w:u w:val="single"/>
        </w:rPr>
        <w:t>烘干炉除尘器粉尘</w:t>
      </w:r>
      <w:r>
        <w:rPr>
          <w:rFonts w:hint="eastAsia" w:ascii="Times New Roman" w:hAnsi="Times New Roman"/>
          <w:spacing w:val="-2"/>
          <w:kern w:val="0"/>
          <w:sz w:val="24"/>
          <w:szCs w:val="24"/>
          <w:u w:val="single"/>
        </w:rPr>
        <w:t>、</w:t>
      </w:r>
      <w:r>
        <w:rPr>
          <w:rFonts w:ascii="Times New Roman" w:hAnsi="Times New Roman"/>
          <w:spacing w:val="-2"/>
          <w:kern w:val="0"/>
          <w:sz w:val="24"/>
          <w:szCs w:val="24"/>
          <w:u w:val="single"/>
        </w:rPr>
        <w:t>生产车间</w:t>
      </w:r>
      <w:r>
        <w:rPr>
          <w:rFonts w:hint="eastAsia" w:ascii="Times New Roman" w:hAnsi="Times New Roman"/>
          <w:spacing w:val="-2"/>
          <w:kern w:val="0"/>
          <w:sz w:val="24"/>
          <w:szCs w:val="24"/>
          <w:u w:val="single"/>
        </w:rPr>
        <w:t>除尘器收集</w:t>
      </w:r>
      <w:r>
        <w:rPr>
          <w:rFonts w:ascii="Times New Roman" w:hAnsi="Times New Roman"/>
          <w:spacing w:val="-2"/>
          <w:kern w:val="0"/>
          <w:sz w:val="24"/>
          <w:szCs w:val="24"/>
          <w:u w:val="single"/>
        </w:rPr>
        <w:t>的粉尘均</w:t>
      </w:r>
      <w:r>
        <w:rPr>
          <w:rFonts w:hint="eastAsia" w:ascii="Times New Roman" w:hAnsi="Times New Roman"/>
          <w:spacing w:val="-2"/>
          <w:kern w:val="0"/>
          <w:sz w:val="24"/>
          <w:szCs w:val="24"/>
          <w:u w:val="single"/>
        </w:rPr>
        <w:t>掺入锆中矿</w:t>
      </w:r>
      <w:r>
        <w:rPr>
          <w:rFonts w:ascii="Times New Roman" w:hAnsi="Times New Roman"/>
          <w:spacing w:val="-2"/>
          <w:kern w:val="0"/>
          <w:sz w:val="24"/>
          <w:szCs w:val="24"/>
          <w:u w:val="single"/>
        </w:rPr>
        <w:t>，</w:t>
      </w:r>
      <w:r>
        <w:rPr>
          <w:rFonts w:ascii="Times New Roman" w:hAnsi="Times New Roman"/>
          <w:sz w:val="24"/>
          <w:szCs w:val="24"/>
          <w:u w:val="single"/>
        </w:rPr>
        <w:t>作为</w:t>
      </w:r>
      <w:r>
        <w:rPr>
          <w:rFonts w:hint="eastAsia" w:ascii="Times New Roman" w:hAnsi="Times New Roman"/>
          <w:sz w:val="24"/>
          <w:szCs w:val="24"/>
          <w:u w:val="single"/>
        </w:rPr>
        <w:t>原料出售给</w:t>
      </w:r>
      <w:r>
        <w:rPr>
          <w:rFonts w:ascii="Times New Roman" w:hAnsi="Times New Roman"/>
          <w:sz w:val="24"/>
          <w:szCs w:val="24"/>
          <w:u w:val="single"/>
        </w:rPr>
        <w:t>深度分选加工企业。</w:t>
      </w:r>
    </w:p>
    <w:p w14:paraId="5009CA3A">
      <w:pPr>
        <w:snapToGrid w:val="0"/>
        <w:spacing w:line="360" w:lineRule="auto"/>
        <w:ind w:firstLine="472" w:firstLineChars="200"/>
        <w:rPr>
          <w:rFonts w:ascii="Times New Roman" w:hAnsi="Times New Roman"/>
          <w:spacing w:val="-2"/>
          <w:kern w:val="0"/>
          <w:sz w:val="24"/>
          <w:szCs w:val="24"/>
          <w:u w:val="single"/>
        </w:rPr>
      </w:pPr>
      <w:r>
        <w:rPr>
          <w:rFonts w:hint="eastAsia" w:ascii="Times New Roman" w:hAnsi="Times New Roman"/>
          <w:spacing w:val="-2"/>
          <w:kern w:val="0"/>
          <w:sz w:val="24"/>
          <w:szCs w:val="24"/>
          <w:u w:val="single"/>
        </w:rPr>
        <w:t>车间地面沉降粉尘作为原料重新投入到生产线进行分选。</w:t>
      </w:r>
    </w:p>
    <w:p w14:paraId="7F9D171A">
      <w:pPr>
        <w:snapToGrid w:val="0"/>
        <w:spacing w:line="360" w:lineRule="auto"/>
        <w:ind w:firstLine="472" w:firstLineChars="200"/>
        <w:rPr>
          <w:rFonts w:ascii="Times New Roman" w:hAnsi="Times New Roman"/>
          <w:spacing w:val="-2"/>
          <w:kern w:val="0"/>
          <w:sz w:val="24"/>
          <w:szCs w:val="24"/>
          <w:u w:val="single"/>
        </w:rPr>
      </w:pPr>
      <w:r>
        <w:rPr>
          <w:rFonts w:ascii="Times New Roman" w:hAnsi="Times New Roman"/>
          <w:spacing w:val="-2"/>
          <w:kern w:val="0"/>
          <w:sz w:val="24"/>
          <w:szCs w:val="24"/>
          <w:u w:val="single"/>
        </w:rPr>
        <w:t>除尘系统废除尘袋</w:t>
      </w:r>
      <w:r>
        <w:rPr>
          <w:rFonts w:hint="eastAsia" w:ascii="Times New Roman" w:hAnsi="Times New Roman"/>
          <w:spacing w:val="-2"/>
          <w:kern w:val="0"/>
          <w:sz w:val="24"/>
          <w:szCs w:val="24"/>
          <w:u w:val="single"/>
        </w:rPr>
        <w:t>定期外售综合利用或处置。</w:t>
      </w:r>
    </w:p>
    <w:p w14:paraId="0B064C83">
      <w:pPr>
        <w:pStyle w:val="7"/>
        <w:numPr>
          <w:ilvl w:val="3"/>
          <w:numId w:val="3"/>
        </w:numPr>
      </w:pPr>
      <w:r>
        <w:t>管理措施及相关要求</w:t>
      </w:r>
    </w:p>
    <w:p w14:paraId="0BB1F3C4">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项目一般工业固废在厂区的临时贮存应符合《一般工业固体废物贮存和填埋污染控制标准》（GB18599-2020）中相应规定。设置挡风墙、防雨棚、地面硬化并按防渗要求防渗做好防渗。</w:t>
      </w:r>
    </w:p>
    <w:p w14:paraId="44E16631">
      <w:pPr>
        <w:pStyle w:val="7"/>
        <w:numPr>
          <w:ilvl w:val="3"/>
          <w:numId w:val="3"/>
        </w:numPr>
        <w:rPr>
          <w:spacing w:val="-2"/>
          <w:kern w:val="0"/>
          <w:szCs w:val="24"/>
        </w:rPr>
      </w:pPr>
      <w:r>
        <w:t>一般固体废物污染防治措施可行性</w:t>
      </w:r>
    </w:p>
    <w:p w14:paraId="161A444A">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项目产生的一般固体废物采取上述措施后均可妥善处置，固废防治措施是可行的。</w:t>
      </w:r>
    </w:p>
    <w:p w14:paraId="08BA803C">
      <w:pPr>
        <w:pStyle w:val="6"/>
        <w:numPr>
          <w:ilvl w:val="2"/>
          <w:numId w:val="3"/>
        </w:numPr>
      </w:pPr>
      <w:r>
        <w:t>危险废物</w:t>
      </w:r>
    </w:p>
    <w:p w14:paraId="75D63DDC">
      <w:pPr>
        <w:pStyle w:val="7"/>
        <w:numPr>
          <w:ilvl w:val="3"/>
          <w:numId w:val="3"/>
        </w:numPr>
      </w:pPr>
      <w:r>
        <w:t>储存措施</w:t>
      </w:r>
    </w:p>
    <w:p w14:paraId="37100660">
      <w:pPr>
        <w:snapToGri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项目在</w:t>
      </w:r>
      <w:r>
        <w:rPr>
          <w:rFonts w:ascii="Times New Roman" w:hAnsi="Times New Roman"/>
          <w:sz w:val="24"/>
          <w:szCs w:val="24"/>
        </w:rPr>
        <w:t>2#分选车间内部东北角规划一处</w:t>
      </w:r>
      <w:r>
        <w:rPr>
          <w:rFonts w:ascii="Times New Roman" w:hAnsi="Times New Roman"/>
          <w:spacing w:val="-2"/>
          <w:kern w:val="0"/>
          <w:sz w:val="24"/>
          <w:szCs w:val="24"/>
        </w:rPr>
        <w:t>危废暂存库，面积约为1.5m</w:t>
      </w:r>
      <w:r>
        <w:rPr>
          <w:rFonts w:ascii="Times New Roman" w:hAnsi="Times New Roman"/>
          <w:spacing w:val="-2"/>
          <w:kern w:val="0"/>
          <w:sz w:val="24"/>
          <w:szCs w:val="24"/>
          <w:vertAlign w:val="superscript"/>
        </w:rPr>
        <w:t>2</w:t>
      </w:r>
      <w:r>
        <w:rPr>
          <w:rFonts w:ascii="Times New Roman" w:hAnsi="Times New Roman"/>
          <w:spacing w:val="-2"/>
          <w:kern w:val="0"/>
          <w:sz w:val="24"/>
          <w:szCs w:val="24"/>
        </w:rPr>
        <w:t>，主要贮存项目设备检修过程产生的废机油，</w:t>
      </w:r>
      <w:r>
        <w:rPr>
          <w:rFonts w:ascii="Times New Roman" w:hAnsi="Times New Roman"/>
          <w:spacing w:val="-2"/>
          <w:kern w:val="0"/>
          <w:sz w:val="24"/>
          <w:szCs w:val="20"/>
        </w:rPr>
        <w:t>废机油产生量0.3t/a，</w:t>
      </w:r>
      <w:r>
        <w:rPr>
          <w:rFonts w:ascii="Times New Roman" w:hAnsi="Times New Roman"/>
          <w:spacing w:val="-2"/>
          <w:kern w:val="0"/>
          <w:sz w:val="24"/>
          <w:szCs w:val="24"/>
        </w:rPr>
        <w:t>危险废物暂存间的危险废物最大暂存量约为</w:t>
      </w:r>
      <w:r>
        <w:rPr>
          <w:rFonts w:hint="eastAsia" w:ascii="Times New Roman" w:hAnsi="Times New Roman"/>
          <w:spacing w:val="-2"/>
          <w:kern w:val="0"/>
          <w:sz w:val="24"/>
          <w:szCs w:val="24"/>
        </w:rPr>
        <w:t>1</w:t>
      </w:r>
      <w:r>
        <w:rPr>
          <w:rFonts w:ascii="Times New Roman" w:hAnsi="Times New Roman"/>
          <w:spacing w:val="-2"/>
          <w:kern w:val="0"/>
          <w:sz w:val="24"/>
          <w:szCs w:val="24"/>
        </w:rPr>
        <w:t>t/a，该危险废物暂存间存储能力可以满足生产要求。</w:t>
      </w:r>
    </w:p>
    <w:p w14:paraId="7CD1689D">
      <w:pPr>
        <w:pStyle w:val="7"/>
        <w:numPr>
          <w:ilvl w:val="3"/>
          <w:numId w:val="3"/>
        </w:numPr>
      </w:pPr>
      <w:r>
        <w:t>处置去向</w:t>
      </w:r>
    </w:p>
    <w:p w14:paraId="08A743C7">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0"/>
        </w:rPr>
        <w:t>废机油危险废物代码HW08（900-214-08），采用密封桶盛装，暂存于危险废物暂存库，</w:t>
      </w:r>
      <w:r>
        <w:rPr>
          <w:rFonts w:ascii="Times New Roman" w:hAnsi="Times New Roman"/>
          <w:spacing w:val="-2"/>
          <w:kern w:val="0"/>
          <w:sz w:val="24"/>
          <w:szCs w:val="24"/>
        </w:rPr>
        <w:t>定期委托有资质的单位处置。</w:t>
      </w:r>
    </w:p>
    <w:p w14:paraId="13DFDCC6">
      <w:pPr>
        <w:pStyle w:val="7"/>
        <w:numPr>
          <w:ilvl w:val="3"/>
          <w:numId w:val="3"/>
        </w:numPr>
      </w:pPr>
      <w:r>
        <w:t>管理措施及相关要求</w:t>
      </w:r>
    </w:p>
    <w:p w14:paraId="0E25433E">
      <w:pPr>
        <w:spacing w:line="360" w:lineRule="auto"/>
        <w:ind w:firstLine="474" w:firstLineChars="200"/>
        <w:rPr>
          <w:rFonts w:ascii="Times New Roman" w:hAnsi="Times New Roman"/>
          <w:b/>
          <w:bCs/>
          <w:spacing w:val="-2"/>
          <w:kern w:val="0"/>
          <w:sz w:val="24"/>
          <w:szCs w:val="24"/>
        </w:rPr>
      </w:pPr>
      <w:r>
        <w:rPr>
          <w:rFonts w:ascii="Times New Roman" w:hAnsi="Times New Roman"/>
          <w:b/>
          <w:bCs/>
          <w:spacing w:val="-2"/>
          <w:kern w:val="0"/>
          <w:sz w:val="24"/>
          <w:szCs w:val="24"/>
        </w:rPr>
        <w:t>（1）危险废物储存管理要求</w:t>
      </w:r>
    </w:p>
    <w:p w14:paraId="4691548D">
      <w:pPr>
        <w:spacing w:line="360" w:lineRule="auto"/>
        <w:ind w:firstLine="472" w:firstLineChars="200"/>
        <w:rPr>
          <w:rFonts w:hint="eastAsia" w:ascii="宋体" w:hAnsi="宋体" w:cs="Cambria Math"/>
          <w:spacing w:val="-2"/>
          <w:kern w:val="0"/>
          <w:sz w:val="24"/>
          <w:szCs w:val="24"/>
        </w:rPr>
      </w:pPr>
      <w:r>
        <w:rPr>
          <w:rFonts w:hint="eastAsia" w:ascii="宋体" w:hAnsi="宋体" w:cs="Cambria Math"/>
          <w:spacing w:val="-2"/>
          <w:kern w:val="0"/>
          <w:sz w:val="24"/>
          <w:szCs w:val="24"/>
        </w:rPr>
        <w:t>① 危险废物存入贮存设施前应对危险废物类别和特性与危险废物标签等危险废物识别标志的一致性进行核验，不一致的或类别、特性不明的不应存入。</w:t>
      </w:r>
    </w:p>
    <w:p w14:paraId="50657372">
      <w:pPr>
        <w:spacing w:line="360" w:lineRule="auto"/>
        <w:ind w:firstLine="472" w:firstLineChars="200"/>
        <w:rPr>
          <w:rFonts w:hint="eastAsia" w:ascii="宋体" w:hAnsi="宋体" w:cs="Cambria Math"/>
          <w:spacing w:val="-2"/>
          <w:kern w:val="0"/>
          <w:sz w:val="24"/>
          <w:szCs w:val="24"/>
        </w:rPr>
      </w:pPr>
      <w:r>
        <w:rPr>
          <w:rFonts w:hint="eastAsia" w:ascii="宋体" w:hAnsi="宋体" w:cs="Cambria Math"/>
          <w:spacing w:val="-2"/>
          <w:kern w:val="0"/>
          <w:sz w:val="24"/>
          <w:szCs w:val="24"/>
        </w:rPr>
        <w:t>② 应定期检查危险废物的贮存状况，及时清理贮存设施地面，更换破损泄漏的危险废物贮存容器和包装物，保证堆存危险废物的防雨、防风、防扬尘等设施功能完好。</w:t>
      </w:r>
    </w:p>
    <w:p w14:paraId="5F0ACE87">
      <w:pPr>
        <w:spacing w:line="360" w:lineRule="auto"/>
        <w:ind w:firstLine="472" w:firstLineChars="200"/>
        <w:rPr>
          <w:rFonts w:hint="eastAsia" w:ascii="宋体" w:hAnsi="宋体" w:cs="Cambria Math"/>
          <w:spacing w:val="-2"/>
          <w:kern w:val="0"/>
          <w:sz w:val="24"/>
          <w:szCs w:val="24"/>
        </w:rPr>
      </w:pPr>
      <w:r>
        <w:rPr>
          <w:rFonts w:hint="eastAsia" w:ascii="宋体" w:hAnsi="宋体" w:cs="Cambria Math"/>
          <w:spacing w:val="-2"/>
          <w:kern w:val="0"/>
          <w:sz w:val="24"/>
          <w:szCs w:val="24"/>
        </w:rPr>
        <w:t>③ 作业设备及车辆等结束作业离开贮存设施时，应对其残留的危险废物进行清理，清理的废物或清洗废水应收集处理。</w:t>
      </w:r>
    </w:p>
    <w:p w14:paraId="3CA20362">
      <w:pPr>
        <w:spacing w:line="360" w:lineRule="auto"/>
        <w:ind w:firstLine="472" w:firstLineChars="200"/>
        <w:rPr>
          <w:rFonts w:hint="eastAsia" w:ascii="宋体" w:hAnsi="宋体" w:cs="Cambria Math"/>
          <w:spacing w:val="-2"/>
          <w:kern w:val="0"/>
          <w:sz w:val="24"/>
          <w:szCs w:val="24"/>
        </w:rPr>
      </w:pPr>
      <w:r>
        <w:rPr>
          <w:rFonts w:hint="eastAsia" w:ascii="宋体" w:hAnsi="宋体" w:cs="Cambria Math"/>
          <w:spacing w:val="-2"/>
          <w:kern w:val="0"/>
          <w:sz w:val="24"/>
          <w:szCs w:val="24"/>
        </w:rPr>
        <w:t>④ 贮存设施运行期间，应按国家有关标准和规定建立危险废物管理台账并保存。</w:t>
      </w:r>
    </w:p>
    <w:p w14:paraId="2E68A77C">
      <w:pPr>
        <w:spacing w:line="360" w:lineRule="auto"/>
        <w:ind w:firstLine="472" w:firstLineChars="200"/>
        <w:rPr>
          <w:rFonts w:hint="eastAsia" w:ascii="宋体" w:hAnsi="宋体" w:cs="Cambria Math"/>
          <w:spacing w:val="-2"/>
          <w:kern w:val="0"/>
          <w:sz w:val="24"/>
          <w:szCs w:val="24"/>
        </w:rPr>
      </w:pPr>
      <w:r>
        <w:rPr>
          <w:rFonts w:hint="eastAsia" w:ascii="宋体" w:hAnsi="宋体" w:cs="Cambria Math"/>
          <w:spacing w:val="-2"/>
          <w:kern w:val="0"/>
          <w:sz w:val="24"/>
          <w:szCs w:val="24"/>
        </w:rPr>
        <w:t>⑤ 贮存设施所有者或运营者应建立贮存设施环境管理制度、管理人员岗位职责制度、设施运行操作制度、人员岗位培训制度等。</w:t>
      </w:r>
    </w:p>
    <w:p w14:paraId="7FEE1490">
      <w:pPr>
        <w:spacing w:line="360" w:lineRule="auto"/>
        <w:ind w:firstLine="472" w:firstLineChars="200"/>
        <w:rPr>
          <w:rFonts w:hint="eastAsia" w:ascii="宋体" w:hAnsi="宋体" w:cs="Cambria Math"/>
          <w:spacing w:val="-2"/>
          <w:kern w:val="0"/>
          <w:sz w:val="24"/>
          <w:szCs w:val="24"/>
        </w:rPr>
      </w:pPr>
      <w:r>
        <w:rPr>
          <w:rFonts w:hint="eastAsia" w:ascii="宋体" w:hAnsi="宋体" w:cs="Cambria Math"/>
          <w:spacing w:val="-2"/>
          <w:kern w:val="0"/>
          <w:sz w:val="24"/>
          <w:szCs w:val="24"/>
        </w:rPr>
        <w:t>⑥ 贮存设施所有者或运营者应依据国家土壤和地下水污染防治的有关规定，结合贮存设施特点建立土壤和地下水污染隐患排</w:t>
      </w:r>
      <w:r>
        <w:rPr>
          <w:rFonts w:hint="eastAsia" w:ascii="宋体" w:hAnsi="宋体" w:cs="Cambria Math"/>
          <w:spacing w:val="-2"/>
          <w:kern w:val="0"/>
          <w:sz w:val="24"/>
          <w:szCs w:val="24"/>
          <w:lang w:eastAsia="zh-CN"/>
        </w:rPr>
        <w:t>查</w:t>
      </w:r>
      <w:r>
        <w:rPr>
          <w:rFonts w:hint="eastAsia" w:ascii="宋体" w:hAnsi="宋体" w:cs="Cambria Math"/>
          <w:spacing w:val="-2"/>
          <w:kern w:val="0"/>
          <w:sz w:val="24"/>
          <w:szCs w:val="24"/>
        </w:rPr>
        <w:t>制度，并定期开展隐患排</w:t>
      </w:r>
      <w:r>
        <w:rPr>
          <w:rFonts w:hint="eastAsia" w:ascii="宋体" w:hAnsi="宋体" w:cs="Cambria Math"/>
          <w:spacing w:val="-2"/>
          <w:kern w:val="0"/>
          <w:sz w:val="24"/>
          <w:szCs w:val="24"/>
          <w:lang w:eastAsia="zh-CN"/>
        </w:rPr>
        <w:t>查</w:t>
      </w:r>
      <w:r>
        <w:rPr>
          <w:rFonts w:hint="eastAsia" w:ascii="宋体" w:hAnsi="宋体" w:cs="Cambria Math"/>
          <w:spacing w:val="-2"/>
          <w:kern w:val="0"/>
          <w:sz w:val="24"/>
          <w:szCs w:val="24"/>
        </w:rPr>
        <w:t>；发现隐患应及时采取措施消除隐患，并建立档案。</w:t>
      </w:r>
    </w:p>
    <w:p w14:paraId="6B97D451">
      <w:pPr>
        <w:spacing w:line="360" w:lineRule="auto"/>
        <w:ind w:firstLine="472" w:firstLineChars="200"/>
        <w:rPr>
          <w:rFonts w:hint="eastAsia" w:ascii="宋体" w:hAnsi="宋体" w:cs="Cambria Math"/>
          <w:spacing w:val="-2"/>
          <w:kern w:val="0"/>
          <w:sz w:val="24"/>
          <w:szCs w:val="24"/>
        </w:rPr>
      </w:pPr>
      <w:r>
        <w:rPr>
          <w:rFonts w:hint="eastAsia" w:ascii="宋体" w:hAnsi="宋体" w:cs="Cambria Math"/>
          <w:spacing w:val="-2"/>
          <w:kern w:val="0"/>
          <w:sz w:val="24"/>
          <w:szCs w:val="24"/>
        </w:rPr>
        <w:t>⑦ 贮存设施所有者或运营者应建立贮存设施全部档案，包括设计、施工、验收、运行、监测和环境应急等，应按国家有关档案管理的法律法规进行整理和归档。</w:t>
      </w:r>
    </w:p>
    <w:p w14:paraId="3AB918F1">
      <w:pPr>
        <w:spacing w:line="360" w:lineRule="auto"/>
        <w:ind w:firstLine="474" w:firstLineChars="200"/>
        <w:rPr>
          <w:rFonts w:ascii="Times New Roman" w:hAnsi="Times New Roman"/>
          <w:b/>
          <w:bCs/>
          <w:spacing w:val="-2"/>
          <w:kern w:val="0"/>
          <w:sz w:val="24"/>
          <w:szCs w:val="24"/>
        </w:rPr>
      </w:pPr>
      <w:r>
        <w:rPr>
          <w:rFonts w:ascii="Times New Roman" w:hAnsi="Times New Roman"/>
          <w:b/>
          <w:bCs/>
          <w:spacing w:val="-2"/>
          <w:kern w:val="0"/>
          <w:sz w:val="24"/>
          <w:szCs w:val="24"/>
        </w:rPr>
        <w:t>（2）危险废物转移相关规定</w:t>
      </w:r>
    </w:p>
    <w:p w14:paraId="69FEB695">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根据国务院令第344号《危险化学品安全管理条例》、生态环境部公安部交通运输部令第23号《危险废物转移管理办法》的有关规定，在危险废物外运至处置单位时必须严格遵守以下要求：</w:t>
      </w:r>
    </w:p>
    <w:p w14:paraId="6BAF5495">
      <w:pPr>
        <w:spacing w:line="360" w:lineRule="auto"/>
        <w:ind w:firstLine="472" w:firstLineChars="200"/>
        <w:rPr>
          <w:rFonts w:ascii="Times New Roman" w:hAnsi="Times New Roman"/>
          <w:spacing w:val="-2"/>
          <w:kern w:val="0"/>
          <w:sz w:val="24"/>
          <w:szCs w:val="24"/>
        </w:rPr>
      </w:pPr>
      <w:r>
        <w:rPr>
          <w:rFonts w:ascii="宋体" w:hAnsi="宋体" w:cs="Cambria Math"/>
          <w:spacing w:val="-2"/>
          <w:kern w:val="0"/>
          <w:sz w:val="24"/>
          <w:szCs w:val="24"/>
        </w:rPr>
        <w:t>①</w:t>
      </w:r>
      <w:r>
        <w:rPr>
          <w:rFonts w:hint="eastAsia" w:ascii="Times New Roman" w:hAnsi="Times New Roman"/>
          <w:spacing w:val="-2"/>
          <w:kern w:val="0"/>
          <w:sz w:val="24"/>
          <w:szCs w:val="24"/>
        </w:rPr>
        <w:t xml:space="preserve"> </w:t>
      </w:r>
      <w:r>
        <w:rPr>
          <w:rFonts w:ascii="Times New Roman" w:hAnsi="Times New Roman"/>
          <w:spacing w:val="-2"/>
          <w:kern w:val="0"/>
          <w:sz w:val="24"/>
          <w:szCs w:val="24"/>
        </w:rPr>
        <w:t>转移危险废物的，应当通过国家危险废物信息管理系统（以下简称信息系统）填写、运行危险废物电子转移联单，并依照国家有关规定公开危险废物转移相关污染环境防治信息。</w:t>
      </w:r>
    </w:p>
    <w:p w14:paraId="404CCBE5">
      <w:pPr>
        <w:spacing w:line="360" w:lineRule="auto"/>
        <w:ind w:firstLine="472" w:firstLineChars="200"/>
        <w:rPr>
          <w:rFonts w:ascii="Times New Roman" w:hAnsi="Times New Roman"/>
          <w:spacing w:val="-2"/>
          <w:kern w:val="0"/>
          <w:sz w:val="24"/>
          <w:szCs w:val="24"/>
        </w:rPr>
      </w:pPr>
      <w:r>
        <w:rPr>
          <w:rFonts w:ascii="宋体" w:hAnsi="宋体" w:cs="Cambria Math"/>
          <w:spacing w:val="-2"/>
          <w:kern w:val="0"/>
          <w:sz w:val="24"/>
          <w:szCs w:val="24"/>
        </w:rPr>
        <w:t>②</w:t>
      </w:r>
      <w:r>
        <w:rPr>
          <w:rFonts w:hint="eastAsia" w:ascii="Times New Roman" w:hAnsi="Times New Roman"/>
          <w:spacing w:val="-2"/>
          <w:kern w:val="0"/>
          <w:sz w:val="24"/>
          <w:szCs w:val="24"/>
        </w:rPr>
        <w:t xml:space="preserve"> </w:t>
      </w:r>
      <w:r>
        <w:rPr>
          <w:rFonts w:ascii="Times New Roman" w:hAnsi="Times New Roman"/>
          <w:spacing w:val="-2"/>
          <w:kern w:val="0"/>
          <w:sz w:val="24"/>
          <w:szCs w:val="24"/>
        </w:rPr>
        <w:t>运输危险废物的，应当遵守国家有关危险货物运输管理的规定。未经公安机关批准，危险废物运输车辆不得进入危险货物运输车辆限制通行的区域。</w:t>
      </w:r>
    </w:p>
    <w:p w14:paraId="5D36DC18">
      <w:pPr>
        <w:spacing w:line="360" w:lineRule="auto"/>
        <w:ind w:firstLine="472" w:firstLineChars="200"/>
        <w:rPr>
          <w:rFonts w:ascii="Times New Roman" w:hAnsi="Times New Roman"/>
          <w:spacing w:val="-2"/>
          <w:kern w:val="0"/>
          <w:sz w:val="24"/>
          <w:szCs w:val="24"/>
        </w:rPr>
      </w:pPr>
      <w:r>
        <w:rPr>
          <w:rFonts w:ascii="宋体" w:hAnsi="宋体" w:cs="Cambria Math"/>
          <w:spacing w:val="-2"/>
          <w:kern w:val="0"/>
          <w:sz w:val="24"/>
          <w:szCs w:val="24"/>
        </w:rPr>
        <w:t>③</w:t>
      </w:r>
      <w:r>
        <w:rPr>
          <w:rFonts w:hint="eastAsia" w:ascii="宋体" w:hAnsi="宋体" w:cs="Cambria Math"/>
          <w:spacing w:val="-2"/>
          <w:kern w:val="0"/>
          <w:sz w:val="24"/>
          <w:szCs w:val="24"/>
        </w:rPr>
        <w:t xml:space="preserve"> </w:t>
      </w:r>
      <w:r>
        <w:rPr>
          <w:rFonts w:ascii="Times New Roman" w:hAnsi="Times New Roman"/>
          <w:spacing w:val="-2"/>
          <w:kern w:val="0"/>
          <w:sz w:val="24"/>
          <w:szCs w:val="24"/>
        </w:rPr>
        <w:t>移出人应当按照国家有关要求开展危险废物鉴别。禁止将危险废物以副产品等名义提供或者委托给无危险废物经营许可证的单位或者其他生产经营者从事收集、贮存、利用、处置活动。</w:t>
      </w:r>
    </w:p>
    <w:p w14:paraId="1CA65EA3">
      <w:pPr>
        <w:spacing w:line="360" w:lineRule="auto"/>
        <w:ind w:firstLine="472" w:firstLineChars="200"/>
        <w:rPr>
          <w:rFonts w:ascii="Times New Roman" w:hAnsi="Times New Roman"/>
          <w:spacing w:val="-2"/>
          <w:kern w:val="0"/>
          <w:sz w:val="24"/>
          <w:szCs w:val="24"/>
        </w:rPr>
      </w:pPr>
      <w:r>
        <w:rPr>
          <w:rFonts w:ascii="宋体" w:hAnsi="宋体" w:cs="Cambria Math"/>
          <w:spacing w:val="-2"/>
          <w:kern w:val="0"/>
          <w:sz w:val="24"/>
          <w:szCs w:val="24"/>
        </w:rPr>
        <w:t>④</w:t>
      </w:r>
      <w:r>
        <w:rPr>
          <w:rFonts w:hint="eastAsia" w:ascii="Times New Roman" w:hAnsi="Times New Roman"/>
          <w:spacing w:val="-2"/>
          <w:kern w:val="0"/>
          <w:sz w:val="24"/>
          <w:szCs w:val="24"/>
        </w:rPr>
        <w:t xml:space="preserve"> </w:t>
      </w:r>
      <w:r>
        <w:rPr>
          <w:rFonts w:ascii="Times New Roman" w:hAnsi="Times New Roman"/>
          <w:spacing w:val="-2"/>
          <w:kern w:val="0"/>
          <w:sz w:val="24"/>
          <w:szCs w:val="24"/>
        </w:rPr>
        <w:t>危险废物托运人（以下简称托运人）应当按照国家危险货物相关标准确定危险废物对应危险货物的类别、项别、编号等，并委托具备相应危险货物运输资质的单位承运危险废物，依法签订运输合同。</w:t>
      </w:r>
    </w:p>
    <w:p w14:paraId="3589457E">
      <w:pPr>
        <w:spacing w:line="360" w:lineRule="auto"/>
        <w:ind w:firstLine="472" w:firstLineChars="200"/>
        <w:rPr>
          <w:rFonts w:ascii="Times New Roman" w:hAnsi="Times New Roman"/>
          <w:spacing w:val="-2"/>
          <w:kern w:val="0"/>
          <w:sz w:val="24"/>
          <w:szCs w:val="24"/>
        </w:rPr>
      </w:pPr>
      <w:r>
        <w:rPr>
          <w:rFonts w:ascii="宋体" w:hAnsi="宋体" w:cs="Cambria Math"/>
          <w:spacing w:val="-2"/>
          <w:kern w:val="0"/>
          <w:sz w:val="24"/>
          <w:szCs w:val="24"/>
        </w:rPr>
        <w:t>⑤</w:t>
      </w:r>
      <w:r>
        <w:rPr>
          <w:rFonts w:hint="eastAsia" w:ascii="Times New Roman" w:hAnsi="Times New Roman"/>
          <w:spacing w:val="-2"/>
          <w:kern w:val="0"/>
          <w:sz w:val="24"/>
          <w:szCs w:val="24"/>
        </w:rPr>
        <w:t xml:space="preserve"> </w:t>
      </w:r>
      <w:r>
        <w:rPr>
          <w:rFonts w:ascii="Times New Roman" w:hAnsi="Times New Roman"/>
          <w:spacing w:val="-2"/>
          <w:kern w:val="0"/>
          <w:sz w:val="24"/>
          <w:szCs w:val="24"/>
        </w:rPr>
        <w:t>移出人每转移一车（船或者其他运输工具）次同类危险废物，应当填写、运行一份危险废物转移联单；每车（船或者其他运输工具）次转移多类危险废物的，可以填写、运行一份危险废物转移联单，也可以每一类危险废物填写、运行一份危险废物转移联单。</w:t>
      </w:r>
    </w:p>
    <w:p w14:paraId="6E3BC80A">
      <w:pPr>
        <w:spacing w:line="360" w:lineRule="auto"/>
        <w:ind w:firstLine="472" w:firstLineChars="200"/>
        <w:rPr>
          <w:rFonts w:ascii="Times New Roman" w:hAnsi="Times New Roman"/>
          <w:spacing w:val="-2"/>
          <w:kern w:val="0"/>
          <w:sz w:val="24"/>
          <w:szCs w:val="24"/>
        </w:rPr>
      </w:pPr>
      <w:r>
        <w:rPr>
          <w:rFonts w:ascii="宋体" w:hAnsi="宋体" w:cs="Cambria Math"/>
          <w:spacing w:val="-2"/>
          <w:kern w:val="0"/>
          <w:sz w:val="24"/>
          <w:szCs w:val="24"/>
        </w:rPr>
        <w:t>⑥</w:t>
      </w:r>
      <w:r>
        <w:rPr>
          <w:rFonts w:hint="eastAsia" w:ascii="Times New Roman" w:hAnsi="Times New Roman"/>
          <w:spacing w:val="-2"/>
          <w:kern w:val="0"/>
          <w:sz w:val="24"/>
          <w:szCs w:val="24"/>
        </w:rPr>
        <w:t xml:space="preserve"> </w:t>
      </w:r>
      <w:r>
        <w:rPr>
          <w:rFonts w:ascii="Times New Roman" w:hAnsi="Times New Roman"/>
          <w:spacing w:val="-2"/>
          <w:kern w:val="0"/>
          <w:sz w:val="24"/>
          <w:szCs w:val="24"/>
        </w:rPr>
        <w:t>采用联运方式转移危险废物的，前一承运人和后一承运人应当明确运输交接的时间和地点。后一承运人应当核实危险废物转移联单确定的移出人信息、前一承运人信息及危险废物相关信息。</w:t>
      </w:r>
    </w:p>
    <w:p w14:paraId="06761C9A">
      <w:pPr>
        <w:spacing w:line="360" w:lineRule="auto"/>
        <w:ind w:firstLine="472" w:firstLineChars="200"/>
        <w:rPr>
          <w:rFonts w:ascii="Times New Roman" w:hAnsi="Times New Roman"/>
          <w:spacing w:val="-2"/>
          <w:kern w:val="0"/>
          <w:sz w:val="24"/>
          <w:szCs w:val="24"/>
        </w:rPr>
      </w:pPr>
      <w:r>
        <w:rPr>
          <w:rFonts w:ascii="宋体" w:hAnsi="宋体" w:cs="Cambria Math"/>
          <w:spacing w:val="-2"/>
          <w:kern w:val="0"/>
          <w:sz w:val="24"/>
          <w:szCs w:val="24"/>
        </w:rPr>
        <w:t>⑦</w:t>
      </w:r>
      <w:r>
        <w:rPr>
          <w:rFonts w:hint="eastAsia" w:ascii="Times New Roman" w:hAnsi="Times New Roman"/>
          <w:spacing w:val="-2"/>
          <w:kern w:val="0"/>
          <w:sz w:val="24"/>
          <w:szCs w:val="24"/>
        </w:rPr>
        <w:t xml:space="preserve"> </w:t>
      </w:r>
      <w:r>
        <w:rPr>
          <w:rFonts w:ascii="Times New Roman" w:hAnsi="Times New Roman"/>
          <w:spacing w:val="-2"/>
          <w:kern w:val="0"/>
          <w:sz w:val="24"/>
          <w:szCs w:val="24"/>
        </w:rPr>
        <w:t>危险废物电子转移联单数据应当在信息系统中至少保存十年。</w:t>
      </w:r>
    </w:p>
    <w:p w14:paraId="7C33E1E2">
      <w:pPr>
        <w:spacing w:line="360" w:lineRule="auto"/>
        <w:ind w:firstLine="472" w:firstLineChars="200"/>
        <w:rPr>
          <w:rFonts w:ascii="Times New Roman" w:hAnsi="Times New Roman"/>
          <w:spacing w:val="-2"/>
          <w:kern w:val="0"/>
          <w:sz w:val="24"/>
          <w:szCs w:val="24"/>
        </w:rPr>
      </w:pPr>
      <w:r>
        <w:rPr>
          <w:rFonts w:ascii="宋体" w:hAnsi="宋体" w:cs="Cambria Math"/>
          <w:spacing w:val="-2"/>
          <w:kern w:val="0"/>
          <w:sz w:val="24"/>
          <w:szCs w:val="24"/>
        </w:rPr>
        <w:t>⑧</w:t>
      </w:r>
      <w:r>
        <w:rPr>
          <w:rFonts w:hint="eastAsia" w:ascii="Times New Roman" w:hAnsi="Times New Roman"/>
          <w:spacing w:val="-2"/>
          <w:kern w:val="0"/>
          <w:sz w:val="24"/>
          <w:szCs w:val="24"/>
        </w:rPr>
        <w:t xml:space="preserve"> </w:t>
      </w:r>
      <w:r>
        <w:rPr>
          <w:rFonts w:ascii="Times New Roman" w:hAnsi="Times New Roman"/>
          <w:spacing w:val="-2"/>
          <w:kern w:val="0"/>
          <w:sz w:val="24"/>
          <w:szCs w:val="24"/>
        </w:rPr>
        <w:t>危险废物移出地省级生态环境主管部门应当自收到</w:t>
      </w:r>
      <w:r>
        <w:rPr>
          <w:rFonts w:hint="eastAsia" w:ascii="Times New Roman" w:hAnsi="Times New Roman"/>
          <w:spacing w:val="-2"/>
          <w:kern w:val="0"/>
          <w:sz w:val="24"/>
          <w:szCs w:val="24"/>
          <w:lang w:eastAsia="zh-CN"/>
        </w:rPr>
        <w:t>接收</w:t>
      </w:r>
      <w:r>
        <w:rPr>
          <w:rFonts w:ascii="Times New Roman" w:hAnsi="Times New Roman"/>
          <w:spacing w:val="-2"/>
          <w:kern w:val="0"/>
          <w:sz w:val="24"/>
          <w:szCs w:val="24"/>
        </w:rPr>
        <w:t>地省级生态环境主管部门复函之日起五个工作日内作出是否批准转移该危险废物的决定；不同意转移的，应当说明理由。危险废物移出地省级生态环境主管部门应当将批准信息通报移出地省级交通运输主管部门和移入地等相关省级生态环境主管部门和交通运输主管部门。</w:t>
      </w:r>
    </w:p>
    <w:p w14:paraId="6D6DA62B">
      <w:pPr>
        <w:spacing w:line="360" w:lineRule="auto"/>
        <w:ind w:firstLine="474" w:firstLineChars="200"/>
        <w:rPr>
          <w:rFonts w:ascii="Times New Roman" w:hAnsi="Times New Roman"/>
          <w:b/>
          <w:bCs/>
          <w:spacing w:val="-2"/>
          <w:kern w:val="0"/>
          <w:sz w:val="24"/>
          <w:szCs w:val="24"/>
        </w:rPr>
      </w:pPr>
      <w:r>
        <w:rPr>
          <w:rFonts w:ascii="Times New Roman" w:hAnsi="Times New Roman"/>
          <w:b/>
          <w:bCs/>
          <w:spacing w:val="-2"/>
          <w:kern w:val="0"/>
          <w:sz w:val="24"/>
          <w:szCs w:val="24"/>
        </w:rPr>
        <w:t>（3）危险废物转运安全环保措施</w:t>
      </w:r>
    </w:p>
    <w:p w14:paraId="228C9E42">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为确保危险废物在交通转移、运输过程中的安全，采取如下措施：</w:t>
      </w:r>
    </w:p>
    <w:p w14:paraId="07A00D57">
      <w:pPr>
        <w:spacing w:line="360" w:lineRule="auto"/>
        <w:ind w:firstLine="472" w:firstLineChars="200"/>
        <w:rPr>
          <w:rFonts w:ascii="Times New Roman" w:hAnsi="Times New Roman"/>
          <w:spacing w:val="-2"/>
          <w:kern w:val="0"/>
          <w:sz w:val="24"/>
          <w:szCs w:val="24"/>
        </w:rPr>
      </w:pPr>
      <w:r>
        <w:rPr>
          <w:rFonts w:ascii="宋体" w:hAnsi="宋体" w:cs="Cambria Math"/>
          <w:spacing w:val="-2"/>
          <w:kern w:val="0"/>
          <w:sz w:val="24"/>
          <w:szCs w:val="24"/>
        </w:rPr>
        <w:t>①</w:t>
      </w:r>
      <w:r>
        <w:rPr>
          <w:rFonts w:hint="eastAsia" w:ascii="宋体" w:hAnsi="宋体" w:cs="Cambria Math"/>
          <w:spacing w:val="-2"/>
          <w:kern w:val="0"/>
          <w:sz w:val="24"/>
          <w:szCs w:val="24"/>
        </w:rPr>
        <w:t xml:space="preserve"> </w:t>
      </w:r>
      <w:r>
        <w:rPr>
          <w:rFonts w:ascii="Times New Roman" w:hAnsi="Times New Roman"/>
          <w:spacing w:val="-2"/>
          <w:kern w:val="0"/>
          <w:sz w:val="24"/>
          <w:szCs w:val="24"/>
        </w:rPr>
        <w:t>危险废物应据其成分，用符合国家标准的专门装置分类收集；在危险废物的收集运输过程中必须做好废物的密封包装，严禁将具有反应性的不相容的废物，或者性质不明的废物进行混合，防止在运输过程中的反应、渗漏、溢出、抛洒或挥发等情况。</w:t>
      </w:r>
    </w:p>
    <w:p w14:paraId="222C8166">
      <w:pPr>
        <w:spacing w:line="360" w:lineRule="auto"/>
        <w:ind w:firstLine="472" w:firstLineChars="200"/>
        <w:rPr>
          <w:rFonts w:ascii="Times New Roman" w:hAnsi="Times New Roman"/>
          <w:spacing w:val="-2"/>
          <w:kern w:val="0"/>
          <w:sz w:val="24"/>
          <w:szCs w:val="24"/>
        </w:rPr>
      </w:pPr>
      <w:r>
        <w:rPr>
          <w:rFonts w:ascii="宋体" w:hAnsi="宋体" w:cs="Cambria Math"/>
          <w:spacing w:val="-2"/>
          <w:kern w:val="0"/>
          <w:sz w:val="24"/>
          <w:szCs w:val="24"/>
        </w:rPr>
        <w:t>②</w:t>
      </w:r>
      <w:r>
        <w:rPr>
          <w:rFonts w:hint="eastAsia" w:ascii="Times New Roman" w:hAnsi="Times New Roman"/>
          <w:spacing w:val="-2"/>
          <w:kern w:val="0"/>
          <w:sz w:val="24"/>
          <w:szCs w:val="24"/>
        </w:rPr>
        <w:t xml:space="preserve"> </w:t>
      </w:r>
      <w:r>
        <w:rPr>
          <w:rFonts w:ascii="Times New Roman" w:hAnsi="Times New Roman"/>
          <w:spacing w:val="-2"/>
          <w:kern w:val="0"/>
          <w:sz w:val="24"/>
          <w:szCs w:val="24"/>
        </w:rPr>
        <w:t>在危险废物的包装容器上清楚地标明内盛物的类别与危害说明，以及数量和包装日期。</w:t>
      </w:r>
    </w:p>
    <w:p w14:paraId="206CE1C6">
      <w:pPr>
        <w:spacing w:line="360" w:lineRule="auto"/>
        <w:ind w:firstLine="472" w:firstLineChars="200"/>
        <w:rPr>
          <w:rFonts w:ascii="Times New Roman" w:hAnsi="Times New Roman"/>
          <w:spacing w:val="-2"/>
          <w:kern w:val="0"/>
          <w:sz w:val="24"/>
          <w:szCs w:val="24"/>
        </w:rPr>
      </w:pPr>
      <w:r>
        <w:rPr>
          <w:rFonts w:ascii="宋体" w:hAnsi="宋体" w:cs="Cambria Math"/>
          <w:spacing w:val="-2"/>
          <w:kern w:val="0"/>
          <w:sz w:val="24"/>
          <w:szCs w:val="24"/>
        </w:rPr>
        <w:t>③</w:t>
      </w:r>
      <w:r>
        <w:rPr>
          <w:rFonts w:hint="eastAsia" w:ascii="Times New Roman" w:hAnsi="Times New Roman"/>
          <w:spacing w:val="-2"/>
          <w:kern w:val="0"/>
          <w:sz w:val="24"/>
          <w:szCs w:val="24"/>
        </w:rPr>
        <w:t xml:space="preserve"> </w:t>
      </w:r>
      <w:r>
        <w:rPr>
          <w:rFonts w:ascii="Times New Roman" w:hAnsi="Times New Roman"/>
          <w:spacing w:val="-2"/>
          <w:kern w:val="0"/>
          <w:sz w:val="24"/>
          <w:szCs w:val="24"/>
        </w:rPr>
        <w:t>承载危险废物的车辆必须有明显的标志或适当的危险符号，以引起关注。在运输过程中需持有运输许可证，其上注明废物来源、性质和运往地点。</w:t>
      </w:r>
    </w:p>
    <w:p w14:paraId="0C1E39DB">
      <w:pPr>
        <w:spacing w:line="360" w:lineRule="auto"/>
        <w:ind w:firstLine="472" w:firstLineChars="200"/>
        <w:rPr>
          <w:rFonts w:ascii="Times New Roman" w:hAnsi="Times New Roman"/>
          <w:spacing w:val="-2"/>
          <w:kern w:val="0"/>
          <w:sz w:val="24"/>
          <w:szCs w:val="24"/>
        </w:rPr>
      </w:pPr>
      <w:r>
        <w:rPr>
          <w:rFonts w:ascii="宋体" w:hAnsi="宋体" w:cs="Cambria Math"/>
          <w:spacing w:val="-2"/>
          <w:kern w:val="0"/>
          <w:sz w:val="24"/>
          <w:szCs w:val="24"/>
        </w:rPr>
        <w:t>④</w:t>
      </w:r>
      <w:r>
        <w:rPr>
          <w:rFonts w:hint="eastAsia" w:ascii="Times New Roman" w:hAnsi="Times New Roman"/>
          <w:spacing w:val="-2"/>
          <w:kern w:val="0"/>
          <w:sz w:val="24"/>
          <w:szCs w:val="24"/>
        </w:rPr>
        <w:t xml:space="preserve"> </w:t>
      </w:r>
      <w:r>
        <w:rPr>
          <w:rFonts w:ascii="Times New Roman" w:hAnsi="Times New Roman"/>
          <w:spacing w:val="-2"/>
          <w:kern w:val="0"/>
          <w:sz w:val="24"/>
          <w:szCs w:val="24"/>
        </w:rPr>
        <w:t>运输危险废物的车辆必须定期进行检修，及时发现安全隐患，确保运输的安全。负责运输的司机必须通过培训，了解相关的安全知识。</w:t>
      </w:r>
    </w:p>
    <w:p w14:paraId="7E9E40A0">
      <w:pPr>
        <w:spacing w:line="360" w:lineRule="auto"/>
        <w:ind w:firstLine="472" w:firstLineChars="200"/>
        <w:rPr>
          <w:rFonts w:ascii="Times New Roman" w:hAnsi="Times New Roman"/>
          <w:spacing w:val="-2"/>
          <w:kern w:val="0"/>
          <w:sz w:val="24"/>
          <w:szCs w:val="24"/>
        </w:rPr>
      </w:pPr>
      <w:r>
        <w:rPr>
          <w:rFonts w:ascii="宋体" w:hAnsi="宋体" w:cs="Cambria Math"/>
          <w:spacing w:val="-2"/>
          <w:kern w:val="0"/>
          <w:sz w:val="24"/>
          <w:szCs w:val="24"/>
        </w:rPr>
        <w:t>⑤</w:t>
      </w:r>
      <w:r>
        <w:rPr>
          <w:rFonts w:hint="eastAsia" w:ascii="Times New Roman" w:hAnsi="Times New Roman"/>
          <w:spacing w:val="-2"/>
          <w:kern w:val="0"/>
          <w:sz w:val="24"/>
          <w:szCs w:val="24"/>
        </w:rPr>
        <w:t xml:space="preserve"> </w:t>
      </w:r>
      <w:r>
        <w:rPr>
          <w:rFonts w:ascii="Times New Roman" w:hAnsi="Times New Roman"/>
          <w:spacing w:val="-2"/>
          <w:kern w:val="0"/>
          <w:sz w:val="24"/>
          <w:szCs w:val="24"/>
        </w:rPr>
        <w:t>事先需</w:t>
      </w:r>
      <w:r>
        <w:rPr>
          <w:rFonts w:hint="eastAsia" w:ascii="Times New Roman" w:hAnsi="Times New Roman"/>
          <w:spacing w:val="-2"/>
          <w:kern w:val="0"/>
          <w:sz w:val="24"/>
          <w:szCs w:val="24"/>
          <w:lang w:eastAsia="zh-CN"/>
        </w:rPr>
        <w:t>做出</w:t>
      </w:r>
      <w:r>
        <w:rPr>
          <w:rFonts w:ascii="Times New Roman" w:hAnsi="Times New Roman"/>
          <w:spacing w:val="-2"/>
          <w:kern w:val="0"/>
          <w:sz w:val="24"/>
          <w:szCs w:val="24"/>
        </w:rPr>
        <w:t>周密的运输计划和行驶路线，其中应包括废物泄漏情况下的有效应急措施。</w:t>
      </w:r>
    </w:p>
    <w:p w14:paraId="18223190">
      <w:pPr>
        <w:spacing w:line="360" w:lineRule="auto"/>
        <w:ind w:firstLine="472" w:firstLineChars="200"/>
        <w:rPr>
          <w:rFonts w:ascii="Times New Roman" w:hAnsi="Times New Roman"/>
          <w:spacing w:val="-2"/>
          <w:kern w:val="0"/>
          <w:sz w:val="24"/>
          <w:szCs w:val="24"/>
        </w:rPr>
      </w:pPr>
      <w:r>
        <w:rPr>
          <w:rFonts w:ascii="宋体" w:hAnsi="宋体" w:cs="Cambria Math"/>
          <w:spacing w:val="-2"/>
          <w:kern w:val="0"/>
          <w:sz w:val="24"/>
          <w:szCs w:val="24"/>
        </w:rPr>
        <w:t>⑥</w:t>
      </w:r>
      <w:r>
        <w:rPr>
          <w:rFonts w:hint="eastAsia" w:ascii="Times New Roman" w:hAnsi="Times New Roman"/>
          <w:spacing w:val="-2"/>
          <w:kern w:val="0"/>
          <w:sz w:val="24"/>
          <w:szCs w:val="24"/>
        </w:rPr>
        <w:t xml:space="preserve"> </w:t>
      </w:r>
      <w:r>
        <w:rPr>
          <w:rFonts w:ascii="Times New Roman" w:hAnsi="Times New Roman"/>
          <w:spacing w:val="-2"/>
          <w:kern w:val="0"/>
          <w:sz w:val="24"/>
          <w:szCs w:val="24"/>
        </w:rPr>
        <w:t>车上应配备通讯设备、处理处置中心联络人员名单及其电话号码，以备发生事故时及时抢救和处理。</w:t>
      </w:r>
    </w:p>
    <w:p w14:paraId="72D42977">
      <w:pPr>
        <w:spacing w:line="360" w:lineRule="auto"/>
        <w:ind w:firstLine="472" w:firstLineChars="200"/>
        <w:rPr>
          <w:rFonts w:ascii="Times New Roman" w:hAnsi="Times New Roman"/>
          <w:spacing w:val="-2"/>
          <w:kern w:val="0"/>
          <w:sz w:val="24"/>
          <w:szCs w:val="24"/>
        </w:rPr>
      </w:pPr>
      <w:r>
        <w:rPr>
          <w:rFonts w:ascii="宋体" w:hAnsi="宋体" w:cs="Cambria Math"/>
          <w:spacing w:val="-2"/>
          <w:kern w:val="0"/>
          <w:sz w:val="24"/>
          <w:szCs w:val="24"/>
        </w:rPr>
        <w:t>⑦</w:t>
      </w:r>
      <w:r>
        <w:rPr>
          <w:rFonts w:hint="eastAsia" w:ascii="Times New Roman" w:hAnsi="Times New Roman"/>
          <w:spacing w:val="-2"/>
          <w:kern w:val="0"/>
          <w:sz w:val="24"/>
          <w:szCs w:val="24"/>
        </w:rPr>
        <w:t xml:space="preserve"> </w:t>
      </w:r>
      <w:r>
        <w:rPr>
          <w:rFonts w:ascii="Times New Roman" w:hAnsi="Times New Roman"/>
          <w:spacing w:val="-2"/>
          <w:kern w:val="0"/>
          <w:sz w:val="24"/>
          <w:szCs w:val="24"/>
        </w:rPr>
        <w:t>危险废物从产生单位到利用处置单位的转移过程，严格执行《危险废物转移管理办法》，通过国家危险废物信息管理系统（以下简称信息系统）填写、运行危险废物电子转移联单，并依照国家有关规定公开危险废物转移相关污染环境防治信息。移出人应当按照国家有关要求开展危险废物鉴别。禁止将危险废物以副产品等名义提供或者委托给无危险废物经营许可证的单位或者其他生产经营者从事收集、贮存、利用、处置活动。</w:t>
      </w:r>
    </w:p>
    <w:p w14:paraId="5047B75C">
      <w:pPr>
        <w:pStyle w:val="7"/>
        <w:numPr>
          <w:ilvl w:val="3"/>
          <w:numId w:val="3"/>
        </w:numPr>
        <w:rPr>
          <w:spacing w:val="-2"/>
          <w:kern w:val="0"/>
          <w:szCs w:val="24"/>
        </w:rPr>
      </w:pPr>
      <w:r>
        <w:t>危废污染防治措施可行性</w:t>
      </w:r>
    </w:p>
    <w:p w14:paraId="6A522B72">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根据《国家危险废物名录（2025年）》，本项目产生的废机油，危废年产生量</w:t>
      </w:r>
      <w:r>
        <w:rPr>
          <w:rFonts w:hint="eastAsia" w:ascii="Times New Roman" w:hAnsi="Times New Roman"/>
          <w:spacing w:val="-2"/>
          <w:kern w:val="0"/>
          <w:sz w:val="24"/>
          <w:szCs w:val="24"/>
        </w:rPr>
        <w:t>0.3</w:t>
      </w:r>
      <w:r>
        <w:rPr>
          <w:rFonts w:ascii="Times New Roman" w:hAnsi="Times New Roman"/>
          <w:spacing w:val="-2"/>
          <w:kern w:val="0"/>
          <w:sz w:val="24"/>
          <w:szCs w:val="24"/>
        </w:rPr>
        <w:t>t/a。项目在</w:t>
      </w:r>
      <w:r>
        <w:rPr>
          <w:rFonts w:ascii="Times New Roman" w:hAnsi="Times New Roman"/>
          <w:sz w:val="24"/>
          <w:szCs w:val="24"/>
        </w:rPr>
        <w:t>2#分选车间内部东北角规划一处</w:t>
      </w:r>
      <w:r>
        <w:rPr>
          <w:rFonts w:ascii="Times New Roman" w:hAnsi="Times New Roman"/>
          <w:spacing w:val="-2"/>
          <w:kern w:val="0"/>
          <w:sz w:val="24"/>
          <w:szCs w:val="24"/>
        </w:rPr>
        <w:t>危废暂存库，面积约为</w:t>
      </w:r>
      <w:r>
        <w:rPr>
          <w:rFonts w:hint="eastAsia" w:ascii="Times New Roman" w:hAnsi="Times New Roman"/>
          <w:spacing w:val="-2"/>
          <w:kern w:val="0"/>
          <w:sz w:val="24"/>
          <w:szCs w:val="24"/>
        </w:rPr>
        <w:t>3</w:t>
      </w:r>
      <w:r>
        <w:rPr>
          <w:rFonts w:ascii="Times New Roman" w:hAnsi="Times New Roman"/>
          <w:spacing w:val="-2"/>
          <w:kern w:val="0"/>
          <w:sz w:val="24"/>
          <w:szCs w:val="24"/>
        </w:rPr>
        <w:t>m</w:t>
      </w:r>
      <w:r>
        <w:rPr>
          <w:rFonts w:ascii="Times New Roman" w:hAnsi="Times New Roman"/>
          <w:spacing w:val="-2"/>
          <w:kern w:val="0"/>
          <w:sz w:val="24"/>
          <w:szCs w:val="24"/>
          <w:vertAlign w:val="superscript"/>
        </w:rPr>
        <w:t>2</w:t>
      </w:r>
      <w:r>
        <w:rPr>
          <w:rFonts w:ascii="Times New Roman" w:hAnsi="Times New Roman"/>
          <w:spacing w:val="-2"/>
          <w:kern w:val="0"/>
          <w:sz w:val="24"/>
          <w:szCs w:val="24"/>
        </w:rPr>
        <w:t>，最大贮存量为</w:t>
      </w:r>
      <w:r>
        <w:rPr>
          <w:rFonts w:hint="eastAsia" w:ascii="Times New Roman" w:hAnsi="Times New Roman"/>
          <w:spacing w:val="-2"/>
          <w:kern w:val="0"/>
          <w:sz w:val="24"/>
          <w:szCs w:val="24"/>
        </w:rPr>
        <w:t>1</w:t>
      </w:r>
      <w:r>
        <w:rPr>
          <w:rFonts w:ascii="Times New Roman" w:hAnsi="Times New Roman"/>
          <w:spacing w:val="-2"/>
          <w:kern w:val="0"/>
          <w:sz w:val="24"/>
          <w:szCs w:val="24"/>
        </w:rPr>
        <w:t>t，项目危废暂存间能满足危险废物储存需求。</w:t>
      </w:r>
    </w:p>
    <w:p w14:paraId="6D59AB3F">
      <w:pPr>
        <w:pStyle w:val="6"/>
        <w:numPr>
          <w:ilvl w:val="2"/>
          <w:numId w:val="3"/>
        </w:numPr>
      </w:pPr>
      <w:r>
        <w:t>生活垃圾</w:t>
      </w:r>
    </w:p>
    <w:p w14:paraId="240B933D">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项目生活垃圾不在厂内设置收集点，在车间外大门侧设置小型垃圾桶，每天清理到创大进口汽车仓储物流园垃圾收集点</w:t>
      </w:r>
      <w:r>
        <w:rPr>
          <w:rFonts w:ascii="Times New Roman" w:hAnsi="Times New Roman"/>
          <w:spacing w:val="-2"/>
          <w:kern w:val="0"/>
          <w:sz w:val="24"/>
          <w:szCs w:val="20"/>
        </w:rPr>
        <w:t>，由环卫部门统一收运，</w:t>
      </w:r>
      <w:r>
        <w:rPr>
          <w:rFonts w:ascii="Times New Roman" w:hAnsi="Times New Roman"/>
          <w:spacing w:val="-2"/>
          <w:kern w:val="0"/>
          <w:sz w:val="24"/>
          <w:szCs w:val="24"/>
        </w:rPr>
        <w:t>措施可行。</w:t>
      </w:r>
    </w:p>
    <w:p w14:paraId="6B1C4EAB">
      <w:pPr>
        <w:pStyle w:val="5"/>
        <w:numPr>
          <w:ilvl w:val="1"/>
          <w:numId w:val="3"/>
        </w:numPr>
      </w:pPr>
      <w:bookmarkStart w:id="290" w:name="_Toc27554"/>
      <w:r>
        <w:rPr>
          <w:rFonts w:hint="eastAsia"/>
        </w:rPr>
        <w:t>辐射防护措施</w:t>
      </w:r>
      <w:bookmarkEnd w:id="290"/>
    </w:p>
    <w:p w14:paraId="3802E936">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根据《锆钛矿石分选加工项目辐射环境影响评价专篇》分析，项目主要的辐射防护措施主要有生产物料贮存管理防护措施、气载流出物防护措施、固体废物防护措施、运输风险防护措施、辐射防护管理措施等，其中气载流出物及固体废物防护措施亦为运营期废气、固废污染防治措施，不再重复赘述。</w:t>
      </w:r>
    </w:p>
    <w:p w14:paraId="62B99674">
      <w:pPr>
        <w:pStyle w:val="6"/>
        <w:numPr>
          <w:ilvl w:val="2"/>
          <w:numId w:val="3"/>
        </w:numPr>
      </w:pPr>
      <w:r>
        <w:rPr>
          <w:rFonts w:hint="eastAsia"/>
        </w:rPr>
        <w:t>生产物料贮存管理防护措施</w:t>
      </w:r>
    </w:p>
    <w:p w14:paraId="04CDD82E">
      <w:pPr>
        <w:spacing w:line="360" w:lineRule="auto"/>
        <w:ind w:firstLine="472" w:firstLineChars="200"/>
        <w:rPr>
          <w:rFonts w:ascii="Times New Roman" w:hAnsi="Times New Roman"/>
          <w:spacing w:val="-2"/>
          <w:kern w:val="0"/>
          <w:sz w:val="24"/>
          <w:szCs w:val="24"/>
          <w:u w:val="single"/>
        </w:rPr>
      </w:pPr>
      <w:r>
        <w:rPr>
          <w:rFonts w:hint="eastAsia" w:ascii="Times New Roman" w:hAnsi="Times New Roman"/>
          <w:spacing w:val="-2"/>
          <w:kern w:val="0"/>
          <w:sz w:val="24"/>
          <w:szCs w:val="24"/>
        </w:rPr>
        <w:t>项目涉及放射性的物料主要有原料毛矿、钛铁精矿、锆中矿。以上含放射性的物料均需要根据《伴生放射性物料贮存及固体废物填埋辐射环境保护技术规范（试行）》（HJ1114-2020）相关要求进行贮存。</w:t>
      </w:r>
      <w:r>
        <w:rPr>
          <w:rFonts w:hint="eastAsia" w:ascii="Times New Roman" w:hAnsi="Times New Roman"/>
          <w:spacing w:val="-2"/>
          <w:kern w:val="0"/>
          <w:sz w:val="24"/>
          <w:szCs w:val="24"/>
          <w:u w:val="single"/>
        </w:rPr>
        <w:t>除尘系统收集粉尘掺入锆中矿产品中出售，与锆中矿一并管理；生产车间地面沉降粉尘收集后放置到原料堆放区作为原料重新投入到生产线进行分选，与毛矿一并管理；少量含放射性粉尘的废除尘袋无需进行辐射监管。</w:t>
      </w:r>
    </w:p>
    <w:p w14:paraId="67EB0FBC">
      <w:pPr>
        <w:pStyle w:val="7"/>
        <w:numPr>
          <w:ilvl w:val="3"/>
          <w:numId w:val="3"/>
        </w:numPr>
        <w:rPr>
          <w:u w:val="single"/>
        </w:rPr>
      </w:pPr>
      <w:r>
        <w:rPr>
          <w:rFonts w:hint="eastAsia"/>
          <w:u w:val="single"/>
        </w:rPr>
        <w:t>伴生放射性物料贮存一般要求</w:t>
      </w:r>
    </w:p>
    <w:p w14:paraId="3FC793E3">
      <w:pPr>
        <w:spacing w:line="360" w:lineRule="auto"/>
        <w:ind w:firstLine="472" w:firstLineChars="200"/>
        <w:rPr>
          <w:rFonts w:ascii="Times New Roman" w:hAnsi="Times New Roman"/>
          <w:spacing w:val="-2"/>
          <w:kern w:val="0"/>
          <w:sz w:val="24"/>
          <w:szCs w:val="24"/>
          <w:u w:val="single"/>
        </w:rPr>
      </w:pPr>
      <w:r>
        <w:rPr>
          <w:rFonts w:hint="eastAsia" w:ascii="Times New Roman" w:hAnsi="Times New Roman"/>
          <w:spacing w:val="-2"/>
          <w:kern w:val="0"/>
          <w:sz w:val="24"/>
          <w:szCs w:val="24"/>
          <w:u w:val="single"/>
        </w:rPr>
        <w:t>（1）伴生放射性物料应与其他物料分区贮存。</w:t>
      </w:r>
    </w:p>
    <w:p w14:paraId="66813737">
      <w:pPr>
        <w:spacing w:line="360" w:lineRule="auto"/>
        <w:ind w:firstLine="472" w:firstLineChars="200"/>
        <w:rPr>
          <w:rFonts w:ascii="Times New Roman" w:hAnsi="Times New Roman"/>
          <w:spacing w:val="-2"/>
          <w:kern w:val="0"/>
          <w:sz w:val="24"/>
          <w:szCs w:val="24"/>
          <w:u w:val="single"/>
        </w:rPr>
      </w:pPr>
      <w:r>
        <w:rPr>
          <w:rFonts w:hint="eastAsia" w:ascii="Times New Roman" w:hAnsi="Times New Roman"/>
          <w:spacing w:val="-2"/>
          <w:kern w:val="0"/>
          <w:sz w:val="24"/>
          <w:szCs w:val="24"/>
          <w:u w:val="single"/>
        </w:rPr>
        <w:t>（2）伴生放射性固体废物应及时填埋；无填埋条件的，应建设专门设施进行贮存。</w:t>
      </w:r>
    </w:p>
    <w:p w14:paraId="06302B53">
      <w:pPr>
        <w:spacing w:line="360" w:lineRule="auto"/>
        <w:ind w:firstLine="472" w:firstLineChars="200"/>
        <w:rPr>
          <w:rFonts w:ascii="Times New Roman" w:hAnsi="Times New Roman"/>
          <w:spacing w:val="-2"/>
          <w:kern w:val="0"/>
          <w:sz w:val="24"/>
          <w:szCs w:val="24"/>
          <w:u w:val="single"/>
        </w:rPr>
      </w:pPr>
      <w:r>
        <w:rPr>
          <w:rFonts w:hint="eastAsia" w:ascii="Times New Roman" w:hAnsi="Times New Roman"/>
          <w:spacing w:val="-2"/>
          <w:kern w:val="0"/>
          <w:sz w:val="24"/>
          <w:szCs w:val="24"/>
          <w:u w:val="single"/>
        </w:rPr>
        <w:t>（3）鼓励对伴生放射性固体废物中的有价值资源进行回收利用，实现废物最小化；对于铀含量达到0.1%的固体废物，宜进行铀资源化回收利用。</w:t>
      </w:r>
    </w:p>
    <w:p w14:paraId="00FAC9AD">
      <w:pPr>
        <w:spacing w:line="360" w:lineRule="auto"/>
        <w:ind w:firstLine="472" w:firstLineChars="200"/>
        <w:rPr>
          <w:rFonts w:ascii="Times New Roman" w:hAnsi="Times New Roman"/>
          <w:spacing w:val="-2"/>
          <w:kern w:val="0"/>
          <w:sz w:val="24"/>
          <w:szCs w:val="24"/>
          <w:u w:val="single"/>
        </w:rPr>
      </w:pPr>
      <w:r>
        <w:rPr>
          <w:rFonts w:hint="eastAsia" w:ascii="Times New Roman" w:hAnsi="Times New Roman"/>
          <w:spacing w:val="-2"/>
          <w:kern w:val="0"/>
          <w:sz w:val="24"/>
          <w:szCs w:val="24"/>
          <w:u w:val="single"/>
        </w:rPr>
        <w:t>（4）伴生放射性固体废物贮存及填埋应执行台账制度。</w:t>
      </w:r>
    </w:p>
    <w:p w14:paraId="3017A001">
      <w:pPr>
        <w:spacing w:line="360" w:lineRule="auto"/>
        <w:ind w:firstLine="472" w:firstLineChars="200"/>
        <w:rPr>
          <w:rFonts w:ascii="Times New Roman" w:hAnsi="Times New Roman"/>
          <w:spacing w:val="-2"/>
          <w:kern w:val="0"/>
          <w:sz w:val="24"/>
          <w:szCs w:val="24"/>
          <w:u w:val="single"/>
        </w:rPr>
      </w:pPr>
      <w:r>
        <w:rPr>
          <w:rFonts w:hint="eastAsia" w:ascii="Times New Roman" w:hAnsi="Times New Roman"/>
          <w:spacing w:val="-2"/>
          <w:kern w:val="0"/>
          <w:sz w:val="24"/>
          <w:szCs w:val="24"/>
          <w:u w:val="single"/>
        </w:rPr>
        <w:t>（5）伴生放射性矿开发利用单位应贯彻执行国家和行业颁发的有关法律法规和标准，提供所必需的人力、物力等保障措施；建立辐射环境管理机构，配备专业技术人员与管理人员；建立辐射环境管理岗位责任制度、教育培训制度、报告制度等。</w:t>
      </w:r>
    </w:p>
    <w:p w14:paraId="15621C03">
      <w:pPr>
        <w:spacing w:line="360" w:lineRule="auto"/>
        <w:ind w:firstLine="472" w:firstLineChars="200"/>
        <w:rPr>
          <w:rFonts w:ascii="Times New Roman" w:hAnsi="Times New Roman"/>
          <w:spacing w:val="-2"/>
          <w:kern w:val="0"/>
          <w:sz w:val="24"/>
          <w:szCs w:val="24"/>
          <w:u w:val="single"/>
        </w:rPr>
      </w:pPr>
      <w:r>
        <w:rPr>
          <w:rFonts w:hint="eastAsia" w:ascii="Times New Roman" w:hAnsi="Times New Roman"/>
          <w:spacing w:val="-2"/>
          <w:kern w:val="0"/>
          <w:sz w:val="24"/>
          <w:szCs w:val="24"/>
          <w:u w:val="single"/>
        </w:rPr>
        <w:t>（6）伴生放射性固体废物同时具有危险废物特性的，贮存与填埋还应符合危险废物相关技术标准要求。</w:t>
      </w:r>
    </w:p>
    <w:p w14:paraId="6FD94F4E">
      <w:pPr>
        <w:pStyle w:val="7"/>
        <w:numPr>
          <w:ilvl w:val="3"/>
          <w:numId w:val="3"/>
        </w:numPr>
        <w:rPr>
          <w:u w:val="single"/>
        </w:rPr>
      </w:pPr>
      <w:r>
        <w:rPr>
          <w:rFonts w:hint="eastAsia"/>
          <w:u w:val="single"/>
        </w:rPr>
        <w:t>伴生放射性物料贮存设施设计要求</w:t>
      </w:r>
    </w:p>
    <w:p w14:paraId="7EC44BF8">
      <w:pPr>
        <w:spacing w:line="360" w:lineRule="auto"/>
        <w:ind w:firstLine="472" w:firstLineChars="200"/>
        <w:rPr>
          <w:rFonts w:ascii="Times New Roman" w:hAnsi="Times New Roman"/>
          <w:spacing w:val="-2"/>
          <w:kern w:val="0"/>
          <w:sz w:val="24"/>
          <w:szCs w:val="24"/>
          <w:u w:val="single"/>
        </w:rPr>
      </w:pPr>
      <w:r>
        <w:rPr>
          <w:rFonts w:hint="eastAsia" w:ascii="Times New Roman" w:hAnsi="Times New Roman"/>
          <w:spacing w:val="-2"/>
          <w:kern w:val="0"/>
          <w:sz w:val="24"/>
          <w:szCs w:val="24"/>
          <w:u w:val="single"/>
        </w:rPr>
        <w:t>（1）贮存设施应根据企业总平面布置等相关要求，尽量布置在远离人群活动的地方。</w:t>
      </w:r>
    </w:p>
    <w:p w14:paraId="4BA36F97">
      <w:pPr>
        <w:spacing w:line="360" w:lineRule="auto"/>
        <w:ind w:firstLine="472" w:firstLineChars="200"/>
        <w:rPr>
          <w:rFonts w:ascii="Times New Roman" w:hAnsi="Times New Roman"/>
          <w:spacing w:val="-2"/>
          <w:kern w:val="0"/>
          <w:sz w:val="24"/>
          <w:szCs w:val="24"/>
          <w:u w:val="single"/>
        </w:rPr>
      </w:pPr>
      <w:r>
        <w:rPr>
          <w:rFonts w:hint="eastAsia" w:ascii="Times New Roman" w:hAnsi="Times New Roman"/>
          <w:spacing w:val="-2"/>
          <w:kern w:val="0"/>
          <w:sz w:val="24"/>
          <w:szCs w:val="24"/>
          <w:u w:val="single"/>
        </w:rPr>
        <w:t>（2）贮存设施应采取实体隔离措施，防止无关人员进入。</w:t>
      </w:r>
    </w:p>
    <w:p w14:paraId="57FCCF7E">
      <w:pPr>
        <w:spacing w:line="360" w:lineRule="auto"/>
        <w:ind w:firstLine="472" w:firstLineChars="200"/>
        <w:rPr>
          <w:rFonts w:ascii="Times New Roman" w:hAnsi="Times New Roman"/>
          <w:spacing w:val="-2"/>
          <w:kern w:val="0"/>
          <w:sz w:val="24"/>
          <w:szCs w:val="24"/>
          <w:u w:val="single"/>
        </w:rPr>
      </w:pPr>
      <w:r>
        <w:rPr>
          <w:rFonts w:hint="eastAsia" w:ascii="Times New Roman" w:hAnsi="Times New Roman"/>
          <w:spacing w:val="-2"/>
          <w:kern w:val="0"/>
          <w:sz w:val="24"/>
          <w:szCs w:val="24"/>
          <w:u w:val="single"/>
        </w:rPr>
        <w:t>（3）贮存设施应进行清污分流，防止雨水进入；物料可能产生渗水的应设置地沟等渗水收集系统，渗水应进行回收利用或处理后达标排放。</w:t>
      </w:r>
    </w:p>
    <w:p w14:paraId="18B0F43C">
      <w:pPr>
        <w:spacing w:line="360" w:lineRule="auto"/>
        <w:ind w:firstLine="472" w:firstLineChars="200"/>
        <w:rPr>
          <w:rFonts w:ascii="Times New Roman" w:hAnsi="Times New Roman"/>
          <w:spacing w:val="-2"/>
          <w:kern w:val="0"/>
          <w:sz w:val="24"/>
          <w:szCs w:val="24"/>
          <w:u w:val="single"/>
        </w:rPr>
      </w:pPr>
      <w:r>
        <w:rPr>
          <w:rFonts w:hint="eastAsia" w:ascii="Times New Roman" w:hAnsi="Times New Roman"/>
          <w:spacing w:val="-2"/>
          <w:kern w:val="0"/>
          <w:sz w:val="24"/>
          <w:szCs w:val="24"/>
          <w:u w:val="single"/>
        </w:rPr>
        <w:t>（4）贮存设施应进行防腐防渗设计，防渗性能应不低于渗透系数为1×10</w:t>
      </w:r>
      <w:r>
        <w:rPr>
          <w:rFonts w:hint="eastAsia" w:ascii="Times New Roman" w:hAnsi="Times New Roman"/>
          <w:spacing w:val="-2"/>
          <w:kern w:val="0"/>
          <w:sz w:val="24"/>
          <w:szCs w:val="24"/>
          <w:u w:val="single"/>
          <w:vertAlign w:val="superscript"/>
        </w:rPr>
        <w:t>-7</w:t>
      </w:r>
      <w:r>
        <w:rPr>
          <w:rFonts w:hint="eastAsia" w:ascii="Times New Roman" w:hAnsi="Times New Roman"/>
          <w:spacing w:val="-2"/>
          <w:kern w:val="0"/>
          <w:sz w:val="24"/>
          <w:szCs w:val="24"/>
          <w:u w:val="single"/>
        </w:rPr>
        <w:t>cm/s、厚度为2m的</w:t>
      </w:r>
      <w:r>
        <w:rPr>
          <w:rFonts w:hint="eastAsia" w:ascii="Times New Roman" w:hAnsi="Times New Roman"/>
          <w:spacing w:val="-2"/>
          <w:kern w:val="0"/>
          <w:sz w:val="24"/>
          <w:szCs w:val="24"/>
          <w:u w:val="single"/>
          <w:lang w:eastAsia="zh-CN"/>
        </w:rPr>
        <w:t>黏土层</w:t>
      </w:r>
      <w:r>
        <w:rPr>
          <w:rFonts w:hint="eastAsia" w:ascii="Times New Roman" w:hAnsi="Times New Roman"/>
          <w:spacing w:val="-2"/>
          <w:kern w:val="0"/>
          <w:sz w:val="24"/>
          <w:szCs w:val="24"/>
          <w:u w:val="single"/>
        </w:rPr>
        <w:t>的防渗效果。</w:t>
      </w:r>
    </w:p>
    <w:p w14:paraId="57966502">
      <w:pPr>
        <w:spacing w:line="360" w:lineRule="auto"/>
        <w:ind w:firstLine="472" w:firstLineChars="200"/>
        <w:rPr>
          <w:rFonts w:ascii="Times New Roman" w:hAnsi="Times New Roman"/>
          <w:spacing w:val="-2"/>
          <w:kern w:val="0"/>
          <w:sz w:val="24"/>
          <w:szCs w:val="24"/>
          <w:u w:val="single"/>
        </w:rPr>
      </w:pPr>
      <w:r>
        <w:rPr>
          <w:rFonts w:hint="eastAsia" w:ascii="Times New Roman" w:hAnsi="Times New Roman"/>
          <w:spacing w:val="-2"/>
          <w:kern w:val="0"/>
          <w:sz w:val="24"/>
          <w:szCs w:val="24"/>
          <w:u w:val="single"/>
        </w:rPr>
        <w:t>（5）物料贮存应采取防尘、抑尘措施，防止物料逸散。</w:t>
      </w:r>
    </w:p>
    <w:p w14:paraId="3FADD4F2">
      <w:pPr>
        <w:spacing w:line="360" w:lineRule="auto"/>
        <w:ind w:firstLine="472" w:firstLineChars="200"/>
        <w:rPr>
          <w:rFonts w:ascii="Times New Roman" w:hAnsi="Times New Roman"/>
          <w:spacing w:val="-2"/>
          <w:kern w:val="0"/>
          <w:sz w:val="24"/>
          <w:szCs w:val="24"/>
          <w:u w:val="single"/>
        </w:rPr>
      </w:pPr>
      <w:r>
        <w:rPr>
          <w:rFonts w:hint="eastAsia" w:ascii="Times New Roman" w:hAnsi="Times New Roman"/>
          <w:spacing w:val="-2"/>
          <w:kern w:val="0"/>
          <w:sz w:val="24"/>
          <w:szCs w:val="24"/>
          <w:u w:val="single"/>
        </w:rPr>
        <w:t>（6）应根据物料来源、放射性水平等进行合理的贮存区域划分。</w:t>
      </w:r>
    </w:p>
    <w:p w14:paraId="0ACF0BE1">
      <w:pPr>
        <w:pStyle w:val="7"/>
        <w:numPr>
          <w:ilvl w:val="3"/>
          <w:numId w:val="3"/>
        </w:numPr>
        <w:rPr>
          <w:u w:val="single"/>
        </w:rPr>
      </w:pPr>
      <w:r>
        <w:rPr>
          <w:rFonts w:hint="eastAsia"/>
          <w:u w:val="single"/>
        </w:rPr>
        <w:t>伴生放射性物料贮存设施运行要求</w:t>
      </w:r>
    </w:p>
    <w:p w14:paraId="4407608C">
      <w:pPr>
        <w:spacing w:line="360" w:lineRule="auto"/>
        <w:ind w:firstLine="472" w:firstLineChars="200"/>
        <w:rPr>
          <w:rFonts w:ascii="Times New Roman" w:hAnsi="Times New Roman"/>
          <w:spacing w:val="-2"/>
          <w:kern w:val="0"/>
          <w:sz w:val="24"/>
          <w:szCs w:val="24"/>
          <w:u w:val="single"/>
        </w:rPr>
      </w:pPr>
      <w:r>
        <w:rPr>
          <w:rFonts w:hint="eastAsia" w:ascii="Times New Roman" w:hAnsi="Times New Roman"/>
          <w:spacing w:val="-2"/>
          <w:kern w:val="0"/>
          <w:sz w:val="24"/>
          <w:szCs w:val="24"/>
          <w:u w:val="single"/>
        </w:rPr>
        <w:t>（1）根据《伴生放射性物料贮存及固体废物填埋辐射环境保护技术规范（试行）》（HJ 1114-2020）相关要求，在原料和产品的仓库外明显部位设置电离辐射标志，对原料和产品进行分类贮存，并加强管理，防止物料流失，禁止无关人员进入。</w:t>
      </w:r>
    </w:p>
    <w:p w14:paraId="6A0FC255">
      <w:pPr>
        <w:spacing w:line="360" w:lineRule="auto"/>
        <w:ind w:firstLine="472" w:firstLineChars="200"/>
        <w:rPr>
          <w:rFonts w:ascii="Times New Roman" w:hAnsi="Times New Roman"/>
          <w:spacing w:val="-2"/>
          <w:kern w:val="0"/>
          <w:sz w:val="24"/>
          <w:szCs w:val="24"/>
          <w:u w:val="single"/>
        </w:rPr>
      </w:pPr>
      <w:r>
        <w:rPr>
          <w:rFonts w:hint="eastAsia" w:ascii="Times New Roman" w:hAnsi="Times New Roman"/>
          <w:spacing w:val="-2"/>
          <w:kern w:val="0"/>
          <w:sz w:val="24"/>
          <w:szCs w:val="24"/>
          <w:u w:val="single"/>
        </w:rPr>
        <w:t>（2）固体废物贮存应有明确标识，并结合实际情况注明废物的名称、数量、放射性核素活度浓度等。</w:t>
      </w:r>
    </w:p>
    <w:p w14:paraId="799F3129">
      <w:pPr>
        <w:spacing w:line="360" w:lineRule="auto"/>
        <w:ind w:firstLine="472" w:firstLineChars="200"/>
        <w:rPr>
          <w:rFonts w:ascii="Times New Roman" w:hAnsi="Times New Roman"/>
          <w:spacing w:val="-2"/>
          <w:kern w:val="0"/>
          <w:sz w:val="24"/>
          <w:szCs w:val="24"/>
          <w:u w:val="single"/>
        </w:rPr>
      </w:pPr>
      <w:r>
        <w:rPr>
          <w:rFonts w:hint="eastAsia" w:ascii="Times New Roman" w:hAnsi="Times New Roman"/>
          <w:spacing w:val="-2"/>
          <w:kern w:val="0"/>
          <w:sz w:val="24"/>
          <w:szCs w:val="24"/>
          <w:u w:val="single"/>
        </w:rPr>
        <w:t>（3）固体废物贮存台账应结合实际情况注明名称、来源、数量、放射性核素活度浓度、入库日期、出库日期及接收单位名称等信息。</w:t>
      </w:r>
    </w:p>
    <w:p w14:paraId="6B2DDC84">
      <w:pPr>
        <w:spacing w:line="360" w:lineRule="auto"/>
        <w:ind w:firstLine="472" w:firstLineChars="200"/>
        <w:rPr>
          <w:rFonts w:ascii="Times New Roman" w:hAnsi="Times New Roman"/>
          <w:spacing w:val="-2"/>
          <w:kern w:val="0"/>
          <w:sz w:val="24"/>
          <w:szCs w:val="24"/>
          <w:u w:val="single"/>
        </w:rPr>
      </w:pPr>
      <w:r>
        <w:rPr>
          <w:rFonts w:hint="eastAsia" w:ascii="Times New Roman" w:hAnsi="Times New Roman"/>
          <w:spacing w:val="-2"/>
          <w:kern w:val="0"/>
          <w:sz w:val="24"/>
          <w:szCs w:val="24"/>
          <w:u w:val="single"/>
        </w:rPr>
        <w:t>（4）物料贮存相配套的防尘、抑尘措施，应稳定运行、有效实施。</w:t>
      </w:r>
    </w:p>
    <w:p w14:paraId="5971A013">
      <w:pPr>
        <w:pStyle w:val="7"/>
        <w:numPr>
          <w:ilvl w:val="3"/>
          <w:numId w:val="3"/>
        </w:numPr>
        <w:rPr>
          <w:u w:val="single"/>
        </w:rPr>
      </w:pPr>
      <w:r>
        <w:rPr>
          <w:rFonts w:hint="eastAsia"/>
          <w:u w:val="single"/>
        </w:rPr>
        <w:t>其他管理防护措施建议</w:t>
      </w:r>
    </w:p>
    <w:p w14:paraId="7716D6EF">
      <w:pPr>
        <w:spacing w:line="360" w:lineRule="auto"/>
        <w:ind w:firstLine="472" w:firstLineChars="200"/>
        <w:rPr>
          <w:rFonts w:ascii="Times New Roman" w:hAnsi="Times New Roman"/>
          <w:spacing w:val="-2"/>
          <w:kern w:val="0"/>
          <w:sz w:val="24"/>
          <w:szCs w:val="24"/>
          <w:u w:val="single"/>
        </w:rPr>
      </w:pPr>
      <w:r>
        <w:rPr>
          <w:rFonts w:hint="eastAsia" w:ascii="Times New Roman" w:hAnsi="Times New Roman"/>
          <w:spacing w:val="-2"/>
          <w:kern w:val="0"/>
          <w:sz w:val="24"/>
          <w:szCs w:val="24"/>
          <w:u w:val="single"/>
        </w:rPr>
        <w:t>（1）贮存设施应采用水泥混凝土墙体，墙体厚40cm，设置15cm厚的钢制防护门，大门外1m范围内张贴地面标识，提示注意电离辐射，无关人员禁止停留。</w:t>
      </w:r>
    </w:p>
    <w:p w14:paraId="42408D74">
      <w:pPr>
        <w:spacing w:line="360" w:lineRule="auto"/>
        <w:ind w:firstLine="472" w:firstLineChars="200"/>
        <w:rPr>
          <w:rFonts w:ascii="Times New Roman" w:hAnsi="Times New Roman"/>
          <w:spacing w:val="-2"/>
          <w:kern w:val="0"/>
          <w:sz w:val="24"/>
          <w:szCs w:val="24"/>
          <w:u w:val="single"/>
        </w:rPr>
      </w:pPr>
      <w:r>
        <w:rPr>
          <w:rFonts w:hint="eastAsia" w:ascii="Times New Roman" w:hAnsi="Times New Roman"/>
          <w:spacing w:val="-2"/>
          <w:kern w:val="0"/>
          <w:sz w:val="24"/>
          <w:szCs w:val="24"/>
          <w:u w:val="single"/>
        </w:rPr>
        <w:t>（2）设置通排风系统，保证贮存场所通风换气次数3～4次/h，防止伴生放射性核素衰变产生的氡气聚集。</w:t>
      </w:r>
    </w:p>
    <w:p w14:paraId="417F7415">
      <w:pPr>
        <w:spacing w:line="360" w:lineRule="auto"/>
        <w:ind w:firstLine="472" w:firstLineChars="200"/>
        <w:rPr>
          <w:rFonts w:ascii="Times New Roman" w:hAnsi="Times New Roman"/>
          <w:spacing w:val="-2"/>
          <w:kern w:val="0"/>
          <w:sz w:val="24"/>
          <w:szCs w:val="24"/>
          <w:u w:val="single"/>
        </w:rPr>
      </w:pPr>
      <w:r>
        <w:rPr>
          <w:rFonts w:hint="eastAsia" w:ascii="Times New Roman" w:hAnsi="Times New Roman"/>
          <w:spacing w:val="-2"/>
          <w:kern w:val="0"/>
          <w:sz w:val="24"/>
          <w:szCs w:val="24"/>
          <w:u w:val="single"/>
        </w:rPr>
        <w:t>（3）项目生产与贮存一体，车间管理上要求双人双锁，专人负责，门上张贴电离辐射标志，无关人员不要进入车间，尽量不在车间周围停留。对涉辐射物料应严格执行台账制度，由专人负责，准确无误</w:t>
      </w:r>
      <w:r>
        <w:rPr>
          <w:rFonts w:hint="eastAsia" w:ascii="Times New Roman" w:hAnsi="Times New Roman"/>
          <w:spacing w:val="-2"/>
          <w:kern w:val="0"/>
          <w:sz w:val="24"/>
          <w:szCs w:val="24"/>
          <w:u w:val="single"/>
          <w:lang w:eastAsia="zh-CN"/>
        </w:rPr>
        <w:t>地</w:t>
      </w:r>
      <w:r>
        <w:rPr>
          <w:rFonts w:hint="eastAsia" w:ascii="Times New Roman" w:hAnsi="Times New Roman"/>
          <w:spacing w:val="-2"/>
          <w:kern w:val="0"/>
          <w:sz w:val="24"/>
          <w:szCs w:val="24"/>
          <w:u w:val="single"/>
        </w:rPr>
        <w:t>登记涉辐射物料来源去向，并且实行联单管理。</w:t>
      </w:r>
    </w:p>
    <w:p w14:paraId="51951468">
      <w:pPr>
        <w:pStyle w:val="6"/>
        <w:numPr>
          <w:ilvl w:val="2"/>
          <w:numId w:val="3"/>
        </w:numPr>
      </w:pPr>
      <w:r>
        <w:rPr>
          <w:rFonts w:hint="eastAsia"/>
        </w:rPr>
        <w:t>运输风险防护措施</w:t>
      </w:r>
    </w:p>
    <w:p w14:paraId="5F3CBE42">
      <w:pPr>
        <w:spacing w:line="360" w:lineRule="auto"/>
        <w:ind w:firstLine="472" w:firstLineChars="200"/>
        <w:rPr>
          <w:rFonts w:ascii="Times New Roman" w:hAnsi="Times New Roman"/>
          <w:spacing w:val="-2"/>
          <w:kern w:val="0"/>
          <w:sz w:val="24"/>
          <w:szCs w:val="24"/>
          <w:u w:val="single"/>
        </w:rPr>
      </w:pPr>
      <w:r>
        <w:rPr>
          <w:rFonts w:hint="eastAsia" w:ascii="Times New Roman" w:hAnsi="Times New Roman"/>
          <w:spacing w:val="-2"/>
          <w:kern w:val="0"/>
          <w:sz w:val="24"/>
          <w:szCs w:val="24"/>
          <w:u w:val="single"/>
        </w:rPr>
        <w:t>根据《放射性物品运输安全管理条例》（国务院令 562 号）第三十一条：“承运放射性物品应当取得国家规定的运输资质。承运人的资质管理，依照有关法律、行政法规和国务院交通运输、铁路、民航、邮政主管部门的规定执行。”本项目锆中矿外售运输的承运单位应取得相应的放射性物品运输资质，承运人应取得相应的资质；第三十条：“托运一类放射性物品的，托运人应当委托有资质的辐射监测机构对其表面污染和辐射水平实施监测，辐射监测机构应当出具辐射监测报告。托运二类、三类放射性物品的，托运人应当对其表面污染和辐射水平实施监测，并编制辐射监测报告。监测结果不符合国家放射性物品运输安全标准的，不得托运。”本项目锆中矿属于三类放射性物品，托运人（建设单位）应当对其表面污染和辐射水平实施监测，并编制辐射监测报告。监测结果不符合国家放射性物品运输安全标准的，不得托运。</w:t>
      </w:r>
    </w:p>
    <w:p w14:paraId="385BDA12">
      <w:pPr>
        <w:spacing w:line="360" w:lineRule="auto"/>
        <w:ind w:firstLine="472" w:firstLineChars="200"/>
        <w:rPr>
          <w:rFonts w:ascii="Times New Roman" w:hAnsi="Times New Roman"/>
          <w:spacing w:val="-2"/>
          <w:kern w:val="0"/>
          <w:sz w:val="24"/>
          <w:szCs w:val="24"/>
          <w:u w:val="single"/>
        </w:rPr>
      </w:pPr>
      <w:r>
        <w:rPr>
          <w:rFonts w:hint="eastAsia" w:ascii="Times New Roman" w:hAnsi="Times New Roman"/>
          <w:spacing w:val="-2"/>
          <w:kern w:val="0"/>
          <w:sz w:val="24"/>
          <w:szCs w:val="24"/>
          <w:u w:val="single"/>
        </w:rPr>
        <w:t>为满足《放射性物品安全运输规程》（GB 11806-2019）中要求，外售锆中矿需设置合理的运输路线，运输前应该进行严密包装，采用专用</w:t>
      </w:r>
      <w:r>
        <w:rPr>
          <w:rFonts w:hint="eastAsia" w:ascii="Times New Roman" w:hAnsi="Times New Roman"/>
          <w:spacing w:val="-2"/>
          <w:kern w:val="0"/>
          <w:sz w:val="24"/>
          <w:szCs w:val="24"/>
          <w:u w:val="single"/>
          <w:lang w:eastAsia="zh-CN"/>
        </w:rPr>
        <w:t>厢式</w:t>
      </w:r>
      <w:r>
        <w:rPr>
          <w:rFonts w:hint="eastAsia" w:ascii="Times New Roman" w:hAnsi="Times New Roman"/>
          <w:spacing w:val="-2"/>
          <w:kern w:val="0"/>
          <w:sz w:val="24"/>
          <w:szCs w:val="24"/>
          <w:u w:val="single"/>
        </w:rPr>
        <w:t>运输车辆，货物装车后应及时封闭车辆。定期对运输汽车进行维修和保养、提高驾驶人员安全意识，防止极端交通事故发生，以避免对沿线道路及周边环境形成放射性污染，在车上常备有应急物品，包括防护口罩、防护手套、护目镜等防护用品。</w:t>
      </w:r>
    </w:p>
    <w:p w14:paraId="36C9B430">
      <w:pPr>
        <w:spacing w:line="360" w:lineRule="auto"/>
        <w:ind w:firstLine="472" w:firstLineChars="200"/>
        <w:rPr>
          <w:rFonts w:ascii="Times New Roman" w:hAnsi="Times New Roman"/>
          <w:spacing w:val="-2"/>
          <w:kern w:val="0"/>
          <w:sz w:val="24"/>
          <w:szCs w:val="24"/>
          <w:u w:val="single"/>
        </w:rPr>
      </w:pPr>
      <w:r>
        <w:rPr>
          <w:rFonts w:hint="eastAsia" w:ascii="Times New Roman" w:hAnsi="Times New Roman"/>
          <w:spacing w:val="-2"/>
          <w:kern w:val="0"/>
          <w:sz w:val="24"/>
          <w:szCs w:val="24"/>
          <w:u w:val="single"/>
        </w:rPr>
        <w:t>运输工作人员应接受相关辐射防护措施等方面的培训：</w:t>
      </w:r>
    </w:p>
    <w:p w14:paraId="7312727F">
      <w:pPr>
        <w:spacing w:line="360" w:lineRule="auto"/>
        <w:ind w:firstLine="472" w:firstLineChars="200"/>
        <w:rPr>
          <w:rFonts w:ascii="Times New Roman" w:hAnsi="Times New Roman"/>
          <w:spacing w:val="-2"/>
          <w:kern w:val="0"/>
          <w:sz w:val="24"/>
          <w:szCs w:val="24"/>
          <w:u w:val="single"/>
        </w:rPr>
      </w:pPr>
      <w:r>
        <w:rPr>
          <w:rFonts w:hint="eastAsia" w:ascii="Times New Roman" w:hAnsi="Times New Roman"/>
          <w:spacing w:val="-2"/>
          <w:kern w:val="0"/>
          <w:sz w:val="24"/>
          <w:szCs w:val="24"/>
          <w:u w:val="single"/>
        </w:rPr>
        <w:t>（1）避免事故发生的方法和程序；</w:t>
      </w:r>
    </w:p>
    <w:p w14:paraId="25BF62E8">
      <w:pPr>
        <w:spacing w:line="360" w:lineRule="auto"/>
        <w:ind w:firstLine="472" w:firstLineChars="200"/>
        <w:rPr>
          <w:rFonts w:ascii="Times New Roman" w:hAnsi="Times New Roman"/>
          <w:spacing w:val="-2"/>
          <w:kern w:val="0"/>
          <w:sz w:val="24"/>
          <w:szCs w:val="24"/>
          <w:u w:val="single"/>
        </w:rPr>
      </w:pPr>
      <w:r>
        <w:rPr>
          <w:rFonts w:hint="eastAsia" w:ascii="Times New Roman" w:hAnsi="Times New Roman"/>
          <w:spacing w:val="-2"/>
          <w:kern w:val="0"/>
          <w:sz w:val="24"/>
          <w:szCs w:val="24"/>
          <w:u w:val="single"/>
        </w:rPr>
        <w:t>（2）制定有相应的事故应急预案及应急措施；</w:t>
      </w:r>
    </w:p>
    <w:p w14:paraId="3A421FFE">
      <w:pPr>
        <w:spacing w:line="360" w:lineRule="auto"/>
        <w:ind w:firstLine="472" w:firstLineChars="200"/>
        <w:rPr>
          <w:rFonts w:ascii="Times New Roman" w:hAnsi="Times New Roman"/>
          <w:spacing w:val="-2"/>
          <w:kern w:val="0"/>
          <w:sz w:val="24"/>
          <w:szCs w:val="24"/>
          <w:u w:val="single"/>
        </w:rPr>
      </w:pPr>
      <w:r>
        <w:rPr>
          <w:rFonts w:hint="eastAsia" w:ascii="Times New Roman" w:hAnsi="Times New Roman"/>
          <w:spacing w:val="-2"/>
          <w:kern w:val="0"/>
          <w:sz w:val="24"/>
          <w:szCs w:val="24"/>
          <w:u w:val="single"/>
        </w:rPr>
        <w:t>（3）现有的应急响应信息以及如何利用这些信息；</w:t>
      </w:r>
    </w:p>
    <w:p w14:paraId="15D23894">
      <w:pPr>
        <w:spacing w:line="360" w:lineRule="auto"/>
        <w:ind w:firstLine="472" w:firstLineChars="200"/>
        <w:rPr>
          <w:rFonts w:ascii="Times New Roman" w:hAnsi="Times New Roman"/>
          <w:spacing w:val="-2"/>
          <w:kern w:val="0"/>
          <w:sz w:val="24"/>
          <w:szCs w:val="24"/>
          <w:u w:val="single"/>
        </w:rPr>
      </w:pPr>
      <w:r>
        <w:rPr>
          <w:rFonts w:hint="eastAsia" w:ascii="Times New Roman" w:hAnsi="Times New Roman"/>
          <w:spacing w:val="-2"/>
          <w:kern w:val="0"/>
          <w:sz w:val="24"/>
          <w:szCs w:val="24"/>
          <w:u w:val="single"/>
        </w:rPr>
        <w:t>（4）各种放射性物品的危害和如何防止受到这些危害，必要</w:t>
      </w:r>
      <w:r>
        <w:rPr>
          <w:rFonts w:hint="eastAsia" w:ascii="Times New Roman" w:hAnsi="Times New Roman"/>
          <w:spacing w:val="-2"/>
          <w:kern w:val="0"/>
          <w:sz w:val="24"/>
          <w:szCs w:val="24"/>
          <w:u w:val="single"/>
          <w:lang w:eastAsia="zh-CN"/>
        </w:rPr>
        <w:t>时</w:t>
      </w:r>
      <w:r>
        <w:rPr>
          <w:rFonts w:hint="eastAsia" w:ascii="Times New Roman" w:hAnsi="Times New Roman"/>
          <w:spacing w:val="-2"/>
          <w:kern w:val="0"/>
          <w:sz w:val="24"/>
          <w:szCs w:val="24"/>
          <w:u w:val="single"/>
        </w:rPr>
        <w:t>包括人员防护服和防护设备的使用；</w:t>
      </w:r>
    </w:p>
    <w:p w14:paraId="3CD14F6C">
      <w:pPr>
        <w:spacing w:line="360" w:lineRule="auto"/>
        <w:ind w:firstLine="472" w:firstLineChars="200"/>
        <w:rPr>
          <w:rFonts w:ascii="Times New Roman" w:hAnsi="Times New Roman"/>
          <w:spacing w:val="-2"/>
          <w:kern w:val="0"/>
          <w:sz w:val="24"/>
          <w:szCs w:val="24"/>
          <w:u w:val="single"/>
        </w:rPr>
      </w:pPr>
      <w:r>
        <w:rPr>
          <w:rFonts w:hint="eastAsia" w:ascii="Times New Roman" w:hAnsi="Times New Roman"/>
          <w:spacing w:val="-2"/>
          <w:kern w:val="0"/>
          <w:sz w:val="24"/>
          <w:szCs w:val="24"/>
          <w:u w:val="single"/>
        </w:rPr>
        <w:t>（5）发生放射性物质</w:t>
      </w:r>
      <w:r>
        <w:rPr>
          <w:rFonts w:hint="eastAsia" w:ascii="Times New Roman" w:hAnsi="Times New Roman"/>
          <w:spacing w:val="-2"/>
          <w:kern w:val="0"/>
          <w:sz w:val="24"/>
          <w:szCs w:val="24"/>
          <w:u w:val="single"/>
          <w:lang w:eastAsia="zh-CN"/>
        </w:rPr>
        <w:t>意外</w:t>
      </w:r>
      <w:r>
        <w:rPr>
          <w:rFonts w:hint="eastAsia" w:ascii="Times New Roman" w:hAnsi="Times New Roman"/>
          <w:spacing w:val="-2"/>
          <w:kern w:val="0"/>
          <w:sz w:val="24"/>
          <w:szCs w:val="24"/>
          <w:u w:val="single"/>
        </w:rPr>
        <w:t>释放时立即采取的程序，包括相关的应急响应程序和要遵守的人员防护程序。</w:t>
      </w:r>
    </w:p>
    <w:p w14:paraId="44E0AAEA">
      <w:pPr>
        <w:pStyle w:val="6"/>
        <w:numPr>
          <w:ilvl w:val="2"/>
          <w:numId w:val="3"/>
        </w:numPr>
      </w:pPr>
      <w:r>
        <w:rPr>
          <w:rFonts w:hint="eastAsia"/>
        </w:rPr>
        <w:t>辐射防护管理措施</w:t>
      </w:r>
    </w:p>
    <w:p w14:paraId="7A09B430">
      <w:pPr>
        <w:spacing w:line="360" w:lineRule="auto"/>
        <w:ind w:firstLine="472" w:firstLineChars="200"/>
        <w:rPr>
          <w:rFonts w:ascii="Times New Roman" w:hAnsi="Times New Roman"/>
          <w:spacing w:val="-2"/>
          <w:sz w:val="24"/>
          <w:szCs w:val="20"/>
        </w:rPr>
      </w:pPr>
      <w:r>
        <w:rPr>
          <w:rFonts w:hint="eastAsia" w:ascii="Times New Roman" w:hAnsi="Times New Roman"/>
          <w:spacing w:val="-2"/>
          <w:sz w:val="24"/>
          <w:szCs w:val="20"/>
        </w:rPr>
        <w:t>本项目除采取上述污染防治设施以外，建设单位还应制定以下辐射防护管理制度和措施，主要包括：</w:t>
      </w:r>
    </w:p>
    <w:p w14:paraId="615285D4">
      <w:pPr>
        <w:spacing w:line="360" w:lineRule="auto"/>
        <w:ind w:firstLine="472" w:firstLineChars="200"/>
        <w:rPr>
          <w:rFonts w:ascii="Times New Roman" w:hAnsi="Times New Roman"/>
          <w:spacing w:val="-2"/>
          <w:sz w:val="24"/>
          <w:szCs w:val="20"/>
        </w:rPr>
      </w:pPr>
      <w:r>
        <w:rPr>
          <w:rFonts w:hint="eastAsia" w:ascii="Times New Roman" w:hAnsi="Times New Roman"/>
          <w:spacing w:val="-2"/>
          <w:sz w:val="24"/>
          <w:szCs w:val="20"/>
        </w:rPr>
        <w:t>（1）成立辐射安全与环境保护管理机构，成立领导小组，负责组织辐射安全培训、辐射安全应急演练，开展日常安全检查并督促隐患整改，协助调查、处理辐射事故，负责通知、组织医疗救援等。</w:t>
      </w:r>
    </w:p>
    <w:p w14:paraId="35E5018A">
      <w:pPr>
        <w:spacing w:line="360" w:lineRule="auto"/>
        <w:ind w:firstLine="472" w:firstLineChars="200"/>
        <w:rPr>
          <w:rFonts w:ascii="Times New Roman" w:hAnsi="Times New Roman"/>
          <w:spacing w:val="-2"/>
          <w:sz w:val="24"/>
          <w:szCs w:val="20"/>
        </w:rPr>
      </w:pPr>
      <w:r>
        <w:rPr>
          <w:rFonts w:hint="eastAsia" w:ascii="Times New Roman" w:hAnsi="Times New Roman"/>
          <w:spacing w:val="-2"/>
          <w:sz w:val="24"/>
          <w:szCs w:val="20"/>
        </w:rPr>
        <w:t>（2）制定《辐射事故应急预案》、《辐射防护和安全管理制度》、《放射性物料暂存管理制度》、《辐射环境监测计划》等辐射规章制度，制定放射性物料进出台账，实行统一管理，以利于辐射环境保护。</w:t>
      </w:r>
    </w:p>
    <w:p w14:paraId="2D78D7B6">
      <w:pPr>
        <w:spacing w:line="360" w:lineRule="auto"/>
        <w:ind w:firstLine="472" w:firstLineChars="200"/>
        <w:rPr>
          <w:rFonts w:ascii="Times New Roman" w:hAnsi="Times New Roman"/>
          <w:spacing w:val="-2"/>
          <w:sz w:val="24"/>
          <w:szCs w:val="20"/>
        </w:rPr>
      </w:pPr>
      <w:r>
        <w:rPr>
          <w:rFonts w:hint="eastAsia" w:ascii="Times New Roman" w:hAnsi="Times New Roman"/>
          <w:spacing w:val="-2"/>
          <w:sz w:val="24"/>
          <w:szCs w:val="20"/>
        </w:rPr>
        <w:t>（3）个人防护工作：给员工配备的个人的劳保防护用品（如工作服、手套，口罩等）；为了减少伴生放射性物质进入体内的机会，不在车间内吸烟，不在车间内进餐；经常注意修剪指甲、剪短头发，以免积存伴生放射性物质；还应注意保护皮肤的清洁完整。</w:t>
      </w:r>
    </w:p>
    <w:p w14:paraId="0FF82D06">
      <w:pPr>
        <w:spacing w:line="360" w:lineRule="auto"/>
        <w:ind w:firstLine="472" w:firstLineChars="200"/>
        <w:rPr>
          <w:rFonts w:ascii="Times New Roman" w:hAnsi="Times New Roman"/>
          <w:spacing w:val="-2"/>
          <w:sz w:val="24"/>
          <w:szCs w:val="20"/>
        </w:rPr>
      </w:pPr>
      <w:r>
        <w:rPr>
          <w:rFonts w:hint="eastAsia" w:ascii="Times New Roman" w:hAnsi="Times New Roman"/>
          <w:spacing w:val="-2"/>
          <w:sz w:val="24"/>
          <w:szCs w:val="20"/>
        </w:rPr>
        <w:t>在工作中，皮肤受了损伤，应及时清洗，妥善包扎，以防感染化脓或伴生放射性物质由伤口进入体内。设立员工换衣区，上班后换上工作专用工作服和鞋，下班之后立即沐浴，工作服等用品不允许带出厂外。</w:t>
      </w:r>
    </w:p>
    <w:p w14:paraId="3EE3F2BB">
      <w:pPr>
        <w:spacing w:line="360" w:lineRule="auto"/>
        <w:ind w:firstLine="472" w:firstLineChars="200"/>
        <w:rPr>
          <w:rFonts w:ascii="Times New Roman" w:hAnsi="Times New Roman"/>
          <w:spacing w:val="-2"/>
          <w:sz w:val="24"/>
          <w:szCs w:val="20"/>
        </w:rPr>
      </w:pPr>
      <w:r>
        <w:rPr>
          <w:rFonts w:hint="eastAsia" w:ascii="Times New Roman" w:hAnsi="Times New Roman"/>
          <w:spacing w:val="-2"/>
          <w:sz w:val="24"/>
          <w:szCs w:val="20"/>
        </w:rPr>
        <w:t>（4）合理优化职工人数和工作时间，尽量减少员工与伴生放射性物料的接触时间，对所受照射剂量超过5mSv/a 的工作人员调整至其他剂量较小的工作岗位。</w:t>
      </w:r>
    </w:p>
    <w:p w14:paraId="49E3C893">
      <w:pPr>
        <w:spacing w:line="360" w:lineRule="auto"/>
        <w:ind w:firstLine="472" w:firstLineChars="200"/>
        <w:rPr>
          <w:rFonts w:ascii="Times New Roman" w:hAnsi="Times New Roman"/>
          <w:spacing w:val="-2"/>
          <w:sz w:val="24"/>
          <w:szCs w:val="20"/>
        </w:rPr>
      </w:pPr>
      <w:r>
        <w:rPr>
          <w:rFonts w:hint="eastAsia" w:ascii="Times New Roman" w:hAnsi="Times New Roman"/>
          <w:spacing w:val="-2"/>
          <w:sz w:val="24"/>
          <w:szCs w:val="20"/>
        </w:rPr>
        <w:t>（5）指定专人负责进行放射性γ辐射定点巡检，按期进行监测和风险评价，发现异常时，应及时找出原因并予以处理。</w:t>
      </w:r>
    </w:p>
    <w:p w14:paraId="429284AC">
      <w:pPr>
        <w:spacing w:line="360" w:lineRule="auto"/>
        <w:ind w:firstLine="472" w:firstLineChars="200"/>
        <w:rPr>
          <w:rFonts w:ascii="Times New Roman" w:hAnsi="Times New Roman"/>
          <w:spacing w:val="-2"/>
          <w:sz w:val="24"/>
          <w:szCs w:val="20"/>
        </w:rPr>
      </w:pPr>
      <w:r>
        <w:rPr>
          <w:rFonts w:hint="eastAsia" w:ascii="Times New Roman" w:hAnsi="Times New Roman"/>
          <w:spacing w:val="-2"/>
          <w:sz w:val="24"/>
          <w:szCs w:val="20"/>
        </w:rPr>
        <w:t>（6）工作人员上岗前需进行辐射安全环保知识培训，定期组织辐射安全环保知识学习和考试。</w:t>
      </w:r>
    </w:p>
    <w:p w14:paraId="09F88916">
      <w:pPr>
        <w:spacing w:line="360" w:lineRule="auto"/>
        <w:ind w:firstLine="472" w:firstLineChars="200"/>
        <w:rPr>
          <w:rFonts w:ascii="Times New Roman" w:hAnsi="Times New Roman"/>
          <w:spacing w:val="-2"/>
          <w:sz w:val="24"/>
          <w:szCs w:val="20"/>
        </w:rPr>
      </w:pPr>
      <w:r>
        <w:rPr>
          <w:rFonts w:hint="eastAsia" w:ascii="Times New Roman" w:hAnsi="Times New Roman"/>
          <w:spacing w:val="-2"/>
          <w:sz w:val="24"/>
          <w:szCs w:val="20"/>
        </w:rPr>
        <w:t>（7）工作时严格按操作规程操作。</w:t>
      </w:r>
    </w:p>
    <w:p w14:paraId="1EAFD93A">
      <w:pPr>
        <w:spacing w:line="360" w:lineRule="auto"/>
        <w:ind w:firstLine="472" w:firstLineChars="200"/>
        <w:rPr>
          <w:rFonts w:ascii="Times New Roman" w:hAnsi="Times New Roman"/>
          <w:spacing w:val="-2"/>
          <w:sz w:val="24"/>
          <w:szCs w:val="20"/>
        </w:rPr>
      </w:pPr>
      <w:r>
        <w:rPr>
          <w:rFonts w:hint="eastAsia" w:ascii="Times New Roman" w:hAnsi="Times New Roman"/>
          <w:spacing w:val="-2"/>
          <w:sz w:val="24"/>
          <w:szCs w:val="20"/>
        </w:rPr>
        <w:t>（8）为了防止伴生放射性物质通过消化道或</w:t>
      </w:r>
      <w:r>
        <w:rPr>
          <w:rFonts w:hint="eastAsia" w:ascii="Times New Roman" w:hAnsi="Times New Roman"/>
          <w:spacing w:val="-2"/>
          <w:sz w:val="24"/>
          <w:szCs w:val="20"/>
          <w:lang w:eastAsia="zh-CN"/>
        </w:rPr>
        <w:t>其他途径</w:t>
      </w:r>
      <w:r>
        <w:rPr>
          <w:rFonts w:hint="eastAsia" w:ascii="Times New Roman" w:hAnsi="Times New Roman"/>
          <w:spacing w:val="-2"/>
          <w:sz w:val="24"/>
          <w:szCs w:val="20"/>
        </w:rPr>
        <w:t>进入体内，严禁在放射工作场所吸烟、进食和存放食物。</w:t>
      </w:r>
    </w:p>
    <w:p w14:paraId="5B2D3D71">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sz w:val="24"/>
          <w:szCs w:val="20"/>
        </w:rPr>
        <w:t>（9）对于原料、产品等，建立完备进出台账制度，对于具体数量和去向将有完整记录。</w:t>
      </w:r>
    </w:p>
    <w:p w14:paraId="719AFACE">
      <w:pPr>
        <w:pStyle w:val="5"/>
        <w:numPr>
          <w:ilvl w:val="1"/>
          <w:numId w:val="3"/>
        </w:numPr>
      </w:pPr>
      <w:bookmarkStart w:id="291" w:name="_Toc340072345"/>
      <w:bookmarkStart w:id="292" w:name="_Toc410662431"/>
      <w:bookmarkStart w:id="293" w:name="_Toc291682158"/>
      <w:bookmarkStart w:id="294" w:name="_Toc16663"/>
      <w:r>
        <w:t>环保投资估算</w:t>
      </w:r>
      <w:bookmarkEnd w:id="291"/>
      <w:bookmarkEnd w:id="292"/>
      <w:bookmarkEnd w:id="293"/>
      <w:bookmarkEnd w:id="294"/>
    </w:p>
    <w:p w14:paraId="4B3EBF27">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u w:val="single"/>
        </w:rPr>
        <w:t>项目总投资为300万元，其中环保投资为</w:t>
      </w:r>
      <w:r>
        <w:rPr>
          <w:rFonts w:hint="eastAsia" w:ascii="Times New Roman" w:hAnsi="Times New Roman"/>
          <w:spacing w:val="-2"/>
          <w:kern w:val="0"/>
          <w:sz w:val="24"/>
          <w:szCs w:val="24"/>
          <w:u w:val="single"/>
        </w:rPr>
        <w:t>57</w:t>
      </w:r>
      <w:r>
        <w:rPr>
          <w:rFonts w:ascii="Times New Roman" w:hAnsi="Times New Roman"/>
          <w:spacing w:val="-2"/>
          <w:kern w:val="0"/>
          <w:sz w:val="24"/>
          <w:szCs w:val="24"/>
          <w:u w:val="single"/>
        </w:rPr>
        <w:t>万元，占总投资的1</w:t>
      </w:r>
      <w:r>
        <w:rPr>
          <w:rFonts w:hint="eastAsia" w:ascii="Times New Roman" w:hAnsi="Times New Roman"/>
          <w:spacing w:val="-2"/>
          <w:kern w:val="0"/>
          <w:sz w:val="24"/>
          <w:szCs w:val="24"/>
          <w:u w:val="single"/>
        </w:rPr>
        <w:t>9</w:t>
      </w:r>
      <w:r>
        <w:rPr>
          <w:rFonts w:ascii="Times New Roman" w:hAnsi="Times New Roman"/>
          <w:spacing w:val="-2"/>
          <w:kern w:val="0"/>
          <w:sz w:val="24"/>
          <w:szCs w:val="24"/>
          <w:u w:val="single"/>
        </w:rPr>
        <w:t>%，</w:t>
      </w:r>
      <w:r>
        <w:rPr>
          <w:rFonts w:ascii="Times New Roman" w:hAnsi="Times New Roman"/>
          <w:spacing w:val="-2"/>
          <w:kern w:val="0"/>
          <w:sz w:val="24"/>
          <w:szCs w:val="24"/>
        </w:rPr>
        <w:t>项目采取的环保措施及其投资估算见表5.</w:t>
      </w:r>
      <w:r>
        <w:rPr>
          <w:rFonts w:hint="eastAsia" w:ascii="Times New Roman" w:hAnsi="Times New Roman"/>
          <w:spacing w:val="-2"/>
          <w:kern w:val="0"/>
          <w:sz w:val="24"/>
          <w:szCs w:val="24"/>
        </w:rPr>
        <w:t>8</w:t>
      </w:r>
      <w:r>
        <w:rPr>
          <w:rFonts w:ascii="Times New Roman" w:hAnsi="Times New Roman"/>
          <w:spacing w:val="-2"/>
          <w:kern w:val="0"/>
          <w:sz w:val="24"/>
          <w:szCs w:val="24"/>
        </w:rPr>
        <w:t>-1。</w:t>
      </w:r>
    </w:p>
    <w:p w14:paraId="41381143">
      <w:pPr>
        <w:pStyle w:val="8"/>
        <w:numPr>
          <w:ilvl w:val="4"/>
          <w:numId w:val="3"/>
        </w:numPr>
        <w:rPr>
          <w:sz w:val="24"/>
          <w:szCs w:val="24"/>
        </w:rPr>
      </w:pPr>
      <w:r>
        <w:rPr>
          <w:sz w:val="24"/>
          <w:szCs w:val="24"/>
        </w:rPr>
        <w:t>项目环保投资估算一览表</w:t>
      </w:r>
    </w:p>
    <w:tbl>
      <w:tblPr>
        <w:tblStyle w:val="88"/>
        <w:tblW w:w="86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19"/>
        <w:gridCol w:w="709"/>
        <w:gridCol w:w="1701"/>
        <w:gridCol w:w="3402"/>
        <w:gridCol w:w="1701"/>
      </w:tblGrid>
      <w:tr w14:paraId="1317CE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119" w:type="dxa"/>
            <w:vAlign w:val="center"/>
          </w:tcPr>
          <w:p w14:paraId="1EFB05DE">
            <w:pPr>
              <w:jc w:val="center"/>
              <w:rPr>
                <w:rFonts w:ascii="Times New Roman" w:hAnsi="Times New Roman"/>
                <w:b/>
                <w:bCs/>
                <w:spacing w:val="-2"/>
                <w:kern w:val="0"/>
                <w:szCs w:val="21"/>
              </w:rPr>
            </w:pPr>
            <w:r>
              <w:rPr>
                <w:rFonts w:ascii="Times New Roman" w:hAnsi="Times New Roman"/>
                <w:b/>
                <w:bCs/>
                <w:spacing w:val="-2"/>
                <w:kern w:val="0"/>
                <w:szCs w:val="21"/>
              </w:rPr>
              <w:t>实施时段</w:t>
            </w:r>
          </w:p>
        </w:tc>
        <w:tc>
          <w:tcPr>
            <w:tcW w:w="2410" w:type="dxa"/>
            <w:gridSpan w:val="2"/>
            <w:vAlign w:val="center"/>
          </w:tcPr>
          <w:p w14:paraId="1F1CD6EA">
            <w:pPr>
              <w:jc w:val="center"/>
              <w:rPr>
                <w:rFonts w:ascii="Times New Roman" w:hAnsi="Times New Roman"/>
                <w:b/>
                <w:bCs/>
                <w:spacing w:val="-2"/>
                <w:kern w:val="0"/>
                <w:szCs w:val="21"/>
              </w:rPr>
            </w:pPr>
            <w:r>
              <w:rPr>
                <w:rFonts w:ascii="Times New Roman" w:hAnsi="Times New Roman"/>
                <w:b/>
                <w:bCs/>
                <w:spacing w:val="-2"/>
                <w:kern w:val="0"/>
                <w:szCs w:val="21"/>
              </w:rPr>
              <w:t>名称</w:t>
            </w:r>
          </w:p>
        </w:tc>
        <w:tc>
          <w:tcPr>
            <w:tcW w:w="3402" w:type="dxa"/>
            <w:vAlign w:val="center"/>
          </w:tcPr>
          <w:p w14:paraId="306D8A81">
            <w:pPr>
              <w:jc w:val="center"/>
              <w:rPr>
                <w:rFonts w:ascii="Times New Roman" w:hAnsi="Times New Roman"/>
                <w:b/>
                <w:bCs/>
                <w:spacing w:val="-2"/>
                <w:kern w:val="0"/>
                <w:szCs w:val="21"/>
              </w:rPr>
            </w:pPr>
            <w:r>
              <w:rPr>
                <w:rFonts w:ascii="Times New Roman" w:hAnsi="Times New Roman"/>
                <w:b/>
                <w:bCs/>
                <w:spacing w:val="-2"/>
                <w:kern w:val="0"/>
                <w:szCs w:val="21"/>
              </w:rPr>
              <w:t>工程采取措施</w:t>
            </w:r>
          </w:p>
        </w:tc>
        <w:tc>
          <w:tcPr>
            <w:tcW w:w="1701" w:type="dxa"/>
            <w:vAlign w:val="center"/>
          </w:tcPr>
          <w:p w14:paraId="756732E1">
            <w:pPr>
              <w:jc w:val="center"/>
              <w:rPr>
                <w:rFonts w:ascii="Times New Roman" w:hAnsi="Times New Roman"/>
                <w:b/>
                <w:bCs/>
                <w:spacing w:val="-2"/>
                <w:kern w:val="0"/>
                <w:szCs w:val="21"/>
              </w:rPr>
            </w:pPr>
            <w:r>
              <w:rPr>
                <w:rFonts w:ascii="Times New Roman" w:hAnsi="Times New Roman"/>
                <w:b/>
                <w:bCs/>
                <w:spacing w:val="-2"/>
                <w:kern w:val="0"/>
                <w:szCs w:val="21"/>
              </w:rPr>
              <w:t>投资（万元）</w:t>
            </w:r>
          </w:p>
        </w:tc>
      </w:tr>
      <w:tr w14:paraId="58F280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9" w:type="dxa"/>
            <w:vMerge w:val="restart"/>
            <w:vAlign w:val="center"/>
          </w:tcPr>
          <w:p w14:paraId="135B2DB9">
            <w:pPr>
              <w:jc w:val="center"/>
              <w:rPr>
                <w:rFonts w:ascii="Times New Roman" w:hAnsi="Times New Roman"/>
                <w:bCs/>
                <w:spacing w:val="-2"/>
                <w:kern w:val="0"/>
                <w:szCs w:val="21"/>
              </w:rPr>
            </w:pPr>
            <w:r>
              <w:rPr>
                <w:rFonts w:ascii="Times New Roman" w:hAnsi="Times New Roman"/>
                <w:bCs/>
                <w:spacing w:val="-2"/>
                <w:kern w:val="0"/>
                <w:szCs w:val="21"/>
              </w:rPr>
              <w:t>运营期</w:t>
            </w:r>
          </w:p>
        </w:tc>
        <w:tc>
          <w:tcPr>
            <w:tcW w:w="709" w:type="dxa"/>
            <w:vMerge w:val="restart"/>
            <w:vAlign w:val="center"/>
          </w:tcPr>
          <w:p w14:paraId="2BF5BE6B">
            <w:pPr>
              <w:jc w:val="center"/>
              <w:rPr>
                <w:rFonts w:ascii="Times New Roman" w:hAnsi="Times New Roman"/>
                <w:spacing w:val="-2"/>
                <w:kern w:val="0"/>
                <w:szCs w:val="21"/>
              </w:rPr>
            </w:pPr>
            <w:r>
              <w:rPr>
                <w:rFonts w:ascii="Times New Roman" w:hAnsi="Times New Roman"/>
                <w:spacing w:val="-2"/>
                <w:kern w:val="0"/>
                <w:szCs w:val="21"/>
              </w:rPr>
              <w:t>废气</w:t>
            </w:r>
          </w:p>
        </w:tc>
        <w:tc>
          <w:tcPr>
            <w:tcW w:w="1701" w:type="dxa"/>
            <w:vAlign w:val="center"/>
          </w:tcPr>
          <w:p w14:paraId="0D96C8CB">
            <w:pPr>
              <w:jc w:val="center"/>
              <w:rPr>
                <w:rFonts w:ascii="Times New Roman" w:hAnsi="Times New Roman"/>
                <w:spacing w:val="-2"/>
                <w:kern w:val="0"/>
                <w:szCs w:val="21"/>
              </w:rPr>
            </w:pPr>
            <w:r>
              <w:rPr>
                <w:rFonts w:ascii="Times New Roman" w:hAnsi="Times New Roman"/>
                <w:spacing w:val="-2"/>
                <w:kern w:val="0"/>
                <w:szCs w:val="21"/>
              </w:rPr>
              <w:t>烘干炉烟气治理</w:t>
            </w:r>
          </w:p>
        </w:tc>
        <w:tc>
          <w:tcPr>
            <w:tcW w:w="3402" w:type="dxa"/>
            <w:vAlign w:val="center"/>
          </w:tcPr>
          <w:p w14:paraId="6CA1D6E1">
            <w:pPr>
              <w:jc w:val="center"/>
              <w:rPr>
                <w:rFonts w:ascii="Times New Roman" w:hAnsi="Times New Roman"/>
                <w:spacing w:val="-2"/>
                <w:kern w:val="0"/>
                <w:szCs w:val="21"/>
                <w:u w:val="single"/>
              </w:rPr>
            </w:pPr>
            <w:r>
              <w:rPr>
                <w:rFonts w:ascii="Times New Roman" w:hAnsi="Times New Roman"/>
                <w:spacing w:val="-2"/>
                <w:kern w:val="0"/>
                <w:szCs w:val="21"/>
                <w:u w:val="single"/>
              </w:rPr>
              <w:t>袋式除尘系统</w:t>
            </w:r>
          </w:p>
        </w:tc>
        <w:tc>
          <w:tcPr>
            <w:tcW w:w="1701" w:type="dxa"/>
            <w:vAlign w:val="center"/>
          </w:tcPr>
          <w:p w14:paraId="17BD6C5A">
            <w:pPr>
              <w:jc w:val="center"/>
              <w:rPr>
                <w:rFonts w:ascii="Times New Roman" w:hAnsi="Times New Roman"/>
                <w:spacing w:val="-2"/>
                <w:kern w:val="0"/>
                <w:szCs w:val="21"/>
                <w:u w:val="single"/>
              </w:rPr>
            </w:pPr>
            <w:r>
              <w:rPr>
                <w:rFonts w:hint="eastAsia" w:ascii="Times New Roman" w:hAnsi="Times New Roman"/>
                <w:spacing w:val="-2"/>
                <w:kern w:val="0"/>
                <w:szCs w:val="21"/>
                <w:u w:val="single"/>
              </w:rPr>
              <w:t>12</w:t>
            </w:r>
          </w:p>
        </w:tc>
      </w:tr>
      <w:tr w14:paraId="489E83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9" w:type="dxa"/>
            <w:vMerge w:val="continue"/>
            <w:vAlign w:val="center"/>
          </w:tcPr>
          <w:p w14:paraId="6A4601F6">
            <w:pPr>
              <w:jc w:val="center"/>
              <w:rPr>
                <w:rFonts w:ascii="Times New Roman" w:hAnsi="Times New Roman"/>
                <w:bCs/>
                <w:spacing w:val="-2"/>
                <w:kern w:val="0"/>
                <w:szCs w:val="21"/>
              </w:rPr>
            </w:pPr>
          </w:p>
        </w:tc>
        <w:tc>
          <w:tcPr>
            <w:tcW w:w="709" w:type="dxa"/>
            <w:vMerge w:val="continue"/>
            <w:vAlign w:val="center"/>
          </w:tcPr>
          <w:p w14:paraId="1AC6213F">
            <w:pPr>
              <w:jc w:val="center"/>
              <w:rPr>
                <w:rFonts w:ascii="Times New Roman" w:hAnsi="Times New Roman"/>
                <w:spacing w:val="-2"/>
                <w:kern w:val="0"/>
                <w:szCs w:val="21"/>
              </w:rPr>
            </w:pPr>
          </w:p>
        </w:tc>
        <w:tc>
          <w:tcPr>
            <w:tcW w:w="1701" w:type="dxa"/>
            <w:vMerge w:val="restart"/>
            <w:vAlign w:val="center"/>
          </w:tcPr>
          <w:p w14:paraId="3DF6306C">
            <w:pPr>
              <w:jc w:val="center"/>
              <w:rPr>
                <w:rFonts w:ascii="Times New Roman" w:hAnsi="Times New Roman"/>
                <w:spacing w:val="-2"/>
                <w:kern w:val="0"/>
                <w:szCs w:val="21"/>
              </w:rPr>
            </w:pPr>
            <w:r>
              <w:rPr>
                <w:rFonts w:ascii="Times New Roman" w:hAnsi="Times New Roman"/>
                <w:spacing w:val="-2"/>
                <w:kern w:val="0"/>
                <w:szCs w:val="21"/>
              </w:rPr>
              <w:t>车间粉尘治理</w:t>
            </w:r>
          </w:p>
        </w:tc>
        <w:tc>
          <w:tcPr>
            <w:tcW w:w="3402" w:type="dxa"/>
            <w:vAlign w:val="center"/>
          </w:tcPr>
          <w:p w14:paraId="28AC8477">
            <w:pPr>
              <w:jc w:val="center"/>
              <w:rPr>
                <w:rFonts w:ascii="Times New Roman" w:hAnsi="Times New Roman"/>
                <w:spacing w:val="-2"/>
                <w:kern w:val="0"/>
                <w:szCs w:val="21"/>
                <w:u w:val="single"/>
              </w:rPr>
            </w:pPr>
            <w:r>
              <w:rPr>
                <w:rFonts w:ascii="Times New Roman" w:hAnsi="Times New Roman"/>
                <w:spacing w:val="-2"/>
                <w:kern w:val="0"/>
                <w:szCs w:val="21"/>
                <w:u w:val="single"/>
              </w:rPr>
              <w:t>集气罩+袋式除尘系统</w:t>
            </w:r>
          </w:p>
        </w:tc>
        <w:tc>
          <w:tcPr>
            <w:tcW w:w="1701" w:type="dxa"/>
            <w:vAlign w:val="center"/>
          </w:tcPr>
          <w:p w14:paraId="7D628BEA">
            <w:pPr>
              <w:jc w:val="center"/>
              <w:rPr>
                <w:rFonts w:ascii="Times New Roman" w:hAnsi="Times New Roman"/>
                <w:spacing w:val="-2"/>
                <w:kern w:val="0"/>
                <w:szCs w:val="21"/>
                <w:u w:val="single"/>
              </w:rPr>
            </w:pPr>
            <w:r>
              <w:rPr>
                <w:rFonts w:hint="eastAsia" w:ascii="Times New Roman" w:hAnsi="Times New Roman"/>
                <w:spacing w:val="-2"/>
                <w:kern w:val="0"/>
                <w:szCs w:val="21"/>
                <w:u w:val="single"/>
              </w:rPr>
              <w:t>24</w:t>
            </w:r>
          </w:p>
        </w:tc>
      </w:tr>
      <w:tr w14:paraId="224D7B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9" w:type="dxa"/>
            <w:vMerge w:val="continue"/>
            <w:vAlign w:val="center"/>
          </w:tcPr>
          <w:p w14:paraId="790351F6">
            <w:pPr>
              <w:jc w:val="center"/>
              <w:rPr>
                <w:rFonts w:ascii="Times New Roman" w:hAnsi="Times New Roman"/>
                <w:bCs/>
                <w:spacing w:val="-2"/>
                <w:kern w:val="0"/>
                <w:szCs w:val="21"/>
              </w:rPr>
            </w:pPr>
          </w:p>
        </w:tc>
        <w:tc>
          <w:tcPr>
            <w:tcW w:w="709" w:type="dxa"/>
            <w:vMerge w:val="continue"/>
            <w:vAlign w:val="center"/>
          </w:tcPr>
          <w:p w14:paraId="0F6C5643">
            <w:pPr>
              <w:jc w:val="center"/>
              <w:rPr>
                <w:rFonts w:ascii="Times New Roman" w:hAnsi="Times New Roman"/>
                <w:spacing w:val="-2"/>
                <w:kern w:val="0"/>
                <w:szCs w:val="21"/>
              </w:rPr>
            </w:pPr>
          </w:p>
        </w:tc>
        <w:tc>
          <w:tcPr>
            <w:tcW w:w="1701" w:type="dxa"/>
            <w:vMerge w:val="continue"/>
            <w:vAlign w:val="center"/>
          </w:tcPr>
          <w:p w14:paraId="4A36009C">
            <w:pPr>
              <w:jc w:val="center"/>
              <w:rPr>
                <w:rFonts w:ascii="Times New Roman" w:hAnsi="Times New Roman"/>
                <w:spacing w:val="-2"/>
                <w:kern w:val="0"/>
                <w:szCs w:val="21"/>
              </w:rPr>
            </w:pPr>
          </w:p>
        </w:tc>
        <w:tc>
          <w:tcPr>
            <w:tcW w:w="3402" w:type="dxa"/>
            <w:vAlign w:val="center"/>
          </w:tcPr>
          <w:p w14:paraId="14C24A53">
            <w:pPr>
              <w:jc w:val="center"/>
              <w:rPr>
                <w:rFonts w:ascii="Times New Roman" w:hAnsi="Times New Roman"/>
                <w:spacing w:val="-2"/>
                <w:kern w:val="0"/>
                <w:szCs w:val="21"/>
                <w:u w:val="single"/>
              </w:rPr>
            </w:pPr>
            <w:r>
              <w:rPr>
                <w:rFonts w:hint="eastAsia" w:ascii="Times New Roman" w:hAnsi="Times New Roman"/>
                <w:spacing w:val="-2"/>
                <w:kern w:val="0"/>
                <w:szCs w:val="21"/>
                <w:u w:val="single"/>
              </w:rPr>
              <w:t>水雾喷淋系统</w:t>
            </w:r>
          </w:p>
        </w:tc>
        <w:tc>
          <w:tcPr>
            <w:tcW w:w="1701" w:type="dxa"/>
            <w:vAlign w:val="center"/>
          </w:tcPr>
          <w:p w14:paraId="7CAA09F8">
            <w:pPr>
              <w:jc w:val="center"/>
              <w:rPr>
                <w:rFonts w:ascii="Times New Roman" w:hAnsi="Times New Roman"/>
                <w:spacing w:val="-2"/>
                <w:kern w:val="0"/>
                <w:szCs w:val="21"/>
                <w:u w:val="single"/>
              </w:rPr>
            </w:pPr>
            <w:r>
              <w:rPr>
                <w:rFonts w:hint="eastAsia" w:ascii="Times New Roman" w:hAnsi="Times New Roman"/>
                <w:spacing w:val="-2"/>
                <w:kern w:val="0"/>
                <w:szCs w:val="21"/>
                <w:u w:val="single"/>
              </w:rPr>
              <w:t>6</w:t>
            </w:r>
          </w:p>
        </w:tc>
      </w:tr>
      <w:tr w14:paraId="2CD4A5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9" w:type="dxa"/>
            <w:vMerge w:val="continue"/>
            <w:vAlign w:val="center"/>
          </w:tcPr>
          <w:p w14:paraId="041B0FDF">
            <w:pPr>
              <w:jc w:val="center"/>
              <w:rPr>
                <w:rFonts w:ascii="Times New Roman" w:hAnsi="Times New Roman"/>
                <w:bCs/>
                <w:spacing w:val="-2"/>
                <w:kern w:val="0"/>
                <w:szCs w:val="21"/>
              </w:rPr>
            </w:pPr>
          </w:p>
        </w:tc>
        <w:tc>
          <w:tcPr>
            <w:tcW w:w="709" w:type="dxa"/>
            <w:vMerge w:val="continue"/>
            <w:vAlign w:val="center"/>
          </w:tcPr>
          <w:p w14:paraId="1D3C8C2C">
            <w:pPr>
              <w:jc w:val="center"/>
              <w:rPr>
                <w:rFonts w:ascii="Times New Roman" w:hAnsi="Times New Roman"/>
                <w:spacing w:val="-2"/>
                <w:kern w:val="0"/>
                <w:szCs w:val="21"/>
              </w:rPr>
            </w:pPr>
          </w:p>
        </w:tc>
        <w:tc>
          <w:tcPr>
            <w:tcW w:w="1701" w:type="dxa"/>
            <w:vMerge w:val="continue"/>
            <w:vAlign w:val="center"/>
          </w:tcPr>
          <w:p w14:paraId="36DA2344">
            <w:pPr>
              <w:jc w:val="center"/>
              <w:rPr>
                <w:rFonts w:ascii="Times New Roman" w:hAnsi="Times New Roman"/>
                <w:spacing w:val="-2"/>
                <w:kern w:val="0"/>
                <w:szCs w:val="21"/>
              </w:rPr>
            </w:pPr>
          </w:p>
        </w:tc>
        <w:tc>
          <w:tcPr>
            <w:tcW w:w="3402" w:type="dxa"/>
            <w:vAlign w:val="center"/>
          </w:tcPr>
          <w:p w14:paraId="6987B2C7">
            <w:pPr>
              <w:jc w:val="center"/>
              <w:rPr>
                <w:rFonts w:ascii="Times New Roman" w:hAnsi="Times New Roman"/>
                <w:spacing w:val="-2"/>
                <w:kern w:val="0"/>
                <w:szCs w:val="21"/>
              </w:rPr>
            </w:pPr>
            <w:r>
              <w:rPr>
                <w:rFonts w:ascii="Times New Roman" w:hAnsi="Times New Roman"/>
                <w:spacing w:val="-2"/>
                <w:kern w:val="0"/>
                <w:szCs w:val="21"/>
              </w:rPr>
              <w:t>封闭式生产车间改造</w:t>
            </w:r>
          </w:p>
        </w:tc>
        <w:tc>
          <w:tcPr>
            <w:tcW w:w="1701" w:type="dxa"/>
            <w:vAlign w:val="center"/>
          </w:tcPr>
          <w:p w14:paraId="15E27CA6">
            <w:pPr>
              <w:jc w:val="center"/>
              <w:rPr>
                <w:rFonts w:ascii="Times New Roman" w:hAnsi="Times New Roman"/>
                <w:spacing w:val="-2"/>
                <w:kern w:val="0"/>
                <w:szCs w:val="21"/>
              </w:rPr>
            </w:pPr>
            <w:r>
              <w:rPr>
                <w:rFonts w:ascii="Times New Roman" w:hAnsi="Times New Roman"/>
                <w:spacing w:val="-2"/>
                <w:kern w:val="0"/>
                <w:szCs w:val="21"/>
              </w:rPr>
              <w:t>建设投资已计列</w:t>
            </w:r>
          </w:p>
        </w:tc>
      </w:tr>
      <w:tr w14:paraId="3D278F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9" w:type="dxa"/>
            <w:vMerge w:val="continue"/>
            <w:vAlign w:val="center"/>
          </w:tcPr>
          <w:p w14:paraId="74DFE35E">
            <w:pPr>
              <w:jc w:val="center"/>
              <w:rPr>
                <w:rFonts w:ascii="Times New Roman" w:hAnsi="Times New Roman"/>
                <w:bCs/>
                <w:spacing w:val="-2"/>
                <w:kern w:val="0"/>
                <w:szCs w:val="21"/>
              </w:rPr>
            </w:pPr>
          </w:p>
        </w:tc>
        <w:tc>
          <w:tcPr>
            <w:tcW w:w="709" w:type="dxa"/>
            <w:vAlign w:val="center"/>
          </w:tcPr>
          <w:p w14:paraId="4C22827C">
            <w:pPr>
              <w:jc w:val="center"/>
              <w:rPr>
                <w:rFonts w:ascii="Times New Roman" w:hAnsi="Times New Roman"/>
                <w:spacing w:val="-2"/>
                <w:kern w:val="0"/>
                <w:szCs w:val="21"/>
              </w:rPr>
            </w:pPr>
            <w:r>
              <w:rPr>
                <w:rFonts w:ascii="Times New Roman" w:hAnsi="Times New Roman"/>
                <w:spacing w:val="-2"/>
                <w:kern w:val="0"/>
                <w:szCs w:val="21"/>
              </w:rPr>
              <w:t>废水</w:t>
            </w:r>
          </w:p>
        </w:tc>
        <w:tc>
          <w:tcPr>
            <w:tcW w:w="1701" w:type="dxa"/>
            <w:vAlign w:val="center"/>
          </w:tcPr>
          <w:p w14:paraId="62F4BA44">
            <w:pPr>
              <w:jc w:val="center"/>
              <w:rPr>
                <w:rFonts w:ascii="Times New Roman" w:hAnsi="Times New Roman"/>
                <w:spacing w:val="-2"/>
                <w:kern w:val="0"/>
                <w:szCs w:val="21"/>
              </w:rPr>
            </w:pPr>
            <w:r>
              <w:rPr>
                <w:rFonts w:ascii="Times New Roman" w:hAnsi="Times New Roman"/>
                <w:spacing w:val="-2"/>
                <w:kern w:val="0"/>
                <w:szCs w:val="21"/>
              </w:rPr>
              <w:t>生活污水治理</w:t>
            </w:r>
          </w:p>
        </w:tc>
        <w:tc>
          <w:tcPr>
            <w:tcW w:w="3402" w:type="dxa"/>
            <w:vAlign w:val="center"/>
          </w:tcPr>
          <w:p w14:paraId="619AC022">
            <w:pPr>
              <w:jc w:val="center"/>
              <w:rPr>
                <w:rFonts w:ascii="Times New Roman" w:hAnsi="Times New Roman"/>
                <w:spacing w:val="-2"/>
                <w:kern w:val="0"/>
                <w:szCs w:val="21"/>
              </w:rPr>
            </w:pPr>
            <w:r>
              <w:rPr>
                <w:rFonts w:ascii="Times New Roman" w:hAnsi="Times New Roman"/>
                <w:spacing w:val="-2"/>
                <w:kern w:val="0"/>
                <w:szCs w:val="21"/>
              </w:rPr>
              <w:t>化粪池</w:t>
            </w:r>
          </w:p>
        </w:tc>
        <w:tc>
          <w:tcPr>
            <w:tcW w:w="1701" w:type="dxa"/>
            <w:vAlign w:val="center"/>
          </w:tcPr>
          <w:p w14:paraId="08C9B4BE">
            <w:pPr>
              <w:jc w:val="center"/>
              <w:rPr>
                <w:rFonts w:ascii="Times New Roman" w:hAnsi="Times New Roman"/>
                <w:spacing w:val="-2"/>
                <w:kern w:val="0"/>
                <w:szCs w:val="21"/>
              </w:rPr>
            </w:pPr>
            <w:r>
              <w:rPr>
                <w:rFonts w:ascii="Times New Roman" w:hAnsi="Times New Roman"/>
                <w:spacing w:val="-2"/>
                <w:kern w:val="0"/>
                <w:szCs w:val="21"/>
              </w:rPr>
              <w:t>2</w:t>
            </w:r>
          </w:p>
        </w:tc>
      </w:tr>
      <w:tr w14:paraId="3A0DE1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9" w:type="dxa"/>
            <w:vMerge w:val="continue"/>
            <w:vAlign w:val="center"/>
          </w:tcPr>
          <w:p w14:paraId="31A8B2A1">
            <w:pPr>
              <w:jc w:val="center"/>
              <w:rPr>
                <w:rFonts w:ascii="Times New Roman" w:hAnsi="Times New Roman"/>
                <w:bCs/>
                <w:spacing w:val="-2"/>
                <w:kern w:val="0"/>
                <w:szCs w:val="21"/>
              </w:rPr>
            </w:pPr>
          </w:p>
        </w:tc>
        <w:tc>
          <w:tcPr>
            <w:tcW w:w="709" w:type="dxa"/>
            <w:vAlign w:val="center"/>
          </w:tcPr>
          <w:p w14:paraId="2FD9A574">
            <w:pPr>
              <w:jc w:val="center"/>
              <w:rPr>
                <w:rFonts w:ascii="Times New Roman" w:hAnsi="Times New Roman"/>
                <w:spacing w:val="-2"/>
                <w:kern w:val="0"/>
                <w:szCs w:val="21"/>
              </w:rPr>
            </w:pPr>
            <w:r>
              <w:rPr>
                <w:rFonts w:ascii="Times New Roman" w:hAnsi="Times New Roman"/>
                <w:spacing w:val="-2"/>
                <w:kern w:val="0"/>
                <w:szCs w:val="21"/>
              </w:rPr>
              <w:t>噪声</w:t>
            </w:r>
          </w:p>
        </w:tc>
        <w:tc>
          <w:tcPr>
            <w:tcW w:w="1701" w:type="dxa"/>
            <w:vAlign w:val="center"/>
          </w:tcPr>
          <w:p w14:paraId="4BAD1A3F">
            <w:pPr>
              <w:jc w:val="center"/>
              <w:rPr>
                <w:rFonts w:ascii="Times New Roman" w:hAnsi="Times New Roman"/>
                <w:spacing w:val="-2"/>
                <w:kern w:val="0"/>
                <w:szCs w:val="21"/>
              </w:rPr>
            </w:pPr>
            <w:r>
              <w:rPr>
                <w:rFonts w:ascii="Times New Roman" w:hAnsi="Times New Roman"/>
                <w:spacing w:val="-2"/>
                <w:kern w:val="0"/>
                <w:szCs w:val="21"/>
              </w:rPr>
              <w:t>设备噪声治理</w:t>
            </w:r>
          </w:p>
        </w:tc>
        <w:tc>
          <w:tcPr>
            <w:tcW w:w="3402" w:type="dxa"/>
            <w:vAlign w:val="center"/>
          </w:tcPr>
          <w:p w14:paraId="4AD4CB30">
            <w:pPr>
              <w:jc w:val="center"/>
              <w:rPr>
                <w:rFonts w:ascii="Times New Roman" w:hAnsi="Times New Roman"/>
                <w:spacing w:val="-2"/>
                <w:kern w:val="0"/>
                <w:szCs w:val="21"/>
              </w:rPr>
            </w:pPr>
            <w:r>
              <w:rPr>
                <w:rFonts w:ascii="Times New Roman" w:hAnsi="Times New Roman"/>
                <w:spacing w:val="-2"/>
                <w:kern w:val="0"/>
                <w:szCs w:val="21"/>
              </w:rPr>
              <w:t>基础隔振、高噪声设备独立隔声间</w:t>
            </w:r>
          </w:p>
        </w:tc>
        <w:tc>
          <w:tcPr>
            <w:tcW w:w="1701" w:type="dxa"/>
            <w:vAlign w:val="center"/>
          </w:tcPr>
          <w:p w14:paraId="6083C448">
            <w:pPr>
              <w:jc w:val="center"/>
              <w:rPr>
                <w:rFonts w:ascii="Times New Roman" w:hAnsi="Times New Roman"/>
                <w:spacing w:val="-2"/>
                <w:kern w:val="0"/>
                <w:szCs w:val="21"/>
              </w:rPr>
            </w:pPr>
            <w:r>
              <w:rPr>
                <w:rFonts w:ascii="Times New Roman" w:hAnsi="Times New Roman"/>
                <w:spacing w:val="-2"/>
                <w:kern w:val="0"/>
                <w:szCs w:val="21"/>
              </w:rPr>
              <w:t>6</w:t>
            </w:r>
          </w:p>
        </w:tc>
      </w:tr>
      <w:tr w14:paraId="7DCB64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9" w:type="dxa"/>
            <w:vMerge w:val="continue"/>
            <w:vAlign w:val="center"/>
          </w:tcPr>
          <w:p w14:paraId="419CB25E">
            <w:pPr>
              <w:jc w:val="center"/>
              <w:rPr>
                <w:rFonts w:ascii="Times New Roman" w:hAnsi="Times New Roman"/>
                <w:bCs/>
                <w:spacing w:val="-2"/>
                <w:kern w:val="0"/>
                <w:szCs w:val="21"/>
              </w:rPr>
            </w:pPr>
          </w:p>
        </w:tc>
        <w:tc>
          <w:tcPr>
            <w:tcW w:w="709" w:type="dxa"/>
            <w:vMerge w:val="restart"/>
            <w:tcBorders>
              <w:bottom w:val="single" w:color="auto" w:sz="6" w:space="0"/>
            </w:tcBorders>
            <w:vAlign w:val="center"/>
          </w:tcPr>
          <w:p w14:paraId="337396C4">
            <w:pPr>
              <w:jc w:val="center"/>
              <w:rPr>
                <w:rFonts w:ascii="Times New Roman" w:hAnsi="Times New Roman"/>
                <w:spacing w:val="-2"/>
                <w:kern w:val="0"/>
                <w:szCs w:val="21"/>
              </w:rPr>
            </w:pPr>
            <w:r>
              <w:rPr>
                <w:rFonts w:ascii="Times New Roman" w:hAnsi="Times New Roman"/>
                <w:spacing w:val="-2"/>
                <w:kern w:val="0"/>
                <w:szCs w:val="21"/>
              </w:rPr>
              <w:t>固废</w:t>
            </w:r>
          </w:p>
        </w:tc>
        <w:tc>
          <w:tcPr>
            <w:tcW w:w="1701" w:type="dxa"/>
            <w:vMerge w:val="restart"/>
            <w:tcBorders>
              <w:bottom w:val="single" w:color="auto" w:sz="6" w:space="0"/>
            </w:tcBorders>
            <w:vAlign w:val="center"/>
          </w:tcPr>
          <w:p w14:paraId="746BB624">
            <w:pPr>
              <w:jc w:val="center"/>
              <w:rPr>
                <w:rFonts w:ascii="Times New Roman" w:hAnsi="Times New Roman"/>
                <w:spacing w:val="-2"/>
                <w:kern w:val="0"/>
                <w:szCs w:val="21"/>
              </w:rPr>
            </w:pPr>
            <w:r>
              <w:rPr>
                <w:rFonts w:ascii="Times New Roman" w:hAnsi="Times New Roman"/>
                <w:spacing w:val="-2"/>
                <w:kern w:val="0"/>
                <w:szCs w:val="21"/>
              </w:rPr>
              <w:t>固废临时储存</w:t>
            </w:r>
          </w:p>
        </w:tc>
        <w:tc>
          <w:tcPr>
            <w:tcW w:w="3402" w:type="dxa"/>
            <w:tcBorders>
              <w:bottom w:val="single" w:color="auto" w:sz="6" w:space="0"/>
            </w:tcBorders>
            <w:vAlign w:val="center"/>
          </w:tcPr>
          <w:p w14:paraId="63377438">
            <w:pPr>
              <w:jc w:val="center"/>
              <w:rPr>
                <w:rFonts w:ascii="Times New Roman" w:hAnsi="Times New Roman"/>
                <w:spacing w:val="-2"/>
                <w:kern w:val="0"/>
                <w:szCs w:val="21"/>
              </w:rPr>
            </w:pPr>
            <w:r>
              <w:rPr>
                <w:rFonts w:ascii="Times New Roman" w:hAnsi="Times New Roman"/>
                <w:spacing w:val="-2"/>
                <w:kern w:val="0"/>
                <w:szCs w:val="21"/>
              </w:rPr>
              <w:t>毛矿、产品、</w:t>
            </w:r>
            <w:r>
              <w:rPr>
                <w:rFonts w:hint="eastAsia" w:ascii="Times New Roman" w:hAnsi="Times New Roman"/>
                <w:spacing w:val="-2"/>
                <w:kern w:val="0"/>
                <w:szCs w:val="21"/>
              </w:rPr>
              <w:t>副产品</w:t>
            </w:r>
            <w:r>
              <w:rPr>
                <w:rFonts w:ascii="Times New Roman" w:hAnsi="Times New Roman"/>
                <w:spacing w:val="-2"/>
                <w:kern w:val="0"/>
                <w:szCs w:val="21"/>
              </w:rPr>
              <w:t>堆场</w:t>
            </w:r>
          </w:p>
        </w:tc>
        <w:tc>
          <w:tcPr>
            <w:tcW w:w="1701" w:type="dxa"/>
            <w:vAlign w:val="center"/>
          </w:tcPr>
          <w:p w14:paraId="61726CF9">
            <w:pPr>
              <w:jc w:val="center"/>
              <w:rPr>
                <w:rFonts w:ascii="Times New Roman" w:hAnsi="Times New Roman"/>
                <w:spacing w:val="-2"/>
                <w:kern w:val="0"/>
                <w:szCs w:val="21"/>
              </w:rPr>
            </w:pPr>
            <w:r>
              <w:rPr>
                <w:rFonts w:ascii="Times New Roman" w:hAnsi="Times New Roman"/>
                <w:spacing w:val="-2"/>
                <w:kern w:val="0"/>
                <w:szCs w:val="21"/>
              </w:rPr>
              <w:t>建设投资已计列</w:t>
            </w:r>
          </w:p>
        </w:tc>
      </w:tr>
      <w:tr w14:paraId="05DD28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9" w:type="dxa"/>
            <w:vMerge w:val="continue"/>
            <w:vAlign w:val="center"/>
          </w:tcPr>
          <w:p w14:paraId="7ECCE707">
            <w:pPr>
              <w:jc w:val="center"/>
              <w:rPr>
                <w:rFonts w:ascii="Times New Roman" w:hAnsi="Times New Roman"/>
                <w:bCs/>
                <w:spacing w:val="-2"/>
                <w:kern w:val="0"/>
                <w:szCs w:val="21"/>
              </w:rPr>
            </w:pPr>
          </w:p>
        </w:tc>
        <w:tc>
          <w:tcPr>
            <w:tcW w:w="709" w:type="dxa"/>
            <w:vMerge w:val="continue"/>
            <w:vAlign w:val="center"/>
          </w:tcPr>
          <w:p w14:paraId="15C7FBCB">
            <w:pPr>
              <w:jc w:val="center"/>
              <w:rPr>
                <w:rFonts w:ascii="Times New Roman" w:hAnsi="Times New Roman"/>
                <w:spacing w:val="-2"/>
                <w:kern w:val="0"/>
                <w:szCs w:val="21"/>
              </w:rPr>
            </w:pPr>
          </w:p>
        </w:tc>
        <w:tc>
          <w:tcPr>
            <w:tcW w:w="1701" w:type="dxa"/>
            <w:vMerge w:val="continue"/>
            <w:vAlign w:val="center"/>
          </w:tcPr>
          <w:p w14:paraId="34136527">
            <w:pPr>
              <w:jc w:val="center"/>
              <w:rPr>
                <w:rFonts w:ascii="Times New Roman" w:hAnsi="Times New Roman"/>
                <w:spacing w:val="-2"/>
                <w:kern w:val="0"/>
                <w:szCs w:val="21"/>
              </w:rPr>
            </w:pPr>
          </w:p>
        </w:tc>
        <w:tc>
          <w:tcPr>
            <w:tcW w:w="3402" w:type="dxa"/>
            <w:vAlign w:val="center"/>
          </w:tcPr>
          <w:p w14:paraId="671C4ACE">
            <w:pPr>
              <w:jc w:val="center"/>
              <w:rPr>
                <w:rFonts w:ascii="Times New Roman" w:hAnsi="Times New Roman"/>
                <w:spacing w:val="-2"/>
                <w:kern w:val="0"/>
                <w:szCs w:val="21"/>
              </w:rPr>
            </w:pPr>
            <w:r>
              <w:rPr>
                <w:rFonts w:ascii="Times New Roman" w:hAnsi="Times New Roman"/>
                <w:spacing w:val="-2"/>
                <w:kern w:val="0"/>
                <w:szCs w:val="21"/>
              </w:rPr>
              <w:t>危废暂存间、废除尘袋储存间</w:t>
            </w:r>
          </w:p>
        </w:tc>
        <w:tc>
          <w:tcPr>
            <w:tcW w:w="1701" w:type="dxa"/>
            <w:vAlign w:val="center"/>
          </w:tcPr>
          <w:p w14:paraId="436E9F2C">
            <w:pPr>
              <w:jc w:val="center"/>
              <w:rPr>
                <w:rFonts w:ascii="Times New Roman" w:hAnsi="Times New Roman"/>
                <w:spacing w:val="-2"/>
                <w:kern w:val="0"/>
                <w:szCs w:val="21"/>
              </w:rPr>
            </w:pPr>
            <w:r>
              <w:rPr>
                <w:rFonts w:ascii="Times New Roman" w:hAnsi="Times New Roman"/>
                <w:spacing w:val="-2"/>
                <w:kern w:val="0"/>
                <w:szCs w:val="21"/>
              </w:rPr>
              <w:t>2</w:t>
            </w:r>
          </w:p>
        </w:tc>
      </w:tr>
      <w:tr w14:paraId="153131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9" w:type="dxa"/>
            <w:vMerge w:val="continue"/>
            <w:vAlign w:val="center"/>
          </w:tcPr>
          <w:p w14:paraId="10718926">
            <w:pPr>
              <w:jc w:val="center"/>
              <w:rPr>
                <w:rFonts w:ascii="Times New Roman" w:hAnsi="Times New Roman"/>
                <w:bCs/>
                <w:spacing w:val="-2"/>
                <w:kern w:val="0"/>
                <w:szCs w:val="21"/>
              </w:rPr>
            </w:pPr>
          </w:p>
        </w:tc>
        <w:tc>
          <w:tcPr>
            <w:tcW w:w="709" w:type="dxa"/>
            <w:vMerge w:val="continue"/>
            <w:vAlign w:val="center"/>
          </w:tcPr>
          <w:p w14:paraId="6EA73524">
            <w:pPr>
              <w:jc w:val="center"/>
              <w:rPr>
                <w:rFonts w:ascii="Times New Roman" w:hAnsi="Times New Roman"/>
                <w:spacing w:val="-2"/>
                <w:kern w:val="0"/>
                <w:szCs w:val="21"/>
              </w:rPr>
            </w:pPr>
          </w:p>
        </w:tc>
        <w:tc>
          <w:tcPr>
            <w:tcW w:w="1701" w:type="dxa"/>
            <w:vAlign w:val="center"/>
          </w:tcPr>
          <w:p w14:paraId="1FAEAB14">
            <w:pPr>
              <w:jc w:val="center"/>
              <w:rPr>
                <w:rFonts w:ascii="Times New Roman" w:hAnsi="Times New Roman"/>
                <w:spacing w:val="-2"/>
                <w:kern w:val="0"/>
                <w:szCs w:val="21"/>
              </w:rPr>
            </w:pPr>
            <w:r>
              <w:rPr>
                <w:rFonts w:ascii="Times New Roman" w:hAnsi="Times New Roman"/>
                <w:spacing w:val="-2"/>
                <w:kern w:val="0"/>
                <w:szCs w:val="21"/>
              </w:rPr>
              <w:t>一般固废处置</w:t>
            </w:r>
          </w:p>
        </w:tc>
        <w:tc>
          <w:tcPr>
            <w:tcW w:w="3402" w:type="dxa"/>
            <w:vAlign w:val="center"/>
          </w:tcPr>
          <w:p w14:paraId="0AE5E1A1">
            <w:pPr>
              <w:jc w:val="center"/>
              <w:rPr>
                <w:rFonts w:ascii="Times New Roman" w:hAnsi="Times New Roman"/>
                <w:spacing w:val="-2"/>
                <w:kern w:val="0"/>
                <w:szCs w:val="21"/>
              </w:rPr>
            </w:pPr>
            <w:r>
              <w:rPr>
                <w:rFonts w:ascii="Times New Roman" w:hAnsi="Times New Roman"/>
                <w:spacing w:val="-2"/>
                <w:kern w:val="0"/>
                <w:szCs w:val="21"/>
              </w:rPr>
              <w:t>一般固废外运处置</w:t>
            </w:r>
          </w:p>
        </w:tc>
        <w:tc>
          <w:tcPr>
            <w:tcW w:w="1701" w:type="dxa"/>
            <w:vAlign w:val="center"/>
          </w:tcPr>
          <w:p w14:paraId="300D9C48">
            <w:pPr>
              <w:jc w:val="center"/>
              <w:rPr>
                <w:rFonts w:ascii="Times New Roman" w:hAnsi="Times New Roman"/>
                <w:spacing w:val="-2"/>
                <w:kern w:val="0"/>
                <w:szCs w:val="21"/>
              </w:rPr>
            </w:pPr>
            <w:r>
              <w:rPr>
                <w:rFonts w:ascii="Times New Roman" w:hAnsi="Times New Roman"/>
                <w:spacing w:val="-2"/>
                <w:kern w:val="0"/>
                <w:szCs w:val="21"/>
              </w:rPr>
              <w:t>1</w:t>
            </w:r>
          </w:p>
        </w:tc>
      </w:tr>
      <w:tr w14:paraId="4B8B29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9" w:type="dxa"/>
            <w:vMerge w:val="continue"/>
            <w:vAlign w:val="center"/>
          </w:tcPr>
          <w:p w14:paraId="1B532F4D">
            <w:pPr>
              <w:jc w:val="center"/>
              <w:rPr>
                <w:rFonts w:ascii="Times New Roman" w:hAnsi="Times New Roman"/>
                <w:bCs/>
                <w:spacing w:val="-2"/>
                <w:kern w:val="0"/>
                <w:szCs w:val="21"/>
              </w:rPr>
            </w:pPr>
          </w:p>
        </w:tc>
        <w:tc>
          <w:tcPr>
            <w:tcW w:w="709" w:type="dxa"/>
            <w:vMerge w:val="continue"/>
            <w:vAlign w:val="center"/>
          </w:tcPr>
          <w:p w14:paraId="614A570A">
            <w:pPr>
              <w:jc w:val="center"/>
              <w:rPr>
                <w:rFonts w:ascii="Times New Roman" w:hAnsi="Times New Roman"/>
                <w:spacing w:val="-2"/>
                <w:kern w:val="0"/>
                <w:szCs w:val="21"/>
              </w:rPr>
            </w:pPr>
          </w:p>
        </w:tc>
        <w:tc>
          <w:tcPr>
            <w:tcW w:w="1701" w:type="dxa"/>
            <w:vAlign w:val="center"/>
          </w:tcPr>
          <w:p w14:paraId="7BFA1211">
            <w:pPr>
              <w:jc w:val="center"/>
              <w:rPr>
                <w:rFonts w:ascii="Times New Roman" w:hAnsi="Times New Roman"/>
                <w:spacing w:val="-2"/>
                <w:kern w:val="0"/>
                <w:szCs w:val="21"/>
              </w:rPr>
            </w:pPr>
            <w:r>
              <w:rPr>
                <w:rFonts w:ascii="Times New Roman" w:hAnsi="Times New Roman"/>
                <w:spacing w:val="-2"/>
                <w:kern w:val="0"/>
                <w:szCs w:val="21"/>
              </w:rPr>
              <w:t>危废委托处置</w:t>
            </w:r>
          </w:p>
        </w:tc>
        <w:tc>
          <w:tcPr>
            <w:tcW w:w="3402" w:type="dxa"/>
            <w:vAlign w:val="center"/>
          </w:tcPr>
          <w:p w14:paraId="4394048C">
            <w:pPr>
              <w:jc w:val="center"/>
              <w:rPr>
                <w:rFonts w:ascii="Times New Roman" w:hAnsi="Times New Roman"/>
                <w:spacing w:val="-2"/>
                <w:kern w:val="0"/>
                <w:szCs w:val="21"/>
              </w:rPr>
            </w:pPr>
            <w:r>
              <w:rPr>
                <w:rFonts w:ascii="Times New Roman" w:hAnsi="Times New Roman"/>
                <w:spacing w:val="-2"/>
                <w:kern w:val="0"/>
                <w:szCs w:val="21"/>
              </w:rPr>
              <w:t>委托有资质单位处置</w:t>
            </w:r>
          </w:p>
        </w:tc>
        <w:tc>
          <w:tcPr>
            <w:tcW w:w="1701" w:type="dxa"/>
            <w:vAlign w:val="center"/>
          </w:tcPr>
          <w:p w14:paraId="207F37C4">
            <w:pPr>
              <w:jc w:val="center"/>
              <w:rPr>
                <w:rFonts w:ascii="Times New Roman" w:hAnsi="Times New Roman"/>
                <w:spacing w:val="-2"/>
                <w:kern w:val="0"/>
                <w:szCs w:val="21"/>
              </w:rPr>
            </w:pPr>
            <w:r>
              <w:rPr>
                <w:rFonts w:ascii="Times New Roman" w:hAnsi="Times New Roman"/>
                <w:spacing w:val="-2"/>
                <w:kern w:val="0"/>
                <w:szCs w:val="21"/>
              </w:rPr>
              <w:t>1</w:t>
            </w:r>
          </w:p>
        </w:tc>
      </w:tr>
      <w:tr w14:paraId="03FFEE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9" w:type="dxa"/>
            <w:vMerge w:val="continue"/>
            <w:vAlign w:val="center"/>
          </w:tcPr>
          <w:p w14:paraId="34D44D21">
            <w:pPr>
              <w:jc w:val="center"/>
              <w:rPr>
                <w:rFonts w:ascii="Times New Roman" w:hAnsi="Times New Roman"/>
                <w:bCs/>
                <w:spacing w:val="-2"/>
                <w:kern w:val="0"/>
                <w:szCs w:val="21"/>
              </w:rPr>
            </w:pPr>
          </w:p>
        </w:tc>
        <w:tc>
          <w:tcPr>
            <w:tcW w:w="2410" w:type="dxa"/>
            <w:gridSpan w:val="2"/>
            <w:vAlign w:val="center"/>
          </w:tcPr>
          <w:p w14:paraId="4F9FB145">
            <w:pPr>
              <w:jc w:val="center"/>
              <w:rPr>
                <w:rFonts w:ascii="Times New Roman" w:hAnsi="Times New Roman"/>
                <w:spacing w:val="-2"/>
                <w:kern w:val="0"/>
                <w:szCs w:val="21"/>
              </w:rPr>
            </w:pPr>
            <w:r>
              <w:rPr>
                <w:rFonts w:hint="eastAsia" w:ascii="Times New Roman" w:hAnsi="Times New Roman"/>
                <w:spacing w:val="-2"/>
                <w:kern w:val="0"/>
                <w:szCs w:val="21"/>
              </w:rPr>
              <w:t>地下水</w:t>
            </w:r>
          </w:p>
        </w:tc>
        <w:tc>
          <w:tcPr>
            <w:tcW w:w="3402" w:type="dxa"/>
            <w:vAlign w:val="center"/>
          </w:tcPr>
          <w:p w14:paraId="3C608C71">
            <w:pPr>
              <w:jc w:val="center"/>
              <w:rPr>
                <w:rFonts w:ascii="Times New Roman" w:hAnsi="Times New Roman"/>
                <w:spacing w:val="-2"/>
                <w:kern w:val="0"/>
                <w:szCs w:val="21"/>
              </w:rPr>
            </w:pPr>
            <w:r>
              <w:rPr>
                <w:rFonts w:hint="eastAsia" w:ascii="Times New Roman" w:hAnsi="Times New Roman"/>
                <w:spacing w:val="-2"/>
                <w:kern w:val="0"/>
                <w:szCs w:val="21"/>
              </w:rPr>
              <w:t>分区防渗工程</w:t>
            </w:r>
          </w:p>
        </w:tc>
        <w:tc>
          <w:tcPr>
            <w:tcW w:w="1701" w:type="dxa"/>
            <w:vAlign w:val="center"/>
          </w:tcPr>
          <w:p w14:paraId="5EF8A5DD">
            <w:pPr>
              <w:jc w:val="center"/>
              <w:rPr>
                <w:rFonts w:ascii="Times New Roman" w:hAnsi="Times New Roman"/>
                <w:spacing w:val="-2"/>
                <w:kern w:val="0"/>
                <w:szCs w:val="21"/>
              </w:rPr>
            </w:pPr>
            <w:r>
              <w:rPr>
                <w:rFonts w:hint="eastAsia" w:ascii="Times New Roman" w:hAnsi="Times New Roman"/>
                <w:spacing w:val="-2"/>
                <w:kern w:val="0"/>
                <w:szCs w:val="21"/>
              </w:rPr>
              <w:t>3</w:t>
            </w:r>
          </w:p>
        </w:tc>
      </w:tr>
      <w:tr w14:paraId="06CD71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529" w:type="dxa"/>
            <w:gridSpan w:val="3"/>
            <w:vAlign w:val="center"/>
          </w:tcPr>
          <w:p w14:paraId="0C79B879">
            <w:pPr>
              <w:widowControl/>
              <w:jc w:val="center"/>
              <w:rPr>
                <w:rFonts w:ascii="Times New Roman" w:hAnsi="Times New Roman"/>
                <w:spacing w:val="-2"/>
                <w:kern w:val="0"/>
                <w:szCs w:val="21"/>
              </w:rPr>
            </w:pPr>
            <w:r>
              <w:rPr>
                <w:rFonts w:ascii="Times New Roman" w:hAnsi="Times New Roman"/>
                <w:spacing w:val="-2"/>
                <w:kern w:val="0"/>
                <w:szCs w:val="21"/>
              </w:rPr>
              <w:t>合计</w:t>
            </w:r>
          </w:p>
        </w:tc>
        <w:tc>
          <w:tcPr>
            <w:tcW w:w="3402" w:type="dxa"/>
            <w:vAlign w:val="center"/>
          </w:tcPr>
          <w:p w14:paraId="34A6A6B1">
            <w:pPr>
              <w:widowControl/>
              <w:jc w:val="center"/>
              <w:rPr>
                <w:rFonts w:ascii="Times New Roman" w:hAnsi="Times New Roman"/>
                <w:spacing w:val="-2"/>
                <w:kern w:val="0"/>
                <w:szCs w:val="21"/>
              </w:rPr>
            </w:pPr>
          </w:p>
        </w:tc>
        <w:tc>
          <w:tcPr>
            <w:tcW w:w="1701" w:type="dxa"/>
            <w:vAlign w:val="center"/>
          </w:tcPr>
          <w:p w14:paraId="785598A2">
            <w:pPr>
              <w:widowControl/>
              <w:jc w:val="center"/>
              <w:rPr>
                <w:rFonts w:ascii="Times New Roman" w:hAnsi="Times New Roman"/>
                <w:spacing w:val="-2"/>
                <w:kern w:val="0"/>
                <w:szCs w:val="21"/>
                <w:u w:val="single"/>
              </w:rPr>
            </w:pPr>
            <w:r>
              <w:rPr>
                <w:rFonts w:hint="eastAsia" w:ascii="Times New Roman" w:hAnsi="Times New Roman"/>
                <w:spacing w:val="-2"/>
                <w:kern w:val="0"/>
                <w:szCs w:val="21"/>
                <w:u w:val="single"/>
              </w:rPr>
              <w:t>57</w:t>
            </w:r>
          </w:p>
        </w:tc>
      </w:tr>
    </w:tbl>
    <w:p w14:paraId="12962499">
      <w:pPr>
        <w:spacing w:line="360" w:lineRule="auto"/>
        <w:ind w:firstLine="472" w:firstLineChars="200"/>
        <w:rPr>
          <w:rFonts w:ascii="Times New Roman" w:hAnsi="Times New Roman"/>
          <w:spacing w:val="-2"/>
          <w:kern w:val="0"/>
          <w:sz w:val="24"/>
          <w:szCs w:val="24"/>
        </w:rPr>
      </w:pPr>
    </w:p>
    <w:p w14:paraId="2506B7FB">
      <w:pPr>
        <w:rPr>
          <w:rFonts w:ascii="Times New Roman" w:hAnsi="Times New Roman"/>
          <w:spacing w:val="-2"/>
          <w:kern w:val="0"/>
          <w:szCs w:val="21"/>
        </w:rPr>
        <w:sectPr>
          <w:pgSz w:w="11906" w:h="16838"/>
          <w:pgMar w:top="1418" w:right="1418" w:bottom="1418" w:left="1418" w:header="851" w:footer="992" w:gutter="0"/>
          <w:cols w:space="720" w:num="1"/>
          <w:docGrid w:type="lines" w:linePitch="312" w:charSpace="0"/>
        </w:sectPr>
      </w:pPr>
    </w:p>
    <w:p w14:paraId="0DCCED15">
      <w:pPr>
        <w:pStyle w:val="4"/>
        <w:numPr>
          <w:ilvl w:val="0"/>
          <w:numId w:val="3"/>
        </w:numPr>
      </w:pPr>
      <w:bookmarkStart w:id="295" w:name="_Toc32328"/>
      <w:bookmarkStart w:id="296" w:name="_Toc415564660"/>
      <w:r>
        <w:t>环境影响经济损益分析</w:t>
      </w:r>
      <w:bookmarkEnd w:id="295"/>
    </w:p>
    <w:p w14:paraId="09AFEA64">
      <w:pPr>
        <w:spacing w:line="360" w:lineRule="auto"/>
        <w:ind w:firstLine="482"/>
        <w:rPr>
          <w:rFonts w:ascii="Times New Roman" w:hAnsi="Times New Roman"/>
          <w:spacing w:val="-2"/>
          <w:kern w:val="0"/>
          <w:sz w:val="24"/>
          <w:szCs w:val="24"/>
        </w:rPr>
      </w:pPr>
      <w:bookmarkStart w:id="297" w:name="_Toc410662467"/>
      <w:bookmarkStart w:id="298" w:name="_Toc7310"/>
      <w:r>
        <w:rPr>
          <w:rFonts w:ascii="Times New Roman" w:hAnsi="Times New Roman"/>
          <w:spacing w:val="-2"/>
          <w:kern w:val="0"/>
          <w:sz w:val="24"/>
          <w:szCs w:val="24"/>
        </w:rPr>
        <w:t>环境经济损益分析是环境影响评价的一项重要工作内容，其主要任务是估算建设项目需要投入的环保投资和所能收到的环境保护效果。因此在环境经济损益分析中除需计算用于控制污染所需投资和费用外，还要同时核算可能收到的环境与经济实效。</w:t>
      </w:r>
    </w:p>
    <w:p w14:paraId="3CBFB4CD">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经济效益比较直观，很容易用货币直接计算，而污染影响带来的损失一般是间接的，很难用货币直接计算。因而，环境影响经济具体定量化分析，目前难度还是较大的，多数是采用定性和半定量相结合的方法进行讨论。</w:t>
      </w:r>
    </w:p>
    <w:p w14:paraId="2187F856">
      <w:pPr>
        <w:pStyle w:val="5"/>
        <w:numPr>
          <w:ilvl w:val="1"/>
          <w:numId w:val="3"/>
        </w:numPr>
      </w:pPr>
      <w:bookmarkStart w:id="299" w:name="_Toc15931"/>
      <w:bookmarkStart w:id="300" w:name="_Toc155077059"/>
      <w:r>
        <w:t>经济效益</w:t>
      </w:r>
      <w:bookmarkEnd w:id="299"/>
      <w:bookmarkEnd w:id="300"/>
    </w:p>
    <w:p w14:paraId="784EC93D">
      <w:pPr>
        <w:pStyle w:val="6"/>
        <w:numPr>
          <w:ilvl w:val="2"/>
          <w:numId w:val="3"/>
        </w:numPr>
      </w:pPr>
      <w:r>
        <w:t>直接经济效益</w:t>
      </w:r>
    </w:p>
    <w:p w14:paraId="018B2CBD">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项目总投资300万元，资金来源为企业自筹。项目达到稳定生产后，</w:t>
      </w:r>
      <w:r>
        <w:rPr>
          <w:rFonts w:hint="eastAsia" w:ascii="Times New Roman" w:hAnsi="Times New Roman"/>
          <w:spacing w:val="-2"/>
          <w:kern w:val="0"/>
          <w:sz w:val="24"/>
          <w:szCs w:val="24"/>
        </w:rPr>
        <w:t>年</w:t>
      </w:r>
      <w:r>
        <w:rPr>
          <w:rFonts w:hint="eastAsia" w:ascii="Times New Roman" w:hAnsi="Times New Roman"/>
          <w:spacing w:val="-2"/>
          <w:kern w:val="0"/>
          <w:sz w:val="24"/>
          <w:szCs w:val="24"/>
          <w:u w:val="single"/>
        </w:rPr>
        <w:t>加工分选锆钛矿石24万吨，主产品钛精矿年产约16.5</w:t>
      </w:r>
      <w:r>
        <w:rPr>
          <w:rFonts w:ascii="Times New Roman" w:hAnsi="Times New Roman"/>
          <w:spacing w:val="-2"/>
          <w:kern w:val="0"/>
          <w:sz w:val="24"/>
          <w:szCs w:val="24"/>
          <w:u w:val="single"/>
        </w:rPr>
        <w:t>万吨，</w:t>
      </w:r>
      <w:r>
        <w:rPr>
          <w:rFonts w:hint="eastAsia" w:ascii="Times New Roman" w:hAnsi="Times New Roman"/>
          <w:spacing w:val="-2"/>
          <w:kern w:val="0"/>
          <w:sz w:val="24"/>
          <w:szCs w:val="24"/>
          <w:u w:val="single"/>
        </w:rPr>
        <w:t>副产品</w:t>
      </w:r>
      <w:r>
        <w:rPr>
          <w:rFonts w:ascii="Times New Roman" w:hAnsi="Times New Roman"/>
          <w:spacing w:val="-2"/>
          <w:kern w:val="0"/>
          <w:sz w:val="24"/>
          <w:szCs w:val="24"/>
          <w:u w:val="single"/>
        </w:rPr>
        <w:t>锆中矿年产</w:t>
      </w:r>
      <w:r>
        <w:rPr>
          <w:rFonts w:hint="eastAsia" w:ascii="Times New Roman" w:hAnsi="Times New Roman"/>
          <w:spacing w:val="-2"/>
          <w:kern w:val="0"/>
          <w:sz w:val="24"/>
          <w:szCs w:val="24"/>
          <w:u w:val="single"/>
        </w:rPr>
        <w:t>约7.5</w:t>
      </w:r>
      <w:r>
        <w:rPr>
          <w:rFonts w:ascii="Times New Roman" w:hAnsi="Times New Roman"/>
          <w:spacing w:val="-2"/>
          <w:kern w:val="0"/>
          <w:sz w:val="24"/>
          <w:szCs w:val="24"/>
          <w:u w:val="single"/>
        </w:rPr>
        <w:t>万吨。估算全年产值</w:t>
      </w:r>
      <w:r>
        <w:rPr>
          <w:rFonts w:hint="eastAsia" w:ascii="Times New Roman" w:hAnsi="Times New Roman"/>
          <w:spacing w:val="-2"/>
          <w:kern w:val="0"/>
          <w:sz w:val="24"/>
          <w:szCs w:val="24"/>
          <w:u w:val="single"/>
        </w:rPr>
        <w:t>4.66</w:t>
      </w:r>
      <w:r>
        <w:rPr>
          <w:rFonts w:ascii="Times New Roman" w:hAnsi="Times New Roman"/>
          <w:spacing w:val="-2"/>
          <w:kern w:val="0"/>
          <w:sz w:val="24"/>
          <w:szCs w:val="24"/>
          <w:u w:val="single"/>
        </w:rPr>
        <w:t>亿元，净利润</w:t>
      </w:r>
      <w:r>
        <w:rPr>
          <w:rFonts w:hint="eastAsia" w:ascii="Times New Roman" w:hAnsi="Times New Roman"/>
          <w:spacing w:val="-2"/>
          <w:kern w:val="0"/>
          <w:sz w:val="24"/>
          <w:szCs w:val="24"/>
          <w:u w:val="single"/>
        </w:rPr>
        <w:t>0.248</w:t>
      </w:r>
      <w:r>
        <w:rPr>
          <w:rFonts w:ascii="Times New Roman" w:hAnsi="Times New Roman"/>
          <w:spacing w:val="-2"/>
          <w:kern w:val="0"/>
          <w:sz w:val="24"/>
          <w:szCs w:val="24"/>
          <w:u w:val="single"/>
        </w:rPr>
        <w:t>亿元。</w:t>
      </w:r>
    </w:p>
    <w:p w14:paraId="534000A3">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以上数据表明：项目预期效益较好，具有一定的盈利能力和市场抗风险能力。</w:t>
      </w:r>
    </w:p>
    <w:p w14:paraId="59654CF9">
      <w:pPr>
        <w:pStyle w:val="6"/>
        <w:numPr>
          <w:ilvl w:val="2"/>
          <w:numId w:val="3"/>
        </w:numPr>
      </w:pPr>
      <w:r>
        <w:t>间接经济效益</w:t>
      </w:r>
    </w:p>
    <w:p w14:paraId="1E46D702">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该项目建设有利于钦州港作为国内西南片区有色金属进口口岸的打造，带动钦州港保税区有色金属加工业务。带动区域及周边地区工业、物流、商贸等发展，增加地方就业机会和经济增长。</w:t>
      </w:r>
    </w:p>
    <w:p w14:paraId="1EB32672">
      <w:pPr>
        <w:pStyle w:val="5"/>
        <w:numPr>
          <w:ilvl w:val="1"/>
          <w:numId w:val="3"/>
        </w:numPr>
      </w:pPr>
      <w:bookmarkStart w:id="301" w:name="_Toc18241"/>
      <w:bookmarkStart w:id="302" w:name="_Toc155077060"/>
      <w:r>
        <w:t>社会效益</w:t>
      </w:r>
      <w:bookmarkEnd w:id="301"/>
      <w:bookmarkEnd w:id="302"/>
    </w:p>
    <w:p w14:paraId="59D6982A">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项目建成运营后，社会效益良好，主要体现在以下几个方面：</w:t>
      </w:r>
    </w:p>
    <w:p w14:paraId="1898584E">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（1）项目建成投产后将产生较好的经济效益，增加地方财政收入，增加当地经济实力。</w:t>
      </w:r>
    </w:p>
    <w:p w14:paraId="27806208">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（2）项目的实施，有利于推进综合保税区内加工制造企业承接境内区外委托加工业务，简化综合保税区进出区管理，促进货物便利流转。</w:t>
      </w:r>
    </w:p>
    <w:p w14:paraId="033DA181">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（3）项目有利于钦州港成为国内重要的进口钛矿集群产业链方向发展，为中国钛产业发展提供重要的促进作用。</w:t>
      </w:r>
    </w:p>
    <w:p w14:paraId="6E69881C">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综上所述，该项目的实施具有良好的社会效益。</w:t>
      </w:r>
    </w:p>
    <w:p w14:paraId="6197877E">
      <w:pPr>
        <w:pStyle w:val="5"/>
        <w:numPr>
          <w:ilvl w:val="1"/>
          <w:numId w:val="3"/>
        </w:numPr>
      </w:pPr>
      <w:bookmarkStart w:id="303" w:name="_Toc829"/>
      <w:bookmarkStart w:id="304" w:name="_Toc155077061"/>
      <w:r>
        <w:t>环保效益分析</w:t>
      </w:r>
      <w:bookmarkEnd w:id="303"/>
      <w:bookmarkEnd w:id="304"/>
    </w:p>
    <w:p w14:paraId="0D35DE25">
      <w:pPr>
        <w:pStyle w:val="6"/>
        <w:numPr>
          <w:ilvl w:val="2"/>
          <w:numId w:val="3"/>
        </w:numPr>
      </w:pPr>
      <w:r>
        <w:t>环保设施运行费用估算</w:t>
      </w:r>
    </w:p>
    <w:p w14:paraId="6697DE19">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环境经济分析主要是衡量项目的环保投资所能收到的环境效益。本次评价采用费用—效益分析法对该项目环保设施投资效益进行分析。</w:t>
      </w:r>
    </w:p>
    <w:p w14:paraId="6B3048CF">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项目环保投资包括废气、噪声、固废治理措施以及厂区绿化等费用等，</w:t>
      </w:r>
      <w:r>
        <w:rPr>
          <w:rFonts w:ascii="Times New Roman" w:hAnsi="Times New Roman"/>
          <w:spacing w:val="-2"/>
          <w:kern w:val="0"/>
          <w:sz w:val="24"/>
          <w:szCs w:val="24"/>
          <w:u w:val="single"/>
        </w:rPr>
        <w:t>环保投资</w:t>
      </w:r>
      <w:r>
        <w:rPr>
          <w:rFonts w:hint="eastAsia" w:ascii="Times New Roman" w:hAnsi="Times New Roman"/>
          <w:spacing w:val="-2"/>
          <w:kern w:val="0"/>
          <w:sz w:val="24"/>
          <w:szCs w:val="24"/>
          <w:u w:val="single"/>
        </w:rPr>
        <w:t>57</w:t>
      </w:r>
      <w:r>
        <w:rPr>
          <w:rFonts w:ascii="Times New Roman" w:hAnsi="Times New Roman"/>
          <w:spacing w:val="-2"/>
          <w:kern w:val="0"/>
          <w:sz w:val="24"/>
          <w:szCs w:val="24"/>
          <w:u w:val="single"/>
        </w:rPr>
        <w:t>万元，占项目总投资的1</w:t>
      </w:r>
      <w:r>
        <w:rPr>
          <w:rFonts w:hint="eastAsia" w:ascii="Times New Roman" w:hAnsi="Times New Roman"/>
          <w:spacing w:val="-2"/>
          <w:kern w:val="0"/>
          <w:sz w:val="24"/>
          <w:szCs w:val="24"/>
          <w:u w:val="single"/>
        </w:rPr>
        <w:t>9</w:t>
      </w:r>
      <w:r>
        <w:rPr>
          <w:rFonts w:ascii="Times New Roman" w:hAnsi="Times New Roman"/>
          <w:spacing w:val="-2"/>
          <w:kern w:val="0"/>
          <w:sz w:val="24"/>
          <w:szCs w:val="24"/>
          <w:u w:val="single"/>
        </w:rPr>
        <w:t>%，</w:t>
      </w:r>
      <w:r>
        <w:rPr>
          <w:rFonts w:ascii="Times New Roman" w:hAnsi="Times New Roman"/>
          <w:spacing w:val="-2"/>
          <w:kern w:val="0"/>
          <w:sz w:val="24"/>
          <w:szCs w:val="24"/>
        </w:rPr>
        <w:t>项目采取的环保措施及其投资估算见表5.</w:t>
      </w:r>
      <w:r>
        <w:rPr>
          <w:rFonts w:hint="eastAsia" w:ascii="Times New Roman" w:hAnsi="Times New Roman"/>
          <w:spacing w:val="-2"/>
          <w:kern w:val="0"/>
          <w:sz w:val="24"/>
          <w:szCs w:val="24"/>
        </w:rPr>
        <w:t>7</w:t>
      </w:r>
      <w:r>
        <w:rPr>
          <w:rFonts w:ascii="Times New Roman" w:hAnsi="Times New Roman"/>
          <w:spacing w:val="-2"/>
          <w:kern w:val="0"/>
          <w:sz w:val="24"/>
          <w:szCs w:val="24"/>
        </w:rPr>
        <w:t>-1。本项目建设除对环境工程进行一次性投资外，还包括环保设施运行费、设施折旧费等。</w:t>
      </w:r>
    </w:p>
    <w:p w14:paraId="36662456">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（1）环保设施折旧费C</w:t>
      </w:r>
      <w:r>
        <w:rPr>
          <w:rFonts w:ascii="Times New Roman" w:hAnsi="Times New Roman"/>
          <w:spacing w:val="-2"/>
          <w:kern w:val="0"/>
          <w:sz w:val="24"/>
          <w:szCs w:val="24"/>
          <w:vertAlign w:val="subscript"/>
        </w:rPr>
        <w:t>1</w:t>
      </w:r>
    </w:p>
    <w:p w14:paraId="078CC9E4">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环保设备折旧年限按30年、残值按5%计算，按等值折旧计算其折旧费为：</w:t>
      </w:r>
    </w:p>
    <w:p w14:paraId="3F29F0B7">
      <w:pPr>
        <w:spacing w:line="360" w:lineRule="auto"/>
        <w:ind w:firstLine="482"/>
        <w:jc w:val="center"/>
        <w:rPr>
          <w:rFonts w:ascii="Times New Roman" w:hAnsi="Times New Roman"/>
          <w:spacing w:val="-2"/>
          <w:kern w:val="0"/>
          <w:sz w:val="24"/>
          <w:szCs w:val="24"/>
        </w:rPr>
      </w:pPr>
      <w:r>
        <w:rPr>
          <w:rFonts w:ascii="Times New Roman" w:hAnsi="Times New Roman"/>
          <w:spacing w:val="-2"/>
          <w:kern w:val="0"/>
          <w:sz w:val="24"/>
          <w:szCs w:val="24"/>
        </w:rPr>
        <w:t>C</w:t>
      </w:r>
      <w:r>
        <w:rPr>
          <w:rFonts w:ascii="Times New Roman" w:hAnsi="Times New Roman"/>
          <w:spacing w:val="-2"/>
          <w:kern w:val="0"/>
          <w:sz w:val="24"/>
          <w:szCs w:val="24"/>
          <w:vertAlign w:val="subscript"/>
        </w:rPr>
        <w:t>1</w:t>
      </w:r>
      <w:r>
        <w:rPr>
          <w:rFonts w:ascii="Times New Roman" w:hAnsi="Times New Roman"/>
          <w:spacing w:val="-2"/>
          <w:kern w:val="0"/>
          <w:sz w:val="24"/>
          <w:szCs w:val="24"/>
        </w:rPr>
        <w:t>=α(1-β)/n</w:t>
      </w:r>
    </w:p>
    <w:p w14:paraId="470481DC">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式中：</w:t>
      </w:r>
    </w:p>
    <w:p w14:paraId="12F6A58C">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α——</w:t>
      </w:r>
      <w:r>
        <w:rPr>
          <w:rFonts w:ascii="Times New Roman" w:hAnsi="Times New Roman"/>
          <w:spacing w:val="-2"/>
          <w:kern w:val="0"/>
          <w:sz w:val="24"/>
          <w:szCs w:val="24"/>
          <w:u w:val="single"/>
        </w:rPr>
        <w:t>环保设施投资费用</w:t>
      </w:r>
      <w:r>
        <w:rPr>
          <w:rFonts w:hint="eastAsia" w:ascii="Times New Roman" w:hAnsi="Times New Roman"/>
          <w:spacing w:val="-2"/>
          <w:kern w:val="0"/>
          <w:sz w:val="24"/>
          <w:szCs w:val="24"/>
          <w:u w:val="single"/>
        </w:rPr>
        <w:t>57</w:t>
      </w:r>
      <w:r>
        <w:rPr>
          <w:rFonts w:ascii="Times New Roman" w:hAnsi="Times New Roman"/>
          <w:spacing w:val="-2"/>
          <w:kern w:val="0"/>
          <w:sz w:val="24"/>
          <w:szCs w:val="24"/>
          <w:u w:val="single"/>
        </w:rPr>
        <w:t>万元。</w:t>
      </w:r>
    </w:p>
    <w:p w14:paraId="1B39B06C">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β——残值率。</w:t>
      </w:r>
    </w:p>
    <w:p w14:paraId="0F31DA6E">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n——设备折旧年限。</w:t>
      </w:r>
    </w:p>
    <w:p w14:paraId="06957479">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由上式计算出</w:t>
      </w:r>
      <w:r>
        <w:rPr>
          <w:rFonts w:ascii="Times New Roman" w:hAnsi="Times New Roman"/>
          <w:spacing w:val="-2"/>
          <w:kern w:val="0"/>
          <w:sz w:val="24"/>
          <w:szCs w:val="24"/>
          <w:u w:val="single"/>
        </w:rPr>
        <w:t>环保设备折旧费</w:t>
      </w:r>
      <w:r>
        <w:rPr>
          <w:rFonts w:hint="eastAsia" w:ascii="Times New Roman" w:hAnsi="Times New Roman"/>
          <w:spacing w:val="-2"/>
          <w:kern w:val="0"/>
          <w:sz w:val="24"/>
          <w:szCs w:val="24"/>
          <w:u w:val="single"/>
        </w:rPr>
        <w:t>1.81</w:t>
      </w:r>
      <w:r>
        <w:rPr>
          <w:rFonts w:ascii="Times New Roman" w:hAnsi="Times New Roman"/>
          <w:spacing w:val="-2"/>
          <w:kern w:val="0"/>
          <w:sz w:val="24"/>
          <w:szCs w:val="24"/>
          <w:u w:val="single"/>
        </w:rPr>
        <w:t>万元/年。</w:t>
      </w:r>
    </w:p>
    <w:p w14:paraId="2EA1F683">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（2）运行费用C</w:t>
      </w:r>
      <w:r>
        <w:rPr>
          <w:rFonts w:ascii="Times New Roman" w:hAnsi="Times New Roman"/>
          <w:spacing w:val="-2"/>
          <w:kern w:val="0"/>
          <w:sz w:val="24"/>
          <w:szCs w:val="24"/>
          <w:vertAlign w:val="subscript"/>
        </w:rPr>
        <w:t>2</w:t>
      </w:r>
    </w:p>
    <w:p w14:paraId="167ACE0B">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包括设备材料消耗费、环保人员工资福利费、科研咨询费、管理费等。设备材料消耗主要是电力，其他材料消耗较少，估算费用约为4万元/年；环保人员工资及附加费按</w:t>
      </w:r>
      <w:r>
        <w:rPr>
          <w:rFonts w:hint="eastAsia" w:ascii="Times New Roman" w:hAnsi="Times New Roman"/>
          <w:spacing w:val="-2"/>
          <w:kern w:val="0"/>
          <w:sz w:val="24"/>
          <w:szCs w:val="24"/>
        </w:rPr>
        <w:t>6</w:t>
      </w:r>
      <w:r>
        <w:rPr>
          <w:rFonts w:ascii="Times New Roman" w:hAnsi="Times New Roman"/>
          <w:spacing w:val="-2"/>
          <w:kern w:val="0"/>
          <w:sz w:val="24"/>
          <w:szCs w:val="24"/>
        </w:rPr>
        <w:t>万元/人•年计算，环保科设</w:t>
      </w:r>
      <w:r>
        <w:rPr>
          <w:rFonts w:hint="eastAsia" w:ascii="Times New Roman" w:hAnsi="Times New Roman"/>
          <w:spacing w:val="-2"/>
          <w:kern w:val="0"/>
          <w:sz w:val="24"/>
          <w:szCs w:val="24"/>
        </w:rPr>
        <w:t>1</w:t>
      </w:r>
      <w:r>
        <w:rPr>
          <w:rFonts w:ascii="Times New Roman" w:hAnsi="Times New Roman"/>
          <w:spacing w:val="-2"/>
          <w:kern w:val="0"/>
          <w:sz w:val="24"/>
          <w:szCs w:val="24"/>
        </w:rPr>
        <w:t>名专职环保人员，工资费用为</w:t>
      </w:r>
      <w:r>
        <w:rPr>
          <w:rFonts w:hint="eastAsia" w:ascii="Times New Roman" w:hAnsi="Times New Roman"/>
          <w:spacing w:val="-2"/>
          <w:kern w:val="0"/>
          <w:sz w:val="24"/>
          <w:szCs w:val="24"/>
        </w:rPr>
        <w:t>6</w:t>
      </w:r>
      <w:r>
        <w:rPr>
          <w:rFonts w:ascii="Times New Roman" w:hAnsi="Times New Roman"/>
          <w:spacing w:val="-2"/>
          <w:kern w:val="0"/>
          <w:sz w:val="24"/>
          <w:szCs w:val="24"/>
        </w:rPr>
        <w:t>万元/年。</w:t>
      </w:r>
    </w:p>
    <w:p w14:paraId="003F364B">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所以，拟建工程的运行费用为4+6=10万元/年。</w:t>
      </w:r>
    </w:p>
    <w:p w14:paraId="14129ADD">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（3）环保设施维修费C</w:t>
      </w:r>
      <w:r>
        <w:rPr>
          <w:rFonts w:ascii="Times New Roman" w:hAnsi="Times New Roman"/>
          <w:spacing w:val="-2"/>
          <w:kern w:val="0"/>
          <w:sz w:val="24"/>
          <w:szCs w:val="24"/>
          <w:vertAlign w:val="subscript"/>
        </w:rPr>
        <w:t>3</w:t>
      </w:r>
    </w:p>
    <w:p w14:paraId="28CBCBEE">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环保设施维修费，按环保设施投资的3%计，</w:t>
      </w:r>
      <w:r>
        <w:rPr>
          <w:rFonts w:ascii="Times New Roman" w:hAnsi="Times New Roman"/>
          <w:spacing w:val="-2"/>
          <w:kern w:val="0"/>
          <w:sz w:val="24"/>
          <w:szCs w:val="24"/>
          <w:u w:val="single"/>
        </w:rPr>
        <w:t>每年用于环保设施维修费</w:t>
      </w:r>
      <w:r>
        <w:rPr>
          <w:rFonts w:hint="eastAsia" w:ascii="Times New Roman" w:hAnsi="Times New Roman"/>
          <w:spacing w:val="-2"/>
          <w:kern w:val="0"/>
          <w:sz w:val="24"/>
          <w:szCs w:val="24"/>
          <w:u w:val="single"/>
        </w:rPr>
        <w:t>1.71</w:t>
      </w:r>
      <w:r>
        <w:rPr>
          <w:rFonts w:ascii="Times New Roman" w:hAnsi="Times New Roman"/>
          <w:spacing w:val="-2"/>
          <w:kern w:val="0"/>
          <w:sz w:val="24"/>
          <w:szCs w:val="24"/>
          <w:u w:val="single"/>
        </w:rPr>
        <w:t>万元。</w:t>
      </w:r>
    </w:p>
    <w:p w14:paraId="2D5B41C9">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总计：本项目每年环保设施运行费用总计为</w:t>
      </w:r>
      <w:r>
        <w:rPr>
          <w:rFonts w:hint="eastAsia" w:ascii="Times New Roman" w:hAnsi="Times New Roman"/>
          <w:spacing w:val="-2"/>
          <w:kern w:val="0"/>
          <w:sz w:val="24"/>
          <w:szCs w:val="24"/>
        </w:rPr>
        <w:t>13.52</w:t>
      </w:r>
      <w:r>
        <w:rPr>
          <w:rFonts w:ascii="Times New Roman" w:hAnsi="Times New Roman"/>
          <w:spacing w:val="-2"/>
          <w:kern w:val="0"/>
          <w:sz w:val="24"/>
          <w:szCs w:val="24"/>
        </w:rPr>
        <w:t>万元，见表6.3-1。</w:t>
      </w:r>
    </w:p>
    <w:p w14:paraId="20F77D49">
      <w:pPr>
        <w:pStyle w:val="8"/>
        <w:numPr>
          <w:ilvl w:val="4"/>
          <w:numId w:val="3"/>
        </w:numPr>
        <w:rPr>
          <w:sz w:val="24"/>
          <w:szCs w:val="24"/>
        </w:rPr>
      </w:pPr>
      <w:r>
        <w:rPr>
          <w:rFonts w:hint="eastAsia"/>
          <w:sz w:val="24"/>
          <w:szCs w:val="24"/>
          <w:lang w:eastAsia="zh-CN"/>
        </w:rPr>
        <w:t>保障</w:t>
      </w:r>
      <w:r>
        <w:rPr>
          <w:sz w:val="24"/>
          <w:szCs w:val="24"/>
        </w:rPr>
        <w:t>设施运行费用估算表</w:t>
      </w:r>
    </w:p>
    <w:tbl>
      <w:tblPr>
        <w:tblStyle w:val="88"/>
        <w:tblW w:w="9012"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459"/>
        <w:gridCol w:w="3920"/>
        <w:gridCol w:w="3633"/>
      </w:tblGrid>
      <w:tr w14:paraId="732D3A4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blHeader/>
          <w:jc w:val="center"/>
        </w:trPr>
        <w:tc>
          <w:tcPr>
            <w:tcW w:w="1459" w:type="dxa"/>
            <w:vAlign w:val="center"/>
          </w:tcPr>
          <w:p w14:paraId="518E1503">
            <w:pPr>
              <w:spacing w:line="360" w:lineRule="exact"/>
              <w:jc w:val="center"/>
              <w:rPr>
                <w:rFonts w:ascii="Times New Roman" w:hAnsi="Times New Roman"/>
                <w:b/>
                <w:szCs w:val="21"/>
              </w:rPr>
            </w:pPr>
            <w:r>
              <w:rPr>
                <w:rFonts w:ascii="Times New Roman" w:hAnsi="Times New Roman"/>
                <w:b/>
                <w:szCs w:val="21"/>
              </w:rPr>
              <w:t>序号</w:t>
            </w:r>
          </w:p>
        </w:tc>
        <w:tc>
          <w:tcPr>
            <w:tcW w:w="3920" w:type="dxa"/>
            <w:vAlign w:val="center"/>
          </w:tcPr>
          <w:p w14:paraId="52C8F678">
            <w:pPr>
              <w:spacing w:line="360" w:lineRule="exact"/>
              <w:jc w:val="center"/>
              <w:rPr>
                <w:rFonts w:ascii="Times New Roman" w:hAnsi="Times New Roman"/>
                <w:b/>
                <w:szCs w:val="21"/>
              </w:rPr>
            </w:pPr>
            <w:r>
              <w:rPr>
                <w:rFonts w:ascii="Times New Roman" w:hAnsi="Times New Roman"/>
                <w:b/>
                <w:szCs w:val="21"/>
              </w:rPr>
              <w:t>项目</w:t>
            </w:r>
          </w:p>
        </w:tc>
        <w:tc>
          <w:tcPr>
            <w:tcW w:w="3633" w:type="dxa"/>
            <w:vAlign w:val="center"/>
          </w:tcPr>
          <w:p w14:paraId="02A44665">
            <w:pPr>
              <w:spacing w:line="360" w:lineRule="exact"/>
              <w:jc w:val="center"/>
              <w:rPr>
                <w:rFonts w:ascii="Times New Roman" w:hAnsi="Times New Roman"/>
                <w:b/>
                <w:szCs w:val="21"/>
              </w:rPr>
            </w:pPr>
            <w:r>
              <w:rPr>
                <w:rFonts w:ascii="Times New Roman" w:hAnsi="Times New Roman"/>
                <w:b/>
                <w:szCs w:val="21"/>
              </w:rPr>
              <w:t>环境保护费用（万元/年）</w:t>
            </w:r>
          </w:p>
        </w:tc>
      </w:tr>
      <w:tr w14:paraId="435E9C6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59" w:type="dxa"/>
            <w:vAlign w:val="center"/>
          </w:tcPr>
          <w:p w14:paraId="2921885E">
            <w:pPr>
              <w:spacing w:line="360" w:lineRule="exact"/>
              <w:jc w:val="center"/>
              <w:rPr>
                <w:rFonts w:ascii="Times New Roman" w:hAnsi="Times New Roman"/>
                <w:szCs w:val="21"/>
              </w:rPr>
            </w:pPr>
            <w:r>
              <w:rPr>
                <w:rFonts w:ascii="Times New Roman" w:hAnsi="Times New Roman"/>
                <w:szCs w:val="21"/>
              </w:rPr>
              <w:t>1</w:t>
            </w:r>
          </w:p>
        </w:tc>
        <w:tc>
          <w:tcPr>
            <w:tcW w:w="3920" w:type="dxa"/>
            <w:vAlign w:val="center"/>
          </w:tcPr>
          <w:p w14:paraId="06794F26">
            <w:pPr>
              <w:pStyle w:val="31"/>
              <w:spacing w:line="360" w:lineRule="exact"/>
              <w:jc w:val="center"/>
              <w:rPr>
                <w:rFonts w:ascii="Times New Roman" w:hAnsi="Times New Roman"/>
                <w:sz w:val="21"/>
                <w:szCs w:val="21"/>
              </w:rPr>
            </w:pPr>
            <w:r>
              <w:rPr>
                <w:rFonts w:ascii="Times New Roman" w:hAnsi="Times New Roman"/>
                <w:sz w:val="21"/>
                <w:szCs w:val="21"/>
              </w:rPr>
              <w:t>环保设施折旧费</w:t>
            </w:r>
          </w:p>
        </w:tc>
        <w:tc>
          <w:tcPr>
            <w:tcW w:w="3633" w:type="dxa"/>
            <w:vAlign w:val="center"/>
          </w:tcPr>
          <w:p w14:paraId="76DE25D7">
            <w:pPr>
              <w:pStyle w:val="31"/>
              <w:spacing w:line="360" w:lineRule="exact"/>
              <w:jc w:val="center"/>
              <w:rPr>
                <w:rFonts w:ascii="Times New Roman" w:hAnsi="Times New Roman"/>
                <w:sz w:val="21"/>
                <w:szCs w:val="21"/>
                <w:u w:val="single"/>
              </w:rPr>
            </w:pPr>
            <w:r>
              <w:rPr>
                <w:rFonts w:hint="eastAsia" w:ascii="Times New Roman" w:hAnsi="Times New Roman"/>
                <w:bCs/>
                <w:sz w:val="21"/>
                <w:szCs w:val="21"/>
                <w:u w:val="single"/>
              </w:rPr>
              <w:t>1.81</w:t>
            </w:r>
          </w:p>
        </w:tc>
      </w:tr>
      <w:tr w14:paraId="7F56EDE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59" w:type="dxa"/>
            <w:vAlign w:val="center"/>
          </w:tcPr>
          <w:p w14:paraId="1FA3A3B1">
            <w:pPr>
              <w:spacing w:line="360" w:lineRule="exact"/>
              <w:jc w:val="center"/>
              <w:rPr>
                <w:rFonts w:ascii="Times New Roman" w:hAnsi="Times New Roman"/>
                <w:szCs w:val="21"/>
              </w:rPr>
            </w:pPr>
            <w:r>
              <w:rPr>
                <w:rFonts w:ascii="Times New Roman" w:hAnsi="Times New Roman"/>
                <w:szCs w:val="21"/>
              </w:rPr>
              <w:t>2</w:t>
            </w:r>
          </w:p>
        </w:tc>
        <w:tc>
          <w:tcPr>
            <w:tcW w:w="3920" w:type="dxa"/>
            <w:vAlign w:val="center"/>
          </w:tcPr>
          <w:p w14:paraId="63CB8993">
            <w:pPr>
              <w:pStyle w:val="31"/>
              <w:spacing w:line="360" w:lineRule="exact"/>
              <w:jc w:val="center"/>
              <w:rPr>
                <w:rFonts w:ascii="Times New Roman" w:hAnsi="Times New Roman"/>
                <w:sz w:val="21"/>
                <w:szCs w:val="21"/>
              </w:rPr>
            </w:pPr>
            <w:r>
              <w:rPr>
                <w:rFonts w:ascii="Times New Roman" w:hAnsi="Times New Roman"/>
                <w:sz w:val="21"/>
                <w:szCs w:val="21"/>
              </w:rPr>
              <w:t>环保设施运行费</w:t>
            </w:r>
          </w:p>
        </w:tc>
        <w:tc>
          <w:tcPr>
            <w:tcW w:w="3633" w:type="dxa"/>
            <w:vAlign w:val="center"/>
          </w:tcPr>
          <w:p w14:paraId="1269C929">
            <w:pPr>
              <w:pStyle w:val="31"/>
              <w:spacing w:line="360" w:lineRule="exact"/>
              <w:jc w:val="center"/>
              <w:rPr>
                <w:rFonts w:ascii="Times New Roman" w:hAnsi="Times New Roman"/>
                <w:sz w:val="21"/>
                <w:szCs w:val="21"/>
                <w:u w:val="single"/>
              </w:rPr>
            </w:pPr>
            <w:r>
              <w:rPr>
                <w:rFonts w:ascii="Times New Roman" w:hAnsi="Times New Roman"/>
                <w:bCs/>
                <w:sz w:val="21"/>
                <w:szCs w:val="21"/>
                <w:u w:val="single"/>
              </w:rPr>
              <w:t>10.00</w:t>
            </w:r>
          </w:p>
        </w:tc>
      </w:tr>
      <w:tr w14:paraId="73D098B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59" w:type="dxa"/>
            <w:vAlign w:val="center"/>
          </w:tcPr>
          <w:p w14:paraId="44F29A9A">
            <w:pPr>
              <w:spacing w:line="360" w:lineRule="exact"/>
              <w:jc w:val="center"/>
              <w:rPr>
                <w:rFonts w:ascii="Times New Roman" w:hAnsi="Times New Roman"/>
                <w:szCs w:val="21"/>
              </w:rPr>
            </w:pPr>
            <w:r>
              <w:rPr>
                <w:rFonts w:ascii="Times New Roman" w:hAnsi="Times New Roman"/>
                <w:szCs w:val="21"/>
              </w:rPr>
              <w:t>3</w:t>
            </w:r>
          </w:p>
        </w:tc>
        <w:tc>
          <w:tcPr>
            <w:tcW w:w="3920" w:type="dxa"/>
            <w:vAlign w:val="center"/>
          </w:tcPr>
          <w:p w14:paraId="2A21E960">
            <w:pPr>
              <w:pStyle w:val="31"/>
              <w:spacing w:line="360" w:lineRule="exact"/>
              <w:jc w:val="center"/>
              <w:rPr>
                <w:rFonts w:ascii="Times New Roman" w:hAnsi="Times New Roman"/>
                <w:sz w:val="21"/>
                <w:szCs w:val="21"/>
              </w:rPr>
            </w:pPr>
            <w:r>
              <w:rPr>
                <w:rFonts w:ascii="Times New Roman" w:hAnsi="Times New Roman"/>
                <w:sz w:val="21"/>
                <w:szCs w:val="21"/>
              </w:rPr>
              <w:t>环保设施维修费</w:t>
            </w:r>
          </w:p>
        </w:tc>
        <w:tc>
          <w:tcPr>
            <w:tcW w:w="3633" w:type="dxa"/>
            <w:vAlign w:val="center"/>
          </w:tcPr>
          <w:p w14:paraId="7202E323">
            <w:pPr>
              <w:pStyle w:val="31"/>
              <w:spacing w:line="360" w:lineRule="exact"/>
              <w:jc w:val="center"/>
              <w:rPr>
                <w:rFonts w:ascii="Times New Roman" w:hAnsi="Times New Roman"/>
                <w:sz w:val="21"/>
                <w:szCs w:val="21"/>
                <w:u w:val="single"/>
              </w:rPr>
            </w:pPr>
            <w:r>
              <w:rPr>
                <w:rFonts w:hint="eastAsia" w:ascii="Times New Roman" w:hAnsi="Times New Roman"/>
                <w:sz w:val="21"/>
                <w:szCs w:val="21"/>
                <w:u w:val="single"/>
              </w:rPr>
              <w:t>1.71</w:t>
            </w:r>
          </w:p>
        </w:tc>
      </w:tr>
      <w:tr w14:paraId="04187BE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379" w:type="dxa"/>
            <w:gridSpan w:val="2"/>
            <w:vAlign w:val="center"/>
          </w:tcPr>
          <w:p w14:paraId="247EBC8F">
            <w:pPr>
              <w:pStyle w:val="31"/>
              <w:spacing w:line="360" w:lineRule="exact"/>
              <w:jc w:val="center"/>
              <w:rPr>
                <w:rFonts w:ascii="Times New Roman" w:hAnsi="Times New Roman"/>
                <w:sz w:val="21"/>
                <w:szCs w:val="21"/>
              </w:rPr>
            </w:pPr>
            <w:r>
              <w:rPr>
                <w:rFonts w:ascii="Times New Roman" w:hAnsi="Times New Roman"/>
                <w:sz w:val="21"/>
                <w:szCs w:val="21"/>
              </w:rPr>
              <w:t>合计</w:t>
            </w:r>
          </w:p>
        </w:tc>
        <w:tc>
          <w:tcPr>
            <w:tcW w:w="3633" w:type="dxa"/>
            <w:vAlign w:val="center"/>
          </w:tcPr>
          <w:p w14:paraId="2D146FF9">
            <w:pPr>
              <w:pStyle w:val="31"/>
              <w:spacing w:line="360" w:lineRule="exact"/>
              <w:jc w:val="center"/>
              <w:rPr>
                <w:rFonts w:ascii="Times New Roman" w:hAnsi="Times New Roman"/>
                <w:sz w:val="21"/>
                <w:szCs w:val="21"/>
                <w:u w:val="single"/>
              </w:rPr>
            </w:pPr>
            <w:r>
              <w:rPr>
                <w:rFonts w:hint="eastAsia" w:ascii="Times New Roman" w:hAnsi="Times New Roman"/>
                <w:sz w:val="21"/>
                <w:szCs w:val="21"/>
                <w:u w:val="single"/>
              </w:rPr>
              <w:t>13.52</w:t>
            </w:r>
          </w:p>
        </w:tc>
      </w:tr>
    </w:tbl>
    <w:p w14:paraId="444C31BC">
      <w:pPr>
        <w:pStyle w:val="6"/>
        <w:numPr>
          <w:ilvl w:val="2"/>
          <w:numId w:val="3"/>
        </w:numPr>
      </w:pPr>
      <w:r>
        <w:t>污染减排环境效益</w:t>
      </w:r>
    </w:p>
    <w:p w14:paraId="3A1CCD24">
      <w:pPr>
        <w:pStyle w:val="7"/>
        <w:numPr>
          <w:ilvl w:val="3"/>
          <w:numId w:val="3"/>
        </w:numPr>
      </w:pPr>
      <w:r>
        <w:t>环保投资</w:t>
      </w:r>
    </w:p>
    <w:p w14:paraId="7DF6C1BB">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项目环保投资包括废气治理、废水治理、噪声治理、固废防治措施等。经估算，</w:t>
      </w:r>
      <w:r>
        <w:rPr>
          <w:rFonts w:ascii="Times New Roman" w:hAnsi="Times New Roman"/>
          <w:spacing w:val="-2"/>
          <w:kern w:val="0"/>
          <w:sz w:val="24"/>
          <w:szCs w:val="24"/>
          <w:u w:val="single"/>
        </w:rPr>
        <w:t>环保投资</w:t>
      </w:r>
      <w:r>
        <w:rPr>
          <w:rFonts w:hint="eastAsia" w:ascii="Times New Roman" w:hAnsi="Times New Roman"/>
          <w:spacing w:val="-2"/>
          <w:kern w:val="0"/>
          <w:sz w:val="24"/>
          <w:szCs w:val="24"/>
          <w:u w:val="single"/>
        </w:rPr>
        <w:t>57</w:t>
      </w:r>
      <w:r>
        <w:rPr>
          <w:rFonts w:ascii="Times New Roman" w:hAnsi="Times New Roman"/>
          <w:spacing w:val="-2"/>
          <w:kern w:val="0"/>
          <w:sz w:val="24"/>
          <w:szCs w:val="24"/>
          <w:u w:val="single"/>
        </w:rPr>
        <w:t>万元，占总投资300万元的</w:t>
      </w:r>
      <w:r>
        <w:rPr>
          <w:rFonts w:hint="eastAsia" w:ascii="Times New Roman" w:hAnsi="Times New Roman"/>
          <w:spacing w:val="-2"/>
          <w:kern w:val="0"/>
          <w:sz w:val="24"/>
          <w:szCs w:val="24"/>
          <w:u w:val="single"/>
        </w:rPr>
        <w:t>19</w:t>
      </w:r>
      <w:r>
        <w:rPr>
          <w:rFonts w:ascii="Times New Roman" w:hAnsi="Times New Roman"/>
          <w:spacing w:val="-2"/>
          <w:kern w:val="0"/>
          <w:sz w:val="24"/>
          <w:szCs w:val="24"/>
          <w:u w:val="single"/>
        </w:rPr>
        <w:t>%。</w:t>
      </w:r>
      <w:r>
        <w:rPr>
          <w:rFonts w:ascii="Times New Roman" w:hAnsi="Times New Roman"/>
          <w:spacing w:val="-2"/>
          <w:kern w:val="0"/>
          <w:sz w:val="24"/>
          <w:szCs w:val="24"/>
        </w:rPr>
        <w:t>项目在环境保护方面投入的资金较合理，治理力度较大，可带来一定的环境效益。</w:t>
      </w:r>
    </w:p>
    <w:p w14:paraId="7E731319">
      <w:pPr>
        <w:pStyle w:val="7"/>
        <w:numPr>
          <w:ilvl w:val="3"/>
          <w:numId w:val="3"/>
        </w:numPr>
      </w:pPr>
      <w:r>
        <w:t>项目采取环保措施所获得的经济效益</w:t>
      </w:r>
    </w:p>
    <w:p w14:paraId="1FB0A324">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环境保护的投资，减少了污染物的排放，直接减少了环境保护税的缴纳，同时还取得间接的环境效益。减少环境保护税费用根据《</w:t>
      </w:r>
      <w:bookmarkStart w:id="305" w:name="OLE_LINK23"/>
      <w:r>
        <w:rPr>
          <w:rFonts w:ascii="Times New Roman" w:hAnsi="Times New Roman"/>
          <w:spacing w:val="-2"/>
          <w:kern w:val="0"/>
          <w:sz w:val="24"/>
          <w:szCs w:val="24"/>
        </w:rPr>
        <w:t>中华人民共和国环境保护税法</w:t>
      </w:r>
      <w:bookmarkEnd w:id="305"/>
      <w:r>
        <w:rPr>
          <w:rFonts w:ascii="Times New Roman" w:hAnsi="Times New Roman"/>
          <w:spacing w:val="-2"/>
          <w:kern w:val="0"/>
          <w:sz w:val="24"/>
          <w:szCs w:val="24"/>
        </w:rPr>
        <w:t>》（2018年1月1日实施）和《广西壮族自治区人民代表大会常务委员会关于大气污染物和水污染物环境保护税适用税额的决定》（2018年1月1日实施）进行估算。</w:t>
      </w:r>
    </w:p>
    <w:p w14:paraId="566F55B2">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（1） 应税大气污染物、水污染物的污染当量数，以该污染物的排放量除以该污染物的污染当量值计算；应税固体废物的应纳税额为固体废物排放量乘以具体适用税额。</w:t>
      </w:r>
    </w:p>
    <w:p w14:paraId="083781A8">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2）每一排放口或者没有排放口的应税大气污染物，按照污染当量数从大到小排序，对前三项污染物征收环境保护税。每一排放口的应税水污染物，区分第一类水污染物和其他类水污染物，按照污染当量数从大到小排序，对第一类水污染物按照前五项征收环境保护税，对其他类水污染物按照前三项征收环境保护税。</w:t>
      </w:r>
    </w:p>
    <w:p w14:paraId="5475C466">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3）纳税人排放应税大气污染物或者水污染物的浓度值低于国家和地方规定的污染物排放标准30%的，减按75%征收环境保护税。纳税人排放应税大气污染物或者水污染物的浓度值低于国家和地方规定的污染物排放标准50%的，减按50%征收环境保护税。</w:t>
      </w:r>
    </w:p>
    <w:p w14:paraId="44FC6A00">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（4）广西壮族自治区大气污染物环境保护税适用税额为每污染当量1.8元；水污染物环境保护税适用税额为每污染当量2.8元。</w:t>
      </w:r>
    </w:p>
    <w:p w14:paraId="227B5FE3">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（5）固体废物税额对应《环境保护税税目税额表》中其他固体废物（含半固体、液态废物）每吨征收税额25元，危险废物每吨征收税额1000元。</w:t>
      </w:r>
    </w:p>
    <w:p w14:paraId="721A51CA">
      <w:pPr>
        <w:pStyle w:val="8"/>
        <w:numPr>
          <w:ilvl w:val="4"/>
          <w:numId w:val="3"/>
        </w:numPr>
        <w:rPr>
          <w:sz w:val="24"/>
          <w:szCs w:val="24"/>
        </w:rPr>
      </w:pPr>
      <w:r>
        <w:rPr>
          <w:sz w:val="24"/>
          <w:szCs w:val="24"/>
        </w:rPr>
        <w:t>项目主要污染物综合环境效益当量</w:t>
      </w:r>
    </w:p>
    <w:tbl>
      <w:tblPr>
        <w:tblStyle w:val="88"/>
        <w:tblW w:w="928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34"/>
        <w:gridCol w:w="809"/>
        <w:gridCol w:w="738"/>
        <w:gridCol w:w="940"/>
        <w:gridCol w:w="1011"/>
        <w:gridCol w:w="1011"/>
        <w:gridCol w:w="1303"/>
        <w:gridCol w:w="1449"/>
        <w:gridCol w:w="1293"/>
      </w:tblGrid>
      <w:tr w14:paraId="5B5042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734" w:type="dxa"/>
            <w:shd w:val="clear" w:color="auto" w:fill="auto"/>
            <w:vAlign w:val="center"/>
          </w:tcPr>
          <w:p w14:paraId="76C0B9C6">
            <w:pPr>
              <w:widowControl/>
              <w:spacing w:line="360" w:lineRule="exact"/>
              <w:jc w:val="center"/>
              <w:rPr>
                <w:rFonts w:ascii="Times New Roman" w:hAnsi="Times New Roman"/>
                <w:b/>
                <w:bCs/>
                <w:szCs w:val="21"/>
              </w:rPr>
            </w:pPr>
            <w:r>
              <w:rPr>
                <w:rFonts w:ascii="Times New Roman" w:hAnsi="Times New Roman"/>
                <w:b/>
                <w:bCs/>
                <w:szCs w:val="21"/>
              </w:rPr>
              <w:t>类别</w:t>
            </w:r>
          </w:p>
        </w:tc>
        <w:tc>
          <w:tcPr>
            <w:tcW w:w="809" w:type="dxa"/>
            <w:shd w:val="clear" w:color="auto" w:fill="auto"/>
            <w:vAlign w:val="center"/>
          </w:tcPr>
          <w:p w14:paraId="5AA3E9D3">
            <w:pPr>
              <w:widowControl/>
              <w:spacing w:line="360" w:lineRule="exact"/>
              <w:jc w:val="center"/>
              <w:rPr>
                <w:rFonts w:ascii="Times New Roman" w:hAnsi="Times New Roman"/>
                <w:b/>
                <w:bCs/>
                <w:szCs w:val="21"/>
              </w:rPr>
            </w:pPr>
            <w:r>
              <w:rPr>
                <w:rFonts w:ascii="Times New Roman" w:hAnsi="Times New Roman"/>
                <w:b/>
                <w:bCs/>
                <w:szCs w:val="21"/>
              </w:rPr>
              <w:t>污染因子</w:t>
            </w:r>
          </w:p>
        </w:tc>
        <w:tc>
          <w:tcPr>
            <w:tcW w:w="738" w:type="dxa"/>
            <w:shd w:val="clear" w:color="auto" w:fill="auto"/>
            <w:vAlign w:val="center"/>
          </w:tcPr>
          <w:p w14:paraId="5D4E1818">
            <w:pPr>
              <w:widowControl/>
              <w:spacing w:line="360" w:lineRule="exact"/>
              <w:jc w:val="center"/>
              <w:rPr>
                <w:rFonts w:ascii="Times New Roman" w:hAnsi="Times New Roman"/>
                <w:b/>
                <w:bCs/>
                <w:szCs w:val="21"/>
              </w:rPr>
            </w:pPr>
            <w:r>
              <w:rPr>
                <w:rFonts w:ascii="Times New Roman" w:hAnsi="Times New Roman"/>
                <w:b/>
                <w:bCs/>
                <w:szCs w:val="21"/>
              </w:rPr>
              <w:t>单位</w:t>
            </w:r>
          </w:p>
        </w:tc>
        <w:tc>
          <w:tcPr>
            <w:tcW w:w="940" w:type="dxa"/>
            <w:shd w:val="clear" w:color="auto" w:fill="auto"/>
            <w:vAlign w:val="center"/>
          </w:tcPr>
          <w:p w14:paraId="17FF45C2">
            <w:pPr>
              <w:widowControl/>
              <w:spacing w:line="360" w:lineRule="exact"/>
              <w:jc w:val="center"/>
              <w:rPr>
                <w:rFonts w:ascii="Times New Roman" w:hAnsi="Times New Roman"/>
                <w:b/>
                <w:bCs/>
                <w:szCs w:val="21"/>
              </w:rPr>
            </w:pPr>
            <w:r>
              <w:rPr>
                <w:rFonts w:ascii="Times New Roman" w:hAnsi="Times New Roman"/>
                <w:b/>
                <w:bCs/>
                <w:szCs w:val="21"/>
              </w:rPr>
              <w:t>产生量</w:t>
            </w:r>
          </w:p>
        </w:tc>
        <w:tc>
          <w:tcPr>
            <w:tcW w:w="1011" w:type="dxa"/>
            <w:shd w:val="clear" w:color="auto" w:fill="auto"/>
            <w:vAlign w:val="center"/>
          </w:tcPr>
          <w:p w14:paraId="3723F2AD">
            <w:pPr>
              <w:widowControl/>
              <w:spacing w:line="360" w:lineRule="exact"/>
              <w:jc w:val="center"/>
              <w:rPr>
                <w:rFonts w:ascii="Times New Roman" w:hAnsi="Times New Roman"/>
                <w:b/>
                <w:bCs/>
                <w:szCs w:val="21"/>
              </w:rPr>
            </w:pPr>
            <w:r>
              <w:rPr>
                <w:rFonts w:ascii="Times New Roman" w:hAnsi="Times New Roman"/>
                <w:b/>
                <w:bCs/>
                <w:szCs w:val="21"/>
              </w:rPr>
              <w:t>排放量</w:t>
            </w:r>
          </w:p>
        </w:tc>
        <w:tc>
          <w:tcPr>
            <w:tcW w:w="1011" w:type="dxa"/>
            <w:shd w:val="clear" w:color="auto" w:fill="auto"/>
            <w:vAlign w:val="center"/>
          </w:tcPr>
          <w:p w14:paraId="7921B075">
            <w:pPr>
              <w:widowControl/>
              <w:spacing w:line="360" w:lineRule="exact"/>
              <w:jc w:val="center"/>
              <w:rPr>
                <w:rFonts w:ascii="Times New Roman" w:hAnsi="Times New Roman"/>
                <w:b/>
                <w:bCs/>
                <w:szCs w:val="21"/>
              </w:rPr>
            </w:pPr>
            <w:r>
              <w:rPr>
                <w:rFonts w:ascii="Times New Roman" w:hAnsi="Times New Roman"/>
                <w:b/>
                <w:bCs/>
                <w:szCs w:val="21"/>
              </w:rPr>
              <w:t>削减量</w:t>
            </w:r>
          </w:p>
        </w:tc>
        <w:tc>
          <w:tcPr>
            <w:tcW w:w="1303" w:type="dxa"/>
            <w:shd w:val="clear" w:color="auto" w:fill="auto"/>
            <w:vAlign w:val="center"/>
          </w:tcPr>
          <w:p w14:paraId="1C7B8200">
            <w:pPr>
              <w:widowControl/>
              <w:spacing w:line="360" w:lineRule="exact"/>
              <w:jc w:val="center"/>
              <w:rPr>
                <w:rFonts w:ascii="Times New Roman" w:hAnsi="Times New Roman"/>
                <w:b/>
                <w:bCs/>
                <w:szCs w:val="21"/>
              </w:rPr>
            </w:pPr>
            <w:r>
              <w:rPr>
                <w:rFonts w:ascii="Times New Roman" w:hAnsi="Times New Roman"/>
                <w:b/>
                <w:bCs/>
                <w:szCs w:val="21"/>
              </w:rPr>
              <w:t>污染当量值（千克）</w:t>
            </w:r>
          </w:p>
        </w:tc>
        <w:tc>
          <w:tcPr>
            <w:tcW w:w="1449" w:type="dxa"/>
            <w:shd w:val="clear" w:color="auto" w:fill="auto"/>
            <w:vAlign w:val="center"/>
          </w:tcPr>
          <w:p w14:paraId="4936F977">
            <w:pPr>
              <w:widowControl/>
              <w:spacing w:line="360" w:lineRule="exact"/>
              <w:jc w:val="center"/>
              <w:rPr>
                <w:rFonts w:ascii="Times New Roman" w:hAnsi="Times New Roman"/>
                <w:b/>
                <w:bCs/>
                <w:szCs w:val="21"/>
              </w:rPr>
            </w:pPr>
            <w:r>
              <w:rPr>
                <w:rFonts w:ascii="Times New Roman" w:hAnsi="Times New Roman"/>
                <w:b/>
                <w:bCs/>
                <w:szCs w:val="21"/>
              </w:rPr>
              <w:t>税额（元/污染当量）</w:t>
            </w:r>
          </w:p>
        </w:tc>
        <w:tc>
          <w:tcPr>
            <w:tcW w:w="1293" w:type="dxa"/>
            <w:shd w:val="clear" w:color="auto" w:fill="auto"/>
            <w:vAlign w:val="center"/>
          </w:tcPr>
          <w:p w14:paraId="5D0D1E4C">
            <w:pPr>
              <w:widowControl/>
              <w:spacing w:line="360" w:lineRule="exact"/>
              <w:jc w:val="center"/>
              <w:rPr>
                <w:rFonts w:ascii="Times New Roman" w:hAnsi="Times New Roman"/>
                <w:b/>
                <w:bCs/>
                <w:szCs w:val="21"/>
              </w:rPr>
            </w:pPr>
            <w:r>
              <w:rPr>
                <w:rFonts w:ascii="Times New Roman" w:hAnsi="Times New Roman"/>
                <w:b/>
                <w:bCs/>
                <w:szCs w:val="21"/>
              </w:rPr>
              <w:t>减免的税额（元/a）</w:t>
            </w:r>
          </w:p>
        </w:tc>
      </w:tr>
      <w:tr w14:paraId="5B9A64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34" w:type="dxa"/>
            <w:vMerge w:val="restart"/>
            <w:shd w:val="clear" w:color="auto" w:fill="auto"/>
            <w:vAlign w:val="center"/>
          </w:tcPr>
          <w:p w14:paraId="31074F6D">
            <w:pPr>
              <w:widowControl/>
              <w:spacing w:line="360" w:lineRule="exact"/>
              <w:jc w:val="center"/>
              <w:rPr>
                <w:rFonts w:ascii="Times New Roman" w:hAnsi="Times New Roman"/>
                <w:szCs w:val="21"/>
              </w:rPr>
            </w:pPr>
            <w:r>
              <w:rPr>
                <w:rFonts w:ascii="Times New Roman" w:hAnsi="Times New Roman"/>
                <w:szCs w:val="21"/>
              </w:rPr>
              <w:t>废气</w:t>
            </w:r>
          </w:p>
        </w:tc>
        <w:tc>
          <w:tcPr>
            <w:tcW w:w="809" w:type="dxa"/>
            <w:shd w:val="clear" w:color="auto" w:fill="auto"/>
            <w:vAlign w:val="center"/>
          </w:tcPr>
          <w:p w14:paraId="007EE058">
            <w:pPr>
              <w:widowControl/>
              <w:spacing w:line="360" w:lineRule="exact"/>
              <w:jc w:val="center"/>
              <w:rPr>
                <w:rFonts w:ascii="Times New Roman" w:hAnsi="Times New Roman"/>
                <w:szCs w:val="21"/>
              </w:rPr>
            </w:pPr>
            <w:r>
              <w:rPr>
                <w:rFonts w:ascii="Times New Roman" w:hAnsi="Times New Roman"/>
                <w:szCs w:val="21"/>
              </w:rPr>
              <w:t>粉尘</w:t>
            </w:r>
          </w:p>
        </w:tc>
        <w:tc>
          <w:tcPr>
            <w:tcW w:w="738" w:type="dxa"/>
            <w:shd w:val="clear" w:color="auto" w:fill="auto"/>
            <w:vAlign w:val="center"/>
          </w:tcPr>
          <w:p w14:paraId="1E7137FC">
            <w:pPr>
              <w:widowControl/>
              <w:spacing w:line="360" w:lineRule="exact"/>
              <w:jc w:val="center"/>
              <w:rPr>
                <w:rFonts w:ascii="Times New Roman" w:hAnsi="Times New Roman"/>
                <w:szCs w:val="21"/>
              </w:rPr>
            </w:pPr>
            <w:r>
              <w:rPr>
                <w:rFonts w:ascii="Times New Roman" w:hAnsi="Times New Roman"/>
                <w:szCs w:val="21"/>
              </w:rPr>
              <w:t>t/a</w:t>
            </w:r>
          </w:p>
        </w:tc>
        <w:tc>
          <w:tcPr>
            <w:tcW w:w="940" w:type="dxa"/>
            <w:shd w:val="clear" w:color="auto" w:fill="auto"/>
            <w:vAlign w:val="center"/>
          </w:tcPr>
          <w:p w14:paraId="787D71DF">
            <w:pPr>
              <w:widowControl/>
              <w:spacing w:line="360" w:lineRule="exact"/>
              <w:jc w:val="center"/>
              <w:rPr>
                <w:rFonts w:ascii="Times New Roman" w:hAnsi="Times New Roman"/>
                <w:szCs w:val="21"/>
                <w:u w:val="single"/>
              </w:rPr>
            </w:pPr>
            <w:r>
              <w:rPr>
                <w:rFonts w:ascii="Times New Roman" w:hAnsi="Times New Roman" w:eastAsia="等线"/>
                <w:szCs w:val="21"/>
                <w:u w:val="single"/>
              </w:rPr>
              <w:t>12.0255</w:t>
            </w:r>
          </w:p>
        </w:tc>
        <w:tc>
          <w:tcPr>
            <w:tcW w:w="1011" w:type="dxa"/>
            <w:shd w:val="clear" w:color="auto" w:fill="auto"/>
            <w:vAlign w:val="center"/>
          </w:tcPr>
          <w:p w14:paraId="7F866D9C">
            <w:pPr>
              <w:widowControl/>
              <w:spacing w:line="360" w:lineRule="exact"/>
              <w:jc w:val="center"/>
              <w:rPr>
                <w:rFonts w:ascii="Times New Roman" w:hAnsi="Times New Roman"/>
                <w:szCs w:val="21"/>
                <w:u w:val="single"/>
              </w:rPr>
            </w:pPr>
            <w:r>
              <w:rPr>
                <w:rFonts w:ascii="Times New Roman" w:hAnsi="Times New Roman" w:eastAsia="等线"/>
                <w:szCs w:val="21"/>
                <w:u w:val="single"/>
              </w:rPr>
              <w:t>0.7478</w:t>
            </w:r>
          </w:p>
        </w:tc>
        <w:tc>
          <w:tcPr>
            <w:tcW w:w="1011" w:type="dxa"/>
            <w:shd w:val="clear" w:color="auto" w:fill="auto"/>
            <w:vAlign w:val="center"/>
          </w:tcPr>
          <w:p w14:paraId="6327E9FD">
            <w:pPr>
              <w:widowControl/>
              <w:spacing w:line="360" w:lineRule="exact"/>
              <w:jc w:val="center"/>
              <w:rPr>
                <w:rFonts w:ascii="Times New Roman" w:hAnsi="Times New Roman"/>
                <w:szCs w:val="21"/>
                <w:u w:val="single"/>
              </w:rPr>
            </w:pPr>
            <w:r>
              <w:rPr>
                <w:rFonts w:ascii="Times New Roman" w:hAnsi="Times New Roman" w:eastAsia="等线"/>
                <w:szCs w:val="21"/>
                <w:u w:val="single"/>
              </w:rPr>
              <w:t>11.2777</w:t>
            </w:r>
          </w:p>
        </w:tc>
        <w:tc>
          <w:tcPr>
            <w:tcW w:w="1303" w:type="dxa"/>
            <w:shd w:val="clear" w:color="auto" w:fill="auto"/>
            <w:vAlign w:val="center"/>
          </w:tcPr>
          <w:p w14:paraId="0D48738B">
            <w:pPr>
              <w:widowControl/>
              <w:spacing w:line="360" w:lineRule="exact"/>
              <w:jc w:val="center"/>
              <w:rPr>
                <w:rFonts w:ascii="Times New Roman" w:hAnsi="Times New Roman"/>
                <w:szCs w:val="21"/>
              </w:rPr>
            </w:pPr>
            <w:r>
              <w:rPr>
                <w:rFonts w:ascii="Times New Roman" w:hAnsi="Times New Roman" w:eastAsia="等线"/>
                <w:szCs w:val="21"/>
              </w:rPr>
              <w:t>2.18</w:t>
            </w:r>
          </w:p>
        </w:tc>
        <w:tc>
          <w:tcPr>
            <w:tcW w:w="1449" w:type="dxa"/>
            <w:shd w:val="clear" w:color="auto" w:fill="auto"/>
            <w:vAlign w:val="center"/>
          </w:tcPr>
          <w:p w14:paraId="2F854CCD">
            <w:pPr>
              <w:widowControl/>
              <w:spacing w:line="360" w:lineRule="exact"/>
              <w:jc w:val="center"/>
              <w:rPr>
                <w:rFonts w:ascii="Times New Roman" w:hAnsi="Times New Roman"/>
                <w:szCs w:val="21"/>
              </w:rPr>
            </w:pPr>
            <w:r>
              <w:rPr>
                <w:rFonts w:ascii="Times New Roman" w:hAnsi="Times New Roman" w:eastAsia="等线"/>
                <w:szCs w:val="21"/>
              </w:rPr>
              <w:t>1.8</w:t>
            </w:r>
          </w:p>
        </w:tc>
        <w:tc>
          <w:tcPr>
            <w:tcW w:w="1293" w:type="dxa"/>
            <w:shd w:val="clear" w:color="auto" w:fill="auto"/>
            <w:vAlign w:val="center"/>
          </w:tcPr>
          <w:p w14:paraId="27E01BE2">
            <w:pPr>
              <w:widowControl/>
              <w:spacing w:line="360" w:lineRule="exact"/>
              <w:jc w:val="center"/>
              <w:rPr>
                <w:rFonts w:ascii="Times New Roman" w:hAnsi="Times New Roman"/>
                <w:szCs w:val="21"/>
                <w:u w:val="single"/>
              </w:rPr>
            </w:pPr>
            <w:r>
              <w:rPr>
                <w:rFonts w:ascii="Times New Roman" w:hAnsi="Times New Roman" w:eastAsia="等线"/>
                <w:szCs w:val="21"/>
                <w:u w:val="single"/>
              </w:rPr>
              <w:t>9311.86</w:t>
            </w:r>
          </w:p>
        </w:tc>
      </w:tr>
      <w:tr w14:paraId="552B50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34" w:type="dxa"/>
            <w:vMerge w:val="continue"/>
            <w:shd w:val="clear" w:color="auto" w:fill="auto"/>
            <w:vAlign w:val="center"/>
          </w:tcPr>
          <w:p w14:paraId="4D103895">
            <w:pPr>
              <w:widowControl/>
              <w:spacing w:line="360" w:lineRule="exact"/>
              <w:jc w:val="center"/>
              <w:rPr>
                <w:rFonts w:ascii="Times New Roman" w:hAnsi="Times New Roman"/>
                <w:szCs w:val="21"/>
              </w:rPr>
            </w:pPr>
          </w:p>
        </w:tc>
        <w:tc>
          <w:tcPr>
            <w:tcW w:w="809" w:type="dxa"/>
            <w:shd w:val="clear" w:color="auto" w:fill="auto"/>
            <w:vAlign w:val="center"/>
          </w:tcPr>
          <w:p w14:paraId="02579149">
            <w:pPr>
              <w:widowControl/>
              <w:spacing w:line="360" w:lineRule="exact"/>
              <w:jc w:val="center"/>
              <w:rPr>
                <w:rFonts w:ascii="Times New Roman" w:hAnsi="Times New Roman"/>
                <w:szCs w:val="21"/>
              </w:rPr>
            </w:pPr>
            <w:r>
              <w:rPr>
                <w:rFonts w:ascii="Times New Roman" w:hAnsi="Times New Roman"/>
                <w:szCs w:val="21"/>
              </w:rPr>
              <w:t>SO</w:t>
            </w:r>
            <w:r>
              <w:rPr>
                <w:rFonts w:ascii="Times New Roman" w:hAnsi="Times New Roman"/>
                <w:szCs w:val="21"/>
                <w:vertAlign w:val="subscript"/>
              </w:rPr>
              <w:t>2</w:t>
            </w:r>
          </w:p>
        </w:tc>
        <w:tc>
          <w:tcPr>
            <w:tcW w:w="738" w:type="dxa"/>
            <w:shd w:val="clear" w:color="auto" w:fill="auto"/>
            <w:vAlign w:val="center"/>
          </w:tcPr>
          <w:p w14:paraId="746D593C">
            <w:pPr>
              <w:widowControl/>
              <w:spacing w:line="360" w:lineRule="exact"/>
              <w:jc w:val="center"/>
              <w:rPr>
                <w:rFonts w:ascii="Times New Roman" w:hAnsi="Times New Roman"/>
                <w:szCs w:val="21"/>
              </w:rPr>
            </w:pPr>
            <w:r>
              <w:rPr>
                <w:rFonts w:ascii="Times New Roman" w:hAnsi="Times New Roman"/>
                <w:szCs w:val="21"/>
              </w:rPr>
              <w:t>t/a</w:t>
            </w:r>
          </w:p>
        </w:tc>
        <w:tc>
          <w:tcPr>
            <w:tcW w:w="940" w:type="dxa"/>
            <w:shd w:val="clear" w:color="auto" w:fill="auto"/>
            <w:vAlign w:val="center"/>
          </w:tcPr>
          <w:p w14:paraId="22054A16">
            <w:pPr>
              <w:widowControl/>
              <w:spacing w:line="360" w:lineRule="exact"/>
              <w:jc w:val="center"/>
              <w:rPr>
                <w:rFonts w:ascii="Times New Roman" w:hAnsi="Times New Roman"/>
                <w:szCs w:val="21"/>
                <w:u w:val="single"/>
              </w:rPr>
            </w:pPr>
            <w:r>
              <w:rPr>
                <w:rFonts w:ascii="Times New Roman" w:hAnsi="Times New Roman" w:eastAsia="等线"/>
                <w:szCs w:val="21"/>
                <w:u w:val="single"/>
              </w:rPr>
              <w:t>0.442</w:t>
            </w:r>
          </w:p>
        </w:tc>
        <w:tc>
          <w:tcPr>
            <w:tcW w:w="1011" w:type="dxa"/>
            <w:shd w:val="clear" w:color="auto" w:fill="auto"/>
            <w:vAlign w:val="center"/>
          </w:tcPr>
          <w:p w14:paraId="3FF7FF24">
            <w:pPr>
              <w:widowControl/>
              <w:spacing w:line="360" w:lineRule="exact"/>
              <w:jc w:val="center"/>
              <w:rPr>
                <w:rFonts w:ascii="Times New Roman" w:hAnsi="Times New Roman"/>
                <w:szCs w:val="21"/>
                <w:u w:val="single"/>
              </w:rPr>
            </w:pPr>
            <w:r>
              <w:rPr>
                <w:rFonts w:ascii="Times New Roman" w:hAnsi="Times New Roman" w:eastAsia="等线"/>
                <w:szCs w:val="21"/>
                <w:u w:val="single"/>
              </w:rPr>
              <w:t>0.442</w:t>
            </w:r>
          </w:p>
        </w:tc>
        <w:tc>
          <w:tcPr>
            <w:tcW w:w="1011" w:type="dxa"/>
            <w:shd w:val="clear" w:color="auto" w:fill="auto"/>
            <w:vAlign w:val="center"/>
          </w:tcPr>
          <w:p w14:paraId="2803D70E">
            <w:pPr>
              <w:widowControl/>
              <w:spacing w:line="360" w:lineRule="exact"/>
              <w:jc w:val="center"/>
              <w:rPr>
                <w:rFonts w:ascii="Times New Roman" w:hAnsi="Times New Roman"/>
                <w:szCs w:val="21"/>
                <w:u w:val="single"/>
              </w:rPr>
            </w:pPr>
            <w:r>
              <w:rPr>
                <w:rFonts w:ascii="Times New Roman" w:hAnsi="Times New Roman" w:eastAsia="等线"/>
                <w:szCs w:val="21"/>
                <w:u w:val="single"/>
              </w:rPr>
              <w:t>0</w:t>
            </w:r>
          </w:p>
        </w:tc>
        <w:tc>
          <w:tcPr>
            <w:tcW w:w="1303" w:type="dxa"/>
            <w:shd w:val="clear" w:color="auto" w:fill="auto"/>
            <w:vAlign w:val="center"/>
          </w:tcPr>
          <w:p w14:paraId="365DF8CC">
            <w:pPr>
              <w:widowControl/>
              <w:spacing w:line="360" w:lineRule="exact"/>
              <w:jc w:val="center"/>
              <w:rPr>
                <w:rFonts w:ascii="Times New Roman" w:hAnsi="Times New Roman"/>
                <w:szCs w:val="21"/>
              </w:rPr>
            </w:pPr>
            <w:r>
              <w:rPr>
                <w:rFonts w:ascii="Times New Roman" w:hAnsi="Times New Roman" w:eastAsia="等线"/>
                <w:szCs w:val="21"/>
              </w:rPr>
              <w:t>0.95</w:t>
            </w:r>
          </w:p>
        </w:tc>
        <w:tc>
          <w:tcPr>
            <w:tcW w:w="1449" w:type="dxa"/>
            <w:shd w:val="clear" w:color="auto" w:fill="auto"/>
            <w:vAlign w:val="center"/>
          </w:tcPr>
          <w:p w14:paraId="4E1E733D">
            <w:pPr>
              <w:widowControl/>
              <w:spacing w:line="360" w:lineRule="exact"/>
              <w:jc w:val="center"/>
              <w:rPr>
                <w:rFonts w:ascii="Times New Roman" w:hAnsi="Times New Roman"/>
                <w:szCs w:val="21"/>
              </w:rPr>
            </w:pPr>
            <w:r>
              <w:rPr>
                <w:rFonts w:ascii="Times New Roman" w:hAnsi="Times New Roman" w:eastAsia="等线"/>
                <w:szCs w:val="21"/>
              </w:rPr>
              <w:t>1.8</w:t>
            </w:r>
          </w:p>
        </w:tc>
        <w:tc>
          <w:tcPr>
            <w:tcW w:w="1293" w:type="dxa"/>
            <w:shd w:val="clear" w:color="auto" w:fill="auto"/>
            <w:vAlign w:val="center"/>
          </w:tcPr>
          <w:p w14:paraId="0137CFCB">
            <w:pPr>
              <w:widowControl/>
              <w:spacing w:line="360" w:lineRule="exact"/>
              <w:jc w:val="center"/>
              <w:rPr>
                <w:rFonts w:ascii="Times New Roman" w:hAnsi="Times New Roman"/>
                <w:szCs w:val="21"/>
                <w:u w:val="single"/>
              </w:rPr>
            </w:pPr>
            <w:r>
              <w:rPr>
                <w:rFonts w:ascii="Times New Roman" w:hAnsi="Times New Roman" w:eastAsia="等线"/>
                <w:szCs w:val="21"/>
                <w:u w:val="single"/>
              </w:rPr>
              <w:t>0</w:t>
            </w:r>
          </w:p>
        </w:tc>
      </w:tr>
      <w:tr w14:paraId="6BB0E5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34" w:type="dxa"/>
            <w:vMerge w:val="continue"/>
            <w:vAlign w:val="center"/>
          </w:tcPr>
          <w:p w14:paraId="79AACA21">
            <w:pPr>
              <w:widowControl/>
              <w:spacing w:line="360" w:lineRule="exact"/>
              <w:jc w:val="left"/>
              <w:rPr>
                <w:rFonts w:ascii="Times New Roman" w:hAnsi="Times New Roman"/>
                <w:szCs w:val="21"/>
              </w:rPr>
            </w:pPr>
          </w:p>
        </w:tc>
        <w:tc>
          <w:tcPr>
            <w:tcW w:w="809" w:type="dxa"/>
            <w:shd w:val="clear" w:color="auto" w:fill="auto"/>
            <w:vAlign w:val="center"/>
          </w:tcPr>
          <w:p w14:paraId="28193D44">
            <w:pPr>
              <w:widowControl/>
              <w:spacing w:line="360" w:lineRule="exact"/>
              <w:jc w:val="center"/>
              <w:rPr>
                <w:rFonts w:ascii="Times New Roman" w:hAnsi="Times New Roman"/>
                <w:szCs w:val="21"/>
              </w:rPr>
            </w:pPr>
            <w:r>
              <w:rPr>
                <w:rFonts w:ascii="Times New Roman" w:hAnsi="Times New Roman"/>
                <w:szCs w:val="21"/>
              </w:rPr>
              <w:t>NO</w:t>
            </w:r>
            <w:r>
              <w:rPr>
                <w:rFonts w:ascii="Times New Roman" w:hAnsi="Times New Roman"/>
                <w:szCs w:val="21"/>
                <w:vertAlign w:val="subscript"/>
              </w:rPr>
              <w:t>X</w:t>
            </w:r>
          </w:p>
        </w:tc>
        <w:tc>
          <w:tcPr>
            <w:tcW w:w="738" w:type="dxa"/>
            <w:shd w:val="clear" w:color="auto" w:fill="auto"/>
            <w:vAlign w:val="center"/>
          </w:tcPr>
          <w:p w14:paraId="6B50151E">
            <w:pPr>
              <w:widowControl/>
              <w:spacing w:line="360" w:lineRule="exact"/>
              <w:jc w:val="center"/>
              <w:rPr>
                <w:rFonts w:ascii="Times New Roman" w:hAnsi="Times New Roman"/>
                <w:szCs w:val="21"/>
              </w:rPr>
            </w:pPr>
            <w:r>
              <w:rPr>
                <w:rFonts w:ascii="Times New Roman" w:hAnsi="Times New Roman"/>
                <w:szCs w:val="21"/>
              </w:rPr>
              <w:t>t/a</w:t>
            </w:r>
          </w:p>
        </w:tc>
        <w:tc>
          <w:tcPr>
            <w:tcW w:w="940" w:type="dxa"/>
            <w:shd w:val="clear" w:color="auto" w:fill="auto"/>
            <w:vAlign w:val="center"/>
          </w:tcPr>
          <w:p w14:paraId="7A4721AC">
            <w:pPr>
              <w:widowControl/>
              <w:spacing w:line="360" w:lineRule="exact"/>
              <w:jc w:val="center"/>
              <w:rPr>
                <w:rFonts w:ascii="Times New Roman" w:hAnsi="Times New Roman"/>
                <w:szCs w:val="21"/>
                <w:u w:val="single"/>
              </w:rPr>
            </w:pPr>
            <w:r>
              <w:rPr>
                <w:rFonts w:ascii="Times New Roman" w:hAnsi="Times New Roman" w:eastAsia="等线"/>
                <w:szCs w:val="21"/>
                <w:u w:val="single"/>
              </w:rPr>
              <w:t>2.4</w:t>
            </w:r>
          </w:p>
        </w:tc>
        <w:tc>
          <w:tcPr>
            <w:tcW w:w="1011" w:type="dxa"/>
            <w:shd w:val="clear" w:color="auto" w:fill="auto"/>
            <w:vAlign w:val="center"/>
          </w:tcPr>
          <w:p w14:paraId="15E3B467">
            <w:pPr>
              <w:widowControl/>
              <w:spacing w:line="360" w:lineRule="exact"/>
              <w:jc w:val="center"/>
              <w:rPr>
                <w:rFonts w:ascii="Times New Roman" w:hAnsi="Times New Roman"/>
                <w:szCs w:val="21"/>
                <w:u w:val="single"/>
              </w:rPr>
            </w:pPr>
            <w:r>
              <w:rPr>
                <w:rFonts w:ascii="Times New Roman" w:hAnsi="Times New Roman" w:eastAsia="等线"/>
                <w:szCs w:val="21"/>
                <w:u w:val="single"/>
              </w:rPr>
              <w:t>2.4</w:t>
            </w:r>
          </w:p>
        </w:tc>
        <w:tc>
          <w:tcPr>
            <w:tcW w:w="1011" w:type="dxa"/>
            <w:shd w:val="clear" w:color="auto" w:fill="auto"/>
            <w:vAlign w:val="center"/>
          </w:tcPr>
          <w:p w14:paraId="5B8CA311">
            <w:pPr>
              <w:widowControl/>
              <w:spacing w:line="360" w:lineRule="exact"/>
              <w:jc w:val="center"/>
              <w:rPr>
                <w:rFonts w:ascii="Times New Roman" w:hAnsi="Times New Roman"/>
                <w:szCs w:val="21"/>
                <w:u w:val="single"/>
              </w:rPr>
            </w:pPr>
            <w:r>
              <w:rPr>
                <w:rFonts w:ascii="Times New Roman" w:hAnsi="Times New Roman" w:eastAsia="等线"/>
                <w:szCs w:val="21"/>
                <w:u w:val="single"/>
              </w:rPr>
              <w:t>0</w:t>
            </w:r>
          </w:p>
        </w:tc>
        <w:tc>
          <w:tcPr>
            <w:tcW w:w="1303" w:type="dxa"/>
            <w:shd w:val="clear" w:color="auto" w:fill="auto"/>
            <w:vAlign w:val="center"/>
          </w:tcPr>
          <w:p w14:paraId="3D58A03D">
            <w:pPr>
              <w:widowControl/>
              <w:spacing w:line="360" w:lineRule="exact"/>
              <w:jc w:val="center"/>
              <w:rPr>
                <w:rFonts w:ascii="Times New Roman" w:hAnsi="Times New Roman"/>
                <w:szCs w:val="21"/>
              </w:rPr>
            </w:pPr>
            <w:r>
              <w:rPr>
                <w:rFonts w:ascii="Times New Roman" w:hAnsi="Times New Roman" w:eastAsia="等线"/>
                <w:szCs w:val="21"/>
              </w:rPr>
              <w:t>0.95</w:t>
            </w:r>
          </w:p>
        </w:tc>
        <w:tc>
          <w:tcPr>
            <w:tcW w:w="1449" w:type="dxa"/>
            <w:shd w:val="clear" w:color="auto" w:fill="auto"/>
            <w:vAlign w:val="center"/>
          </w:tcPr>
          <w:p w14:paraId="0C080E91">
            <w:pPr>
              <w:widowControl/>
              <w:spacing w:line="360" w:lineRule="exact"/>
              <w:jc w:val="center"/>
              <w:rPr>
                <w:rFonts w:ascii="Times New Roman" w:hAnsi="Times New Roman"/>
                <w:szCs w:val="21"/>
              </w:rPr>
            </w:pPr>
            <w:r>
              <w:rPr>
                <w:rFonts w:ascii="Times New Roman" w:hAnsi="Times New Roman" w:eastAsia="等线"/>
                <w:szCs w:val="21"/>
              </w:rPr>
              <w:t>1.8</w:t>
            </w:r>
          </w:p>
        </w:tc>
        <w:tc>
          <w:tcPr>
            <w:tcW w:w="1293" w:type="dxa"/>
            <w:shd w:val="clear" w:color="auto" w:fill="auto"/>
            <w:vAlign w:val="center"/>
          </w:tcPr>
          <w:p w14:paraId="2C239251">
            <w:pPr>
              <w:widowControl/>
              <w:spacing w:line="360" w:lineRule="exact"/>
              <w:jc w:val="center"/>
              <w:rPr>
                <w:rFonts w:ascii="Times New Roman" w:hAnsi="Times New Roman"/>
                <w:szCs w:val="21"/>
                <w:u w:val="single"/>
              </w:rPr>
            </w:pPr>
            <w:r>
              <w:rPr>
                <w:rFonts w:ascii="Times New Roman" w:hAnsi="Times New Roman" w:eastAsia="等线"/>
                <w:szCs w:val="21"/>
                <w:u w:val="single"/>
              </w:rPr>
              <w:t>0</w:t>
            </w:r>
          </w:p>
        </w:tc>
      </w:tr>
      <w:tr w14:paraId="43A523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34" w:type="dxa"/>
            <w:vMerge w:val="restart"/>
            <w:shd w:val="clear" w:color="auto" w:fill="auto"/>
            <w:vAlign w:val="center"/>
          </w:tcPr>
          <w:p w14:paraId="7C5D47D4">
            <w:pPr>
              <w:widowControl/>
              <w:spacing w:line="360" w:lineRule="exact"/>
              <w:jc w:val="center"/>
              <w:rPr>
                <w:rFonts w:ascii="Times New Roman" w:hAnsi="Times New Roman"/>
                <w:szCs w:val="21"/>
              </w:rPr>
            </w:pPr>
            <w:r>
              <w:rPr>
                <w:rFonts w:ascii="Times New Roman" w:hAnsi="Times New Roman"/>
                <w:szCs w:val="21"/>
              </w:rPr>
              <w:t>废水</w:t>
            </w:r>
          </w:p>
        </w:tc>
        <w:tc>
          <w:tcPr>
            <w:tcW w:w="809" w:type="dxa"/>
            <w:shd w:val="clear" w:color="auto" w:fill="auto"/>
            <w:vAlign w:val="center"/>
          </w:tcPr>
          <w:p w14:paraId="21997ED6">
            <w:pPr>
              <w:widowControl/>
              <w:spacing w:line="360" w:lineRule="exact"/>
              <w:jc w:val="center"/>
              <w:rPr>
                <w:rFonts w:ascii="Times New Roman" w:hAnsi="Times New Roman"/>
                <w:szCs w:val="21"/>
              </w:rPr>
            </w:pPr>
            <w:r>
              <w:rPr>
                <w:rFonts w:ascii="Times New Roman" w:hAnsi="Times New Roman"/>
                <w:szCs w:val="21"/>
                <w:lang w:val="en-GB"/>
              </w:rPr>
              <w:t>COD</w:t>
            </w:r>
          </w:p>
        </w:tc>
        <w:tc>
          <w:tcPr>
            <w:tcW w:w="738" w:type="dxa"/>
            <w:shd w:val="clear" w:color="auto" w:fill="auto"/>
            <w:vAlign w:val="center"/>
          </w:tcPr>
          <w:p w14:paraId="18A3A419">
            <w:pPr>
              <w:widowControl/>
              <w:spacing w:line="360" w:lineRule="exact"/>
              <w:jc w:val="center"/>
              <w:rPr>
                <w:rFonts w:ascii="Times New Roman" w:hAnsi="Times New Roman"/>
                <w:szCs w:val="21"/>
              </w:rPr>
            </w:pPr>
            <w:r>
              <w:rPr>
                <w:rFonts w:ascii="Times New Roman" w:hAnsi="Times New Roman"/>
                <w:szCs w:val="21"/>
              </w:rPr>
              <w:t>t/a</w:t>
            </w:r>
          </w:p>
        </w:tc>
        <w:tc>
          <w:tcPr>
            <w:tcW w:w="940" w:type="dxa"/>
            <w:shd w:val="clear" w:color="auto" w:fill="auto"/>
            <w:vAlign w:val="center"/>
          </w:tcPr>
          <w:p w14:paraId="58DB0A14">
            <w:pPr>
              <w:widowControl/>
              <w:spacing w:line="360" w:lineRule="exact"/>
              <w:jc w:val="center"/>
              <w:rPr>
                <w:rFonts w:ascii="Times New Roman" w:hAnsi="Times New Roman"/>
                <w:szCs w:val="21"/>
                <w:u w:val="single"/>
              </w:rPr>
            </w:pPr>
            <w:r>
              <w:rPr>
                <w:rFonts w:ascii="Times New Roman" w:hAnsi="Times New Roman" w:eastAsia="等线"/>
                <w:szCs w:val="21"/>
                <w:u w:val="single"/>
              </w:rPr>
              <w:t>0.047</w:t>
            </w:r>
          </w:p>
        </w:tc>
        <w:tc>
          <w:tcPr>
            <w:tcW w:w="1011" w:type="dxa"/>
            <w:shd w:val="clear" w:color="auto" w:fill="auto"/>
            <w:vAlign w:val="center"/>
          </w:tcPr>
          <w:p w14:paraId="661E878A">
            <w:pPr>
              <w:widowControl/>
              <w:spacing w:line="360" w:lineRule="exact"/>
              <w:jc w:val="center"/>
              <w:rPr>
                <w:rFonts w:ascii="Times New Roman" w:hAnsi="Times New Roman"/>
                <w:szCs w:val="21"/>
                <w:u w:val="single"/>
              </w:rPr>
            </w:pPr>
            <w:r>
              <w:rPr>
                <w:rFonts w:ascii="Times New Roman" w:hAnsi="Times New Roman" w:eastAsia="等线"/>
                <w:szCs w:val="21"/>
                <w:u w:val="single"/>
              </w:rPr>
              <w:t>0.024</w:t>
            </w:r>
          </w:p>
        </w:tc>
        <w:tc>
          <w:tcPr>
            <w:tcW w:w="1011" w:type="dxa"/>
            <w:shd w:val="clear" w:color="auto" w:fill="auto"/>
            <w:vAlign w:val="center"/>
          </w:tcPr>
          <w:p w14:paraId="3C42B703">
            <w:pPr>
              <w:widowControl/>
              <w:spacing w:line="360" w:lineRule="exact"/>
              <w:jc w:val="center"/>
              <w:rPr>
                <w:rFonts w:ascii="Times New Roman" w:hAnsi="Times New Roman"/>
                <w:szCs w:val="21"/>
                <w:u w:val="single"/>
              </w:rPr>
            </w:pPr>
            <w:r>
              <w:rPr>
                <w:rFonts w:ascii="Times New Roman" w:hAnsi="Times New Roman" w:eastAsia="等线"/>
                <w:szCs w:val="21"/>
                <w:u w:val="single"/>
              </w:rPr>
              <w:t>0.023</w:t>
            </w:r>
          </w:p>
        </w:tc>
        <w:tc>
          <w:tcPr>
            <w:tcW w:w="1303" w:type="dxa"/>
            <w:shd w:val="clear" w:color="auto" w:fill="auto"/>
            <w:vAlign w:val="center"/>
          </w:tcPr>
          <w:p w14:paraId="6673CDEC">
            <w:pPr>
              <w:widowControl/>
              <w:spacing w:line="360" w:lineRule="exact"/>
              <w:jc w:val="center"/>
              <w:rPr>
                <w:rFonts w:ascii="Times New Roman" w:hAnsi="Times New Roman"/>
                <w:szCs w:val="21"/>
              </w:rPr>
            </w:pPr>
            <w:r>
              <w:rPr>
                <w:rFonts w:ascii="Times New Roman" w:hAnsi="Times New Roman" w:eastAsia="等线"/>
                <w:szCs w:val="21"/>
              </w:rPr>
              <w:t>1</w:t>
            </w:r>
          </w:p>
        </w:tc>
        <w:tc>
          <w:tcPr>
            <w:tcW w:w="1449" w:type="dxa"/>
            <w:shd w:val="clear" w:color="auto" w:fill="auto"/>
            <w:vAlign w:val="center"/>
          </w:tcPr>
          <w:p w14:paraId="03AFBCCA">
            <w:pPr>
              <w:widowControl/>
              <w:spacing w:line="360" w:lineRule="exact"/>
              <w:jc w:val="center"/>
              <w:rPr>
                <w:rFonts w:ascii="Times New Roman" w:hAnsi="Times New Roman"/>
                <w:szCs w:val="21"/>
              </w:rPr>
            </w:pPr>
            <w:r>
              <w:rPr>
                <w:rFonts w:ascii="Times New Roman" w:hAnsi="Times New Roman" w:eastAsia="等线"/>
                <w:szCs w:val="21"/>
              </w:rPr>
              <w:t>2.8</w:t>
            </w:r>
          </w:p>
        </w:tc>
        <w:tc>
          <w:tcPr>
            <w:tcW w:w="1293" w:type="dxa"/>
            <w:shd w:val="clear" w:color="auto" w:fill="auto"/>
            <w:vAlign w:val="center"/>
          </w:tcPr>
          <w:p w14:paraId="07EA53FF">
            <w:pPr>
              <w:widowControl/>
              <w:spacing w:line="360" w:lineRule="exact"/>
              <w:jc w:val="center"/>
              <w:rPr>
                <w:rFonts w:ascii="Times New Roman" w:hAnsi="Times New Roman"/>
                <w:szCs w:val="21"/>
                <w:u w:val="single"/>
              </w:rPr>
            </w:pPr>
            <w:r>
              <w:rPr>
                <w:rFonts w:ascii="Times New Roman" w:hAnsi="Times New Roman" w:eastAsia="等线"/>
                <w:szCs w:val="21"/>
                <w:u w:val="single"/>
              </w:rPr>
              <w:t>64.4</w:t>
            </w:r>
          </w:p>
        </w:tc>
      </w:tr>
      <w:tr w14:paraId="398AA5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34" w:type="dxa"/>
            <w:vMerge w:val="continue"/>
            <w:vAlign w:val="center"/>
          </w:tcPr>
          <w:p w14:paraId="314E9786">
            <w:pPr>
              <w:widowControl/>
              <w:spacing w:line="360" w:lineRule="exact"/>
              <w:jc w:val="left"/>
              <w:rPr>
                <w:rFonts w:ascii="Times New Roman" w:hAnsi="Times New Roman"/>
                <w:szCs w:val="21"/>
              </w:rPr>
            </w:pPr>
          </w:p>
        </w:tc>
        <w:tc>
          <w:tcPr>
            <w:tcW w:w="809" w:type="dxa"/>
            <w:shd w:val="clear" w:color="auto" w:fill="auto"/>
            <w:vAlign w:val="center"/>
          </w:tcPr>
          <w:p w14:paraId="2F17BCDB">
            <w:pPr>
              <w:widowControl/>
              <w:spacing w:line="360" w:lineRule="exact"/>
              <w:jc w:val="center"/>
              <w:rPr>
                <w:rFonts w:ascii="Times New Roman" w:hAnsi="Times New Roman"/>
                <w:szCs w:val="21"/>
              </w:rPr>
            </w:pPr>
            <w:r>
              <w:rPr>
                <w:rFonts w:ascii="Times New Roman" w:hAnsi="Times New Roman"/>
                <w:szCs w:val="21"/>
              </w:rPr>
              <w:t>BOD</w:t>
            </w:r>
            <w:r>
              <w:rPr>
                <w:rFonts w:ascii="Times New Roman" w:hAnsi="Times New Roman"/>
                <w:szCs w:val="21"/>
                <w:vertAlign w:val="subscript"/>
              </w:rPr>
              <w:t>5</w:t>
            </w:r>
          </w:p>
        </w:tc>
        <w:tc>
          <w:tcPr>
            <w:tcW w:w="738" w:type="dxa"/>
            <w:shd w:val="clear" w:color="auto" w:fill="auto"/>
            <w:vAlign w:val="center"/>
          </w:tcPr>
          <w:p w14:paraId="3CB4FAD8">
            <w:pPr>
              <w:widowControl/>
              <w:spacing w:line="360" w:lineRule="exact"/>
              <w:jc w:val="center"/>
              <w:rPr>
                <w:rFonts w:ascii="Times New Roman" w:hAnsi="Times New Roman"/>
                <w:szCs w:val="21"/>
              </w:rPr>
            </w:pPr>
            <w:r>
              <w:rPr>
                <w:rFonts w:ascii="Times New Roman" w:hAnsi="Times New Roman"/>
                <w:szCs w:val="21"/>
              </w:rPr>
              <w:t>t/a</w:t>
            </w:r>
          </w:p>
        </w:tc>
        <w:tc>
          <w:tcPr>
            <w:tcW w:w="940" w:type="dxa"/>
            <w:shd w:val="clear" w:color="auto" w:fill="auto"/>
            <w:vAlign w:val="center"/>
          </w:tcPr>
          <w:p w14:paraId="06080FC8">
            <w:pPr>
              <w:widowControl/>
              <w:spacing w:line="360" w:lineRule="exact"/>
              <w:jc w:val="center"/>
              <w:rPr>
                <w:rFonts w:ascii="Times New Roman" w:hAnsi="Times New Roman"/>
                <w:szCs w:val="21"/>
                <w:u w:val="single"/>
              </w:rPr>
            </w:pPr>
            <w:r>
              <w:rPr>
                <w:rFonts w:ascii="Times New Roman" w:hAnsi="Times New Roman" w:eastAsia="等线"/>
                <w:szCs w:val="21"/>
                <w:u w:val="single"/>
              </w:rPr>
              <w:t>0.021</w:t>
            </w:r>
          </w:p>
        </w:tc>
        <w:tc>
          <w:tcPr>
            <w:tcW w:w="1011" w:type="dxa"/>
            <w:shd w:val="clear" w:color="auto" w:fill="auto"/>
            <w:vAlign w:val="center"/>
          </w:tcPr>
          <w:p w14:paraId="7E5220ED">
            <w:pPr>
              <w:widowControl/>
              <w:spacing w:line="360" w:lineRule="exact"/>
              <w:jc w:val="center"/>
              <w:rPr>
                <w:rFonts w:ascii="Times New Roman" w:hAnsi="Times New Roman"/>
                <w:szCs w:val="21"/>
                <w:u w:val="single"/>
              </w:rPr>
            </w:pPr>
            <w:r>
              <w:rPr>
                <w:rFonts w:ascii="Times New Roman" w:hAnsi="Times New Roman" w:eastAsia="等线"/>
                <w:szCs w:val="21"/>
                <w:u w:val="single"/>
              </w:rPr>
              <w:t>0.008</w:t>
            </w:r>
          </w:p>
        </w:tc>
        <w:tc>
          <w:tcPr>
            <w:tcW w:w="1011" w:type="dxa"/>
            <w:shd w:val="clear" w:color="auto" w:fill="auto"/>
            <w:vAlign w:val="center"/>
          </w:tcPr>
          <w:p w14:paraId="2FC629EC">
            <w:pPr>
              <w:widowControl/>
              <w:spacing w:line="360" w:lineRule="exact"/>
              <w:jc w:val="center"/>
              <w:rPr>
                <w:rFonts w:ascii="Times New Roman" w:hAnsi="Times New Roman"/>
                <w:szCs w:val="21"/>
                <w:u w:val="single"/>
              </w:rPr>
            </w:pPr>
            <w:r>
              <w:rPr>
                <w:rFonts w:ascii="Times New Roman" w:hAnsi="Times New Roman" w:eastAsia="等线"/>
                <w:szCs w:val="21"/>
                <w:u w:val="single"/>
              </w:rPr>
              <w:t>0.013</w:t>
            </w:r>
          </w:p>
        </w:tc>
        <w:tc>
          <w:tcPr>
            <w:tcW w:w="1303" w:type="dxa"/>
            <w:shd w:val="clear" w:color="auto" w:fill="auto"/>
            <w:vAlign w:val="center"/>
          </w:tcPr>
          <w:p w14:paraId="60430618">
            <w:pPr>
              <w:widowControl/>
              <w:spacing w:line="360" w:lineRule="exact"/>
              <w:jc w:val="center"/>
              <w:rPr>
                <w:rFonts w:ascii="Times New Roman" w:hAnsi="Times New Roman"/>
                <w:szCs w:val="21"/>
              </w:rPr>
            </w:pPr>
            <w:r>
              <w:rPr>
                <w:rFonts w:ascii="Times New Roman" w:hAnsi="Times New Roman" w:eastAsia="等线"/>
                <w:szCs w:val="21"/>
              </w:rPr>
              <w:t>0.5</w:t>
            </w:r>
          </w:p>
        </w:tc>
        <w:tc>
          <w:tcPr>
            <w:tcW w:w="1449" w:type="dxa"/>
            <w:shd w:val="clear" w:color="auto" w:fill="auto"/>
            <w:vAlign w:val="center"/>
          </w:tcPr>
          <w:p w14:paraId="064DABE0">
            <w:pPr>
              <w:widowControl/>
              <w:spacing w:line="360" w:lineRule="exact"/>
              <w:jc w:val="center"/>
              <w:rPr>
                <w:rFonts w:ascii="Times New Roman" w:hAnsi="Times New Roman"/>
                <w:szCs w:val="21"/>
              </w:rPr>
            </w:pPr>
            <w:r>
              <w:rPr>
                <w:rFonts w:ascii="Times New Roman" w:hAnsi="Times New Roman" w:eastAsia="等线"/>
                <w:szCs w:val="21"/>
              </w:rPr>
              <w:t>2.8</w:t>
            </w:r>
          </w:p>
        </w:tc>
        <w:tc>
          <w:tcPr>
            <w:tcW w:w="1293" w:type="dxa"/>
            <w:shd w:val="clear" w:color="auto" w:fill="auto"/>
            <w:vAlign w:val="center"/>
          </w:tcPr>
          <w:p w14:paraId="6CC76C17">
            <w:pPr>
              <w:widowControl/>
              <w:spacing w:line="360" w:lineRule="exact"/>
              <w:jc w:val="center"/>
              <w:rPr>
                <w:rFonts w:ascii="Times New Roman" w:hAnsi="Times New Roman"/>
                <w:szCs w:val="21"/>
                <w:u w:val="single"/>
              </w:rPr>
            </w:pPr>
            <w:r>
              <w:rPr>
                <w:rFonts w:ascii="Times New Roman" w:hAnsi="Times New Roman" w:eastAsia="等线"/>
                <w:szCs w:val="21"/>
                <w:u w:val="single"/>
              </w:rPr>
              <w:t>72.8</w:t>
            </w:r>
          </w:p>
        </w:tc>
      </w:tr>
      <w:tr w14:paraId="3F4040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34" w:type="dxa"/>
            <w:vMerge w:val="continue"/>
            <w:vAlign w:val="center"/>
          </w:tcPr>
          <w:p w14:paraId="17016503">
            <w:pPr>
              <w:widowControl/>
              <w:spacing w:line="360" w:lineRule="exact"/>
              <w:jc w:val="left"/>
              <w:rPr>
                <w:rFonts w:ascii="Times New Roman" w:hAnsi="Times New Roman"/>
                <w:szCs w:val="21"/>
              </w:rPr>
            </w:pPr>
          </w:p>
        </w:tc>
        <w:tc>
          <w:tcPr>
            <w:tcW w:w="809" w:type="dxa"/>
            <w:shd w:val="clear" w:color="auto" w:fill="auto"/>
            <w:vAlign w:val="center"/>
          </w:tcPr>
          <w:p w14:paraId="2B8CF52A">
            <w:pPr>
              <w:widowControl/>
              <w:spacing w:line="360" w:lineRule="exact"/>
              <w:jc w:val="center"/>
              <w:rPr>
                <w:rFonts w:ascii="Times New Roman" w:hAnsi="Times New Roman"/>
                <w:szCs w:val="21"/>
              </w:rPr>
            </w:pPr>
            <w:r>
              <w:rPr>
                <w:rFonts w:ascii="Times New Roman" w:hAnsi="Times New Roman"/>
                <w:szCs w:val="21"/>
              </w:rPr>
              <w:t>SS</w:t>
            </w:r>
          </w:p>
        </w:tc>
        <w:tc>
          <w:tcPr>
            <w:tcW w:w="738" w:type="dxa"/>
            <w:shd w:val="clear" w:color="auto" w:fill="auto"/>
            <w:vAlign w:val="center"/>
          </w:tcPr>
          <w:p w14:paraId="59A61443">
            <w:pPr>
              <w:widowControl/>
              <w:spacing w:line="360" w:lineRule="exact"/>
              <w:jc w:val="center"/>
              <w:rPr>
                <w:rFonts w:ascii="Times New Roman" w:hAnsi="Times New Roman"/>
                <w:szCs w:val="21"/>
              </w:rPr>
            </w:pPr>
            <w:r>
              <w:rPr>
                <w:rFonts w:ascii="Times New Roman" w:hAnsi="Times New Roman"/>
                <w:szCs w:val="21"/>
              </w:rPr>
              <w:t>t/a</w:t>
            </w:r>
          </w:p>
        </w:tc>
        <w:tc>
          <w:tcPr>
            <w:tcW w:w="940" w:type="dxa"/>
            <w:shd w:val="clear" w:color="auto" w:fill="auto"/>
            <w:vAlign w:val="center"/>
          </w:tcPr>
          <w:p w14:paraId="53643D88">
            <w:pPr>
              <w:widowControl/>
              <w:spacing w:line="360" w:lineRule="exact"/>
              <w:jc w:val="center"/>
              <w:rPr>
                <w:rFonts w:ascii="Times New Roman" w:hAnsi="Times New Roman"/>
                <w:szCs w:val="21"/>
                <w:u w:val="single"/>
              </w:rPr>
            </w:pPr>
            <w:r>
              <w:rPr>
                <w:rFonts w:ascii="Times New Roman" w:hAnsi="Times New Roman" w:eastAsia="等线"/>
                <w:szCs w:val="21"/>
                <w:u w:val="single"/>
              </w:rPr>
              <w:t>0.024</w:t>
            </w:r>
          </w:p>
        </w:tc>
        <w:tc>
          <w:tcPr>
            <w:tcW w:w="1011" w:type="dxa"/>
            <w:shd w:val="clear" w:color="auto" w:fill="auto"/>
            <w:vAlign w:val="center"/>
          </w:tcPr>
          <w:p w14:paraId="47997986">
            <w:pPr>
              <w:widowControl/>
              <w:spacing w:line="360" w:lineRule="exact"/>
              <w:jc w:val="center"/>
              <w:rPr>
                <w:rFonts w:ascii="Times New Roman" w:hAnsi="Times New Roman"/>
                <w:szCs w:val="21"/>
                <w:u w:val="single"/>
              </w:rPr>
            </w:pPr>
            <w:r>
              <w:rPr>
                <w:rFonts w:ascii="Times New Roman" w:hAnsi="Times New Roman" w:eastAsia="等线"/>
                <w:szCs w:val="21"/>
                <w:u w:val="single"/>
              </w:rPr>
              <w:t>0.007</w:t>
            </w:r>
          </w:p>
        </w:tc>
        <w:tc>
          <w:tcPr>
            <w:tcW w:w="1011" w:type="dxa"/>
            <w:shd w:val="clear" w:color="auto" w:fill="auto"/>
            <w:vAlign w:val="center"/>
          </w:tcPr>
          <w:p w14:paraId="65D7F1D4">
            <w:pPr>
              <w:widowControl/>
              <w:spacing w:line="360" w:lineRule="exact"/>
              <w:jc w:val="center"/>
              <w:rPr>
                <w:rFonts w:ascii="Times New Roman" w:hAnsi="Times New Roman"/>
                <w:szCs w:val="21"/>
                <w:u w:val="single"/>
              </w:rPr>
            </w:pPr>
            <w:r>
              <w:rPr>
                <w:rFonts w:ascii="Times New Roman" w:hAnsi="Times New Roman" w:eastAsia="等线"/>
                <w:szCs w:val="21"/>
                <w:u w:val="single"/>
              </w:rPr>
              <w:t>0.017</w:t>
            </w:r>
          </w:p>
        </w:tc>
        <w:tc>
          <w:tcPr>
            <w:tcW w:w="1303" w:type="dxa"/>
            <w:shd w:val="clear" w:color="auto" w:fill="auto"/>
            <w:vAlign w:val="center"/>
          </w:tcPr>
          <w:p w14:paraId="28653E4A">
            <w:pPr>
              <w:widowControl/>
              <w:spacing w:line="360" w:lineRule="exact"/>
              <w:jc w:val="center"/>
              <w:rPr>
                <w:rFonts w:ascii="Times New Roman" w:hAnsi="Times New Roman"/>
                <w:szCs w:val="21"/>
              </w:rPr>
            </w:pPr>
            <w:r>
              <w:rPr>
                <w:rFonts w:ascii="Times New Roman" w:hAnsi="Times New Roman" w:eastAsia="等线"/>
                <w:szCs w:val="21"/>
              </w:rPr>
              <w:t>4</w:t>
            </w:r>
          </w:p>
        </w:tc>
        <w:tc>
          <w:tcPr>
            <w:tcW w:w="1449" w:type="dxa"/>
            <w:shd w:val="clear" w:color="auto" w:fill="auto"/>
            <w:vAlign w:val="center"/>
          </w:tcPr>
          <w:p w14:paraId="4F13626A">
            <w:pPr>
              <w:widowControl/>
              <w:spacing w:line="360" w:lineRule="exact"/>
              <w:jc w:val="center"/>
              <w:rPr>
                <w:rFonts w:ascii="Times New Roman" w:hAnsi="Times New Roman"/>
                <w:szCs w:val="21"/>
              </w:rPr>
            </w:pPr>
            <w:r>
              <w:rPr>
                <w:rFonts w:ascii="Times New Roman" w:hAnsi="Times New Roman" w:eastAsia="等线"/>
                <w:szCs w:val="21"/>
              </w:rPr>
              <w:t>2.8</w:t>
            </w:r>
          </w:p>
        </w:tc>
        <w:tc>
          <w:tcPr>
            <w:tcW w:w="1293" w:type="dxa"/>
            <w:shd w:val="clear" w:color="auto" w:fill="auto"/>
            <w:vAlign w:val="center"/>
          </w:tcPr>
          <w:p w14:paraId="35B36BED">
            <w:pPr>
              <w:widowControl/>
              <w:spacing w:line="360" w:lineRule="exact"/>
              <w:jc w:val="center"/>
              <w:rPr>
                <w:rFonts w:ascii="Times New Roman" w:hAnsi="Times New Roman"/>
                <w:szCs w:val="21"/>
                <w:u w:val="single"/>
              </w:rPr>
            </w:pPr>
            <w:r>
              <w:rPr>
                <w:rFonts w:ascii="Times New Roman" w:hAnsi="Times New Roman" w:eastAsia="等线"/>
                <w:szCs w:val="21"/>
                <w:u w:val="single"/>
              </w:rPr>
              <w:t>11.9</w:t>
            </w:r>
          </w:p>
        </w:tc>
      </w:tr>
      <w:tr w14:paraId="43D53E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34" w:type="dxa"/>
            <w:vMerge w:val="continue"/>
            <w:vAlign w:val="center"/>
          </w:tcPr>
          <w:p w14:paraId="1F012E44">
            <w:pPr>
              <w:widowControl/>
              <w:spacing w:line="360" w:lineRule="exact"/>
              <w:jc w:val="left"/>
              <w:rPr>
                <w:rFonts w:ascii="Times New Roman" w:hAnsi="Times New Roman"/>
                <w:szCs w:val="21"/>
              </w:rPr>
            </w:pPr>
          </w:p>
        </w:tc>
        <w:tc>
          <w:tcPr>
            <w:tcW w:w="809" w:type="dxa"/>
            <w:shd w:val="clear" w:color="auto" w:fill="auto"/>
            <w:vAlign w:val="center"/>
          </w:tcPr>
          <w:p w14:paraId="0B58ADBD">
            <w:pPr>
              <w:widowControl/>
              <w:spacing w:line="360" w:lineRule="exact"/>
              <w:jc w:val="center"/>
              <w:rPr>
                <w:rFonts w:ascii="Times New Roman" w:hAnsi="Times New Roman"/>
                <w:szCs w:val="21"/>
              </w:rPr>
            </w:pPr>
            <w:r>
              <w:rPr>
                <w:rFonts w:ascii="Times New Roman" w:hAnsi="Times New Roman"/>
                <w:szCs w:val="21"/>
                <w:lang w:val="en-GB"/>
              </w:rPr>
              <w:t>NH</w:t>
            </w:r>
            <w:r>
              <w:rPr>
                <w:rFonts w:ascii="Times New Roman" w:hAnsi="Times New Roman"/>
                <w:szCs w:val="21"/>
                <w:vertAlign w:val="subscript"/>
                <w:lang w:val="en-GB"/>
              </w:rPr>
              <w:t>3</w:t>
            </w:r>
            <w:r>
              <w:rPr>
                <w:rFonts w:ascii="Times New Roman" w:hAnsi="Times New Roman"/>
                <w:szCs w:val="21"/>
                <w:lang w:val="en-GB"/>
              </w:rPr>
              <w:t>-N</w:t>
            </w:r>
          </w:p>
        </w:tc>
        <w:tc>
          <w:tcPr>
            <w:tcW w:w="738" w:type="dxa"/>
            <w:shd w:val="clear" w:color="auto" w:fill="auto"/>
            <w:vAlign w:val="center"/>
          </w:tcPr>
          <w:p w14:paraId="640DE6A0">
            <w:pPr>
              <w:widowControl/>
              <w:spacing w:line="360" w:lineRule="exact"/>
              <w:jc w:val="center"/>
              <w:rPr>
                <w:rFonts w:ascii="Times New Roman" w:hAnsi="Times New Roman"/>
                <w:szCs w:val="21"/>
              </w:rPr>
            </w:pPr>
            <w:r>
              <w:rPr>
                <w:rFonts w:ascii="Times New Roman" w:hAnsi="Times New Roman"/>
                <w:szCs w:val="21"/>
              </w:rPr>
              <w:t>t/a</w:t>
            </w:r>
          </w:p>
        </w:tc>
        <w:tc>
          <w:tcPr>
            <w:tcW w:w="940" w:type="dxa"/>
            <w:shd w:val="clear" w:color="auto" w:fill="auto"/>
            <w:vAlign w:val="center"/>
          </w:tcPr>
          <w:p w14:paraId="04558675">
            <w:pPr>
              <w:widowControl/>
              <w:spacing w:line="360" w:lineRule="exact"/>
              <w:jc w:val="center"/>
              <w:rPr>
                <w:rFonts w:ascii="Times New Roman" w:hAnsi="Times New Roman"/>
                <w:szCs w:val="21"/>
                <w:u w:val="single"/>
              </w:rPr>
            </w:pPr>
            <w:r>
              <w:rPr>
                <w:rFonts w:ascii="Times New Roman" w:hAnsi="Times New Roman" w:eastAsia="等线"/>
                <w:szCs w:val="21"/>
                <w:u w:val="single"/>
              </w:rPr>
              <w:t>0.004</w:t>
            </w:r>
          </w:p>
        </w:tc>
        <w:tc>
          <w:tcPr>
            <w:tcW w:w="1011" w:type="dxa"/>
            <w:shd w:val="clear" w:color="auto" w:fill="auto"/>
            <w:vAlign w:val="center"/>
          </w:tcPr>
          <w:p w14:paraId="6013F36B">
            <w:pPr>
              <w:widowControl/>
              <w:spacing w:line="360" w:lineRule="exact"/>
              <w:jc w:val="center"/>
              <w:rPr>
                <w:rFonts w:ascii="Times New Roman" w:hAnsi="Times New Roman"/>
                <w:szCs w:val="21"/>
                <w:u w:val="single"/>
              </w:rPr>
            </w:pPr>
            <w:r>
              <w:rPr>
                <w:rFonts w:ascii="Times New Roman" w:hAnsi="Times New Roman" w:eastAsia="等线"/>
                <w:szCs w:val="21"/>
                <w:u w:val="single"/>
              </w:rPr>
              <w:t>0.003</w:t>
            </w:r>
          </w:p>
        </w:tc>
        <w:tc>
          <w:tcPr>
            <w:tcW w:w="1011" w:type="dxa"/>
            <w:shd w:val="clear" w:color="auto" w:fill="auto"/>
            <w:vAlign w:val="center"/>
          </w:tcPr>
          <w:p w14:paraId="786E438F">
            <w:pPr>
              <w:widowControl/>
              <w:spacing w:line="360" w:lineRule="exact"/>
              <w:jc w:val="center"/>
              <w:rPr>
                <w:rFonts w:ascii="Times New Roman" w:hAnsi="Times New Roman"/>
                <w:szCs w:val="21"/>
                <w:u w:val="single"/>
              </w:rPr>
            </w:pPr>
            <w:r>
              <w:rPr>
                <w:rFonts w:ascii="Times New Roman" w:hAnsi="Times New Roman" w:eastAsia="等线"/>
                <w:szCs w:val="21"/>
                <w:u w:val="single"/>
              </w:rPr>
              <w:t>0.001</w:t>
            </w:r>
          </w:p>
        </w:tc>
        <w:tc>
          <w:tcPr>
            <w:tcW w:w="1303" w:type="dxa"/>
            <w:shd w:val="clear" w:color="auto" w:fill="auto"/>
            <w:vAlign w:val="center"/>
          </w:tcPr>
          <w:p w14:paraId="3922B02C">
            <w:pPr>
              <w:widowControl/>
              <w:spacing w:line="360" w:lineRule="exact"/>
              <w:jc w:val="center"/>
              <w:rPr>
                <w:rFonts w:ascii="Times New Roman" w:hAnsi="Times New Roman"/>
                <w:szCs w:val="21"/>
              </w:rPr>
            </w:pPr>
            <w:r>
              <w:rPr>
                <w:rFonts w:ascii="Times New Roman" w:hAnsi="Times New Roman" w:eastAsia="等线"/>
                <w:szCs w:val="21"/>
              </w:rPr>
              <w:t>0.8</w:t>
            </w:r>
          </w:p>
        </w:tc>
        <w:tc>
          <w:tcPr>
            <w:tcW w:w="1449" w:type="dxa"/>
            <w:shd w:val="clear" w:color="auto" w:fill="auto"/>
            <w:vAlign w:val="center"/>
          </w:tcPr>
          <w:p w14:paraId="02CD5F21">
            <w:pPr>
              <w:widowControl/>
              <w:spacing w:line="360" w:lineRule="exact"/>
              <w:jc w:val="center"/>
              <w:rPr>
                <w:rFonts w:ascii="Times New Roman" w:hAnsi="Times New Roman"/>
                <w:szCs w:val="21"/>
              </w:rPr>
            </w:pPr>
            <w:r>
              <w:rPr>
                <w:rFonts w:ascii="Times New Roman" w:hAnsi="Times New Roman" w:eastAsia="等线"/>
                <w:szCs w:val="21"/>
              </w:rPr>
              <w:t>2.8</w:t>
            </w:r>
          </w:p>
        </w:tc>
        <w:tc>
          <w:tcPr>
            <w:tcW w:w="1293" w:type="dxa"/>
            <w:shd w:val="clear" w:color="auto" w:fill="auto"/>
            <w:vAlign w:val="center"/>
          </w:tcPr>
          <w:p w14:paraId="1BC731FC">
            <w:pPr>
              <w:widowControl/>
              <w:spacing w:line="360" w:lineRule="exact"/>
              <w:jc w:val="center"/>
              <w:rPr>
                <w:rFonts w:ascii="Times New Roman" w:hAnsi="Times New Roman"/>
                <w:szCs w:val="21"/>
                <w:u w:val="single"/>
              </w:rPr>
            </w:pPr>
            <w:r>
              <w:rPr>
                <w:rFonts w:ascii="Times New Roman" w:hAnsi="Times New Roman" w:eastAsia="等线"/>
                <w:szCs w:val="21"/>
                <w:u w:val="single"/>
              </w:rPr>
              <w:t>3.5</w:t>
            </w:r>
          </w:p>
        </w:tc>
      </w:tr>
      <w:tr w14:paraId="1196A4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543" w:type="dxa"/>
            <w:gridSpan w:val="2"/>
            <w:shd w:val="clear" w:color="auto" w:fill="auto"/>
            <w:vAlign w:val="center"/>
          </w:tcPr>
          <w:p w14:paraId="66CACC6C">
            <w:pPr>
              <w:widowControl/>
              <w:spacing w:line="360" w:lineRule="exact"/>
              <w:jc w:val="center"/>
              <w:rPr>
                <w:rFonts w:ascii="Times New Roman" w:hAnsi="Times New Roman"/>
                <w:szCs w:val="21"/>
              </w:rPr>
            </w:pPr>
            <w:r>
              <w:rPr>
                <w:rFonts w:ascii="Times New Roman" w:hAnsi="Times New Roman"/>
                <w:szCs w:val="21"/>
              </w:rPr>
              <w:t>危险废物</w:t>
            </w:r>
          </w:p>
        </w:tc>
        <w:tc>
          <w:tcPr>
            <w:tcW w:w="738" w:type="dxa"/>
            <w:shd w:val="clear" w:color="auto" w:fill="auto"/>
            <w:vAlign w:val="center"/>
          </w:tcPr>
          <w:p w14:paraId="0D113FFA">
            <w:pPr>
              <w:widowControl/>
              <w:spacing w:line="360" w:lineRule="exact"/>
              <w:jc w:val="center"/>
              <w:rPr>
                <w:rFonts w:ascii="Times New Roman" w:hAnsi="Times New Roman"/>
                <w:szCs w:val="21"/>
              </w:rPr>
            </w:pPr>
            <w:r>
              <w:rPr>
                <w:rFonts w:ascii="Times New Roman" w:hAnsi="Times New Roman"/>
                <w:szCs w:val="21"/>
              </w:rPr>
              <w:t>t/a</w:t>
            </w:r>
          </w:p>
        </w:tc>
        <w:tc>
          <w:tcPr>
            <w:tcW w:w="940" w:type="dxa"/>
            <w:shd w:val="clear" w:color="auto" w:fill="auto"/>
            <w:vAlign w:val="center"/>
          </w:tcPr>
          <w:p w14:paraId="69D00D25">
            <w:pPr>
              <w:widowControl/>
              <w:spacing w:line="360" w:lineRule="exact"/>
              <w:jc w:val="center"/>
              <w:rPr>
                <w:rFonts w:ascii="Times New Roman" w:hAnsi="Times New Roman"/>
                <w:szCs w:val="21"/>
                <w:u w:val="single"/>
              </w:rPr>
            </w:pPr>
            <w:r>
              <w:rPr>
                <w:rFonts w:ascii="Times New Roman" w:hAnsi="Times New Roman" w:eastAsia="等线"/>
                <w:szCs w:val="21"/>
                <w:u w:val="single"/>
              </w:rPr>
              <w:t>0.3</w:t>
            </w:r>
          </w:p>
        </w:tc>
        <w:tc>
          <w:tcPr>
            <w:tcW w:w="1011" w:type="dxa"/>
            <w:shd w:val="clear" w:color="auto" w:fill="auto"/>
            <w:vAlign w:val="center"/>
          </w:tcPr>
          <w:p w14:paraId="6D952E8A">
            <w:pPr>
              <w:widowControl/>
              <w:spacing w:line="360" w:lineRule="exact"/>
              <w:jc w:val="center"/>
              <w:rPr>
                <w:rFonts w:ascii="Times New Roman" w:hAnsi="Times New Roman"/>
                <w:szCs w:val="21"/>
                <w:u w:val="single"/>
              </w:rPr>
            </w:pPr>
            <w:r>
              <w:rPr>
                <w:rFonts w:ascii="Times New Roman" w:hAnsi="Times New Roman" w:eastAsia="等线"/>
                <w:szCs w:val="21"/>
                <w:u w:val="single"/>
              </w:rPr>
              <w:t>0</w:t>
            </w:r>
          </w:p>
        </w:tc>
        <w:tc>
          <w:tcPr>
            <w:tcW w:w="1011" w:type="dxa"/>
            <w:shd w:val="clear" w:color="auto" w:fill="auto"/>
            <w:vAlign w:val="center"/>
          </w:tcPr>
          <w:p w14:paraId="0F2745C5">
            <w:pPr>
              <w:widowControl/>
              <w:spacing w:line="360" w:lineRule="exact"/>
              <w:jc w:val="center"/>
              <w:rPr>
                <w:rFonts w:ascii="Times New Roman" w:hAnsi="Times New Roman"/>
                <w:szCs w:val="21"/>
                <w:u w:val="single"/>
              </w:rPr>
            </w:pPr>
            <w:r>
              <w:rPr>
                <w:rFonts w:ascii="Times New Roman" w:hAnsi="Times New Roman" w:eastAsia="等线"/>
                <w:szCs w:val="21"/>
                <w:u w:val="single"/>
              </w:rPr>
              <w:t>0.3</w:t>
            </w:r>
          </w:p>
        </w:tc>
        <w:tc>
          <w:tcPr>
            <w:tcW w:w="1303" w:type="dxa"/>
            <w:shd w:val="clear" w:color="auto" w:fill="auto"/>
            <w:vAlign w:val="center"/>
          </w:tcPr>
          <w:p w14:paraId="70AC3DC0">
            <w:pPr>
              <w:widowControl/>
              <w:spacing w:line="360" w:lineRule="exact"/>
              <w:jc w:val="center"/>
              <w:rPr>
                <w:rFonts w:ascii="Times New Roman" w:hAnsi="Times New Roman"/>
                <w:szCs w:val="21"/>
              </w:rPr>
            </w:pPr>
            <w:r>
              <w:rPr>
                <w:rFonts w:ascii="Times New Roman" w:hAnsi="Times New Roman" w:eastAsia="等线"/>
                <w:szCs w:val="21"/>
              </w:rPr>
              <w:t>/</w:t>
            </w:r>
          </w:p>
        </w:tc>
        <w:tc>
          <w:tcPr>
            <w:tcW w:w="1449" w:type="dxa"/>
            <w:shd w:val="clear" w:color="auto" w:fill="auto"/>
            <w:vAlign w:val="center"/>
          </w:tcPr>
          <w:p w14:paraId="1AC9EEE1">
            <w:pPr>
              <w:widowControl/>
              <w:spacing w:line="360" w:lineRule="exact"/>
              <w:jc w:val="center"/>
              <w:rPr>
                <w:rFonts w:ascii="Times New Roman" w:hAnsi="Times New Roman"/>
                <w:szCs w:val="21"/>
              </w:rPr>
            </w:pPr>
            <w:r>
              <w:rPr>
                <w:rFonts w:ascii="Times New Roman" w:hAnsi="Times New Roman" w:eastAsia="等线"/>
                <w:szCs w:val="21"/>
              </w:rPr>
              <w:t>1000</w:t>
            </w:r>
            <w:r>
              <w:rPr>
                <w:rFonts w:ascii="Times New Roman" w:hAnsi="Times New Roman"/>
                <w:szCs w:val="21"/>
              </w:rPr>
              <w:t>元</w:t>
            </w:r>
            <w:r>
              <w:rPr>
                <w:rFonts w:ascii="Times New Roman" w:hAnsi="Times New Roman" w:eastAsia="等线"/>
                <w:szCs w:val="21"/>
              </w:rPr>
              <w:t>/t</w:t>
            </w:r>
          </w:p>
        </w:tc>
        <w:tc>
          <w:tcPr>
            <w:tcW w:w="1293" w:type="dxa"/>
            <w:shd w:val="clear" w:color="auto" w:fill="auto"/>
            <w:vAlign w:val="center"/>
          </w:tcPr>
          <w:p w14:paraId="4FDDF897">
            <w:pPr>
              <w:widowControl/>
              <w:spacing w:line="360" w:lineRule="exact"/>
              <w:jc w:val="center"/>
              <w:rPr>
                <w:rFonts w:ascii="Times New Roman" w:hAnsi="Times New Roman"/>
                <w:szCs w:val="21"/>
                <w:u w:val="single"/>
              </w:rPr>
            </w:pPr>
            <w:r>
              <w:rPr>
                <w:rFonts w:ascii="Times New Roman" w:hAnsi="Times New Roman" w:eastAsia="等线"/>
                <w:szCs w:val="21"/>
                <w:u w:val="single"/>
              </w:rPr>
              <w:t>30</w:t>
            </w:r>
            <w:r>
              <w:rPr>
                <w:rFonts w:hint="eastAsia" w:ascii="Times New Roman" w:hAnsi="Times New Roman" w:eastAsia="等线"/>
                <w:szCs w:val="21"/>
                <w:u w:val="single"/>
              </w:rPr>
              <w:t>0</w:t>
            </w:r>
          </w:p>
        </w:tc>
      </w:tr>
      <w:tr w14:paraId="540E9C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543" w:type="dxa"/>
            <w:gridSpan w:val="2"/>
            <w:shd w:val="clear" w:color="auto" w:fill="auto"/>
            <w:vAlign w:val="center"/>
          </w:tcPr>
          <w:p w14:paraId="5B2A09F1">
            <w:pPr>
              <w:widowControl/>
              <w:spacing w:line="360" w:lineRule="exact"/>
              <w:jc w:val="center"/>
              <w:rPr>
                <w:rFonts w:ascii="Times New Roman" w:hAnsi="Times New Roman"/>
                <w:szCs w:val="21"/>
              </w:rPr>
            </w:pPr>
            <w:r>
              <w:rPr>
                <w:rFonts w:ascii="Times New Roman" w:hAnsi="Times New Roman"/>
                <w:szCs w:val="21"/>
              </w:rPr>
              <w:t>一般工业固废</w:t>
            </w:r>
          </w:p>
        </w:tc>
        <w:tc>
          <w:tcPr>
            <w:tcW w:w="738" w:type="dxa"/>
            <w:shd w:val="clear" w:color="auto" w:fill="auto"/>
            <w:vAlign w:val="center"/>
          </w:tcPr>
          <w:p w14:paraId="76CC58EF">
            <w:pPr>
              <w:widowControl/>
              <w:spacing w:line="360" w:lineRule="exact"/>
              <w:jc w:val="center"/>
              <w:rPr>
                <w:rFonts w:ascii="Times New Roman" w:hAnsi="Times New Roman"/>
                <w:szCs w:val="21"/>
              </w:rPr>
            </w:pPr>
            <w:r>
              <w:rPr>
                <w:rFonts w:ascii="Times New Roman" w:hAnsi="Times New Roman"/>
                <w:szCs w:val="21"/>
              </w:rPr>
              <w:t>t/a</w:t>
            </w:r>
          </w:p>
        </w:tc>
        <w:tc>
          <w:tcPr>
            <w:tcW w:w="940" w:type="dxa"/>
            <w:shd w:val="clear" w:color="auto" w:fill="auto"/>
            <w:vAlign w:val="center"/>
          </w:tcPr>
          <w:p w14:paraId="187CC8BB">
            <w:pPr>
              <w:widowControl/>
              <w:spacing w:line="360" w:lineRule="exact"/>
              <w:jc w:val="center"/>
              <w:rPr>
                <w:rFonts w:ascii="Times New Roman" w:hAnsi="Times New Roman"/>
                <w:szCs w:val="21"/>
                <w:u w:val="single"/>
              </w:rPr>
            </w:pPr>
            <w:r>
              <w:rPr>
                <w:rFonts w:hint="eastAsia" w:ascii="Times New Roman" w:hAnsi="Times New Roman" w:eastAsia="等线"/>
                <w:szCs w:val="21"/>
                <w:u w:val="single"/>
              </w:rPr>
              <w:t>77.18</w:t>
            </w:r>
          </w:p>
        </w:tc>
        <w:tc>
          <w:tcPr>
            <w:tcW w:w="1011" w:type="dxa"/>
            <w:shd w:val="clear" w:color="auto" w:fill="auto"/>
            <w:vAlign w:val="center"/>
          </w:tcPr>
          <w:p w14:paraId="062D63D0">
            <w:pPr>
              <w:widowControl/>
              <w:spacing w:line="360" w:lineRule="exact"/>
              <w:jc w:val="center"/>
              <w:rPr>
                <w:rFonts w:ascii="Times New Roman" w:hAnsi="Times New Roman"/>
                <w:szCs w:val="21"/>
                <w:u w:val="single"/>
              </w:rPr>
            </w:pPr>
            <w:r>
              <w:rPr>
                <w:rFonts w:ascii="Times New Roman" w:hAnsi="Times New Roman" w:eastAsia="等线"/>
                <w:szCs w:val="21"/>
                <w:u w:val="single"/>
              </w:rPr>
              <w:t>0</w:t>
            </w:r>
          </w:p>
        </w:tc>
        <w:tc>
          <w:tcPr>
            <w:tcW w:w="1011" w:type="dxa"/>
            <w:shd w:val="clear" w:color="auto" w:fill="auto"/>
            <w:vAlign w:val="center"/>
          </w:tcPr>
          <w:p w14:paraId="165AC6AE">
            <w:pPr>
              <w:widowControl/>
              <w:spacing w:line="360" w:lineRule="exact"/>
              <w:jc w:val="center"/>
              <w:rPr>
                <w:rFonts w:ascii="Times New Roman" w:hAnsi="Times New Roman"/>
                <w:szCs w:val="21"/>
                <w:u w:val="single"/>
              </w:rPr>
            </w:pPr>
            <w:r>
              <w:rPr>
                <w:rFonts w:hint="eastAsia" w:ascii="Times New Roman" w:hAnsi="Times New Roman" w:eastAsia="等线"/>
                <w:szCs w:val="21"/>
                <w:u w:val="single"/>
              </w:rPr>
              <w:t>77.18</w:t>
            </w:r>
          </w:p>
        </w:tc>
        <w:tc>
          <w:tcPr>
            <w:tcW w:w="1303" w:type="dxa"/>
            <w:shd w:val="clear" w:color="auto" w:fill="auto"/>
            <w:vAlign w:val="center"/>
          </w:tcPr>
          <w:p w14:paraId="3384C9D1">
            <w:pPr>
              <w:widowControl/>
              <w:spacing w:line="360" w:lineRule="exact"/>
              <w:jc w:val="center"/>
              <w:rPr>
                <w:rFonts w:ascii="Times New Roman" w:hAnsi="Times New Roman"/>
                <w:szCs w:val="21"/>
              </w:rPr>
            </w:pPr>
            <w:r>
              <w:rPr>
                <w:rFonts w:ascii="Times New Roman" w:hAnsi="Times New Roman" w:eastAsia="等线"/>
                <w:szCs w:val="21"/>
              </w:rPr>
              <w:t>/</w:t>
            </w:r>
          </w:p>
        </w:tc>
        <w:tc>
          <w:tcPr>
            <w:tcW w:w="1449" w:type="dxa"/>
            <w:shd w:val="clear" w:color="auto" w:fill="auto"/>
            <w:vAlign w:val="center"/>
          </w:tcPr>
          <w:p w14:paraId="083F3125">
            <w:pPr>
              <w:widowControl/>
              <w:spacing w:line="360" w:lineRule="exact"/>
              <w:jc w:val="center"/>
              <w:rPr>
                <w:rFonts w:ascii="Times New Roman" w:hAnsi="Times New Roman"/>
                <w:szCs w:val="21"/>
              </w:rPr>
            </w:pPr>
            <w:r>
              <w:rPr>
                <w:rFonts w:ascii="Times New Roman" w:hAnsi="Times New Roman" w:eastAsia="等线"/>
                <w:szCs w:val="21"/>
              </w:rPr>
              <w:t>25/t</w:t>
            </w:r>
          </w:p>
        </w:tc>
        <w:tc>
          <w:tcPr>
            <w:tcW w:w="1293" w:type="dxa"/>
            <w:shd w:val="clear" w:color="auto" w:fill="auto"/>
            <w:vAlign w:val="center"/>
          </w:tcPr>
          <w:p w14:paraId="7B4D003A">
            <w:pPr>
              <w:widowControl/>
              <w:spacing w:line="360" w:lineRule="exact"/>
              <w:jc w:val="center"/>
              <w:rPr>
                <w:rFonts w:ascii="Times New Roman" w:hAnsi="Times New Roman"/>
                <w:szCs w:val="21"/>
                <w:u w:val="single"/>
              </w:rPr>
            </w:pPr>
            <w:r>
              <w:rPr>
                <w:rFonts w:hint="eastAsia" w:ascii="Times New Roman" w:hAnsi="Times New Roman" w:eastAsia="等线"/>
                <w:szCs w:val="21"/>
                <w:u w:val="single"/>
              </w:rPr>
              <w:t>1929.49</w:t>
            </w:r>
          </w:p>
        </w:tc>
      </w:tr>
      <w:tr w14:paraId="17702C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995" w:type="dxa"/>
            <w:gridSpan w:val="8"/>
            <w:shd w:val="clear" w:color="auto" w:fill="auto"/>
            <w:vAlign w:val="center"/>
          </w:tcPr>
          <w:p w14:paraId="4F8BE097">
            <w:pPr>
              <w:widowControl/>
              <w:spacing w:line="360" w:lineRule="exact"/>
              <w:jc w:val="center"/>
              <w:rPr>
                <w:rFonts w:ascii="Times New Roman" w:hAnsi="Times New Roman"/>
                <w:szCs w:val="21"/>
              </w:rPr>
            </w:pPr>
            <w:r>
              <w:rPr>
                <w:rFonts w:ascii="Times New Roman" w:hAnsi="Times New Roman"/>
                <w:szCs w:val="21"/>
              </w:rPr>
              <w:t>合计</w:t>
            </w:r>
          </w:p>
        </w:tc>
        <w:tc>
          <w:tcPr>
            <w:tcW w:w="1293" w:type="dxa"/>
            <w:shd w:val="clear" w:color="auto" w:fill="auto"/>
            <w:vAlign w:val="center"/>
          </w:tcPr>
          <w:p w14:paraId="4433EF4D">
            <w:pPr>
              <w:widowControl/>
              <w:spacing w:line="360" w:lineRule="exact"/>
              <w:jc w:val="center"/>
              <w:rPr>
                <w:rFonts w:ascii="Times New Roman" w:hAnsi="Times New Roman"/>
                <w:szCs w:val="21"/>
                <w:u w:val="single"/>
              </w:rPr>
            </w:pPr>
            <w:r>
              <w:rPr>
                <w:rFonts w:hint="eastAsia" w:ascii="Times New Roman" w:hAnsi="Times New Roman"/>
                <w:szCs w:val="21"/>
                <w:u w:val="single"/>
              </w:rPr>
              <w:t>11693.95</w:t>
            </w:r>
          </w:p>
        </w:tc>
      </w:tr>
    </w:tbl>
    <w:p w14:paraId="45726C90">
      <w:pPr>
        <w:spacing w:line="360" w:lineRule="auto"/>
        <w:ind w:firstLine="482"/>
        <w:rPr>
          <w:rFonts w:ascii="Times New Roman" w:hAnsi="Times New Roman"/>
          <w:spacing w:val="-2"/>
          <w:kern w:val="0"/>
          <w:sz w:val="24"/>
          <w:szCs w:val="24"/>
        </w:rPr>
      </w:pPr>
    </w:p>
    <w:p w14:paraId="51BBB8D6">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由以上表可以看出，</w:t>
      </w:r>
      <w:r>
        <w:rPr>
          <w:rFonts w:ascii="Times New Roman" w:hAnsi="Times New Roman"/>
          <w:spacing w:val="-2"/>
          <w:kern w:val="0"/>
          <w:sz w:val="24"/>
          <w:szCs w:val="24"/>
          <w:u w:val="single"/>
        </w:rPr>
        <w:t>项目环保设施正常运行时，可减交环境保护税约</w:t>
      </w:r>
      <w:r>
        <w:rPr>
          <w:rFonts w:hint="eastAsia" w:ascii="Times New Roman" w:hAnsi="Times New Roman"/>
          <w:spacing w:val="-2"/>
          <w:kern w:val="0"/>
          <w:sz w:val="24"/>
          <w:szCs w:val="24"/>
          <w:u w:val="single"/>
        </w:rPr>
        <w:t>1.17</w:t>
      </w:r>
      <w:r>
        <w:rPr>
          <w:rFonts w:ascii="Times New Roman" w:hAnsi="Times New Roman"/>
          <w:spacing w:val="-2"/>
          <w:kern w:val="0"/>
          <w:sz w:val="24"/>
          <w:szCs w:val="24"/>
          <w:u w:val="single"/>
        </w:rPr>
        <w:t>万元/年，可看作运营期每年可获得</w:t>
      </w:r>
      <w:r>
        <w:rPr>
          <w:rFonts w:hint="eastAsia" w:ascii="Times New Roman" w:hAnsi="Times New Roman"/>
          <w:spacing w:val="-2"/>
          <w:kern w:val="0"/>
          <w:sz w:val="24"/>
          <w:szCs w:val="24"/>
          <w:u w:val="single"/>
        </w:rPr>
        <w:t>1.17</w:t>
      </w:r>
      <w:r>
        <w:rPr>
          <w:rFonts w:ascii="Times New Roman" w:hAnsi="Times New Roman"/>
          <w:spacing w:val="-2"/>
          <w:kern w:val="0"/>
          <w:sz w:val="24"/>
          <w:szCs w:val="24"/>
          <w:u w:val="single"/>
        </w:rPr>
        <w:t>万元的环境效益。</w:t>
      </w:r>
      <w:r>
        <w:rPr>
          <w:rFonts w:ascii="Times New Roman" w:hAnsi="Times New Roman"/>
          <w:spacing w:val="-2"/>
          <w:kern w:val="0"/>
          <w:sz w:val="24"/>
          <w:szCs w:val="24"/>
        </w:rPr>
        <w:t>项目运营期加强环保监督管理，切实落实本报告提出的治理方案，能降低项目产生的污染物对周围环境的影响，产生显著的环保经济效益。</w:t>
      </w:r>
    </w:p>
    <w:p w14:paraId="29AED27E">
      <w:pPr>
        <w:pStyle w:val="6"/>
        <w:numPr>
          <w:ilvl w:val="2"/>
          <w:numId w:val="3"/>
        </w:numPr>
      </w:pPr>
      <w:r>
        <w:t>环保投资损益分析</w:t>
      </w:r>
    </w:p>
    <w:p w14:paraId="32CE0311">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建设项目环保治理措施的实施，不仅可以有效地控制污染，而且通过对废物的综合利用还能带来一定的经济效益和环境效益。</w:t>
      </w:r>
    </w:p>
    <w:p w14:paraId="24586E1B">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通过对本项目生产工艺的分析，本项目因环保治理能带来的直接的经济效益和间接的环境效益。直接的经济效益一方面来自污染治理而减少的排污收费，另一方面来自废物综合利用所得的经济效益。</w:t>
      </w:r>
    </w:p>
    <w:p w14:paraId="6F84CDDC">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（1）环境经济损益系数</w:t>
      </w:r>
    </w:p>
    <w:p w14:paraId="54DA58C6">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环境经济损益一般用环境经济损益系数表示：</w:t>
      </w:r>
    </w:p>
    <w:p w14:paraId="578C747A">
      <w:pPr>
        <w:spacing w:line="360" w:lineRule="auto"/>
        <w:ind w:firstLine="482"/>
        <w:jc w:val="center"/>
        <w:rPr>
          <w:rFonts w:ascii="Times New Roman" w:hAnsi="Times New Roman"/>
          <w:spacing w:val="-2"/>
          <w:kern w:val="0"/>
          <w:sz w:val="24"/>
          <w:szCs w:val="24"/>
        </w:rPr>
      </w:pPr>
      <w:r>
        <w:rPr>
          <w:rFonts w:ascii="Times New Roman" w:hAnsi="Times New Roman"/>
          <w:spacing w:val="-2"/>
          <w:kern w:val="0"/>
          <w:sz w:val="24"/>
          <w:szCs w:val="24"/>
        </w:rPr>
        <w:t>R＝R</w:t>
      </w:r>
      <w:r>
        <w:rPr>
          <w:rFonts w:ascii="Times New Roman" w:hAnsi="Times New Roman"/>
          <w:spacing w:val="-2"/>
          <w:kern w:val="0"/>
          <w:sz w:val="24"/>
          <w:szCs w:val="24"/>
          <w:vertAlign w:val="subscript"/>
        </w:rPr>
        <w:t>1</w:t>
      </w:r>
      <w:r>
        <w:rPr>
          <w:rFonts w:ascii="Times New Roman" w:hAnsi="Times New Roman"/>
          <w:spacing w:val="-2"/>
          <w:kern w:val="0"/>
          <w:sz w:val="24"/>
          <w:szCs w:val="24"/>
        </w:rPr>
        <w:t>/R</w:t>
      </w:r>
      <w:r>
        <w:rPr>
          <w:rFonts w:ascii="Times New Roman" w:hAnsi="Times New Roman"/>
          <w:spacing w:val="-2"/>
          <w:kern w:val="0"/>
          <w:sz w:val="24"/>
          <w:szCs w:val="24"/>
          <w:vertAlign w:val="subscript"/>
        </w:rPr>
        <w:t>2</w:t>
      </w:r>
    </w:p>
    <w:p w14:paraId="425D5046">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式中：</w:t>
      </w:r>
    </w:p>
    <w:p w14:paraId="10DD731C">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R——损益系数；</w:t>
      </w:r>
    </w:p>
    <w:p w14:paraId="1A95BF4F">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R</w:t>
      </w:r>
      <w:r>
        <w:rPr>
          <w:rFonts w:ascii="Times New Roman" w:hAnsi="Times New Roman"/>
          <w:spacing w:val="-2"/>
          <w:kern w:val="0"/>
          <w:sz w:val="24"/>
          <w:szCs w:val="24"/>
          <w:vertAlign w:val="subscript"/>
        </w:rPr>
        <w:t>l</w:t>
      </w:r>
      <w:r>
        <w:rPr>
          <w:rFonts w:ascii="Times New Roman" w:hAnsi="Times New Roman"/>
          <w:spacing w:val="-2"/>
          <w:kern w:val="0"/>
          <w:sz w:val="24"/>
          <w:szCs w:val="24"/>
        </w:rPr>
        <w:t>——经济收益，以工厂经营期内（30年）的纯利润计；</w:t>
      </w:r>
    </w:p>
    <w:p w14:paraId="7DD8EDC5">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R</w:t>
      </w:r>
      <w:r>
        <w:rPr>
          <w:rFonts w:ascii="Times New Roman" w:hAnsi="Times New Roman"/>
          <w:spacing w:val="-2"/>
          <w:kern w:val="0"/>
          <w:sz w:val="24"/>
          <w:szCs w:val="24"/>
          <w:vertAlign w:val="subscript"/>
        </w:rPr>
        <w:t>2</w:t>
      </w:r>
      <w:r>
        <w:rPr>
          <w:rFonts w:ascii="Times New Roman" w:hAnsi="Times New Roman"/>
          <w:spacing w:val="-2"/>
          <w:kern w:val="0"/>
          <w:sz w:val="24"/>
          <w:szCs w:val="24"/>
        </w:rPr>
        <w:t>——环保投资，以工厂一次性环保投资和30年污染治理费用之合计。</w:t>
      </w:r>
    </w:p>
    <w:p w14:paraId="0626A7FD">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计算结果：</w:t>
      </w:r>
      <w:r>
        <w:rPr>
          <w:rFonts w:ascii="Times New Roman" w:hAnsi="Times New Roman"/>
          <w:spacing w:val="-2"/>
          <w:kern w:val="0"/>
          <w:sz w:val="24"/>
          <w:szCs w:val="24"/>
          <w:u w:val="single"/>
        </w:rPr>
        <w:t>环保损益系数为</w:t>
      </w:r>
      <w:r>
        <w:rPr>
          <w:rFonts w:hint="eastAsia" w:ascii="Times New Roman" w:hAnsi="Times New Roman"/>
          <w:spacing w:val="-2"/>
          <w:kern w:val="0"/>
          <w:sz w:val="24"/>
          <w:szCs w:val="24"/>
          <w:u w:val="single"/>
        </w:rPr>
        <w:t>160.83</w:t>
      </w:r>
      <w:r>
        <w:rPr>
          <w:rFonts w:ascii="Times New Roman" w:hAnsi="Times New Roman"/>
          <w:spacing w:val="-2"/>
          <w:kern w:val="0"/>
          <w:sz w:val="24"/>
          <w:szCs w:val="24"/>
          <w:u w:val="single"/>
        </w:rPr>
        <w:t>，</w:t>
      </w:r>
      <w:r>
        <w:rPr>
          <w:rFonts w:ascii="Times New Roman" w:hAnsi="Times New Roman"/>
          <w:spacing w:val="-2"/>
          <w:kern w:val="0"/>
          <w:sz w:val="24"/>
          <w:szCs w:val="24"/>
        </w:rPr>
        <w:t>说明本项目经济收益远远超过环保投资及运行费用，项目运营后有足够的资金投入环保治理。</w:t>
      </w:r>
    </w:p>
    <w:p w14:paraId="14074D7C">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（2）环保费用的经济效益分析</w:t>
      </w:r>
    </w:p>
    <w:p w14:paraId="773446D7">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年环保费用的经济效益，可用因有效的环保治理措施而挽回的经济损失与保证这—效益而每年投入的环保费用之比来确定，年环保费用的经济效益按下式计算：</w:t>
      </w:r>
    </w:p>
    <w:p w14:paraId="2B8E9A2C">
      <w:pPr>
        <w:spacing w:line="360" w:lineRule="auto"/>
        <w:ind w:firstLine="482"/>
        <w:jc w:val="center"/>
        <w:rPr>
          <w:rFonts w:ascii="Times New Roman" w:hAnsi="Times New Roman"/>
          <w:spacing w:val="-2"/>
          <w:kern w:val="0"/>
          <w:sz w:val="24"/>
          <w:szCs w:val="24"/>
        </w:rPr>
      </w:pPr>
      <w:r>
        <w:rPr>
          <w:rFonts w:ascii="Times New Roman" w:hAnsi="Times New Roman"/>
          <w:spacing w:val="-2"/>
          <w:kern w:val="0"/>
          <w:sz w:val="24"/>
          <w:szCs w:val="24"/>
        </w:rPr>
        <w:t>Z=Si/Hf</w:t>
      </w:r>
    </w:p>
    <w:p w14:paraId="18BD4B66">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式中：</w:t>
      </w:r>
    </w:p>
    <w:p w14:paraId="3102517C">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Z——年环保费用的经济效益；</w:t>
      </w:r>
    </w:p>
    <w:p w14:paraId="40FCDC30">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Si——为防治污染而挽回的经济损失；</w:t>
      </w:r>
    </w:p>
    <w:p w14:paraId="3F97E49F">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Hf——每年投入的环保费用。</w:t>
      </w:r>
    </w:p>
    <w:p w14:paraId="412A70AB">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根据上述的环境经济效益分析，</w:t>
      </w:r>
      <w:r>
        <w:rPr>
          <w:rFonts w:ascii="Times New Roman" w:hAnsi="Times New Roman"/>
          <w:spacing w:val="-2"/>
          <w:kern w:val="0"/>
          <w:sz w:val="24"/>
          <w:szCs w:val="24"/>
          <w:u w:val="single"/>
        </w:rPr>
        <w:t>全年的Si为</w:t>
      </w:r>
      <w:r>
        <w:rPr>
          <w:rFonts w:hint="eastAsia" w:ascii="Times New Roman" w:hAnsi="Times New Roman"/>
          <w:spacing w:val="-2"/>
          <w:kern w:val="0"/>
          <w:sz w:val="24"/>
          <w:szCs w:val="24"/>
          <w:u w:val="single"/>
        </w:rPr>
        <w:t>1.17</w:t>
      </w:r>
      <w:r>
        <w:rPr>
          <w:rFonts w:ascii="Times New Roman" w:hAnsi="Times New Roman"/>
          <w:spacing w:val="-2"/>
          <w:kern w:val="0"/>
          <w:sz w:val="24"/>
          <w:szCs w:val="24"/>
          <w:u w:val="single"/>
        </w:rPr>
        <w:t>万元，Hf为1</w:t>
      </w:r>
      <w:r>
        <w:rPr>
          <w:rFonts w:hint="eastAsia" w:ascii="Times New Roman" w:hAnsi="Times New Roman"/>
          <w:spacing w:val="-2"/>
          <w:kern w:val="0"/>
          <w:sz w:val="24"/>
          <w:szCs w:val="24"/>
          <w:u w:val="single"/>
        </w:rPr>
        <w:t>3.52</w:t>
      </w:r>
      <w:r>
        <w:rPr>
          <w:rFonts w:ascii="Times New Roman" w:hAnsi="Times New Roman"/>
          <w:spacing w:val="-2"/>
          <w:kern w:val="0"/>
          <w:sz w:val="24"/>
          <w:szCs w:val="24"/>
          <w:u w:val="single"/>
        </w:rPr>
        <w:t>万元，则本项目的环保费用经济效益为</w:t>
      </w:r>
      <w:r>
        <w:rPr>
          <w:rFonts w:hint="eastAsia" w:ascii="Times New Roman" w:hAnsi="Times New Roman"/>
          <w:spacing w:val="-2"/>
          <w:kern w:val="0"/>
          <w:sz w:val="24"/>
          <w:szCs w:val="24"/>
          <w:u w:val="single"/>
        </w:rPr>
        <w:t>0.09</w:t>
      </w:r>
      <w:r>
        <w:rPr>
          <w:rFonts w:ascii="Times New Roman" w:hAnsi="Times New Roman"/>
          <w:spacing w:val="-2"/>
          <w:kern w:val="0"/>
          <w:sz w:val="24"/>
          <w:szCs w:val="24"/>
          <w:u w:val="single"/>
        </w:rPr>
        <w:t>。</w:t>
      </w:r>
      <w:r>
        <w:rPr>
          <w:rFonts w:hint="eastAsia" w:ascii="Times New Roman" w:hAnsi="Times New Roman"/>
          <w:spacing w:val="-2"/>
          <w:kern w:val="0"/>
          <w:sz w:val="24"/>
          <w:szCs w:val="24"/>
        </w:rPr>
        <w:t>项目污染排放较少，采用较好的环保措施，</w:t>
      </w:r>
      <w:r>
        <w:rPr>
          <w:rFonts w:ascii="Times New Roman" w:hAnsi="Times New Roman"/>
          <w:spacing w:val="-2"/>
          <w:kern w:val="0"/>
          <w:sz w:val="24"/>
          <w:szCs w:val="24"/>
        </w:rPr>
        <w:t>本项目环保经济效益</w:t>
      </w:r>
      <w:r>
        <w:rPr>
          <w:rFonts w:hint="eastAsia" w:ascii="Times New Roman" w:hAnsi="Times New Roman"/>
          <w:spacing w:val="-2"/>
          <w:kern w:val="0"/>
          <w:sz w:val="24"/>
          <w:szCs w:val="24"/>
        </w:rPr>
        <w:t>合理</w:t>
      </w:r>
      <w:r>
        <w:rPr>
          <w:rFonts w:ascii="Times New Roman" w:hAnsi="Times New Roman"/>
          <w:spacing w:val="-2"/>
          <w:kern w:val="0"/>
          <w:sz w:val="24"/>
          <w:szCs w:val="24"/>
        </w:rPr>
        <w:t>。</w:t>
      </w:r>
    </w:p>
    <w:p w14:paraId="14311FD9">
      <w:pPr>
        <w:pStyle w:val="5"/>
        <w:numPr>
          <w:ilvl w:val="1"/>
          <w:numId w:val="3"/>
        </w:numPr>
      </w:pPr>
      <w:bookmarkStart w:id="306" w:name="_Toc29968"/>
      <w:bookmarkStart w:id="307" w:name="_Toc155077062"/>
      <w:r>
        <w:t>小结</w:t>
      </w:r>
      <w:bookmarkEnd w:id="306"/>
      <w:bookmarkEnd w:id="307"/>
    </w:p>
    <w:p w14:paraId="3B9F8580">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综上所述，</w:t>
      </w:r>
      <w:r>
        <w:rPr>
          <w:rFonts w:ascii="Times New Roman" w:hAnsi="Times New Roman"/>
          <w:spacing w:val="-2"/>
          <w:kern w:val="0"/>
          <w:sz w:val="24"/>
          <w:szCs w:val="24"/>
          <w:u w:val="single"/>
        </w:rPr>
        <w:t>本项目环境经济损益系数为</w:t>
      </w:r>
      <w:r>
        <w:rPr>
          <w:rFonts w:hint="eastAsia" w:ascii="Times New Roman" w:hAnsi="Times New Roman"/>
          <w:spacing w:val="-2"/>
          <w:kern w:val="0"/>
          <w:sz w:val="24"/>
          <w:szCs w:val="24"/>
          <w:u w:val="single"/>
        </w:rPr>
        <w:t>160.83</w:t>
      </w:r>
      <w:r>
        <w:rPr>
          <w:rFonts w:ascii="Times New Roman" w:hAnsi="Times New Roman"/>
          <w:spacing w:val="-2"/>
          <w:kern w:val="0"/>
          <w:sz w:val="24"/>
          <w:szCs w:val="24"/>
          <w:u w:val="single"/>
        </w:rPr>
        <w:t>，年环保费用的经济效益为0</w:t>
      </w:r>
      <w:r>
        <w:rPr>
          <w:rFonts w:hint="eastAsia" w:ascii="Times New Roman" w:hAnsi="Times New Roman"/>
          <w:spacing w:val="-2"/>
          <w:kern w:val="0"/>
          <w:sz w:val="24"/>
          <w:szCs w:val="24"/>
          <w:u w:val="single"/>
        </w:rPr>
        <w:t>.09</w:t>
      </w:r>
      <w:r>
        <w:rPr>
          <w:rFonts w:ascii="Times New Roman" w:hAnsi="Times New Roman"/>
          <w:spacing w:val="-2"/>
          <w:kern w:val="0"/>
          <w:sz w:val="24"/>
          <w:szCs w:val="24"/>
          <w:u w:val="single"/>
        </w:rPr>
        <w:t>，</w:t>
      </w:r>
      <w:r>
        <w:rPr>
          <w:rFonts w:ascii="Times New Roman" w:hAnsi="Times New Roman"/>
          <w:spacing w:val="-2"/>
          <w:kern w:val="0"/>
          <w:sz w:val="24"/>
          <w:szCs w:val="24"/>
        </w:rPr>
        <w:t>本项目建成投产后，通过资源、能源的综合利用，可获得较</w:t>
      </w:r>
      <w:r>
        <w:rPr>
          <w:rFonts w:hint="eastAsia" w:ascii="Times New Roman" w:hAnsi="Times New Roman"/>
          <w:spacing w:val="-2"/>
          <w:kern w:val="0"/>
          <w:sz w:val="24"/>
          <w:szCs w:val="24"/>
          <w:lang w:eastAsia="zh-CN"/>
        </w:rPr>
        <w:t>好的</w:t>
      </w:r>
      <w:r>
        <w:rPr>
          <w:rFonts w:ascii="Times New Roman" w:hAnsi="Times New Roman"/>
          <w:spacing w:val="-2"/>
          <w:kern w:val="0"/>
          <w:sz w:val="24"/>
          <w:szCs w:val="24"/>
        </w:rPr>
        <w:t>环境经济效益。综合考虑其他无法用货币表征的环境效益和社会效益，本项目环保投资经济合理，所采取的环保措施在经济上是合理可行的，各项环保措施不仅较大程度地减缓项目对环境产生的不利影响，还可以产生经济效益，其环境效益显著。从环境经济观点的角度看，项目是合理可行的。</w:t>
      </w:r>
    </w:p>
    <w:bookmarkEnd w:id="297"/>
    <w:bookmarkEnd w:id="298"/>
    <w:p w14:paraId="71D145C8">
      <w:pPr>
        <w:widowControl/>
        <w:spacing w:line="360" w:lineRule="auto"/>
        <w:ind w:firstLine="480"/>
        <w:rPr>
          <w:rFonts w:ascii="Times New Roman" w:hAnsi="Times New Roman"/>
          <w:spacing w:val="-2"/>
          <w:kern w:val="0"/>
          <w:sz w:val="24"/>
          <w:szCs w:val="20"/>
        </w:rPr>
      </w:pPr>
    </w:p>
    <w:p w14:paraId="046EF209">
      <w:pPr>
        <w:widowControl/>
        <w:spacing w:line="360" w:lineRule="auto"/>
        <w:ind w:firstLine="480"/>
        <w:rPr>
          <w:rFonts w:ascii="Times New Roman" w:hAnsi="Times New Roman"/>
          <w:spacing w:val="-2"/>
          <w:kern w:val="0"/>
          <w:sz w:val="24"/>
          <w:szCs w:val="20"/>
        </w:rPr>
      </w:pPr>
    </w:p>
    <w:p w14:paraId="2F47F7CC">
      <w:pPr>
        <w:widowControl/>
        <w:spacing w:line="360" w:lineRule="auto"/>
        <w:ind w:firstLine="480"/>
        <w:rPr>
          <w:rFonts w:ascii="Times New Roman" w:hAnsi="Times New Roman"/>
          <w:spacing w:val="-2"/>
          <w:kern w:val="0"/>
          <w:sz w:val="24"/>
          <w:szCs w:val="20"/>
        </w:rPr>
        <w:sectPr>
          <w:pgSz w:w="11906" w:h="16838"/>
          <w:pgMar w:top="1418" w:right="1418" w:bottom="1418" w:left="1418" w:header="851" w:footer="992" w:gutter="0"/>
          <w:cols w:space="720" w:num="1"/>
          <w:docGrid w:type="lines" w:linePitch="312" w:charSpace="0"/>
        </w:sectPr>
      </w:pPr>
    </w:p>
    <w:p w14:paraId="76FA0D3F">
      <w:pPr>
        <w:pStyle w:val="4"/>
        <w:numPr>
          <w:ilvl w:val="0"/>
          <w:numId w:val="3"/>
        </w:numPr>
      </w:pPr>
      <w:bookmarkStart w:id="308" w:name="_Toc410662471"/>
      <w:bookmarkStart w:id="309" w:name="_Toc28021"/>
      <w:bookmarkStart w:id="310" w:name="_Toc28606"/>
      <w:r>
        <w:t>环境管理与监测计划</w:t>
      </w:r>
      <w:bookmarkEnd w:id="308"/>
      <w:bookmarkEnd w:id="309"/>
      <w:bookmarkEnd w:id="310"/>
    </w:p>
    <w:p w14:paraId="71DB164E">
      <w:pPr>
        <w:pStyle w:val="5"/>
        <w:numPr>
          <w:ilvl w:val="1"/>
          <w:numId w:val="3"/>
        </w:numPr>
      </w:pPr>
      <w:bookmarkStart w:id="311" w:name="_Toc7451"/>
      <w:bookmarkStart w:id="312" w:name="_Toc14511"/>
      <w:bookmarkStart w:id="313" w:name="_Toc410662472"/>
      <w:r>
        <w:t>环境管理</w:t>
      </w:r>
      <w:bookmarkEnd w:id="311"/>
      <w:bookmarkEnd w:id="312"/>
      <w:bookmarkEnd w:id="313"/>
    </w:p>
    <w:p w14:paraId="7CF3A83E">
      <w:pPr>
        <w:pStyle w:val="6"/>
        <w:numPr>
          <w:ilvl w:val="2"/>
          <w:numId w:val="3"/>
        </w:numPr>
      </w:pPr>
      <w:r>
        <w:t>环境管理要求</w:t>
      </w:r>
    </w:p>
    <w:p w14:paraId="2A8A40BF">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环境管理与环境监测是企业日常管理中的重要环节之一。拟建项目在运营期将不可避免会对周围环境产生一定的影响，建设单位应加强环境管理，同时定期进行环境监测，以便及时了解工程在不同时期的环境影响，采取相应措施，消除不利因素，减轻环境污染，以实现预定的各项目标，从而提高企业的管理水平和改善区域环境质量，使企业能够保持健康持续发展。</w:t>
      </w:r>
    </w:p>
    <w:p w14:paraId="14E29A5C">
      <w:pPr>
        <w:spacing w:line="360" w:lineRule="auto"/>
        <w:ind w:firstLine="472" w:firstLineChars="200"/>
      </w:pPr>
      <w:r>
        <w:rPr>
          <w:rFonts w:ascii="Times New Roman" w:hAnsi="Times New Roman"/>
          <w:spacing w:val="-2"/>
          <w:kern w:val="0"/>
          <w:sz w:val="24"/>
          <w:szCs w:val="24"/>
        </w:rPr>
        <w:t>为了更好地对项目的环境保护工作</w:t>
      </w:r>
      <w:bookmarkStart w:id="340" w:name="_GoBack"/>
      <w:r>
        <w:rPr>
          <w:rFonts w:hint="eastAsia" w:ascii="Times New Roman" w:hAnsi="Times New Roman"/>
          <w:spacing w:val="-2"/>
          <w:kern w:val="0"/>
          <w:sz w:val="24"/>
          <w:szCs w:val="24"/>
          <w:lang w:eastAsia="zh-CN"/>
        </w:rPr>
        <w:t>进行有效地</w:t>
      </w:r>
      <w:bookmarkEnd w:id="340"/>
      <w:r>
        <w:rPr>
          <w:rFonts w:ascii="Times New Roman" w:hAnsi="Times New Roman"/>
          <w:spacing w:val="-2"/>
          <w:kern w:val="0"/>
          <w:sz w:val="24"/>
          <w:szCs w:val="24"/>
        </w:rPr>
        <w:t>监督管理，必须明确该项目环境保护各相关机构的具体职责和分工。</w:t>
      </w:r>
    </w:p>
    <w:p w14:paraId="54486D06">
      <w:pPr>
        <w:pStyle w:val="7"/>
        <w:numPr>
          <w:ilvl w:val="3"/>
          <w:numId w:val="3"/>
        </w:numPr>
      </w:pPr>
      <w:r>
        <w:t>环境管理工作计划</w:t>
      </w:r>
    </w:p>
    <w:p w14:paraId="798B6275">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项目环境管理工作计划见表7.1-1。</w:t>
      </w:r>
    </w:p>
    <w:p w14:paraId="734D1631">
      <w:pPr>
        <w:pStyle w:val="8"/>
        <w:numPr>
          <w:ilvl w:val="4"/>
          <w:numId w:val="3"/>
        </w:numPr>
        <w:rPr>
          <w:sz w:val="24"/>
          <w:szCs w:val="24"/>
        </w:rPr>
      </w:pPr>
      <w:r>
        <w:rPr>
          <w:sz w:val="24"/>
          <w:szCs w:val="24"/>
        </w:rPr>
        <w:t>环境管理工作计划</w:t>
      </w:r>
    </w:p>
    <w:tbl>
      <w:tblPr>
        <w:tblStyle w:val="88"/>
        <w:tblW w:w="9057"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34"/>
        <w:gridCol w:w="8023"/>
      </w:tblGrid>
      <w:tr w14:paraId="4A35DF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34" w:type="dxa"/>
            <w:vMerge w:val="restart"/>
            <w:vAlign w:val="center"/>
          </w:tcPr>
          <w:p w14:paraId="6F594105">
            <w:pPr>
              <w:autoSpaceDE w:val="0"/>
              <w:autoSpaceDN w:val="0"/>
              <w:adjustRightInd w:val="0"/>
              <w:rPr>
                <w:rFonts w:ascii="Times New Roman" w:hAnsi="Times New Roman"/>
                <w:spacing w:val="-2"/>
                <w:kern w:val="0"/>
                <w:szCs w:val="21"/>
              </w:rPr>
            </w:pPr>
            <w:r>
              <w:rPr>
                <w:rFonts w:ascii="Times New Roman" w:hAnsi="Times New Roman"/>
                <w:spacing w:val="-2"/>
                <w:kern w:val="0"/>
                <w:szCs w:val="21"/>
                <w:lang w:val="zh-CN"/>
              </w:rPr>
              <w:t>企业环境管理总要求</w:t>
            </w:r>
          </w:p>
        </w:tc>
        <w:tc>
          <w:tcPr>
            <w:tcW w:w="8023" w:type="dxa"/>
          </w:tcPr>
          <w:p w14:paraId="4E205A52">
            <w:pPr>
              <w:autoSpaceDE w:val="0"/>
              <w:autoSpaceDN w:val="0"/>
              <w:adjustRightInd w:val="0"/>
              <w:spacing w:line="320" w:lineRule="exact"/>
              <w:jc w:val="center"/>
              <w:rPr>
                <w:rFonts w:ascii="Times New Roman" w:hAnsi="Times New Roman"/>
                <w:spacing w:val="-2"/>
                <w:kern w:val="0"/>
                <w:szCs w:val="21"/>
              </w:rPr>
            </w:pPr>
            <w:r>
              <w:rPr>
                <w:rFonts w:ascii="Times New Roman" w:hAnsi="Times New Roman"/>
                <w:spacing w:val="-2"/>
                <w:kern w:val="0"/>
                <w:szCs w:val="21"/>
                <w:lang w:val="zh-CN"/>
              </w:rPr>
              <w:t>根据国家建设项目环境保护管理规定，认真落实各项环保手续</w:t>
            </w:r>
          </w:p>
        </w:tc>
      </w:tr>
      <w:tr w14:paraId="2E9DD8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34" w:type="dxa"/>
            <w:vMerge w:val="continue"/>
            <w:vAlign w:val="center"/>
          </w:tcPr>
          <w:p w14:paraId="0FC1429C">
            <w:pPr>
              <w:autoSpaceDE w:val="0"/>
              <w:autoSpaceDN w:val="0"/>
              <w:adjustRightInd w:val="0"/>
              <w:ind w:firstLine="420"/>
              <w:rPr>
                <w:rFonts w:ascii="Times New Roman" w:hAnsi="Times New Roman"/>
                <w:spacing w:val="-2"/>
                <w:kern w:val="0"/>
                <w:szCs w:val="21"/>
              </w:rPr>
            </w:pPr>
          </w:p>
        </w:tc>
        <w:tc>
          <w:tcPr>
            <w:tcW w:w="8023" w:type="dxa"/>
          </w:tcPr>
          <w:p w14:paraId="0425174B">
            <w:pPr>
              <w:autoSpaceDE w:val="0"/>
              <w:autoSpaceDN w:val="0"/>
              <w:adjustRightInd w:val="0"/>
              <w:spacing w:line="320" w:lineRule="exact"/>
              <w:jc w:val="left"/>
              <w:rPr>
                <w:rFonts w:ascii="Times New Roman" w:hAnsi="Times New Roman"/>
                <w:spacing w:val="-2"/>
                <w:kern w:val="0"/>
                <w:szCs w:val="21"/>
              </w:rPr>
            </w:pPr>
            <w:r>
              <w:rPr>
                <w:rFonts w:ascii="Times New Roman" w:hAnsi="Times New Roman"/>
                <w:spacing w:val="-2"/>
                <w:kern w:val="0"/>
                <w:szCs w:val="21"/>
                <w:lang w:val="zh-CN"/>
              </w:rPr>
              <w:t>（1）可研阶段，委托评价单位编制环境影响报告；</w:t>
            </w:r>
          </w:p>
          <w:p w14:paraId="1DFB49B4">
            <w:pPr>
              <w:autoSpaceDE w:val="0"/>
              <w:autoSpaceDN w:val="0"/>
              <w:adjustRightInd w:val="0"/>
              <w:spacing w:line="320" w:lineRule="exact"/>
              <w:jc w:val="left"/>
              <w:rPr>
                <w:rFonts w:ascii="Times New Roman" w:hAnsi="Times New Roman"/>
                <w:spacing w:val="-2"/>
                <w:kern w:val="0"/>
                <w:szCs w:val="21"/>
              </w:rPr>
            </w:pPr>
            <w:r>
              <w:rPr>
                <w:rFonts w:ascii="Times New Roman" w:hAnsi="Times New Roman"/>
                <w:spacing w:val="-2"/>
                <w:kern w:val="0"/>
                <w:szCs w:val="21"/>
                <w:lang w:val="zh-CN"/>
              </w:rPr>
              <w:t>（2）开工前，履行</w:t>
            </w:r>
            <w:r>
              <w:rPr>
                <w:rFonts w:ascii="宋体" w:hAnsi="宋体"/>
                <w:spacing w:val="-2"/>
                <w:kern w:val="0"/>
                <w:szCs w:val="21"/>
              </w:rPr>
              <w:t>“</w:t>
            </w:r>
            <w:r>
              <w:rPr>
                <w:rFonts w:ascii="宋体" w:hAnsi="宋体"/>
                <w:spacing w:val="-2"/>
                <w:kern w:val="0"/>
                <w:szCs w:val="21"/>
                <w:lang w:val="zh-CN"/>
              </w:rPr>
              <w:t>三同时</w:t>
            </w:r>
            <w:r>
              <w:rPr>
                <w:rFonts w:ascii="宋体" w:hAnsi="宋体"/>
                <w:spacing w:val="-2"/>
                <w:kern w:val="0"/>
                <w:szCs w:val="21"/>
              </w:rPr>
              <w:t>”</w:t>
            </w:r>
            <w:r>
              <w:rPr>
                <w:rFonts w:ascii="Times New Roman" w:hAnsi="Times New Roman"/>
                <w:spacing w:val="-2"/>
                <w:kern w:val="0"/>
                <w:szCs w:val="21"/>
                <w:lang w:val="zh-CN"/>
              </w:rPr>
              <w:t>手续；</w:t>
            </w:r>
          </w:p>
          <w:p w14:paraId="4C472D5F">
            <w:pPr>
              <w:autoSpaceDE w:val="0"/>
              <w:autoSpaceDN w:val="0"/>
              <w:adjustRightInd w:val="0"/>
              <w:spacing w:line="320" w:lineRule="exact"/>
              <w:jc w:val="left"/>
              <w:rPr>
                <w:rFonts w:ascii="Times New Roman" w:hAnsi="Times New Roman"/>
                <w:spacing w:val="-2"/>
                <w:kern w:val="0"/>
                <w:szCs w:val="21"/>
              </w:rPr>
            </w:pPr>
            <w:r>
              <w:rPr>
                <w:rFonts w:ascii="Times New Roman" w:hAnsi="Times New Roman"/>
                <w:spacing w:val="-2"/>
                <w:kern w:val="0"/>
                <w:szCs w:val="21"/>
                <w:lang w:val="zh-CN"/>
              </w:rPr>
              <w:t>（3）严把施工质量关，严格按照设计要求和施工验收规范质量要求执行；</w:t>
            </w:r>
          </w:p>
          <w:p w14:paraId="61A46B14">
            <w:pPr>
              <w:autoSpaceDE w:val="0"/>
              <w:autoSpaceDN w:val="0"/>
              <w:adjustRightInd w:val="0"/>
              <w:spacing w:line="320" w:lineRule="exact"/>
              <w:jc w:val="left"/>
              <w:rPr>
                <w:rFonts w:ascii="Times New Roman" w:hAnsi="Times New Roman"/>
                <w:spacing w:val="-2"/>
                <w:kern w:val="0"/>
                <w:szCs w:val="21"/>
              </w:rPr>
            </w:pPr>
            <w:r>
              <w:rPr>
                <w:rFonts w:ascii="Times New Roman" w:hAnsi="Times New Roman"/>
                <w:spacing w:val="-2"/>
                <w:kern w:val="0"/>
                <w:szCs w:val="21"/>
                <w:lang w:val="zh-CN"/>
              </w:rPr>
              <w:t>（4）生产运行中，定期进行自行监测工作，同时请当地</w:t>
            </w:r>
            <w:r>
              <w:rPr>
                <w:rFonts w:ascii="Times New Roman" w:hAnsi="Times New Roman"/>
                <w:spacing w:val="-2"/>
                <w:kern w:val="0"/>
                <w:szCs w:val="21"/>
              </w:rPr>
              <w:t>生态环境</w:t>
            </w:r>
            <w:r>
              <w:rPr>
                <w:rFonts w:ascii="Times New Roman" w:hAnsi="Times New Roman"/>
                <w:spacing w:val="-2"/>
                <w:kern w:val="0"/>
                <w:szCs w:val="21"/>
                <w:lang w:val="zh-CN"/>
              </w:rPr>
              <w:t>部门监督、检查、协助主管部门做好环境管理工作，对不达标装置及时整顿；</w:t>
            </w:r>
          </w:p>
          <w:p w14:paraId="7BACC8BC">
            <w:pPr>
              <w:autoSpaceDE w:val="0"/>
              <w:autoSpaceDN w:val="0"/>
              <w:adjustRightInd w:val="0"/>
              <w:spacing w:line="320" w:lineRule="exact"/>
              <w:jc w:val="left"/>
              <w:rPr>
                <w:rFonts w:ascii="Times New Roman" w:hAnsi="Times New Roman"/>
                <w:spacing w:val="-2"/>
                <w:kern w:val="0"/>
                <w:szCs w:val="21"/>
              </w:rPr>
            </w:pPr>
            <w:r>
              <w:rPr>
                <w:rFonts w:ascii="Times New Roman" w:hAnsi="Times New Roman"/>
                <w:spacing w:val="-2"/>
                <w:kern w:val="0"/>
                <w:szCs w:val="21"/>
                <w:lang w:val="zh-CN"/>
              </w:rPr>
              <w:t>（5）委托监测单位搞好自行监测工作，及时交纳排污费。</w:t>
            </w:r>
          </w:p>
        </w:tc>
      </w:tr>
      <w:tr w14:paraId="6EC43D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34" w:type="dxa"/>
            <w:vMerge w:val="restart"/>
            <w:vAlign w:val="center"/>
          </w:tcPr>
          <w:p w14:paraId="7891DCCC">
            <w:pPr>
              <w:autoSpaceDE w:val="0"/>
              <w:autoSpaceDN w:val="0"/>
              <w:adjustRightInd w:val="0"/>
              <w:rPr>
                <w:rFonts w:ascii="Times New Roman" w:hAnsi="Times New Roman"/>
                <w:spacing w:val="-2"/>
                <w:kern w:val="0"/>
                <w:szCs w:val="21"/>
              </w:rPr>
            </w:pPr>
            <w:r>
              <w:rPr>
                <w:rFonts w:ascii="Times New Roman" w:hAnsi="Times New Roman"/>
                <w:spacing w:val="-2"/>
                <w:kern w:val="0"/>
                <w:szCs w:val="21"/>
                <w:lang w:val="zh-CN"/>
              </w:rPr>
              <w:t>施工阶段环境管理</w:t>
            </w:r>
          </w:p>
        </w:tc>
        <w:tc>
          <w:tcPr>
            <w:tcW w:w="8023" w:type="dxa"/>
          </w:tcPr>
          <w:p w14:paraId="0ED07925">
            <w:pPr>
              <w:autoSpaceDE w:val="0"/>
              <w:autoSpaceDN w:val="0"/>
              <w:adjustRightInd w:val="0"/>
              <w:spacing w:line="320" w:lineRule="exact"/>
              <w:jc w:val="center"/>
              <w:rPr>
                <w:rFonts w:ascii="Times New Roman" w:hAnsi="Times New Roman"/>
                <w:spacing w:val="-2"/>
                <w:kern w:val="0"/>
                <w:szCs w:val="21"/>
                <w:lang w:val="zh-CN"/>
              </w:rPr>
            </w:pPr>
            <w:r>
              <w:rPr>
                <w:rFonts w:ascii="Times New Roman" w:hAnsi="Times New Roman"/>
                <w:spacing w:val="-2"/>
                <w:kern w:val="0"/>
                <w:szCs w:val="21"/>
                <w:lang w:val="zh-CN"/>
              </w:rPr>
              <w:t>落实环保措施，把对环境的影响降到最低</w:t>
            </w:r>
          </w:p>
        </w:tc>
      </w:tr>
      <w:tr w14:paraId="60107B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34" w:type="dxa"/>
            <w:vMerge w:val="continue"/>
            <w:vAlign w:val="center"/>
          </w:tcPr>
          <w:p w14:paraId="7983FEF8">
            <w:pPr>
              <w:autoSpaceDE w:val="0"/>
              <w:autoSpaceDN w:val="0"/>
              <w:adjustRightInd w:val="0"/>
              <w:rPr>
                <w:rFonts w:ascii="Times New Roman" w:hAnsi="Times New Roman"/>
                <w:spacing w:val="-2"/>
                <w:kern w:val="0"/>
                <w:szCs w:val="21"/>
              </w:rPr>
            </w:pPr>
          </w:p>
        </w:tc>
        <w:tc>
          <w:tcPr>
            <w:tcW w:w="8023" w:type="dxa"/>
          </w:tcPr>
          <w:p w14:paraId="57D9691A">
            <w:pPr>
              <w:autoSpaceDE w:val="0"/>
              <w:autoSpaceDN w:val="0"/>
              <w:adjustRightInd w:val="0"/>
              <w:spacing w:line="320" w:lineRule="exact"/>
              <w:jc w:val="left"/>
              <w:rPr>
                <w:rFonts w:ascii="Times New Roman" w:hAnsi="Times New Roman"/>
                <w:spacing w:val="-2"/>
                <w:kern w:val="0"/>
                <w:szCs w:val="21"/>
                <w:lang w:val="zh-CN"/>
              </w:rPr>
            </w:pPr>
            <w:r>
              <w:rPr>
                <w:rFonts w:ascii="Times New Roman" w:hAnsi="Times New Roman"/>
                <w:spacing w:val="-2"/>
                <w:kern w:val="0"/>
                <w:szCs w:val="21"/>
                <w:lang w:val="zh-CN"/>
              </w:rPr>
              <w:t>（1）对施工期环境保护工作全面负责，履行施工期各阶段环境管理职责；</w:t>
            </w:r>
          </w:p>
          <w:p w14:paraId="4AA1F1C5">
            <w:pPr>
              <w:autoSpaceDE w:val="0"/>
              <w:autoSpaceDN w:val="0"/>
              <w:adjustRightInd w:val="0"/>
              <w:spacing w:line="320" w:lineRule="exact"/>
              <w:jc w:val="left"/>
              <w:rPr>
                <w:rFonts w:ascii="Times New Roman" w:hAnsi="Times New Roman"/>
                <w:spacing w:val="-2"/>
                <w:kern w:val="0"/>
                <w:szCs w:val="21"/>
                <w:lang w:val="zh-CN"/>
              </w:rPr>
            </w:pPr>
            <w:r>
              <w:rPr>
                <w:rFonts w:ascii="Times New Roman" w:hAnsi="Times New Roman"/>
                <w:spacing w:val="-2"/>
                <w:kern w:val="0"/>
                <w:szCs w:val="21"/>
                <w:lang w:val="zh-CN"/>
              </w:rPr>
              <w:t>（2）对施工队伍实行职责管理，要求施工队伍按要求文明施工，做好监督、检查和教育工作；</w:t>
            </w:r>
          </w:p>
          <w:p w14:paraId="41C4FEEA">
            <w:pPr>
              <w:autoSpaceDE w:val="0"/>
              <w:autoSpaceDN w:val="0"/>
              <w:adjustRightInd w:val="0"/>
              <w:spacing w:line="320" w:lineRule="exact"/>
              <w:jc w:val="left"/>
              <w:rPr>
                <w:rFonts w:ascii="Times New Roman" w:hAnsi="Times New Roman"/>
                <w:spacing w:val="-2"/>
                <w:kern w:val="0"/>
                <w:szCs w:val="21"/>
                <w:lang w:val="zh-CN"/>
              </w:rPr>
            </w:pPr>
            <w:r>
              <w:rPr>
                <w:rFonts w:ascii="Times New Roman" w:hAnsi="Times New Roman"/>
                <w:spacing w:val="-2"/>
                <w:kern w:val="0"/>
                <w:szCs w:val="21"/>
                <w:lang w:val="zh-CN"/>
              </w:rPr>
              <w:t>（3）按照环保主管部门的要求和本报告书中有关内容落实环境保护对策措施，并对施工程序、时间和场地布置实施统一安排；</w:t>
            </w:r>
          </w:p>
          <w:p w14:paraId="3D742383">
            <w:pPr>
              <w:autoSpaceDE w:val="0"/>
              <w:autoSpaceDN w:val="0"/>
              <w:adjustRightInd w:val="0"/>
              <w:spacing w:line="320" w:lineRule="exact"/>
              <w:jc w:val="left"/>
              <w:rPr>
                <w:rFonts w:ascii="Times New Roman" w:hAnsi="Times New Roman"/>
                <w:spacing w:val="-2"/>
                <w:kern w:val="0"/>
                <w:szCs w:val="21"/>
                <w:lang w:val="zh-CN"/>
              </w:rPr>
            </w:pPr>
            <w:r>
              <w:rPr>
                <w:rFonts w:ascii="Times New Roman" w:hAnsi="Times New Roman"/>
                <w:spacing w:val="-2"/>
                <w:kern w:val="0"/>
                <w:szCs w:val="21"/>
                <w:lang w:val="zh-CN"/>
              </w:rPr>
              <w:t>（4）合理布置施工场内的机械和设备；</w:t>
            </w:r>
          </w:p>
          <w:p w14:paraId="2B831D87">
            <w:pPr>
              <w:autoSpaceDE w:val="0"/>
              <w:autoSpaceDN w:val="0"/>
              <w:adjustRightInd w:val="0"/>
              <w:spacing w:line="320" w:lineRule="exact"/>
              <w:jc w:val="left"/>
              <w:rPr>
                <w:rFonts w:ascii="Times New Roman" w:hAnsi="Times New Roman"/>
                <w:spacing w:val="-2"/>
                <w:kern w:val="0"/>
                <w:szCs w:val="21"/>
              </w:rPr>
            </w:pPr>
            <w:r>
              <w:rPr>
                <w:rFonts w:ascii="Times New Roman" w:hAnsi="Times New Roman"/>
                <w:spacing w:val="-2"/>
                <w:kern w:val="0"/>
                <w:szCs w:val="21"/>
                <w:lang w:val="zh-CN"/>
              </w:rPr>
              <w:t>（5）检查施工废气和噪声的控制。</w:t>
            </w:r>
          </w:p>
        </w:tc>
      </w:tr>
      <w:tr w14:paraId="0B3004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34" w:type="dxa"/>
            <w:vMerge w:val="restart"/>
            <w:vAlign w:val="center"/>
          </w:tcPr>
          <w:p w14:paraId="7366F3BE">
            <w:pPr>
              <w:autoSpaceDE w:val="0"/>
              <w:autoSpaceDN w:val="0"/>
              <w:adjustRightInd w:val="0"/>
              <w:rPr>
                <w:rFonts w:ascii="Times New Roman" w:hAnsi="Times New Roman"/>
                <w:spacing w:val="-2"/>
                <w:kern w:val="0"/>
                <w:szCs w:val="21"/>
              </w:rPr>
            </w:pPr>
            <w:r>
              <w:rPr>
                <w:rFonts w:ascii="Times New Roman" w:hAnsi="Times New Roman"/>
                <w:spacing w:val="-2"/>
                <w:kern w:val="0"/>
                <w:szCs w:val="21"/>
                <w:lang w:val="zh-CN"/>
              </w:rPr>
              <w:t>生产阶段环境管理</w:t>
            </w:r>
          </w:p>
        </w:tc>
        <w:tc>
          <w:tcPr>
            <w:tcW w:w="8023" w:type="dxa"/>
          </w:tcPr>
          <w:p w14:paraId="4FA1BF2D">
            <w:pPr>
              <w:autoSpaceDE w:val="0"/>
              <w:autoSpaceDN w:val="0"/>
              <w:adjustRightInd w:val="0"/>
              <w:spacing w:line="320" w:lineRule="exact"/>
              <w:ind w:right="824"/>
              <w:jc w:val="center"/>
              <w:rPr>
                <w:rFonts w:ascii="Times New Roman" w:hAnsi="Times New Roman"/>
                <w:spacing w:val="-2"/>
                <w:kern w:val="0"/>
                <w:szCs w:val="21"/>
              </w:rPr>
            </w:pPr>
            <w:r>
              <w:rPr>
                <w:rFonts w:ascii="Times New Roman" w:hAnsi="Times New Roman"/>
                <w:spacing w:val="-2"/>
                <w:kern w:val="0"/>
                <w:szCs w:val="21"/>
                <w:lang w:val="zh-CN"/>
              </w:rPr>
              <w:t>加强环保设备运行检查，确保达产达标、力求降低排污水平</w:t>
            </w:r>
          </w:p>
        </w:tc>
      </w:tr>
      <w:tr w14:paraId="17DDBF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34" w:type="dxa"/>
            <w:vMerge w:val="continue"/>
            <w:vAlign w:val="center"/>
          </w:tcPr>
          <w:p w14:paraId="4C2E61D0">
            <w:pPr>
              <w:autoSpaceDE w:val="0"/>
              <w:autoSpaceDN w:val="0"/>
              <w:adjustRightInd w:val="0"/>
              <w:ind w:firstLine="420"/>
              <w:rPr>
                <w:rFonts w:ascii="Times New Roman" w:hAnsi="Times New Roman"/>
                <w:spacing w:val="-2"/>
                <w:kern w:val="0"/>
                <w:szCs w:val="21"/>
              </w:rPr>
            </w:pPr>
          </w:p>
        </w:tc>
        <w:tc>
          <w:tcPr>
            <w:tcW w:w="8023" w:type="dxa"/>
          </w:tcPr>
          <w:p w14:paraId="2A6B53C9">
            <w:pPr>
              <w:autoSpaceDE w:val="0"/>
              <w:autoSpaceDN w:val="0"/>
              <w:adjustRightInd w:val="0"/>
              <w:spacing w:line="320" w:lineRule="exact"/>
              <w:jc w:val="left"/>
              <w:rPr>
                <w:rFonts w:ascii="Times New Roman" w:hAnsi="Times New Roman"/>
                <w:spacing w:val="-2"/>
                <w:kern w:val="0"/>
                <w:szCs w:val="21"/>
                <w:lang w:val="zh-CN"/>
              </w:rPr>
            </w:pPr>
            <w:r>
              <w:rPr>
                <w:rFonts w:ascii="Times New Roman" w:hAnsi="Times New Roman"/>
                <w:spacing w:val="-2"/>
                <w:kern w:val="0"/>
                <w:szCs w:val="21"/>
                <w:lang w:val="zh-CN"/>
              </w:rPr>
              <w:t>（1）明确专人负责公司环保设施的日常运行管理工作；</w:t>
            </w:r>
          </w:p>
          <w:p w14:paraId="727A1D15">
            <w:pPr>
              <w:autoSpaceDE w:val="0"/>
              <w:autoSpaceDN w:val="0"/>
              <w:adjustRightInd w:val="0"/>
              <w:spacing w:line="320" w:lineRule="exact"/>
              <w:jc w:val="left"/>
              <w:rPr>
                <w:rFonts w:ascii="Times New Roman" w:hAnsi="Times New Roman"/>
                <w:spacing w:val="-2"/>
                <w:kern w:val="0"/>
                <w:szCs w:val="21"/>
                <w:lang w:val="zh-CN"/>
              </w:rPr>
            </w:pPr>
            <w:r>
              <w:rPr>
                <w:rFonts w:ascii="Times New Roman" w:hAnsi="Times New Roman"/>
                <w:spacing w:val="-2"/>
                <w:kern w:val="0"/>
                <w:szCs w:val="21"/>
                <w:lang w:val="zh-CN"/>
              </w:rPr>
              <w:t>（2）检查生产期间环保设施的实施；</w:t>
            </w:r>
          </w:p>
          <w:p w14:paraId="51BAB161">
            <w:pPr>
              <w:autoSpaceDE w:val="0"/>
              <w:autoSpaceDN w:val="0"/>
              <w:adjustRightInd w:val="0"/>
              <w:spacing w:line="320" w:lineRule="exact"/>
              <w:jc w:val="left"/>
              <w:rPr>
                <w:rFonts w:ascii="Times New Roman" w:hAnsi="Times New Roman"/>
                <w:spacing w:val="-2"/>
                <w:kern w:val="0"/>
                <w:szCs w:val="21"/>
              </w:rPr>
            </w:pPr>
            <w:r>
              <w:rPr>
                <w:rFonts w:ascii="Times New Roman" w:hAnsi="Times New Roman"/>
                <w:spacing w:val="-2"/>
                <w:kern w:val="0"/>
                <w:szCs w:val="21"/>
                <w:lang w:val="zh-CN"/>
              </w:rPr>
              <w:t>（3）对各项环保设施操作、维护定量考核，建立环保设施运行档案；</w:t>
            </w:r>
          </w:p>
          <w:p w14:paraId="0233AEBC">
            <w:pPr>
              <w:autoSpaceDE w:val="0"/>
              <w:autoSpaceDN w:val="0"/>
              <w:adjustRightInd w:val="0"/>
              <w:spacing w:line="320" w:lineRule="exact"/>
              <w:jc w:val="left"/>
              <w:rPr>
                <w:rFonts w:ascii="Times New Roman" w:hAnsi="Times New Roman"/>
                <w:spacing w:val="-2"/>
                <w:kern w:val="0"/>
                <w:szCs w:val="21"/>
                <w:lang w:val="zh-CN"/>
              </w:rPr>
            </w:pPr>
            <w:r>
              <w:rPr>
                <w:rFonts w:ascii="Times New Roman" w:hAnsi="Times New Roman"/>
                <w:spacing w:val="-2"/>
                <w:kern w:val="0"/>
                <w:szCs w:val="21"/>
                <w:lang w:val="zh-CN"/>
              </w:rPr>
              <w:t>（4）检查环境监测等计划的实施；</w:t>
            </w:r>
          </w:p>
          <w:p w14:paraId="13C30345">
            <w:pPr>
              <w:autoSpaceDE w:val="0"/>
              <w:autoSpaceDN w:val="0"/>
              <w:adjustRightInd w:val="0"/>
              <w:spacing w:line="320" w:lineRule="exact"/>
              <w:jc w:val="left"/>
              <w:rPr>
                <w:rFonts w:ascii="Times New Roman" w:hAnsi="Times New Roman"/>
                <w:spacing w:val="-2"/>
                <w:kern w:val="0"/>
                <w:szCs w:val="21"/>
                <w:lang w:val="zh-CN"/>
              </w:rPr>
            </w:pPr>
            <w:r>
              <w:rPr>
                <w:rFonts w:ascii="Times New Roman" w:hAnsi="Times New Roman"/>
                <w:spacing w:val="-2"/>
                <w:kern w:val="0"/>
                <w:szCs w:val="21"/>
                <w:lang w:val="zh-CN"/>
              </w:rPr>
              <w:t>（5）检查环境敏感点的环境质量是否满足其相应的质量标准要求；</w:t>
            </w:r>
          </w:p>
          <w:p w14:paraId="3B611E8C">
            <w:pPr>
              <w:autoSpaceDE w:val="0"/>
              <w:autoSpaceDN w:val="0"/>
              <w:adjustRightInd w:val="0"/>
              <w:spacing w:line="320" w:lineRule="exact"/>
              <w:jc w:val="left"/>
              <w:rPr>
                <w:rFonts w:ascii="Times New Roman" w:hAnsi="Times New Roman"/>
                <w:spacing w:val="-2"/>
                <w:kern w:val="0"/>
                <w:szCs w:val="21"/>
              </w:rPr>
            </w:pPr>
            <w:r>
              <w:rPr>
                <w:rFonts w:ascii="Times New Roman" w:hAnsi="Times New Roman"/>
                <w:spacing w:val="-2"/>
                <w:kern w:val="0"/>
                <w:szCs w:val="21"/>
                <w:lang w:val="zh-CN"/>
              </w:rPr>
              <w:t>（6）提出和落实合理利用能源、资源、节水、节能等清洁生产措施。</w:t>
            </w:r>
          </w:p>
        </w:tc>
      </w:tr>
      <w:tr w14:paraId="196225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34" w:type="dxa"/>
            <w:vMerge w:val="restart"/>
            <w:vAlign w:val="center"/>
          </w:tcPr>
          <w:p w14:paraId="31026EAF">
            <w:pPr>
              <w:autoSpaceDE w:val="0"/>
              <w:autoSpaceDN w:val="0"/>
              <w:adjustRightInd w:val="0"/>
              <w:rPr>
                <w:rFonts w:ascii="Times New Roman" w:hAnsi="Times New Roman"/>
                <w:spacing w:val="-2"/>
                <w:kern w:val="0"/>
                <w:szCs w:val="21"/>
              </w:rPr>
            </w:pPr>
            <w:r>
              <w:rPr>
                <w:rFonts w:ascii="Times New Roman" w:hAnsi="Times New Roman"/>
                <w:spacing w:val="-2"/>
                <w:kern w:val="0"/>
                <w:szCs w:val="21"/>
                <w:lang w:val="zh-CN"/>
              </w:rPr>
              <w:t>信息反馈和群众监督</w:t>
            </w:r>
          </w:p>
        </w:tc>
        <w:tc>
          <w:tcPr>
            <w:tcW w:w="8023" w:type="dxa"/>
          </w:tcPr>
          <w:p w14:paraId="455CEFA3">
            <w:pPr>
              <w:autoSpaceDE w:val="0"/>
              <w:autoSpaceDN w:val="0"/>
              <w:adjustRightInd w:val="0"/>
              <w:spacing w:line="320" w:lineRule="exact"/>
              <w:jc w:val="center"/>
              <w:rPr>
                <w:rFonts w:ascii="Times New Roman" w:hAnsi="Times New Roman"/>
                <w:spacing w:val="-2"/>
                <w:kern w:val="0"/>
                <w:szCs w:val="21"/>
              </w:rPr>
            </w:pPr>
            <w:r>
              <w:rPr>
                <w:rFonts w:ascii="Times New Roman" w:hAnsi="Times New Roman"/>
                <w:spacing w:val="-2"/>
                <w:kern w:val="0"/>
                <w:szCs w:val="21"/>
                <w:lang w:val="zh-CN"/>
              </w:rPr>
              <w:t>反馈监督数据，加强群众监督，改进污染治理工作</w:t>
            </w:r>
          </w:p>
        </w:tc>
      </w:tr>
      <w:tr w14:paraId="12694B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34" w:type="dxa"/>
            <w:vMerge w:val="continue"/>
          </w:tcPr>
          <w:p w14:paraId="654BE8B6">
            <w:pPr>
              <w:autoSpaceDE w:val="0"/>
              <w:autoSpaceDN w:val="0"/>
              <w:adjustRightInd w:val="0"/>
              <w:ind w:firstLine="420"/>
              <w:jc w:val="left"/>
              <w:rPr>
                <w:rFonts w:ascii="Times New Roman" w:hAnsi="Times New Roman"/>
                <w:spacing w:val="-2"/>
                <w:kern w:val="0"/>
                <w:szCs w:val="21"/>
              </w:rPr>
            </w:pPr>
          </w:p>
        </w:tc>
        <w:tc>
          <w:tcPr>
            <w:tcW w:w="8023" w:type="dxa"/>
          </w:tcPr>
          <w:p w14:paraId="2C2B74EC">
            <w:pPr>
              <w:autoSpaceDE w:val="0"/>
              <w:autoSpaceDN w:val="0"/>
              <w:adjustRightInd w:val="0"/>
              <w:spacing w:line="320" w:lineRule="exact"/>
              <w:jc w:val="left"/>
              <w:rPr>
                <w:rFonts w:ascii="Times New Roman" w:hAnsi="Times New Roman"/>
                <w:spacing w:val="-2"/>
                <w:kern w:val="0"/>
                <w:szCs w:val="21"/>
              </w:rPr>
            </w:pPr>
            <w:r>
              <w:rPr>
                <w:rFonts w:ascii="Times New Roman" w:hAnsi="Times New Roman"/>
                <w:spacing w:val="-2"/>
                <w:kern w:val="0"/>
                <w:szCs w:val="21"/>
                <w:lang w:val="zh-CN"/>
              </w:rPr>
              <w:t>（1）建立奖惩制度，保证环保设施正常运转；</w:t>
            </w:r>
          </w:p>
          <w:p w14:paraId="1A313D4E">
            <w:pPr>
              <w:autoSpaceDE w:val="0"/>
              <w:autoSpaceDN w:val="0"/>
              <w:adjustRightInd w:val="0"/>
              <w:spacing w:line="320" w:lineRule="exact"/>
              <w:jc w:val="left"/>
              <w:rPr>
                <w:rFonts w:ascii="Times New Roman" w:hAnsi="Times New Roman"/>
                <w:spacing w:val="-2"/>
                <w:kern w:val="0"/>
                <w:szCs w:val="21"/>
              </w:rPr>
            </w:pPr>
            <w:r>
              <w:rPr>
                <w:rFonts w:ascii="Times New Roman" w:hAnsi="Times New Roman"/>
                <w:spacing w:val="-2"/>
                <w:kern w:val="0"/>
                <w:szCs w:val="21"/>
                <w:lang w:val="zh-CN"/>
              </w:rPr>
              <w:t>（2）归纳整理监督数据，技术部门配合进行工艺改进；</w:t>
            </w:r>
          </w:p>
          <w:p w14:paraId="6E099C52">
            <w:pPr>
              <w:autoSpaceDE w:val="0"/>
              <w:autoSpaceDN w:val="0"/>
              <w:adjustRightInd w:val="0"/>
              <w:spacing w:line="320" w:lineRule="exact"/>
              <w:jc w:val="left"/>
              <w:rPr>
                <w:rFonts w:ascii="Times New Roman" w:hAnsi="Times New Roman"/>
                <w:spacing w:val="-2"/>
                <w:kern w:val="0"/>
                <w:szCs w:val="21"/>
              </w:rPr>
            </w:pPr>
            <w:r>
              <w:rPr>
                <w:rFonts w:ascii="Times New Roman" w:hAnsi="Times New Roman"/>
                <w:spacing w:val="-2"/>
                <w:kern w:val="0"/>
                <w:szCs w:val="21"/>
                <w:lang w:val="zh-CN"/>
              </w:rPr>
              <w:t>（3）聘请港区工作人员为监督员，收集附近职工的意见；</w:t>
            </w:r>
          </w:p>
          <w:p w14:paraId="01BEDE78">
            <w:pPr>
              <w:autoSpaceDE w:val="0"/>
              <w:autoSpaceDN w:val="0"/>
              <w:adjustRightInd w:val="0"/>
              <w:spacing w:line="320" w:lineRule="exact"/>
              <w:jc w:val="left"/>
              <w:rPr>
                <w:rFonts w:ascii="Times New Roman" w:hAnsi="Times New Roman"/>
                <w:spacing w:val="-2"/>
                <w:kern w:val="0"/>
                <w:szCs w:val="21"/>
              </w:rPr>
            </w:pPr>
            <w:r>
              <w:rPr>
                <w:rFonts w:ascii="Times New Roman" w:hAnsi="Times New Roman"/>
                <w:spacing w:val="-2"/>
                <w:kern w:val="0"/>
                <w:szCs w:val="21"/>
                <w:lang w:val="zh-CN"/>
              </w:rPr>
              <w:t>（4）配合</w:t>
            </w:r>
            <w:r>
              <w:rPr>
                <w:rFonts w:ascii="Times New Roman" w:hAnsi="Times New Roman"/>
                <w:spacing w:val="-2"/>
                <w:kern w:val="0"/>
                <w:szCs w:val="21"/>
              </w:rPr>
              <w:t>生态环境</w:t>
            </w:r>
            <w:r>
              <w:rPr>
                <w:rFonts w:ascii="Times New Roman" w:hAnsi="Times New Roman"/>
                <w:spacing w:val="-2"/>
                <w:kern w:val="0"/>
                <w:szCs w:val="21"/>
                <w:lang w:val="zh-CN"/>
              </w:rPr>
              <w:t>部门的检查验收。</w:t>
            </w:r>
          </w:p>
        </w:tc>
      </w:tr>
    </w:tbl>
    <w:p w14:paraId="6C873582">
      <w:pPr>
        <w:spacing w:line="360" w:lineRule="auto"/>
        <w:ind w:firstLine="420" w:firstLineChars="200"/>
        <w:rPr>
          <w:rFonts w:ascii="Times New Roman" w:hAnsi="Times New Roman"/>
        </w:rPr>
      </w:pPr>
    </w:p>
    <w:p w14:paraId="1A1C9ACA">
      <w:pPr>
        <w:pStyle w:val="7"/>
        <w:numPr>
          <w:ilvl w:val="3"/>
          <w:numId w:val="3"/>
        </w:numPr>
      </w:pPr>
      <w:r>
        <w:t>环境污染防治对策计划</w:t>
      </w:r>
    </w:p>
    <w:p w14:paraId="566AF3D9">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根据环保措施应与建设项目同时设计、同时施工、同时</w:t>
      </w:r>
      <w:r>
        <w:rPr>
          <w:rFonts w:ascii="宋体" w:hAnsi="宋体"/>
          <w:spacing w:val="-2"/>
          <w:kern w:val="0"/>
          <w:sz w:val="24"/>
          <w:szCs w:val="24"/>
        </w:rPr>
        <w:t>使用的“三同时”要</w:t>
      </w:r>
      <w:r>
        <w:rPr>
          <w:rFonts w:ascii="Times New Roman" w:hAnsi="Times New Roman"/>
          <w:spacing w:val="-2"/>
          <w:kern w:val="0"/>
          <w:sz w:val="24"/>
          <w:szCs w:val="24"/>
        </w:rPr>
        <w:t>求，项目污染治理措施应在项目设计阶段落实，以利于实施。</w:t>
      </w:r>
    </w:p>
    <w:p w14:paraId="6019BC13">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建设项目污染防治措施的配套建设应按相关规定如期完成，并实施污染防治计划。本项目为新建项目，主要防治计划是前期阶段、施工期、营运期的环境保护防治措施。防治计划见表7.1-2。</w:t>
      </w:r>
    </w:p>
    <w:p w14:paraId="5651027D">
      <w:pPr>
        <w:pStyle w:val="8"/>
        <w:numPr>
          <w:ilvl w:val="4"/>
          <w:numId w:val="3"/>
        </w:numPr>
      </w:pPr>
      <w:r>
        <w:t>环境保护防治措施实施计划</w:t>
      </w:r>
    </w:p>
    <w:tbl>
      <w:tblPr>
        <w:tblStyle w:val="88"/>
        <w:tblW w:w="9184"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
      <w:tblGrid>
        <w:gridCol w:w="1751"/>
        <w:gridCol w:w="6153"/>
        <w:gridCol w:w="1280"/>
      </w:tblGrid>
      <w:tr w14:paraId="011FAA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171" w:hRule="atLeast"/>
          <w:tblHeader/>
        </w:trPr>
        <w:tc>
          <w:tcPr>
            <w:tcW w:w="1751" w:type="dxa"/>
            <w:vAlign w:val="center"/>
          </w:tcPr>
          <w:p w14:paraId="7CD94A3A">
            <w:pPr>
              <w:jc w:val="center"/>
              <w:rPr>
                <w:rFonts w:ascii="Times New Roman" w:hAnsi="Times New Roman"/>
                <w:b/>
                <w:bCs/>
                <w:spacing w:val="-2"/>
                <w:kern w:val="0"/>
                <w:szCs w:val="21"/>
              </w:rPr>
            </w:pPr>
            <w:r>
              <w:rPr>
                <w:rFonts w:ascii="Times New Roman" w:hAnsi="Times New Roman"/>
                <w:b/>
                <w:bCs/>
                <w:spacing w:val="-2"/>
                <w:kern w:val="0"/>
                <w:szCs w:val="21"/>
              </w:rPr>
              <w:t>项目</w:t>
            </w:r>
          </w:p>
        </w:tc>
        <w:tc>
          <w:tcPr>
            <w:tcW w:w="6153" w:type="dxa"/>
            <w:vAlign w:val="center"/>
          </w:tcPr>
          <w:p w14:paraId="37018496">
            <w:pPr>
              <w:jc w:val="center"/>
              <w:rPr>
                <w:rFonts w:ascii="Times New Roman" w:hAnsi="Times New Roman"/>
                <w:b/>
                <w:bCs/>
                <w:spacing w:val="-2"/>
                <w:kern w:val="0"/>
                <w:szCs w:val="21"/>
              </w:rPr>
            </w:pPr>
            <w:r>
              <w:rPr>
                <w:rFonts w:ascii="Times New Roman" w:hAnsi="Times New Roman"/>
                <w:b/>
                <w:bCs/>
                <w:spacing w:val="-2"/>
                <w:kern w:val="0"/>
                <w:szCs w:val="21"/>
              </w:rPr>
              <w:t>环境保护监督管理内容</w:t>
            </w:r>
          </w:p>
        </w:tc>
        <w:tc>
          <w:tcPr>
            <w:tcW w:w="1280" w:type="dxa"/>
            <w:vAlign w:val="center"/>
          </w:tcPr>
          <w:p w14:paraId="50484F86">
            <w:pPr>
              <w:jc w:val="center"/>
              <w:rPr>
                <w:rFonts w:ascii="Times New Roman" w:hAnsi="Times New Roman"/>
                <w:b/>
                <w:bCs/>
                <w:spacing w:val="-2"/>
                <w:kern w:val="0"/>
                <w:szCs w:val="21"/>
              </w:rPr>
            </w:pPr>
            <w:r>
              <w:rPr>
                <w:rFonts w:ascii="Times New Roman" w:hAnsi="Times New Roman"/>
                <w:b/>
                <w:bCs/>
                <w:spacing w:val="-2"/>
                <w:kern w:val="0"/>
                <w:szCs w:val="21"/>
              </w:rPr>
              <w:t>执行机构</w:t>
            </w:r>
          </w:p>
        </w:tc>
      </w:tr>
      <w:tr w14:paraId="36C620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171" w:hRule="atLeast"/>
        </w:trPr>
        <w:tc>
          <w:tcPr>
            <w:tcW w:w="9184" w:type="dxa"/>
            <w:gridSpan w:val="3"/>
            <w:vAlign w:val="center"/>
          </w:tcPr>
          <w:p w14:paraId="36CECE1E">
            <w:pPr>
              <w:rPr>
                <w:rFonts w:ascii="Times New Roman" w:hAnsi="Times New Roman"/>
                <w:b/>
                <w:bCs/>
                <w:spacing w:val="-2"/>
                <w:kern w:val="0"/>
                <w:szCs w:val="21"/>
              </w:rPr>
            </w:pPr>
            <w:r>
              <w:rPr>
                <w:rFonts w:ascii="Times New Roman" w:hAnsi="Times New Roman"/>
                <w:b/>
                <w:bCs/>
                <w:spacing w:val="-2"/>
                <w:kern w:val="0"/>
                <w:szCs w:val="21"/>
              </w:rPr>
              <w:t>一、施工期</w:t>
            </w:r>
          </w:p>
        </w:tc>
      </w:tr>
      <w:tr w14:paraId="242D1F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171" w:hRule="atLeast"/>
        </w:trPr>
        <w:tc>
          <w:tcPr>
            <w:tcW w:w="1751" w:type="dxa"/>
            <w:vAlign w:val="center"/>
          </w:tcPr>
          <w:p w14:paraId="69E25DFA">
            <w:pPr>
              <w:jc w:val="center"/>
              <w:rPr>
                <w:rFonts w:ascii="Times New Roman" w:hAnsi="Times New Roman"/>
                <w:spacing w:val="-2"/>
                <w:kern w:val="0"/>
                <w:szCs w:val="21"/>
              </w:rPr>
            </w:pPr>
            <w:r>
              <w:rPr>
                <w:rFonts w:ascii="Times New Roman" w:hAnsi="Times New Roman"/>
                <w:spacing w:val="-2"/>
                <w:kern w:val="0"/>
                <w:szCs w:val="21"/>
              </w:rPr>
              <w:t>大气污染防治</w:t>
            </w:r>
          </w:p>
        </w:tc>
        <w:tc>
          <w:tcPr>
            <w:tcW w:w="6153" w:type="dxa"/>
            <w:vAlign w:val="center"/>
          </w:tcPr>
          <w:p w14:paraId="2C3C3AEE">
            <w:pPr>
              <w:rPr>
                <w:rFonts w:ascii="Times New Roman" w:hAnsi="Times New Roman"/>
                <w:spacing w:val="-2"/>
                <w:kern w:val="0"/>
                <w:szCs w:val="21"/>
              </w:rPr>
            </w:pPr>
            <w:r>
              <w:rPr>
                <w:rFonts w:hint="eastAsia" w:ascii="Times New Roman" w:hAnsi="Times New Roman"/>
                <w:spacing w:val="-2"/>
                <w:kern w:val="0"/>
                <w:szCs w:val="21"/>
              </w:rPr>
              <w:t>生产线安装阶段通过加强过程管理，集中施工作业，减少污染产生天数或时长，减少对周边影响的时长</w:t>
            </w:r>
            <w:r>
              <w:rPr>
                <w:rFonts w:ascii="Times New Roman" w:hAnsi="Times New Roman"/>
                <w:spacing w:val="-2"/>
                <w:kern w:val="0"/>
                <w:szCs w:val="21"/>
              </w:rPr>
              <w:t>。</w:t>
            </w:r>
          </w:p>
        </w:tc>
        <w:tc>
          <w:tcPr>
            <w:tcW w:w="1280" w:type="dxa"/>
            <w:vMerge w:val="restart"/>
            <w:vAlign w:val="center"/>
          </w:tcPr>
          <w:p w14:paraId="1DAD80A6">
            <w:pPr>
              <w:rPr>
                <w:rFonts w:ascii="Times New Roman" w:hAnsi="Times New Roman"/>
                <w:spacing w:val="-2"/>
                <w:kern w:val="0"/>
                <w:szCs w:val="21"/>
              </w:rPr>
            </w:pPr>
            <w:r>
              <w:rPr>
                <w:rFonts w:ascii="Times New Roman" w:hAnsi="Times New Roman"/>
                <w:spacing w:val="-2"/>
                <w:kern w:val="0"/>
                <w:szCs w:val="21"/>
              </w:rPr>
              <w:t>广西瑞腾贸易有限公司</w:t>
            </w:r>
          </w:p>
        </w:tc>
      </w:tr>
      <w:tr w14:paraId="4B57FE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171" w:hRule="atLeast"/>
        </w:trPr>
        <w:tc>
          <w:tcPr>
            <w:tcW w:w="1751" w:type="dxa"/>
            <w:vAlign w:val="center"/>
          </w:tcPr>
          <w:p w14:paraId="720BDDED">
            <w:pPr>
              <w:jc w:val="center"/>
              <w:rPr>
                <w:rFonts w:ascii="Times New Roman" w:hAnsi="Times New Roman"/>
                <w:spacing w:val="-2"/>
                <w:kern w:val="0"/>
                <w:szCs w:val="21"/>
              </w:rPr>
            </w:pPr>
            <w:r>
              <w:rPr>
                <w:rFonts w:ascii="Times New Roman" w:hAnsi="Times New Roman"/>
                <w:spacing w:val="-2"/>
                <w:kern w:val="0"/>
                <w:szCs w:val="21"/>
              </w:rPr>
              <w:t>水污染防治</w:t>
            </w:r>
          </w:p>
        </w:tc>
        <w:tc>
          <w:tcPr>
            <w:tcW w:w="6153" w:type="dxa"/>
            <w:vAlign w:val="center"/>
          </w:tcPr>
          <w:p w14:paraId="4C4DC881">
            <w:pPr>
              <w:rPr>
                <w:rFonts w:ascii="Times New Roman" w:hAnsi="Times New Roman"/>
                <w:spacing w:val="-2"/>
                <w:kern w:val="0"/>
                <w:szCs w:val="21"/>
              </w:rPr>
            </w:pPr>
            <w:r>
              <w:rPr>
                <w:rFonts w:ascii="Times New Roman" w:hAnsi="Times New Roman"/>
                <w:spacing w:val="-2"/>
                <w:kern w:val="0"/>
                <w:szCs w:val="21"/>
              </w:rPr>
              <w:t>生活污水依托创大物流公司的3号仓库的化粪池处理后，排入市政管网送钦州大榄坪污水处理厂处理。</w:t>
            </w:r>
          </w:p>
        </w:tc>
        <w:tc>
          <w:tcPr>
            <w:tcW w:w="1280" w:type="dxa"/>
            <w:vMerge w:val="continue"/>
            <w:vAlign w:val="center"/>
          </w:tcPr>
          <w:p w14:paraId="5F11DCFF">
            <w:pPr>
              <w:rPr>
                <w:rFonts w:ascii="Times New Roman" w:hAnsi="Times New Roman"/>
                <w:spacing w:val="-2"/>
                <w:kern w:val="0"/>
                <w:szCs w:val="21"/>
              </w:rPr>
            </w:pPr>
          </w:p>
        </w:tc>
      </w:tr>
      <w:tr w14:paraId="5E71DD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171" w:hRule="atLeast"/>
        </w:trPr>
        <w:tc>
          <w:tcPr>
            <w:tcW w:w="1751" w:type="dxa"/>
            <w:vAlign w:val="center"/>
          </w:tcPr>
          <w:p w14:paraId="09BFC305">
            <w:pPr>
              <w:jc w:val="center"/>
              <w:rPr>
                <w:rFonts w:ascii="Times New Roman" w:hAnsi="Times New Roman"/>
                <w:spacing w:val="-2"/>
                <w:kern w:val="0"/>
                <w:szCs w:val="21"/>
              </w:rPr>
            </w:pPr>
            <w:r>
              <w:rPr>
                <w:rFonts w:ascii="Times New Roman" w:hAnsi="Times New Roman"/>
                <w:spacing w:val="-2"/>
                <w:kern w:val="0"/>
                <w:szCs w:val="21"/>
              </w:rPr>
              <w:t>噪声污染防治</w:t>
            </w:r>
          </w:p>
        </w:tc>
        <w:tc>
          <w:tcPr>
            <w:tcW w:w="6153" w:type="dxa"/>
            <w:vAlign w:val="center"/>
          </w:tcPr>
          <w:p w14:paraId="1CA95E27">
            <w:pPr>
              <w:rPr>
                <w:rFonts w:ascii="Times New Roman" w:hAnsi="Times New Roman"/>
                <w:spacing w:val="-2"/>
                <w:kern w:val="0"/>
                <w:szCs w:val="21"/>
              </w:rPr>
            </w:pPr>
            <w:r>
              <w:rPr>
                <w:rFonts w:ascii="Times New Roman" w:hAnsi="Times New Roman"/>
                <w:spacing w:val="-2"/>
                <w:kern w:val="0"/>
                <w:szCs w:val="21"/>
              </w:rPr>
              <w:t>做好施工管理，尽量集中时段使用切割机、电钻、电锯等高噪音设备，缩短噪声产生的周期。</w:t>
            </w:r>
          </w:p>
        </w:tc>
        <w:tc>
          <w:tcPr>
            <w:tcW w:w="1280" w:type="dxa"/>
            <w:vMerge w:val="continue"/>
            <w:vAlign w:val="center"/>
          </w:tcPr>
          <w:p w14:paraId="288DAEA6">
            <w:pPr>
              <w:widowControl/>
              <w:jc w:val="left"/>
              <w:rPr>
                <w:rFonts w:ascii="Times New Roman" w:hAnsi="Times New Roman"/>
                <w:spacing w:val="-2"/>
                <w:kern w:val="0"/>
                <w:szCs w:val="21"/>
              </w:rPr>
            </w:pPr>
          </w:p>
        </w:tc>
      </w:tr>
      <w:tr w14:paraId="4A2A22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171" w:hRule="atLeast"/>
        </w:trPr>
        <w:tc>
          <w:tcPr>
            <w:tcW w:w="1751" w:type="dxa"/>
            <w:vAlign w:val="center"/>
          </w:tcPr>
          <w:p w14:paraId="51564CCC">
            <w:pPr>
              <w:jc w:val="center"/>
              <w:rPr>
                <w:rFonts w:ascii="Times New Roman" w:hAnsi="Times New Roman"/>
                <w:spacing w:val="-2"/>
                <w:kern w:val="0"/>
                <w:szCs w:val="21"/>
              </w:rPr>
            </w:pPr>
            <w:r>
              <w:rPr>
                <w:rFonts w:ascii="Times New Roman" w:hAnsi="Times New Roman"/>
                <w:spacing w:val="-2"/>
                <w:kern w:val="0"/>
                <w:szCs w:val="21"/>
              </w:rPr>
              <w:t>固体废物防治</w:t>
            </w:r>
          </w:p>
        </w:tc>
        <w:tc>
          <w:tcPr>
            <w:tcW w:w="6153" w:type="dxa"/>
            <w:vAlign w:val="center"/>
          </w:tcPr>
          <w:p w14:paraId="76CD13B6">
            <w:pPr>
              <w:rPr>
                <w:rFonts w:ascii="Times New Roman" w:hAnsi="Times New Roman"/>
                <w:spacing w:val="-2"/>
                <w:kern w:val="0"/>
                <w:szCs w:val="21"/>
              </w:rPr>
            </w:pPr>
            <w:r>
              <w:rPr>
                <w:rFonts w:ascii="Times New Roman" w:hAnsi="Times New Roman"/>
                <w:spacing w:val="-2"/>
                <w:kern w:val="0"/>
                <w:szCs w:val="21"/>
              </w:rPr>
              <w:t>装修垃圾、生产线装配的包装废料、生活垃圾收集到创大进口汽车仓储物流园垃圾收集点后由环卫部门统一收运。</w:t>
            </w:r>
          </w:p>
        </w:tc>
        <w:tc>
          <w:tcPr>
            <w:tcW w:w="1280" w:type="dxa"/>
            <w:vMerge w:val="continue"/>
            <w:vAlign w:val="center"/>
          </w:tcPr>
          <w:p w14:paraId="347A12A5">
            <w:pPr>
              <w:widowControl/>
              <w:jc w:val="left"/>
              <w:rPr>
                <w:rFonts w:ascii="Times New Roman" w:hAnsi="Times New Roman"/>
                <w:spacing w:val="-2"/>
                <w:kern w:val="0"/>
                <w:szCs w:val="21"/>
              </w:rPr>
            </w:pPr>
          </w:p>
        </w:tc>
      </w:tr>
      <w:tr w14:paraId="5AB50F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171" w:hRule="atLeast"/>
        </w:trPr>
        <w:tc>
          <w:tcPr>
            <w:tcW w:w="9184" w:type="dxa"/>
            <w:gridSpan w:val="3"/>
            <w:vAlign w:val="center"/>
          </w:tcPr>
          <w:p w14:paraId="4D7D4B0D">
            <w:pPr>
              <w:widowControl/>
              <w:jc w:val="left"/>
              <w:rPr>
                <w:rFonts w:ascii="Times New Roman" w:hAnsi="Times New Roman"/>
                <w:spacing w:val="-2"/>
                <w:kern w:val="0"/>
                <w:szCs w:val="21"/>
              </w:rPr>
            </w:pPr>
            <w:r>
              <w:rPr>
                <w:rFonts w:ascii="Times New Roman" w:hAnsi="Times New Roman"/>
                <w:b/>
                <w:bCs/>
                <w:spacing w:val="-2"/>
                <w:kern w:val="0"/>
                <w:szCs w:val="21"/>
              </w:rPr>
              <w:t>二、运营期</w:t>
            </w:r>
          </w:p>
        </w:tc>
      </w:tr>
      <w:tr w14:paraId="7E2ADD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171" w:hRule="atLeast"/>
        </w:trPr>
        <w:tc>
          <w:tcPr>
            <w:tcW w:w="1751" w:type="dxa"/>
            <w:vAlign w:val="center"/>
          </w:tcPr>
          <w:p w14:paraId="6F301D7B">
            <w:pPr>
              <w:jc w:val="center"/>
              <w:rPr>
                <w:rFonts w:ascii="Times New Roman" w:hAnsi="Times New Roman"/>
                <w:spacing w:val="-2"/>
                <w:kern w:val="0"/>
                <w:szCs w:val="21"/>
              </w:rPr>
            </w:pPr>
            <w:r>
              <w:rPr>
                <w:rFonts w:ascii="Times New Roman" w:hAnsi="Times New Roman"/>
                <w:spacing w:val="-2"/>
                <w:kern w:val="0"/>
                <w:szCs w:val="21"/>
              </w:rPr>
              <w:t>大气污染防治</w:t>
            </w:r>
          </w:p>
        </w:tc>
        <w:tc>
          <w:tcPr>
            <w:tcW w:w="6153" w:type="dxa"/>
            <w:vAlign w:val="center"/>
          </w:tcPr>
          <w:p w14:paraId="23E7EE99">
            <w:pPr>
              <w:rPr>
                <w:rFonts w:ascii="Times New Roman" w:hAnsi="Times New Roman"/>
                <w:spacing w:val="-2"/>
                <w:kern w:val="0"/>
                <w:szCs w:val="21"/>
              </w:rPr>
            </w:pPr>
            <w:r>
              <w:rPr>
                <w:rFonts w:ascii="Times New Roman" w:hAnsi="Times New Roman"/>
                <w:spacing w:val="-2"/>
                <w:kern w:val="0"/>
                <w:szCs w:val="21"/>
              </w:rPr>
              <w:t>烘干炉烟气采用袋式除尘系统处理达标后引至1</w:t>
            </w:r>
            <w:r>
              <w:rPr>
                <w:rFonts w:hint="eastAsia" w:ascii="Times New Roman" w:hAnsi="Times New Roman"/>
                <w:spacing w:val="-2"/>
                <w:kern w:val="0"/>
                <w:szCs w:val="21"/>
              </w:rPr>
              <w:t>9</w:t>
            </w:r>
            <w:r>
              <w:rPr>
                <w:rFonts w:ascii="Times New Roman" w:hAnsi="Times New Roman"/>
                <w:spacing w:val="-2"/>
                <w:kern w:val="0"/>
                <w:szCs w:val="21"/>
              </w:rPr>
              <w:t>m高的排气筒（DA001）排放；</w:t>
            </w:r>
          </w:p>
          <w:p w14:paraId="13B92140">
            <w:pPr>
              <w:rPr>
                <w:rFonts w:ascii="Times New Roman" w:hAnsi="Times New Roman"/>
                <w:spacing w:val="-2"/>
                <w:kern w:val="0"/>
                <w:szCs w:val="21"/>
              </w:rPr>
            </w:pPr>
            <w:r>
              <w:rPr>
                <w:rFonts w:hint="eastAsia" w:ascii="Times New Roman" w:hAnsi="Times New Roman"/>
                <w:spacing w:val="-2"/>
                <w:kern w:val="0"/>
                <w:szCs w:val="21"/>
              </w:rPr>
              <w:t>1#原料处理</w:t>
            </w:r>
            <w:r>
              <w:rPr>
                <w:rFonts w:ascii="Times New Roman" w:hAnsi="Times New Roman"/>
                <w:spacing w:val="-2"/>
                <w:kern w:val="0"/>
                <w:szCs w:val="21"/>
              </w:rPr>
              <w:t>车间粉尘配置集气罩收集后，采用袋式除尘系统处理达标后引至1</w:t>
            </w:r>
            <w:r>
              <w:rPr>
                <w:rFonts w:hint="eastAsia" w:ascii="Times New Roman" w:hAnsi="Times New Roman"/>
                <w:spacing w:val="-2"/>
                <w:kern w:val="0"/>
                <w:szCs w:val="21"/>
              </w:rPr>
              <w:t>9</w:t>
            </w:r>
            <w:r>
              <w:rPr>
                <w:rFonts w:ascii="Times New Roman" w:hAnsi="Times New Roman"/>
                <w:spacing w:val="-2"/>
                <w:kern w:val="0"/>
                <w:szCs w:val="21"/>
              </w:rPr>
              <w:t>m高的排气筒（DA002）排放；</w:t>
            </w:r>
          </w:p>
          <w:p w14:paraId="42C957BA">
            <w:pPr>
              <w:rPr>
                <w:rFonts w:ascii="Times New Roman" w:hAnsi="Times New Roman"/>
                <w:spacing w:val="-2"/>
                <w:kern w:val="0"/>
                <w:szCs w:val="21"/>
              </w:rPr>
            </w:pPr>
            <w:r>
              <w:rPr>
                <w:rFonts w:hint="eastAsia" w:ascii="Times New Roman" w:hAnsi="Times New Roman"/>
                <w:spacing w:val="-2"/>
                <w:kern w:val="0"/>
                <w:szCs w:val="21"/>
              </w:rPr>
              <w:t>2#分选</w:t>
            </w:r>
            <w:r>
              <w:rPr>
                <w:rFonts w:ascii="Times New Roman" w:hAnsi="Times New Roman"/>
                <w:spacing w:val="-2"/>
                <w:kern w:val="0"/>
                <w:szCs w:val="21"/>
              </w:rPr>
              <w:t>车间粉尘配置集气罩收集后，采用袋式除尘系统处理达标后引至1</w:t>
            </w:r>
            <w:r>
              <w:rPr>
                <w:rFonts w:hint="eastAsia" w:ascii="Times New Roman" w:hAnsi="Times New Roman"/>
                <w:spacing w:val="-2"/>
                <w:kern w:val="0"/>
                <w:szCs w:val="21"/>
              </w:rPr>
              <w:t>9</w:t>
            </w:r>
            <w:r>
              <w:rPr>
                <w:rFonts w:ascii="Times New Roman" w:hAnsi="Times New Roman"/>
                <w:spacing w:val="-2"/>
                <w:kern w:val="0"/>
                <w:szCs w:val="21"/>
              </w:rPr>
              <w:t>m高的排气筒（DA00</w:t>
            </w:r>
            <w:r>
              <w:rPr>
                <w:rFonts w:hint="eastAsia" w:ascii="Times New Roman" w:hAnsi="Times New Roman"/>
                <w:spacing w:val="-2"/>
                <w:kern w:val="0"/>
                <w:szCs w:val="21"/>
              </w:rPr>
              <w:t>3</w:t>
            </w:r>
            <w:r>
              <w:rPr>
                <w:rFonts w:ascii="Times New Roman" w:hAnsi="Times New Roman"/>
                <w:spacing w:val="-2"/>
                <w:kern w:val="0"/>
                <w:szCs w:val="21"/>
              </w:rPr>
              <w:t>）排放；</w:t>
            </w:r>
          </w:p>
          <w:p w14:paraId="21893E55">
            <w:pPr>
              <w:rPr>
                <w:rFonts w:ascii="Times New Roman" w:hAnsi="Times New Roman"/>
                <w:spacing w:val="-2"/>
                <w:kern w:val="0"/>
                <w:szCs w:val="21"/>
                <w:u w:val="single"/>
              </w:rPr>
            </w:pPr>
            <w:r>
              <w:rPr>
                <w:rFonts w:hint="eastAsia" w:ascii="Times New Roman" w:hAnsi="Times New Roman"/>
                <w:spacing w:val="-2"/>
                <w:kern w:val="0"/>
                <w:szCs w:val="21"/>
                <w:u w:val="single"/>
              </w:rPr>
              <w:t>封闭环境内进行原料、产品、中间产品等装卸作业；</w:t>
            </w:r>
          </w:p>
          <w:p w14:paraId="0914018C">
            <w:pPr>
              <w:rPr>
                <w:rFonts w:ascii="Times New Roman" w:hAnsi="Times New Roman"/>
                <w:spacing w:val="-2"/>
                <w:kern w:val="0"/>
                <w:szCs w:val="21"/>
                <w:u w:val="single"/>
              </w:rPr>
            </w:pPr>
            <w:r>
              <w:rPr>
                <w:rFonts w:hint="eastAsia" w:ascii="Times New Roman" w:hAnsi="Times New Roman"/>
                <w:spacing w:val="-2"/>
                <w:kern w:val="0"/>
                <w:szCs w:val="21"/>
                <w:u w:val="single"/>
              </w:rPr>
              <w:t>磁选机组两侧设置水雾喷淋除尘；</w:t>
            </w:r>
          </w:p>
          <w:p w14:paraId="403D5A88">
            <w:pPr>
              <w:rPr>
                <w:rFonts w:ascii="Times New Roman" w:hAnsi="Times New Roman"/>
                <w:spacing w:val="-2"/>
                <w:kern w:val="0"/>
                <w:szCs w:val="21"/>
                <w:u w:val="single"/>
              </w:rPr>
            </w:pPr>
            <w:r>
              <w:rPr>
                <w:rFonts w:hint="eastAsia" w:ascii="Times New Roman" w:hAnsi="Times New Roman"/>
                <w:spacing w:val="-2"/>
                <w:kern w:val="0"/>
                <w:szCs w:val="21"/>
                <w:u w:val="single"/>
              </w:rPr>
              <w:t>毛矿进厂卸车、铲车转运至烘干、铲车转运至磁选、铲车产品移堆等铲车装卸区域设置水雾喷淋除尘；</w:t>
            </w:r>
          </w:p>
          <w:p w14:paraId="44AB5B53">
            <w:pPr>
              <w:rPr>
                <w:rFonts w:ascii="Times New Roman" w:hAnsi="Times New Roman"/>
                <w:spacing w:val="-2"/>
                <w:kern w:val="0"/>
                <w:szCs w:val="21"/>
              </w:rPr>
            </w:pPr>
            <w:r>
              <w:rPr>
                <w:rFonts w:hint="eastAsia" w:ascii="Times New Roman" w:hAnsi="Times New Roman"/>
                <w:spacing w:val="-2"/>
                <w:kern w:val="0"/>
                <w:szCs w:val="21"/>
              </w:rPr>
              <w:t>车间采用封闭式设计，减少车间无组织粉尘</w:t>
            </w:r>
            <w:r>
              <w:rPr>
                <w:rFonts w:hint="eastAsia" w:ascii="Times New Roman" w:hAnsi="Times New Roman"/>
                <w:spacing w:val="-2"/>
                <w:kern w:val="0"/>
                <w:szCs w:val="21"/>
                <w:lang w:eastAsia="zh-CN"/>
              </w:rPr>
              <w:t>外溢</w:t>
            </w:r>
            <w:r>
              <w:rPr>
                <w:rFonts w:hint="eastAsia" w:ascii="Times New Roman" w:hAnsi="Times New Roman"/>
                <w:spacing w:val="-2"/>
                <w:kern w:val="0"/>
                <w:szCs w:val="21"/>
              </w:rPr>
              <w:t>；</w:t>
            </w:r>
          </w:p>
          <w:p w14:paraId="0CC6FBC9">
            <w:pPr>
              <w:rPr>
                <w:rFonts w:ascii="Times New Roman" w:hAnsi="Times New Roman"/>
                <w:spacing w:val="-2"/>
                <w:kern w:val="0"/>
                <w:szCs w:val="21"/>
                <w:u w:val="single"/>
              </w:rPr>
            </w:pPr>
            <w:r>
              <w:rPr>
                <w:rFonts w:hint="eastAsia" w:ascii="Times New Roman" w:hAnsi="Times New Roman"/>
                <w:spacing w:val="-2"/>
                <w:kern w:val="0"/>
                <w:szCs w:val="21"/>
                <w:u w:val="single"/>
              </w:rPr>
              <w:t>在车间出入口处设置水雾喷淋除尘；</w:t>
            </w:r>
          </w:p>
          <w:p w14:paraId="48B60278">
            <w:pPr>
              <w:rPr>
                <w:rFonts w:ascii="Times New Roman" w:hAnsi="Times New Roman"/>
                <w:spacing w:val="-2"/>
                <w:kern w:val="0"/>
                <w:szCs w:val="21"/>
              </w:rPr>
            </w:pPr>
            <w:r>
              <w:rPr>
                <w:rFonts w:ascii="Times New Roman" w:hAnsi="Times New Roman"/>
                <w:spacing w:val="-2"/>
                <w:kern w:val="0"/>
                <w:szCs w:val="21"/>
              </w:rPr>
              <w:t>物料运输扬尘采取装载车辆篷布覆盖、运输期间定期道路洒水方式降尘。</w:t>
            </w:r>
          </w:p>
        </w:tc>
        <w:tc>
          <w:tcPr>
            <w:tcW w:w="1280" w:type="dxa"/>
            <w:vMerge w:val="restart"/>
            <w:vAlign w:val="center"/>
          </w:tcPr>
          <w:p w14:paraId="09899522">
            <w:pPr>
              <w:jc w:val="center"/>
              <w:rPr>
                <w:rFonts w:ascii="Times New Roman" w:hAnsi="Times New Roman"/>
                <w:spacing w:val="-2"/>
                <w:kern w:val="0"/>
                <w:szCs w:val="21"/>
              </w:rPr>
            </w:pPr>
            <w:r>
              <w:rPr>
                <w:rFonts w:ascii="Times New Roman" w:hAnsi="Times New Roman"/>
                <w:spacing w:val="-2"/>
                <w:kern w:val="0"/>
                <w:szCs w:val="21"/>
              </w:rPr>
              <w:t>广西瑞腾贸易有限公司</w:t>
            </w:r>
          </w:p>
        </w:tc>
      </w:tr>
      <w:tr w14:paraId="501F89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171" w:hRule="atLeast"/>
        </w:trPr>
        <w:tc>
          <w:tcPr>
            <w:tcW w:w="1751" w:type="dxa"/>
            <w:vAlign w:val="center"/>
          </w:tcPr>
          <w:p w14:paraId="4D738DB7">
            <w:pPr>
              <w:jc w:val="center"/>
              <w:rPr>
                <w:rFonts w:ascii="Times New Roman" w:hAnsi="Times New Roman"/>
                <w:spacing w:val="-2"/>
                <w:kern w:val="0"/>
                <w:szCs w:val="21"/>
              </w:rPr>
            </w:pPr>
            <w:r>
              <w:rPr>
                <w:rFonts w:ascii="Times New Roman" w:hAnsi="Times New Roman"/>
                <w:spacing w:val="-2"/>
                <w:kern w:val="0"/>
                <w:szCs w:val="21"/>
              </w:rPr>
              <w:t>水污染防治</w:t>
            </w:r>
          </w:p>
        </w:tc>
        <w:tc>
          <w:tcPr>
            <w:tcW w:w="6153" w:type="dxa"/>
            <w:vAlign w:val="center"/>
          </w:tcPr>
          <w:p w14:paraId="6ACC9165">
            <w:pPr>
              <w:rPr>
                <w:rFonts w:ascii="Times New Roman" w:hAnsi="Times New Roman"/>
                <w:spacing w:val="-2"/>
                <w:kern w:val="0"/>
                <w:szCs w:val="21"/>
              </w:rPr>
            </w:pPr>
            <w:r>
              <w:rPr>
                <w:rFonts w:ascii="Times New Roman" w:hAnsi="Times New Roman"/>
                <w:spacing w:val="-2"/>
                <w:kern w:val="0"/>
                <w:szCs w:val="21"/>
              </w:rPr>
              <w:t>生活污水经化粪池处理后，排入市政管网送钦州大榄坪污水处理厂处理。</w:t>
            </w:r>
          </w:p>
          <w:p w14:paraId="65109040">
            <w:pPr>
              <w:rPr>
                <w:rFonts w:ascii="Times New Roman" w:hAnsi="Times New Roman"/>
                <w:spacing w:val="-2"/>
                <w:kern w:val="0"/>
                <w:szCs w:val="21"/>
              </w:rPr>
            </w:pPr>
            <w:r>
              <w:rPr>
                <w:rFonts w:hint="eastAsia" w:ascii="Times New Roman" w:hAnsi="Times New Roman"/>
                <w:spacing w:val="-2"/>
                <w:kern w:val="0"/>
                <w:szCs w:val="21"/>
                <w:u w:val="single"/>
              </w:rPr>
              <w:t>在创大进口汽车仓储物流园东大门附近设置一个150m</w:t>
            </w:r>
            <w:r>
              <w:rPr>
                <w:rFonts w:hint="eastAsia" w:ascii="Times New Roman" w:hAnsi="Times New Roman"/>
                <w:spacing w:val="-2"/>
                <w:kern w:val="0"/>
                <w:szCs w:val="21"/>
                <w:u w:val="single"/>
                <w:vertAlign w:val="superscript"/>
              </w:rPr>
              <w:t>3</w:t>
            </w:r>
            <w:r>
              <w:rPr>
                <w:rFonts w:hint="eastAsia" w:ascii="Times New Roman" w:hAnsi="Times New Roman"/>
                <w:spacing w:val="-2"/>
                <w:kern w:val="0"/>
                <w:szCs w:val="21"/>
                <w:u w:val="single"/>
              </w:rPr>
              <w:t>的初期雨水池兼应急池。</w:t>
            </w:r>
          </w:p>
        </w:tc>
        <w:tc>
          <w:tcPr>
            <w:tcW w:w="1280" w:type="dxa"/>
            <w:vMerge w:val="continue"/>
            <w:vAlign w:val="center"/>
          </w:tcPr>
          <w:p w14:paraId="477AE13C">
            <w:pPr>
              <w:jc w:val="center"/>
              <w:rPr>
                <w:rFonts w:ascii="Times New Roman" w:hAnsi="Times New Roman"/>
                <w:spacing w:val="-2"/>
                <w:kern w:val="0"/>
                <w:szCs w:val="21"/>
              </w:rPr>
            </w:pPr>
          </w:p>
        </w:tc>
      </w:tr>
      <w:tr w14:paraId="1C5CE5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171" w:hRule="atLeast"/>
        </w:trPr>
        <w:tc>
          <w:tcPr>
            <w:tcW w:w="1751" w:type="dxa"/>
            <w:vAlign w:val="center"/>
          </w:tcPr>
          <w:p w14:paraId="64EC9606">
            <w:pPr>
              <w:jc w:val="center"/>
              <w:rPr>
                <w:rFonts w:ascii="Times New Roman" w:hAnsi="Times New Roman"/>
                <w:spacing w:val="-2"/>
                <w:kern w:val="0"/>
                <w:szCs w:val="21"/>
              </w:rPr>
            </w:pPr>
            <w:r>
              <w:rPr>
                <w:rFonts w:ascii="Times New Roman" w:hAnsi="Times New Roman"/>
                <w:spacing w:val="-2"/>
                <w:kern w:val="0"/>
                <w:szCs w:val="21"/>
              </w:rPr>
              <w:t>噪声</w:t>
            </w:r>
          </w:p>
        </w:tc>
        <w:tc>
          <w:tcPr>
            <w:tcW w:w="6153" w:type="dxa"/>
            <w:vAlign w:val="center"/>
          </w:tcPr>
          <w:p w14:paraId="63446009">
            <w:pPr>
              <w:rPr>
                <w:rFonts w:ascii="Times New Roman" w:hAnsi="Times New Roman"/>
                <w:spacing w:val="-2"/>
                <w:kern w:val="0"/>
                <w:szCs w:val="21"/>
              </w:rPr>
            </w:pPr>
            <w:r>
              <w:rPr>
                <w:rFonts w:ascii="Times New Roman" w:hAnsi="Times New Roman"/>
                <w:spacing w:val="-2"/>
                <w:kern w:val="0"/>
                <w:szCs w:val="21"/>
              </w:rPr>
              <w:t>在设备选型上尽量采用低噪声的设备；</w:t>
            </w:r>
          </w:p>
          <w:p w14:paraId="51251CC6">
            <w:pPr>
              <w:rPr>
                <w:rFonts w:ascii="Times New Roman" w:hAnsi="Times New Roman"/>
                <w:spacing w:val="-2"/>
                <w:kern w:val="0"/>
                <w:szCs w:val="21"/>
              </w:rPr>
            </w:pPr>
            <w:r>
              <w:rPr>
                <w:rFonts w:ascii="Times New Roman" w:hAnsi="Times New Roman"/>
                <w:spacing w:val="-2"/>
                <w:kern w:val="0"/>
                <w:szCs w:val="21"/>
              </w:rPr>
              <w:t>声源隔振、减振降噪或消声降噪措施；</w:t>
            </w:r>
          </w:p>
          <w:p w14:paraId="17CDBA2A">
            <w:pPr>
              <w:rPr>
                <w:rFonts w:ascii="Times New Roman" w:hAnsi="Times New Roman"/>
                <w:spacing w:val="-2"/>
                <w:kern w:val="0"/>
                <w:szCs w:val="21"/>
              </w:rPr>
            </w:pPr>
            <w:r>
              <w:rPr>
                <w:rFonts w:ascii="Times New Roman" w:hAnsi="Times New Roman"/>
                <w:spacing w:val="-2"/>
                <w:kern w:val="0"/>
                <w:szCs w:val="21"/>
              </w:rPr>
              <w:t>对</w:t>
            </w:r>
            <w:bookmarkStart w:id="314" w:name="OLE_LINK24"/>
            <w:r>
              <w:rPr>
                <w:rFonts w:ascii="Times New Roman" w:hAnsi="Times New Roman"/>
                <w:spacing w:val="-2"/>
                <w:kern w:val="0"/>
                <w:szCs w:val="21"/>
              </w:rPr>
              <w:t>噪声较大的引风机等设备设置独立隔声间且内墙面铺装吸声</w:t>
            </w:r>
            <w:bookmarkEnd w:id="314"/>
            <w:r>
              <w:rPr>
                <w:rFonts w:ascii="Times New Roman" w:hAnsi="Times New Roman"/>
                <w:spacing w:val="-2"/>
                <w:kern w:val="0"/>
                <w:szCs w:val="21"/>
              </w:rPr>
              <w:t>。</w:t>
            </w:r>
          </w:p>
        </w:tc>
        <w:tc>
          <w:tcPr>
            <w:tcW w:w="1280" w:type="dxa"/>
            <w:vMerge w:val="continue"/>
            <w:vAlign w:val="center"/>
          </w:tcPr>
          <w:p w14:paraId="4A6B95C1">
            <w:pPr>
              <w:jc w:val="center"/>
              <w:rPr>
                <w:rFonts w:ascii="Times New Roman" w:hAnsi="Times New Roman"/>
                <w:spacing w:val="-2"/>
                <w:kern w:val="0"/>
                <w:szCs w:val="21"/>
              </w:rPr>
            </w:pPr>
          </w:p>
        </w:tc>
      </w:tr>
      <w:tr w14:paraId="0E0735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171" w:hRule="atLeast"/>
        </w:trPr>
        <w:tc>
          <w:tcPr>
            <w:tcW w:w="1751" w:type="dxa"/>
            <w:vAlign w:val="center"/>
          </w:tcPr>
          <w:p w14:paraId="32D5B329">
            <w:pPr>
              <w:jc w:val="center"/>
              <w:rPr>
                <w:rFonts w:ascii="Times New Roman" w:hAnsi="Times New Roman"/>
                <w:spacing w:val="-2"/>
                <w:kern w:val="0"/>
                <w:szCs w:val="21"/>
              </w:rPr>
            </w:pPr>
            <w:r>
              <w:rPr>
                <w:rFonts w:ascii="Times New Roman" w:hAnsi="Times New Roman"/>
                <w:spacing w:val="-2"/>
                <w:kern w:val="0"/>
                <w:szCs w:val="21"/>
              </w:rPr>
              <w:t>固废处置</w:t>
            </w:r>
          </w:p>
        </w:tc>
        <w:tc>
          <w:tcPr>
            <w:tcW w:w="6153" w:type="dxa"/>
            <w:vAlign w:val="center"/>
          </w:tcPr>
          <w:p w14:paraId="4B46ECDB">
            <w:pPr>
              <w:rPr>
                <w:rFonts w:ascii="Times New Roman" w:hAnsi="Times New Roman"/>
                <w:spacing w:val="-2"/>
                <w:kern w:val="0"/>
                <w:szCs w:val="21"/>
              </w:rPr>
            </w:pPr>
            <w:r>
              <w:rPr>
                <w:rFonts w:ascii="Times New Roman" w:hAnsi="Times New Roman"/>
                <w:spacing w:val="-2"/>
                <w:kern w:val="0"/>
                <w:szCs w:val="21"/>
              </w:rPr>
              <w:t>一般工业固体废物按要求进行临时存放并处置；</w:t>
            </w:r>
          </w:p>
          <w:p w14:paraId="7AF979E7">
            <w:pPr>
              <w:rPr>
                <w:rFonts w:ascii="Times New Roman" w:hAnsi="Times New Roman"/>
                <w:spacing w:val="-2"/>
                <w:kern w:val="0"/>
                <w:szCs w:val="21"/>
              </w:rPr>
            </w:pPr>
            <w:r>
              <w:rPr>
                <w:rFonts w:ascii="Times New Roman" w:hAnsi="Times New Roman"/>
                <w:spacing w:val="-2"/>
                <w:kern w:val="0"/>
                <w:szCs w:val="21"/>
              </w:rPr>
              <w:t>危险废物相关的管理条例和暂存要求进行管理，委托有资质的单位进行处置。</w:t>
            </w:r>
          </w:p>
        </w:tc>
        <w:tc>
          <w:tcPr>
            <w:tcW w:w="1280" w:type="dxa"/>
            <w:vMerge w:val="continue"/>
            <w:vAlign w:val="center"/>
          </w:tcPr>
          <w:p w14:paraId="4FC685C8">
            <w:pPr>
              <w:jc w:val="center"/>
              <w:rPr>
                <w:rFonts w:ascii="Times New Roman" w:hAnsi="Times New Roman"/>
                <w:spacing w:val="-2"/>
                <w:kern w:val="0"/>
                <w:szCs w:val="21"/>
              </w:rPr>
            </w:pPr>
          </w:p>
        </w:tc>
      </w:tr>
      <w:tr w14:paraId="24D43D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171" w:hRule="atLeast"/>
        </w:trPr>
        <w:tc>
          <w:tcPr>
            <w:tcW w:w="1751" w:type="dxa"/>
            <w:vAlign w:val="center"/>
          </w:tcPr>
          <w:p w14:paraId="458A328C">
            <w:pPr>
              <w:jc w:val="center"/>
              <w:rPr>
                <w:rFonts w:ascii="Times New Roman" w:hAnsi="Times New Roman"/>
                <w:spacing w:val="-2"/>
                <w:kern w:val="0"/>
                <w:szCs w:val="21"/>
              </w:rPr>
            </w:pPr>
            <w:r>
              <w:rPr>
                <w:rFonts w:ascii="Times New Roman" w:hAnsi="Times New Roman"/>
                <w:spacing w:val="-2"/>
                <w:kern w:val="0"/>
                <w:szCs w:val="21"/>
              </w:rPr>
              <w:t>污染事故</w:t>
            </w:r>
          </w:p>
        </w:tc>
        <w:tc>
          <w:tcPr>
            <w:tcW w:w="6153" w:type="dxa"/>
            <w:vAlign w:val="center"/>
          </w:tcPr>
          <w:p w14:paraId="61C1F901">
            <w:pPr>
              <w:jc w:val="left"/>
              <w:rPr>
                <w:rFonts w:ascii="Times New Roman" w:hAnsi="Times New Roman"/>
                <w:spacing w:val="-2"/>
                <w:kern w:val="0"/>
                <w:szCs w:val="21"/>
              </w:rPr>
            </w:pPr>
            <w:r>
              <w:rPr>
                <w:rFonts w:ascii="Times New Roman" w:hAnsi="Times New Roman"/>
                <w:spacing w:val="-2"/>
                <w:kern w:val="0"/>
                <w:szCs w:val="21"/>
              </w:rPr>
              <w:t>平时做好应急准备，制定应急预案；</w:t>
            </w:r>
          </w:p>
          <w:p w14:paraId="697A7487">
            <w:pPr>
              <w:rPr>
                <w:rFonts w:ascii="Times New Roman" w:hAnsi="Times New Roman"/>
                <w:spacing w:val="-2"/>
                <w:kern w:val="0"/>
                <w:szCs w:val="21"/>
              </w:rPr>
            </w:pPr>
            <w:r>
              <w:rPr>
                <w:rFonts w:ascii="Times New Roman" w:hAnsi="Times New Roman"/>
                <w:spacing w:val="-2"/>
                <w:kern w:val="0"/>
                <w:szCs w:val="21"/>
              </w:rPr>
              <w:t>事故发生后，根据具体情况相应增加监测频率，并对污染进行追踪调查。</w:t>
            </w:r>
          </w:p>
        </w:tc>
        <w:tc>
          <w:tcPr>
            <w:tcW w:w="1280" w:type="dxa"/>
            <w:vMerge w:val="restart"/>
            <w:vAlign w:val="center"/>
          </w:tcPr>
          <w:p w14:paraId="19D53EBB">
            <w:pPr>
              <w:jc w:val="center"/>
              <w:rPr>
                <w:rFonts w:ascii="Times New Roman" w:hAnsi="Times New Roman"/>
                <w:spacing w:val="-2"/>
                <w:kern w:val="0"/>
                <w:szCs w:val="21"/>
              </w:rPr>
            </w:pPr>
            <w:r>
              <w:rPr>
                <w:rFonts w:ascii="Times New Roman" w:hAnsi="Times New Roman"/>
                <w:spacing w:val="-2"/>
                <w:kern w:val="0"/>
                <w:szCs w:val="21"/>
              </w:rPr>
              <w:t>广西瑞腾贸易有限公司、有资质的监测单位</w:t>
            </w:r>
          </w:p>
        </w:tc>
      </w:tr>
      <w:tr w14:paraId="7851B8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171" w:hRule="atLeast"/>
        </w:trPr>
        <w:tc>
          <w:tcPr>
            <w:tcW w:w="1751" w:type="dxa"/>
            <w:vAlign w:val="center"/>
          </w:tcPr>
          <w:p w14:paraId="7D4F53CA">
            <w:pPr>
              <w:jc w:val="center"/>
              <w:rPr>
                <w:rFonts w:ascii="Times New Roman" w:hAnsi="Times New Roman"/>
                <w:spacing w:val="-2"/>
                <w:kern w:val="0"/>
                <w:szCs w:val="21"/>
              </w:rPr>
            </w:pPr>
            <w:r>
              <w:rPr>
                <w:rFonts w:ascii="Times New Roman" w:hAnsi="Times New Roman"/>
                <w:spacing w:val="-2"/>
                <w:kern w:val="0"/>
                <w:szCs w:val="21"/>
              </w:rPr>
              <w:t>环境监测</w:t>
            </w:r>
          </w:p>
        </w:tc>
        <w:tc>
          <w:tcPr>
            <w:tcW w:w="6153" w:type="dxa"/>
            <w:vAlign w:val="center"/>
          </w:tcPr>
          <w:p w14:paraId="674E57D4">
            <w:pPr>
              <w:jc w:val="left"/>
              <w:rPr>
                <w:rFonts w:ascii="Times New Roman" w:hAnsi="Times New Roman"/>
                <w:spacing w:val="-2"/>
                <w:kern w:val="0"/>
                <w:szCs w:val="21"/>
              </w:rPr>
            </w:pPr>
            <w:r>
              <w:rPr>
                <w:rFonts w:ascii="Times New Roman" w:hAnsi="Times New Roman"/>
                <w:spacing w:val="-2"/>
                <w:kern w:val="0"/>
                <w:szCs w:val="21"/>
              </w:rPr>
              <w:t>按照环境监测技术规范和国家生态环境部颁布的相关标准法律及规范，严格执行环境监测。</w:t>
            </w:r>
          </w:p>
        </w:tc>
        <w:tc>
          <w:tcPr>
            <w:tcW w:w="1280" w:type="dxa"/>
            <w:vMerge w:val="continue"/>
            <w:vAlign w:val="center"/>
          </w:tcPr>
          <w:p w14:paraId="438C4C23">
            <w:pPr>
              <w:widowControl/>
              <w:jc w:val="left"/>
              <w:rPr>
                <w:rFonts w:ascii="Times New Roman" w:hAnsi="Times New Roman"/>
                <w:spacing w:val="-2"/>
                <w:kern w:val="0"/>
                <w:szCs w:val="21"/>
              </w:rPr>
            </w:pPr>
          </w:p>
        </w:tc>
      </w:tr>
    </w:tbl>
    <w:p w14:paraId="72269624">
      <w:pPr>
        <w:spacing w:line="360" w:lineRule="auto"/>
        <w:ind w:firstLine="472" w:firstLineChars="200"/>
        <w:rPr>
          <w:rFonts w:ascii="Times New Roman" w:hAnsi="Times New Roman"/>
          <w:spacing w:val="-2"/>
          <w:kern w:val="0"/>
          <w:sz w:val="24"/>
          <w:szCs w:val="24"/>
        </w:rPr>
      </w:pPr>
    </w:p>
    <w:p w14:paraId="4D5AE66D">
      <w:pPr>
        <w:pStyle w:val="6"/>
        <w:numPr>
          <w:ilvl w:val="2"/>
          <w:numId w:val="3"/>
        </w:numPr>
      </w:pPr>
      <w:r>
        <w:t>环境管理制度</w:t>
      </w:r>
    </w:p>
    <w:p w14:paraId="3346CD79">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企业应建立健全环境管理制度体系，将环保工作纳入考核体系，确保在日常运行中将环保目标落实到实处。</w:t>
      </w:r>
    </w:p>
    <w:p w14:paraId="3E4567AF">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（1）</w:t>
      </w:r>
      <w:r>
        <w:rPr>
          <w:rFonts w:ascii="宋体" w:hAnsi="宋体"/>
          <w:spacing w:val="-2"/>
          <w:kern w:val="0"/>
          <w:sz w:val="24"/>
          <w:szCs w:val="24"/>
        </w:rPr>
        <w:t>“三同时”制</w:t>
      </w:r>
      <w:r>
        <w:rPr>
          <w:rFonts w:ascii="Times New Roman" w:hAnsi="Times New Roman"/>
          <w:spacing w:val="-2"/>
          <w:kern w:val="0"/>
          <w:sz w:val="24"/>
          <w:szCs w:val="24"/>
        </w:rPr>
        <w:t>度</w:t>
      </w:r>
    </w:p>
    <w:p w14:paraId="07A77E6B">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根据《建设项目环境保护管理条例》，建设项目需要配套建设的环境保护设施，必须与主体工程同时设计、同时施工、同时投产使用。本项目配套建设的环境保护设施 经验收合格，方可投入生产</w:t>
      </w:r>
      <w:r>
        <w:rPr>
          <w:rFonts w:hint="eastAsia" w:ascii="Times New Roman" w:hAnsi="Times New Roman"/>
          <w:spacing w:val="-2"/>
          <w:kern w:val="0"/>
          <w:sz w:val="24"/>
          <w:szCs w:val="24"/>
          <w:lang w:eastAsia="zh-CN"/>
        </w:rPr>
        <w:t>或</w:t>
      </w:r>
      <w:r>
        <w:rPr>
          <w:rFonts w:ascii="Times New Roman" w:hAnsi="Times New Roman"/>
          <w:spacing w:val="-2"/>
          <w:kern w:val="0"/>
          <w:sz w:val="24"/>
          <w:szCs w:val="24"/>
        </w:rPr>
        <w:t>使用。项目竣工后，建设单位应当按照国务院环境保护行政主管部门规定的标准和程序，对配套建设的环境保护设施进行验收，编制验收报告。建设单位在环境保护设施验收过程中，应当如实查验、监测、记载建设项目环境保护设施的建设和调试情况，不得弄虚作假，验收报告应依法向社会公开。</w:t>
      </w:r>
    </w:p>
    <w:p w14:paraId="3FA97A2E">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（2）排污许可证制度</w:t>
      </w:r>
    </w:p>
    <w:p w14:paraId="63C11019">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建设单位应当在项目投入生产或使用并产生实际排污行为之前申请领取排污许可证。依法按照排污许可证申请与核发技术规范提交排污许可申请，申报排放污染物种 类、排放浓度等，测算并申报污染物排放量。建设单位应当严格执行排污许可证的规定，禁止无证排污或不按证排污。</w:t>
      </w:r>
    </w:p>
    <w:p w14:paraId="009383AD">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（3）环境管理台账制度</w:t>
      </w:r>
    </w:p>
    <w:p w14:paraId="362F293D">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厂内需完善记录制度和档案保存制度，有利于环境管理质量的追踪和持续改进；记录</w:t>
      </w:r>
      <w:r>
        <w:rPr>
          <w:rFonts w:hint="eastAsia" w:ascii="Times New Roman" w:hAnsi="Times New Roman"/>
          <w:spacing w:val="-2"/>
          <w:kern w:val="0"/>
          <w:sz w:val="24"/>
          <w:szCs w:val="24"/>
          <w:lang w:eastAsia="zh-CN"/>
        </w:rPr>
        <w:t>和台账</w:t>
      </w:r>
      <w:r>
        <w:rPr>
          <w:rFonts w:ascii="Times New Roman" w:hAnsi="Times New Roman"/>
          <w:spacing w:val="-2"/>
          <w:kern w:val="0"/>
          <w:sz w:val="24"/>
          <w:szCs w:val="24"/>
        </w:rPr>
        <w:t>包括设施运行和维护记录、危险废物进出</w:t>
      </w:r>
      <w:r>
        <w:rPr>
          <w:rFonts w:hint="eastAsia" w:ascii="Times New Roman" w:hAnsi="Times New Roman"/>
          <w:spacing w:val="-2"/>
          <w:kern w:val="0"/>
          <w:sz w:val="24"/>
          <w:szCs w:val="24"/>
          <w:lang w:eastAsia="zh-CN"/>
        </w:rPr>
        <w:t>台账</w:t>
      </w:r>
      <w:r>
        <w:rPr>
          <w:rFonts w:ascii="Times New Roman" w:hAnsi="Times New Roman"/>
          <w:spacing w:val="-2"/>
          <w:kern w:val="0"/>
          <w:sz w:val="24"/>
          <w:szCs w:val="24"/>
        </w:rPr>
        <w:t>、废水、废气污染物监测</w:t>
      </w:r>
      <w:r>
        <w:rPr>
          <w:rFonts w:hint="eastAsia" w:ascii="Times New Roman" w:hAnsi="Times New Roman"/>
          <w:spacing w:val="-2"/>
          <w:kern w:val="0"/>
          <w:sz w:val="24"/>
          <w:szCs w:val="24"/>
          <w:lang w:eastAsia="zh-CN"/>
        </w:rPr>
        <w:t>台账</w:t>
      </w:r>
      <w:r>
        <w:rPr>
          <w:rFonts w:ascii="Times New Roman" w:hAnsi="Times New Roman"/>
          <w:spacing w:val="-2"/>
          <w:kern w:val="0"/>
          <w:sz w:val="24"/>
          <w:szCs w:val="24"/>
        </w:rPr>
        <w:t>、所有化学品</w:t>
      </w:r>
      <w:r>
        <w:rPr>
          <w:rFonts w:hint="eastAsia" w:ascii="Times New Roman" w:hAnsi="Times New Roman"/>
          <w:spacing w:val="-2"/>
          <w:kern w:val="0"/>
          <w:sz w:val="24"/>
          <w:szCs w:val="24"/>
          <w:lang w:eastAsia="zh-CN"/>
        </w:rPr>
        <w:t>使用台账</w:t>
      </w:r>
      <w:r>
        <w:rPr>
          <w:rFonts w:ascii="Times New Roman" w:hAnsi="Times New Roman"/>
          <w:spacing w:val="-2"/>
          <w:kern w:val="0"/>
          <w:sz w:val="24"/>
          <w:szCs w:val="24"/>
        </w:rPr>
        <w:t>、突发性事件的处理、调查记录等，妥善保存所有记录、</w:t>
      </w:r>
      <w:r>
        <w:rPr>
          <w:rFonts w:hint="eastAsia" w:ascii="Times New Roman" w:hAnsi="Times New Roman"/>
          <w:spacing w:val="-2"/>
          <w:kern w:val="0"/>
          <w:sz w:val="24"/>
          <w:szCs w:val="24"/>
          <w:lang w:eastAsia="zh-CN"/>
        </w:rPr>
        <w:t>台账及</w:t>
      </w:r>
      <w:r>
        <w:rPr>
          <w:rFonts w:ascii="Times New Roman" w:hAnsi="Times New Roman"/>
          <w:spacing w:val="-2"/>
          <w:kern w:val="0"/>
          <w:sz w:val="24"/>
          <w:szCs w:val="24"/>
        </w:rPr>
        <w:t>污染物排放监测资料、环境管理档案资料等。</w:t>
      </w:r>
    </w:p>
    <w:p w14:paraId="4A4DD523">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（4）报告制度</w:t>
      </w:r>
    </w:p>
    <w:p w14:paraId="26F68C10">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要定期向当地生态环境部门报告企业污染治理设施的运行情况、污染排放情况以及污染事故或污染纠纷等。若企业排污发生重大变化、污染治理设施改变或企业改、扩建等必须向当地生态环境部门申报，改扩建项目必须按《建设项目环境保护管理条例》、《关于加强建设项目环境保护管理的若干规定》等要求，报请有审批权限的审批部门审批。</w:t>
      </w:r>
    </w:p>
    <w:p w14:paraId="5B680E50">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（5）污染治理设施的管理制度</w:t>
      </w:r>
    </w:p>
    <w:p w14:paraId="41F9FE5C">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项目建成后，必须确保污染处理设施长期、稳定、有效地运行，不得擅自拆除或者闲置污染处理设施，不得故意不正常使用污染处理设施。污染处理设施的管理必须与生产经营活动一起纳入单位日常管理工作的范畴，落实责任人、操作人员、维修人员、运行经费、设备的备品备件、化学药品和</w:t>
      </w:r>
      <w:r>
        <w:rPr>
          <w:rFonts w:hint="eastAsia" w:ascii="Times New Roman" w:hAnsi="Times New Roman"/>
          <w:spacing w:val="-2"/>
          <w:kern w:val="0"/>
          <w:sz w:val="24"/>
          <w:szCs w:val="24"/>
          <w:lang w:eastAsia="zh-CN"/>
        </w:rPr>
        <w:t>其他</w:t>
      </w:r>
      <w:r>
        <w:rPr>
          <w:rFonts w:ascii="Times New Roman" w:hAnsi="Times New Roman"/>
          <w:spacing w:val="-2"/>
          <w:kern w:val="0"/>
          <w:sz w:val="24"/>
          <w:szCs w:val="24"/>
        </w:rPr>
        <w:t>原辅材料。同时要建立岗位责任制、制定操作规程、建立</w:t>
      </w:r>
      <w:r>
        <w:rPr>
          <w:rFonts w:hint="eastAsia" w:ascii="Times New Roman" w:hAnsi="Times New Roman"/>
          <w:spacing w:val="-2"/>
          <w:kern w:val="0"/>
          <w:sz w:val="24"/>
          <w:szCs w:val="24"/>
          <w:lang w:eastAsia="zh-CN"/>
        </w:rPr>
        <w:t>管理台账</w:t>
      </w:r>
      <w:r>
        <w:rPr>
          <w:rFonts w:ascii="Times New Roman" w:hAnsi="Times New Roman"/>
          <w:spacing w:val="-2"/>
          <w:kern w:val="0"/>
          <w:sz w:val="24"/>
          <w:szCs w:val="24"/>
        </w:rPr>
        <w:t>。</w:t>
      </w:r>
    </w:p>
    <w:p w14:paraId="2E9FED75">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（6）信息公开制度</w:t>
      </w:r>
    </w:p>
    <w:p w14:paraId="486579C5">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建设单位在环评编制、审批、排污许可证申请、竣工环保验收、正常运行等各阶段均应按照有关要求，通过网站或者其他便于公众知悉的方式，依法向社会公开本项目污染物排放清单，明确污染物排放的管理要求。包括工程组成及原辅材料组分要求，建设项目拟采取的环境保护措施及主要运行参数，排放的污染物种类、排放浓度和总量指标，排污口信息，执行的环境标准，环境风险防范措施以及环境监测等相关内容。</w:t>
      </w:r>
    </w:p>
    <w:p w14:paraId="77FD535A">
      <w:pPr>
        <w:pStyle w:val="5"/>
        <w:numPr>
          <w:ilvl w:val="1"/>
          <w:numId w:val="3"/>
        </w:numPr>
      </w:pPr>
      <w:bookmarkStart w:id="315" w:name="_Toc31830"/>
      <w:r>
        <w:t>排污管理要求</w:t>
      </w:r>
      <w:bookmarkEnd w:id="315"/>
    </w:p>
    <w:p w14:paraId="4C73AD43">
      <w:pPr>
        <w:pStyle w:val="6"/>
        <w:numPr>
          <w:ilvl w:val="2"/>
          <w:numId w:val="3"/>
        </w:numPr>
      </w:pPr>
      <w:r>
        <w:t>污染物排放清单</w:t>
      </w:r>
    </w:p>
    <w:p w14:paraId="0CCAD010">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根据工程分析，项目主要污染源是烘干炉烟气、生产车间粉尘、物料运输扬尘，生活污水，生产设备噪声，固废妥善处置。项目污染物排放清单及污染物排放的管理要求详见表7.2-1。</w:t>
      </w:r>
    </w:p>
    <w:p w14:paraId="5B9CBECB">
      <w:pPr>
        <w:spacing w:line="360" w:lineRule="auto"/>
        <w:ind w:firstLine="472" w:firstLineChars="200"/>
        <w:rPr>
          <w:rFonts w:ascii="Times New Roman" w:hAnsi="Times New Roman"/>
          <w:spacing w:val="-2"/>
          <w:kern w:val="0"/>
          <w:sz w:val="24"/>
        </w:rPr>
      </w:pPr>
    </w:p>
    <w:p w14:paraId="27504871">
      <w:pPr>
        <w:spacing w:line="360" w:lineRule="auto"/>
        <w:ind w:firstLine="472" w:firstLineChars="200"/>
        <w:rPr>
          <w:rFonts w:ascii="Times New Roman" w:hAnsi="Times New Roman"/>
          <w:spacing w:val="-2"/>
          <w:kern w:val="0"/>
          <w:sz w:val="24"/>
          <w:szCs w:val="24"/>
        </w:rPr>
        <w:sectPr>
          <w:pgSz w:w="11906" w:h="16838"/>
          <w:pgMar w:top="1418" w:right="1418" w:bottom="1418" w:left="1418" w:header="851" w:footer="992" w:gutter="0"/>
          <w:cols w:space="720" w:num="1"/>
          <w:docGrid w:type="lines" w:linePitch="312" w:charSpace="0"/>
        </w:sectPr>
      </w:pPr>
    </w:p>
    <w:p w14:paraId="4DF7D098">
      <w:pPr>
        <w:pStyle w:val="8"/>
        <w:numPr>
          <w:ilvl w:val="4"/>
          <w:numId w:val="3"/>
        </w:numPr>
        <w:rPr>
          <w:sz w:val="24"/>
          <w:szCs w:val="24"/>
        </w:rPr>
      </w:pPr>
      <w:r>
        <w:rPr>
          <w:sz w:val="24"/>
          <w:szCs w:val="24"/>
        </w:rPr>
        <w:t>项目污染物排放清单</w:t>
      </w:r>
    </w:p>
    <w:tbl>
      <w:tblPr>
        <w:tblStyle w:val="88"/>
        <w:tblW w:w="1452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03"/>
        <w:gridCol w:w="895"/>
        <w:gridCol w:w="1118"/>
        <w:gridCol w:w="1022"/>
        <w:gridCol w:w="1005"/>
        <w:gridCol w:w="1136"/>
        <w:gridCol w:w="1083"/>
        <w:gridCol w:w="915"/>
        <w:gridCol w:w="2469"/>
        <w:gridCol w:w="915"/>
        <w:gridCol w:w="2563"/>
      </w:tblGrid>
      <w:tr w14:paraId="1FE8BD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524" w:type="dxa"/>
            <w:gridSpan w:val="11"/>
            <w:shd w:val="clear" w:color="auto" w:fill="auto"/>
            <w:vAlign w:val="center"/>
          </w:tcPr>
          <w:p w14:paraId="370A443E">
            <w:pPr>
              <w:widowControl/>
              <w:spacing w:line="360" w:lineRule="exact"/>
              <w:jc w:val="center"/>
              <w:rPr>
                <w:rFonts w:ascii="Times New Roman" w:hAnsi="Times New Roman"/>
                <w:b/>
                <w:bCs/>
                <w:szCs w:val="21"/>
              </w:rPr>
            </w:pPr>
            <w:r>
              <w:rPr>
                <w:rFonts w:ascii="Times New Roman" w:hAnsi="Times New Roman"/>
                <w:b/>
                <w:bCs/>
                <w:szCs w:val="21"/>
              </w:rPr>
              <w:t>一、废气　</w:t>
            </w:r>
          </w:p>
        </w:tc>
      </w:tr>
      <w:tr w14:paraId="558248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98" w:type="dxa"/>
            <w:gridSpan w:val="2"/>
            <w:shd w:val="clear" w:color="auto" w:fill="auto"/>
            <w:vAlign w:val="center"/>
          </w:tcPr>
          <w:p w14:paraId="3EA808A9">
            <w:pPr>
              <w:widowControl/>
              <w:spacing w:line="360" w:lineRule="exact"/>
              <w:jc w:val="center"/>
              <w:rPr>
                <w:rFonts w:ascii="Times New Roman" w:hAnsi="Times New Roman"/>
                <w:szCs w:val="21"/>
              </w:rPr>
            </w:pPr>
            <w:r>
              <w:rPr>
                <w:rFonts w:ascii="Times New Roman" w:hAnsi="Times New Roman"/>
                <w:szCs w:val="21"/>
              </w:rPr>
              <w:t>污染源</w:t>
            </w:r>
          </w:p>
        </w:tc>
        <w:tc>
          <w:tcPr>
            <w:tcW w:w="1118" w:type="dxa"/>
            <w:shd w:val="clear" w:color="auto" w:fill="auto"/>
            <w:vAlign w:val="center"/>
          </w:tcPr>
          <w:p w14:paraId="4F611CCD">
            <w:pPr>
              <w:widowControl/>
              <w:spacing w:line="360" w:lineRule="exact"/>
              <w:jc w:val="center"/>
              <w:rPr>
                <w:rFonts w:ascii="Times New Roman" w:hAnsi="Times New Roman"/>
                <w:szCs w:val="21"/>
              </w:rPr>
            </w:pPr>
            <w:r>
              <w:rPr>
                <w:rFonts w:ascii="Times New Roman" w:hAnsi="Times New Roman"/>
                <w:szCs w:val="21"/>
              </w:rPr>
              <w:t>污染物</w:t>
            </w:r>
          </w:p>
        </w:tc>
        <w:tc>
          <w:tcPr>
            <w:tcW w:w="1022" w:type="dxa"/>
            <w:shd w:val="clear" w:color="auto" w:fill="auto"/>
            <w:vAlign w:val="center"/>
          </w:tcPr>
          <w:p w14:paraId="5B9AC368">
            <w:pPr>
              <w:widowControl/>
              <w:spacing w:line="360" w:lineRule="exact"/>
              <w:jc w:val="center"/>
              <w:rPr>
                <w:rFonts w:ascii="Times New Roman" w:hAnsi="Times New Roman"/>
                <w:szCs w:val="21"/>
              </w:rPr>
            </w:pPr>
            <w:r>
              <w:rPr>
                <w:rFonts w:ascii="Times New Roman" w:hAnsi="Times New Roman"/>
                <w:szCs w:val="21"/>
              </w:rPr>
              <w:t>产生速率kg/h</w:t>
            </w:r>
          </w:p>
        </w:tc>
        <w:tc>
          <w:tcPr>
            <w:tcW w:w="1005" w:type="dxa"/>
            <w:shd w:val="clear" w:color="auto" w:fill="auto"/>
            <w:vAlign w:val="center"/>
          </w:tcPr>
          <w:p w14:paraId="5B474BF0">
            <w:pPr>
              <w:widowControl/>
              <w:spacing w:line="360" w:lineRule="exact"/>
              <w:jc w:val="center"/>
              <w:rPr>
                <w:rFonts w:ascii="Times New Roman" w:hAnsi="Times New Roman"/>
                <w:szCs w:val="21"/>
              </w:rPr>
            </w:pPr>
            <w:r>
              <w:rPr>
                <w:rFonts w:ascii="Times New Roman" w:hAnsi="Times New Roman"/>
                <w:szCs w:val="21"/>
              </w:rPr>
              <w:t>产生量t/a</w:t>
            </w:r>
          </w:p>
        </w:tc>
        <w:tc>
          <w:tcPr>
            <w:tcW w:w="1136" w:type="dxa"/>
            <w:shd w:val="clear" w:color="auto" w:fill="auto"/>
            <w:vAlign w:val="center"/>
          </w:tcPr>
          <w:p w14:paraId="59392A40">
            <w:pPr>
              <w:widowControl/>
              <w:spacing w:line="360" w:lineRule="exact"/>
              <w:jc w:val="center"/>
              <w:rPr>
                <w:rFonts w:ascii="Times New Roman" w:hAnsi="Times New Roman"/>
                <w:szCs w:val="21"/>
              </w:rPr>
            </w:pPr>
            <w:r>
              <w:rPr>
                <w:rFonts w:ascii="Times New Roman" w:hAnsi="Times New Roman"/>
                <w:szCs w:val="21"/>
              </w:rPr>
              <w:t>排放浓度mg/m</w:t>
            </w:r>
            <w:r>
              <w:rPr>
                <w:rFonts w:ascii="Times New Roman" w:hAnsi="Times New Roman"/>
                <w:szCs w:val="21"/>
                <w:vertAlign w:val="superscript"/>
              </w:rPr>
              <w:t>3</w:t>
            </w:r>
          </w:p>
        </w:tc>
        <w:tc>
          <w:tcPr>
            <w:tcW w:w="1083" w:type="dxa"/>
            <w:shd w:val="clear" w:color="auto" w:fill="auto"/>
            <w:vAlign w:val="center"/>
          </w:tcPr>
          <w:p w14:paraId="0116C0F4">
            <w:pPr>
              <w:widowControl/>
              <w:spacing w:line="360" w:lineRule="exact"/>
              <w:jc w:val="center"/>
              <w:rPr>
                <w:rFonts w:ascii="Times New Roman" w:hAnsi="Times New Roman"/>
                <w:szCs w:val="21"/>
              </w:rPr>
            </w:pPr>
            <w:r>
              <w:rPr>
                <w:rFonts w:ascii="Times New Roman" w:hAnsi="Times New Roman"/>
                <w:szCs w:val="21"/>
              </w:rPr>
              <w:t>排放速率kg/h</w:t>
            </w:r>
          </w:p>
        </w:tc>
        <w:tc>
          <w:tcPr>
            <w:tcW w:w="915" w:type="dxa"/>
            <w:shd w:val="clear" w:color="auto" w:fill="auto"/>
            <w:vAlign w:val="center"/>
          </w:tcPr>
          <w:p w14:paraId="60F5131A">
            <w:pPr>
              <w:widowControl/>
              <w:spacing w:line="360" w:lineRule="exact"/>
              <w:jc w:val="center"/>
              <w:rPr>
                <w:rFonts w:ascii="Times New Roman" w:hAnsi="Times New Roman"/>
                <w:szCs w:val="21"/>
              </w:rPr>
            </w:pPr>
            <w:r>
              <w:rPr>
                <w:rFonts w:ascii="Times New Roman" w:hAnsi="Times New Roman"/>
                <w:szCs w:val="21"/>
              </w:rPr>
              <w:t>排放量t/a</w:t>
            </w:r>
          </w:p>
        </w:tc>
        <w:tc>
          <w:tcPr>
            <w:tcW w:w="2469" w:type="dxa"/>
            <w:shd w:val="clear" w:color="auto" w:fill="auto"/>
            <w:vAlign w:val="center"/>
          </w:tcPr>
          <w:p w14:paraId="34EAAAB5">
            <w:pPr>
              <w:widowControl/>
              <w:spacing w:line="360" w:lineRule="exact"/>
              <w:jc w:val="center"/>
              <w:rPr>
                <w:rFonts w:ascii="Times New Roman" w:hAnsi="Times New Roman"/>
                <w:szCs w:val="21"/>
              </w:rPr>
            </w:pPr>
            <w:r>
              <w:rPr>
                <w:rFonts w:ascii="Times New Roman" w:hAnsi="Times New Roman"/>
                <w:szCs w:val="21"/>
              </w:rPr>
              <w:t>保护措施</w:t>
            </w:r>
          </w:p>
        </w:tc>
        <w:tc>
          <w:tcPr>
            <w:tcW w:w="915" w:type="dxa"/>
            <w:shd w:val="clear" w:color="auto" w:fill="auto"/>
            <w:vAlign w:val="center"/>
          </w:tcPr>
          <w:p w14:paraId="29A3B407">
            <w:pPr>
              <w:widowControl/>
              <w:spacing w:line="360" w:lineRule="exact"/>
              <w:jc w:val="center"/>
              <w:rPr>
                <w:rFonts w:ascii="Times New Roman" w:hAnsi="Times New Roman"/>
                <w:szCs w:val="21"/>
              </w:rPr>
            </w:pPr>
            <w:r>
              <w:rPr>
                <w:rFonts w:ascii="Times New Roman" w:hAnsi="Times New Roman"/>
                <w:szCs w:val="21"/>
              </w:rPr>
              <w:t>排污口信息</w:t>
            </w:r>
          </w:p>
        </w:tc>
        <w:tc>
          <w:tcPr>
            <w:tcW w:w="2563" w:type="dxa"/>
            <w:shd w:val="clear" w:color="auto" w:fill="auto"/>
            <w:vAlign w:val="center"/>
          </w:tcPr>
          <w:p w14:paraId="083E34F5">
            <w:pPr>
              <w:widowControl/>
              <w:spacing w:line="360" w:lineRule="exact"/>
              <w:jc w:val="center"/>
              <w:rPr>
                <w:rFonts w:ascii="Times New Roman" w:hAnsi="Times New Roman"/>
                <w:szCs w:val="21"/>
              </w:rPr>
            </w:pPr>
            <w:r>
              <w:rPr>
                <w:rFonts w:ascii="Times New Roman" w:hAnsi="Times New Roman"/>
                <w:szCs w:val="21"/>
              </w:rPr>
              <w:t>排放标准</w:t>
            </w:r>
          </w:p>
        </w:tc>
      </w:tr>
      <w:tr w14:paraId="71D3B0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03" w:type="dxa"/>
            <w:vMerge w:val="restart"/>
            <w:shd w:val="clear" w:color="auto" w:fill="auto"/>
            <w:vAlign w:val="center"/>
          </w:tcPr>
          <w:p w14:paraId="021B0118">
            <w:pPr>
              <w:widowControl/>
              <w:spacing w:line="360" w:lineRule="exact"/>
              <w:jc w:val="center"/>
              <w:rPr>
                <w:rFonts w:ascii="Times New Roman" w:hAnsi="Times New Roman"/>
                <w:szCs w:val="21"/>
              </w:rPr>
            </w:pPr>
            <w:r>
              <w:rPr>
                <w:rFonts w:ascii="Times New Roman" w:hAnsi="Times New Roman"/>
                <w:szCs w:val="21"/>
              </w:rPr>
              <w:t>烘干炉烟气</w:t>
            </w:r>
          </w:p>
        </w:tc>
        <w:tc>
          <w:tcPr>
            <w:tcW w:w="895" w:type="dxa"/>
            <w:vMerge w:val="restart"/>
            <w:shd w:val="clear" w:color="auto" w:fill="auto"/>
            <w:vAlign w:val="center"/>
          </w:tcPr>
          <w:p w14:paraId="6105A585">
            <w:pPr>
              <w:widowControl/>
              <w:spacing w:line="360" w:lineRule="exact"/>
              <w:jc w:val="left"/>
              <w:rPr>
                <w:rFonts w:ascii="Times New Roman" w:hAnsi="Times New Roman"/>
                <w:szCs w:val="21"/>
              </w:rPr>
            </w:pPr>
            <w:r>
              <w:rPr>
                <w:rFonts w:ascii="Times New Roman" w:hAnsi="Times New Roman"/>
                <w:szCs w:val="21"/>
              </w:rPr>
              <w:t>有组织</w:t>
            </w:r>
          </w:p>
        </w:tc>
        <w:tc>
          <w:tcPr>
            <w:tcW w:w="1118" w:type="dxa"/>
            <w:shd w:val="clear" w:color="auto" w:fill="auto"/>
            <w:vAlign w:val="center"/>
          </w:tcPr>
          <w:p w14:paraId="30ABDB2D">
            <w:pPr>
              <w:widowControl/>
              <w:spacing w:line="360" w:lineRule="exact"/>
              <w:jc w:val="center"/>
              <w:rPr>
                <w:rFonts w:ascii="Times New Roman" w:hAnsi="Times New Roman"/>
                <w:szCs w:val="21"/>
              </w:rPr>
            </w:pPr>
            <w:r>
              <w:rPr>
                <w:rFonts w:ascii="Times New Roman" w:hAnsi="Times New Roman"/>
                <w:szCs w:val="21"/>
              </w:rPr>
              <w:t>PM</w:t>
            </w:r>
            <w:r>
              <w:rPr>
                <w:rFonts w:ascii="Times New Roman" w:hAnsi="Times New Roman"/>
                <w:szCs w:val="21"/>
                <w:vertAlign w:val="subscript"/>
              </w:rPr>
              <w:t>10</w:t>
            </w:r>
          </w:p>
        </w:tc>
        <w:tc>
          <w:tcPr>
            <w:tcW w:w="1022" w:type="dxa"/>
            <w:shd w:val="clear" w:color="auto" w:fill="auto"/>
            <w:vAlign w:val="center"/>
          </w:tcPr>
          <w:p w14:paraId="4C04217E">
            <w:pPr>
              <w:widowControl/>
              <w:spacing w:line="360" w:lineRule="exact"/>
              <w:jc w:val="center"/>
              <w:rPr>
                <w:rFonts w:ascii="Times New Roman" w:hAnsi="Times New Roman"/>
                <w:szCs w:val="21"/>
                <w:u w:val="single"/>
              </w:rPr>
            </w:pPr>
            <w:r>
              <w:rPr>
                <w:rFonts w:ascii="Times New Roman" w:hAnsi="Times New Roman" w:eastAsia="等线"/>
                <w:szCs w:val="21"/>
                <w:u w:val="single"/>
              </w:rPr>
              <w:t>1.7592</w:t>
            </w:r>
          </w:p>
        </w:tc>
        <w:tc>
          <w:tcPr>
            <w:tcW w:w="1005" w:type="dxa"/>
            <w:shd w:val="clear" w:color="auto" w:fill="auto"/>
            <w:vAlign w:val="center"/>
          </w:tcPr>
          <w:p w14:paraId="5585B7F0">
            <w:pPr>
              <w:widowControl/>
              <w:spacing w:line="360" w:lineRule="exact"/>
              <w:jc w:val="center"/>
              <w:rPr>
                <w:rFonts w:ascii="Times New Roman" w:hAnsi="Times New Roman"/>
                <w:szCs w:val="21"/>
                <w:u w:val="single"/>
              </w:rPr>
            </w:pPr>
            <w:r>
              <w:rPr>
                <w:rFonts w:ascii="Times New Roman" w:hAnsi="Times New Roman" w:eastAsia="等线"/>
                <w:szCs w:val="21"/>
                <w:u w:val="single"/>
              </w:rPr>
              <w:t>8.444</w:t>
            </w:r>
          </w:p>
        </w:tc>
        <w:tc>
          <w:tcPr>
            <w:tcW w:w="1136" w:type="dxa"/>
            <w:shd w:val="clear" w:color="auto" w:fill="auto"/>
            <w:vAlign w:val="center"/>
          </w:tcPr>
          <w:p w14:paraId="05EE51E0">
            <w:pPr>
              <w:widowControl/>
              <w:spacing w:line="360" w:lineRule="exact"/>
              <w:jc w:val="center"/>
              <w:rPr>
                <w:rFonts w:ascii="Times New Roman" w:hAnsi="Times New Roman"/>
                <w:szCs w:val="21"/>
                <w:u w:val="single"/>
              </w:rPr>
            </w:pPr>
            <w:r>
              <w:rPr>
                <w:rFonts w:ascii="Times New Roman" w:hAnsi="Times New Roman" w:eastAsia="等线"/>
                <w:szCs w:val="21"/>
                <w:u w:val="single"/>
              </w:rPr>
              <w:t>3.5</w:t>
            </w:r>
          </w:p>
        </w:tc>
        <w:tc>
          <w:tcPr>
            <w:tcW w:w="1083" w:type="dxa"/>
            <w:shd w:val="clear" w:color="auto" w:fill="auto"/>
            <w:vAlign w:val="center"/>
          </w:tcPr>
          <w:p w14:paraId="22C7B021">
            <w:pPr>
              <w:widowControl/>
              <w:spacing w:line="360" w:lineRule="exact"/>
              <w:jc w:val="center"/>
              <w:rPr>
                <w:rFonts w:ascii="Times New Roman" w:hAnsi="Times New Roman"/>
                <w:szCs w:val="21"/>
                <w:u w:val="single"/>
              </w:rPr>
            </w:pPr>
            <w:r>
              <w:rPr>
                <w:rFonts w:ascii="Times New Roman" w:hAnsi="Times New Roman" w:eastAsia="等线"/>
                <w:szCs w:val="21"/>
                <w:u w:val="single"/>
              </w:rPr>
              <w:t>0.0175</w:t>
            </w:r>
          </w:p>
        </w:tc>
        <w:tc>
          <w:tcPr>
            <w:tcW w:w="915" w:type="dxa"/>
            <w:shd w:val="clear" w:color="auto" w:fill="auto"/>
            <w:vAlign w:val="center"/>
          </w:tcPr>
          <w:p w14:paraId="61BCACD7">
            <w:pPr>
              <w:widowControl/>
              <w:spacing w:line="360" w:lineRule="exact"/>
              <w:jc w:val="center"/>
              <w:rPr>
                <w:rFonts w:ascii="Times New Roman" w:hAnsi="Times New Roman"/>
                <w:szCs w:val="21"/>
                <w:u w:val="single"/>
              </w:rPr>
            </w:pPr>
            <w:r>
              <w:rPr>
                <w:rFonts w:ascii="Times New Roman" w:hAnsi="Times New Roman" w:eastAsia="等线"/>
                <w:szCs w:val="21"/>
                <w:u w:val="single"/>
              </w:rPr>
              <w:t>0.0840</w:t>
            </w:r>
          </w:p>
        </w:tc>
        <w:tc>
          <w:tcPr>
            <w:tcW w:w="2469" w:type="dxa"/>
            <w:vMerge w:val="restart"/>
            <w:shd w:val="clear" w:color="auto" w:fill="auto"/>
            <w:vAlign w:val="center"/>
          </w:tcPr>
          <w:p w14:paraId="1E3F9F8E">
            <w:pPr>
              <w:widowControl/>
              <w:spacing w:line="360" w:lineRule="exact"/>
              <w:jc w:val="left"/>
              <w:rPr>
                <w:rFonts w:ascii="Times New Roman" w:hAnsi="Times New Roman"/>
                <w:szCs w:val="21"/>
              </w:rPr>
            </w:pPr>
            <w:r>
              <w:rPr>
                <w:rFonts w:ascii="Times New Roman" w:hAnsi="Times New Roman"/>
                <w:szCs w:val="21"/>
              </w:rPr>
              <w:t>袋式除尘+1</w:t>
            </w:r>
            <w:r>
              <w:rPr>
                <w:rFonts w:hint="eastAsia" w:ascii="Times New Roman" w:hAnsi="Times New Roman"/>
                <w:szCs w:val="21"/>
              </w:rPr>
              <w:t>9</w:t>
            </w:r>
            <w:r>
              <w:rPr>
                <w:rFonts w:ascii="Times New Roman" w:hAnsi="Times New Roman"/>
                <w:szCs w:val="21"/>
              </w:rPr>
              <w:t>m排气筒</w:t>
            </w:r>
          </w:p>
        </w:tc>
        <w:tc>
          <w:tcPr>
            <w:tcW w:w="915" w:type="dxa"/>
            <w:vMerge w:val="restart"/>
            <w:shd w:val="clear" w:color="auto" w:fill="auto"/>
            <w:vAlign w:val="center"/>
          </w:tcPr>
          <w:p w14:paraId="09D8D033">
            <w:pPr>
              <w:widowControl/>
              <w:spacing w:line="360" w:lineRule="exact"/>
              <w:jc w:val="center"/>
              <w:rPr>
                <w:rFonts w:ascii="Times New Roman" w:hAnsi="Times New Roman"/>
                <w:szCs w:val="21"/>
              </w:rPr>
            </w:pPr>
            <w:r>
              <w:rPr>
                <w:rFonts w:ascii="Times New Roman" w:hAnsi="Times New Roman"/>
                <w:szCs w:val="21"/>
              </w:rPr>
              <w:t>DA001</w:t>
            </w:r>
          </w:p>
        </w:tc>
        <w:tc>
          <w:tcPr>
            <w:tcW w:w="2563" w:type="dxa"/>
            <w:vMerge w:val="restart"/>
            <w:shd w:val="clear" w:color="auto" w:fill="auto"/>
            <w:vAlign w:val="center"/>
          </w:tcPr>
          <w:p w14:paraId="5DB7DE30">
            <w:pPr>
              <w:widowControl/>
              <w:spacing w:line="360" w:lineRule="exact"/>
              <w:jc w:val="left"/>
              <w:rPr>
                <w:rFonts w:ascii="Times New Roman" w:hAnsi="Times New Roman"/>
                <w:szCs w:val="21"/>
              </w:rPr>
            </w:pPr>
            <w:r>
              <w:rPr>
                <w:rFonts w:ascii="Times New Roman" w:hAnsi="Times New Roman"/>
                <w:spacing w:val="-2"/>
                <w:kern w:val="0"/>
                <w:szCs w:val="21"/>
              </w:rPr>
              <w:t>《工业炉窑大气污染物排放标准》（GB9078-1996）</w:t>
            </w:r>
          </w:p>
        </w:tc>
      </w:tr>
      <w:tr w14:paraId="48B77C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03" w:type="dxa"/>
            <w:vMerge w:val="continue"/>
            <w:shd w:val="clear" w:color="auto" w:fill="auto"/>
            <w:vAlign w:val="center"/>
          </w:tcPr>
          <w:p w14:paraId="613942FB">
            <w:pPr>
              <w:widowControl/>
              <w:spacing w:line="360" w:lineRule="exact"/>
              <w:jc w:val="center"/>
              <w:rPr>
                <w:rFonts w:ascii="Times New Roman" w:hAnsi="Times New Roman"/>
                <w:szCs w:val="21"/>
              </w:rPr>
            </w:pPr>
          </w:p>
        </w:tc>
        <w:tc>
          <w:tcPr>
            <w:tcW w:w="895" w:type="dxa"/>
            <w:vMerge w:val="continue"/>
            <w:shd w:val="clear" w:color="auto" w:fill="auto"/>
            <w:vAlign w:val="center"/>
          </w:tcPr>
          <w:p w14:paraId="6CCB8134">
            <w:pPr>
              <w:widowControl/>
              <w:spacing w:line="360" w:lineRule="exact"/>
              <w:jc w:val="left"/>
              <w:rPr>
                <w:rFonts w:ascii="Times New Roman" w:hAnsi="Times New Roman"/>
                <w:szCs w:val="21"/>
              </w:rPr>
            </w:pPr>
          </w:p>
        </w:tc>
        <w:tc>
          <w:tcPr>
            <w:tcW w:w="1118" w:type="dxa"/>
            <w:shd w:val="clear" w:color="auto" w:fill="auto"/>
            <w:vAlign w:val="center"/>
          </w:tcPr>
          <w:p w14:paraId="5628A8EB">
            <w:pPr>
              <w:widowControl/>
              <w:spacing w:line="360" w:lineRule="exact"/>
              <w:jc w:val="center"/>
              <w:rPr>
                <w:rFonts w:ascii="Times New Roman" w:hAnsi="Times New Roman"/>
                <w:szCs w:val="21"/>
              </w:rPr>
            </w:pPr>
            <w:r>
              <w:rPr>
                <w:rFonts w:ascii="Times New Roman" w:hAnsi="Times New Roman"/>
                <w:szCs w:val="21"/>
              </w:rPr>
              <w:t>SO</w:t>
            </w:r>
            <w:r>
              <w:rPr>
                <w:rFonts w:ascii="Times New Roman" w:hAnsi="Times New Roman"/>
                <w:szCs w:val="21"/>
                <w:vertAlign w:val="subscript"/>
              </w:rPr>
              <w:t>2</w:t>
            </w:r>
          </w:p>
        </w:tc>
        <w:tc>
          <w:tcPr>
            <w:tcW w:w="1022" w:type="dxa"/>
            <w:shd w:val="clear" w:color="auto" w:fill="auto"/>
            <w:vAlign w:val="center"/>
          </w:tcPr>
          <w:p w14:paraId="70E5111D">
            <w:pPr>
              <w:widowControl/>
              <w:spacing w:line="360" w:lineRule="exact"/>
              <w:jc w:val="center"/>
              <w:rPr>
                <w:rFonts w:ascii="Times New Roman" w:hAnsi="Times New Roman"/>
                <w:szCs w:val="21"/>
                <w:u w:val="single"/>
              </w:rPr>
            </w:pPr>
            <w:r>
              <w:rPr>
                <w:rFonts w:ascii="Times New Roman" w:hAnsi="Times New Roman" w:eastAsia="等线"/>
                <w:szCs w:val="21"/>
                <w:u w:val="single"/>
              </w:rPr>
              <w:t>0.0921</w:t>
            </w:r>
          </w:p>
        </w:tc>
        <w:tc>
          <w:tcPr>
            <w:tcW w:w="1005" w:type="dxa"/>
            <w:shd w:val="clear" w:color="auto" w:fill="auto"/>
            <w:vAlign w:val="center"/>
          </w:tcPr>
          <w:p w14:paraId="1ECE8C42">
            <w:pPr>
              <w:widowControl/>
              <w:spacing w:line="360" w:lineRule="exact"/>
              <w:jc w:val="center"/>
              <w:rPr>
                <w:rFonts w:ascii="Times New Roman" w:hAnsi="Times New Roman"/>
                <w:szCs w:val="21"/>
                <w:u w:val="single"/>
              </w:rPr>
            </w:pPr>
            <w:r>
              <w:rPr>
                <w:rFonts w:ascii="Times New Roman" w:hAnsi="Times New Roman" w:eastAsia="等线"/>
                <w:szCs w:val="21"/>
                <w:u w:val="single"/>
              </w:rPr>
              <w:t>0.442</w:t>
            </w:r>
          </w:p>
        </w:tc>
        <w:tc>
          <w:tcPr>
            <w:tcW w:w="1136" w:type="dxa"/>
            <w:shd w:val="clear" w:color="auto" w:fill="auto"/>
            <w:vAlign w:val="center"/>
          </w:tcPr>
          <w:p w14:paraId="74E78A3A">
            <w:pPr>
              <w:widowControl/>
              <w:spacing w:line="360" w:lineRule="exact"/>
              <w:jc w:val="center"/>
              <w:rPr>
                <w:rFonts w:ascii="Times New Roman" w:hAnsi="Times New Roman"/>
                <w:szCs w:val="21"/>
                <w:u w:val="single"/>
              </w:rPr>
            </w:pPr>
            <w:r>
              <w:rPr>
                <w:rFonts w:ascii="Times New Roman" w:hAnsi="Times New Roman" w:eastAsia="等线"/>
                <w:szCs w:val="21"/>
                <w:u w:val="single"/>
              </w:rPr>
              <w:t>18.42</w:t>
            </w:r>
          </w:p>
        </w:tc>
        <w:tc>
          <w:tcPr>
            <w:tcW w:w="1083" w:type="dxa"/>
            <w:shd w:val="clear" w:color="auto" w:fill="auto"/>
            <w:vAlign w:val="center"/>
          </w:tcPr>
          <w:p w14:paraId="71AED37F">
            <w:pPr>
              <w:widowControl/>
              <w:spacing w:line="360" w:lineRule="exact"/>
              <w:jc w:val="center"/>
              <w:rPr>
                <w:rFonts w:ascii="Times New Roman" w:hAnsi="Times New Roman"/>
                <w:szCs w:val="21"/>
                <w:u w:val="single"/>
              </w:rPr>
            </w:pPr>
            <w:r>
              <w:rPr>
                <w:rFonts w:ascii="Times New Roman" w:hAnsi="Times New Roman" w:eastAsia="等线"/>
                <w:szCs w:val="21"/>
                <w:u w:val="single"/>
              </w:rPr>
              <w:t>0.0921</w:t>
            </w:r>
          </w:p>
        </w:tc>
        <w:tc>
          <w:tcPr>
            <w:tcW w:w="915" w:type="dxa"/>
            <w:shd w:val="clear" w:color="auto" w:fill="auto"/>
            <w:vAlign w:val="center"/>
          </w:tcPr>
          <w:p w14:paraId="5AF495DD">
            <w:pPr>
              <w:widowControl/>
              <w:spacing w:line="360" w:lineRule="exact"/>
              <w:jc w:val="center"/>
              <w:rPr>
                <w:rFonts w:ascii="Times New Roman" w:hAnsi="Times New Roman"/>
                <w:szCs w:val="21"/>
                <w:u w:val="single"/>
              </w:rPr>
            </w:pPr>
            <w:r>
              <w:rPr>
                <w:rFonts w:ascii="Times New Roman" w:hAnsi="Times New Roman" w:eastAsia="等线"/>
                <w:szCs w:val="21"/>
                <w:u w:val="single"/>
              </w:rPr>
              <w:t>0.4420</w:t>
            </w:r>
          </w:p>
        </w:tc>
        <w:tc>
          <w:tcPr>
            <w:tcW w:w="2469" w:type="dxa"/>
            <w:vMerge w:val="continue"/>
            <w:shd w:val="clear" w:color="auto" w:fill="auto"/>
            <w:vAlign w:val="center"/>
          </w:tcPr>
          <w:p w14:paraId="74261A52">
            <w:pPr>
              <w:widowControl/>
              <w:spacing w:line="360" w:lineRule="exact"/>
              <w:jc w:val="left"/>
              <w:rPr>
                <w:rFonts w:ascii="Times New Roman" w:hAnsi="Times New Roman"/>
                <w:szCs w:val="21"/>
              </w:rPr>
            </w:pPr>
          </w:p>
        </w:tc>
        <w:tc>
          <w:tcPr>
            <w:tcW w:w="915" w:type="dxa"/>
            <w:vMerge w:val="continue"/>
            <w:shd w:val="clear" w:color="auto" w:fill="auto"/>
            <w:vAlign w:val="center"/>
          </w:tcPr>
          <w:p w14:paraId="74CCB03A">
            <w:pPr>
              <w:widowControl/>
              <w:spacing w:line="360" w:lineRule="exact"/>
              <w:jc w:val="center"/>
              <w:rPr>
                <w:rFonts w:ascii="Times New Roman" w:hAnsi="Times New Roman"/>
                <w:szCs w:val="21"/>
              </w:rPr>
            </w:pPr>
          </w:p>
        </w:tc>
        <w:tc>
          <w:tcPr>
            <w:tcW w:w="2563" w:type="dxa"/>
            <w:vMerge w:val="continue"/>
            <w:shd w:val="clear" w:color="auto" w:fill="auto"/>
            <w:vAlign w:val="center"/>
          </w:tcPr>
          <w:p w14:paraId="6B918566">
            <w:pPr>
              <w:widowControl/>
              <w:spacing w:line="360" w:lineRule="exact"/>
              <w:jc w:val="left"/>
              <w:rPr>
                <w:rFonts w:ascii="Times New Roman" w:hAnsi="Times New Roman"/>
                <w:szCs w:val="21"/>
              </w:rPr>
            </w:pPr>
          </w:p>
        </w:tc>
      </w:tr>
      <w:tr w14:paraId="53D8E6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03" w:type="dxa"/>
            <w:vMerge w:val="continue"/>
            <w:shd w:val="clear" w:color="auto" w:fill="auto"/>
            <w:vAlign w:val="center"/>
          </w:tcPr>
          <w:p w14:paraId="4227DB74">
            <w:pPr>
              <w:widowControl/>
              <w:spacing w:line="360" w:lineRule="exact"/>
              <w:jc w:val="center"/>
              <w:rPr>
                <w:rFonts w:ascii="Times New Roman" w:hAnsi="Times New Roman"/>
                <w:szCs w:val="21"/>
              </w:rPr>
            </w:pPr>
          </w:p>
        </w:tc>
        <w:tc>
          <w:tcPr>
            <w:tcW w:w="895" w:type="dxa"/>
            <w:vMerge w:val="continue"/>
            <w:shd w:val="clear" w:color="auto" w:fill="auto"/>
            <w:vAlign w:val="center"/>
          </w:tcPr>
          <w:p w14:paraId="0E1AD04E">
            <w:pPr>
              <w:widowControl/>
              <w:spacing w:line="360" w:lineRule="exact"/>
              <w:jc w:val="left"/>
              <w:rPr>
                <w:rFonts w:ascii="Times New Roman" w:hAnsi="Times New Roman"/>
                <w:szCs w:val="21"/>
              </w:rPr>
            </w:pPr>
          </w:p>
        </w:tc>
        <w:tc>
          <w:tcPr>
            <w:tcW w:w="1118" w:type="dxa"/>
            <w:shd w:val="clear" w:color="auto" w:fill="auto"/>
            <w:vAlign w:val="center"/>
          </w:tcPr>
          <w:p w14:paraId="35B5E7AD">
            <w:pPr>
              <w:widowControl/>
              <w:spacing w:line="360" w:lineRule="exact"/>
              <w:jc w:val="center"/>
              <w:rPr>
                <w:rFonts w:ascii="Times New Roman" w:hAnsi="Times New Roman"/>
                <w:szCs w:val="21"/>
              </w:rPr>
            </w:pPr>
            <w:r>
              <w:rPr>
                <w:rFonts w:ascii="Times New Roman" w:hAnsi="Times New Roman"/>
                <w:szCs w:val="21"/>
              </w:rPr>
              <w:t>NO</w:t>
            </w:r>
            <w:r>
              <w:rPr>
                <w:rFonts w:ascii="Times New Roman" w:hAnsi="Times New Roman"/>
                <w:szCs w:val="21"/>
                <w:vertAlign w:val="subscript"/>
              </w:rPr>
              <w:t>x</w:t>
            </w:r>
          </w:p>
        </w:tc>
        <w:tc>
          <w:tcPr>
            <w:tcW w:w="1022" w:type="dxa"/>
            <w:shd w:val="clear" w:color="auto" w:fill="auto"/>
            <w:vAlign w:val="center"/>
          </w:tcPr>
          <w:p w14:paraId="1E859930">
            <w:pPr>
              <w:widowControl/>
              <w:spacing w:line="360" w:lineRule="exact"/>
              <w:jc w:val="center"/>
              <w:rPr>
                <w:rFonts w:ascii="Times New Roman" w:hAnsi="Times New Roman"/>
                <w:szCs w:val="21"/>
                <w:u w:val="single"/>
              </w:rPr>
            </w:pPr>
            <w:r>
              <w:rPr>
                <w:rFonts w:ascii="Times New Roman" w:hAnsi="Times New Roman" w:eastAsia="等线"/>
                <w:szCs w:val="21"/>
                <w:u w:val="single"/>
              </w:rPr>
              <w:t>0.5000</w:t>
            </w:r>
          </w:p>
        </w:tc>
        <w:tc>
          <w:tcPr>
            <w:tcW w:w="1005" w:type="dxa"/>
            <w:shd w:val="clear" w:color="auto" w:fill="auto"/>
            <w:vAlign w:val="center"/>
          </w:tcPr>
          <w:p w14:paraId="065288E7">
            <w:pPr>
              <w:widowControl/>
              <w:spacing w:line="360" w:lineRule="exact"/>
              <w:jc w:val="center"/>
              <w:rPr>
                <w:rFonts w:ascii="Times New Roman" w:hAnsi="Times New Roman"/>
                <w:szCs w:val="21"/>
                <w:u w:val="single"/>
              </w:rPr>
            </w:pPr>
            <w:r>
              <w:rPr>
                <w:rFonts w:ascii="Times New Roman" w:hAnsi="Times New Roman" w:eastAsia="等线"/>
                <w:szCs w:val="21"/>
                <w:u w:val="single"/>
              </w:rPr>
              <w:t>2.4</w:t>
            </w:r>
          </w:p>
        </w:tc>
        <w:tc>
          <w:tcPr>
            <w:tcW w:w="1136" w:type="dxa"/>
            <w:shd w:val="clear" w:color="auto" w:fill="auto"/>
            <w:vAlign w:val="center"/>
          </w:tcPr>
          <w:p w14:paraId="275ABDD1">
            <w:pPr>
              <w:widowControl/>
              <w:spacing w:line="360" w:lineRule="exact"/>
              <w:jc w:val="center"/>
              <w:rPr>
                <w:rFonts w:ascii="Times New Roman" w:hAnsi="Times New Roman"/>
                <w:szCs w:val="21"/>
                <w:u w:val="single"/>
              </w:rPr>
            </w:pPr>
            <w:r>
              <w:rPr>
                <w:rFonts w:ascii="Times New Roman" w:hAnsi="Times New Roman" w:eastAsia="等线"/>
                <w:szCs w:val="21"/>
                <w:u w:val="single"/>
              </w:rPr>
              <w:t>100</w:t>
            </w:r>
          </w:p>
        </w:tc>
        <w:tc>
          <w:tcPr>
            <w:tcW w:w="1083" w:type="dxa"/>
            <w:shd w:val="clear" w:color="auto" w:fill="auto"/>
            <w:vAlign w:val="center"/>
          </w:tcPr>
          <w:p w14:paraId="5F30C1BB">
            <w:pPr>
              <w:widowControl/>
              <w:spacing w:line="360" w:lineRule="exact"/>
              <w:jc w:val="center"/>
              <w:rPr>
                <w:rFonts w:ascii="Times New Roman" w:hAnsi="Times New Roman"/>
                <w:szCs w:val="21"/>
                <w:u w:val="single"/>
              </w:rPr>
            </w:pPr>
            <w:r>
              <w:rPr>
                <w:rFonts w:ascii="Times New Roman" w:hAnsi="Times New Roman" w:eastAsia="等线"/>
                <w:szCs w:val="21"/>
                <w:u w:val="single"/>
              </w:rPr>
              <w:t>0.5000</w:t>
            </w:r>
          </w:p>
        </w:tc>
        <w:tc>
          <w:tcPr>
            <w:tcW w:w="915" w:type="dxa"/>
            <w:shd w:val="clear" w:color="auto" w:fill="auto"/>
            <w:vAlign w:val="center"/>
          </w:tcPr>
          <w:p w14:paraId="6C8515B9">
            <w:pPr>
              <w:widowControl/>
              <w:spacing w:line="360" w:lineRule="exact"/>
              <w:jc w:val="center"/>
              <w:rPr>
                <w:rFonts w:ascii="Times New Roman" w:hAnsi="Times New Roman"/>
                <w:szCs w:val="21"/>
                <w:u w:val="single"/>
              </w:rPr>
            </w:pPr>
            <w:r>
              <w:rPr>
                <w:rFonts w:ascii="Times New Roman" w:hAnsi="Times New Roman" w:eastAsia="等线"/>
                <w:szCs w:val="21"/>
                <w:u w:val="single"/>
              </w:rPr>
              <w:t>2.4000</w:t>
            </w:r>
          </w:p>
        </w:tc>
        <w:tc>
          <w:tcPr>
            <w:tcW w:w="2469" w:type="dxa"/>
            <w:vMerge w:val="continue"/>
            <w:shd w:val="clear" w:color="auto" w:fill="auto"/>
            <w:vAlign w:val="center"/>
          </w:tcPr>
          <w:p w14:paraId="489F3E89">
            <w:pPr>
              <w:widowControl/>
              <w:spacing w:line="360" w:lineRule="exact"/>
              <w:jc w:val="left"/>
              <w:rPr>
                <w:rFonts w:ascii="Times New Roman" w:hAnsi="Times New Roman"/>
                <w:szCs w:val="21"/>
              </w:rPr>
            </w:pPr>
          </w:p>
        </w:tc>
        <w:tc>
          <w:tcPr>
            <w:tcW w:w="915" w:type="dxa"/>
            <w:vMerge w:val="continue"/>
            <w:shd w:val="clear" w:color="auto" w:fill="auto"/>
            <w:vAlign w:val="center"/>
          </w:tcPr>
          <w:p w14:paraId="202EF001">
            <w:pPr>
              <w:widowControl/>
              <w:spacing w:line="360" w:lineRule="exact"/>
              <w:jc w:val="center"/>
              <w:rPr>
                <w:rFonts w:ascii="Times New Roman" w:hAnsi="Times New Roman"/>
                <w:szCs w:val="21"/>
              </w:rPr>
            </w:pPr>
          </w:p>
        </w:tc>
        <w:tc>
          <w:tcPr>
            <w:tcW w:w="2563" w:type="dxa"/>
            <w:shd w:val="clear" w:color="auto" w:fill="auto"/>
            <w:vAlign w:val="center"/>
          </w:tcPr>
          <w:p w14:paraId="43BA0EDC">
            <w:pPr>
              <w:widowControl/>
              <w:spacing w:line="360" w:lineRule="exact"/>
              <w:jc w:val="left"/>
              <w:rPr>
                <w:rFonts w:ascii="Times New Roman" w:hAnsi="Times New Roman"/>
                <w:szCs w:val="21"/>
              </w:rPr>
            </w:pPr>
            <w:r>
              <w:rPr>
                <w:rFonts w:ascii="Times New Roman" w:hAnsi="Times New Roman"/>
                <w:spacing w:val="-2"/>
                <w:kern w:val="0"/>
                <w:szCs w:val="21"/>
              </w:rPr>
              <w:t>《大气污染物综合排放标准》（GB16297-1996）</w:t>
            </w:r>
          </w:p>
        </w:tc>
      </w:tr>
      <w:tr w14:paraId="62FC04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03" w:type="dxa"/>
            <w:shd w:val="clear" w:color="auto" w:fill="auto"/>
            <w:vAlign w:val="center"/>
          </w:tcPr>
          <w:p w14:paraId="4300B85B">
            <w:pPr>
              <w:widowControl/>
              <w:spacing w:line="360" w:lineRule="exact"/>
              <w:jc w:val="center"/>
              <w:rPr>
                <w:rFonts w:ascii="Times New Roman" w:hAnsi="Times New Roman"/>
                <w:szCs w:val="21"/>
              </w:rPr>
            </w:pPr>
            <w:r>
              <w:rPr>
                <w:rFonts w:hint="eastAsia" w:ascii="Times New Roman" w:hAnsi="Times New Roman"/>
                <w:szCs w:val="21"/>
              </w:rPr>
              <w:t>1#生产车间粉尘</w:t>
            </w:r>
          </w:p>
        </w:tc>
        <w:tc>
          <w:tcPr>
            <w:tcW w:w="895" w:type="dxa"/>
            <w:shd w:val="clear" w:color="auto" w:fill="auto"/>
            <w:vAlign w:val="center"/>
          </w:tcPr>
          <w:p w14:paraId="0DAD6263">
            <w:pPr>
              <w:widowControl/>
              <w:spacing w:line="360" w:lineRule="exact"/>
              <w:jc w:val="left"/>
              <w:rPr>
                <w:rFonts w:ascii="Times New Roman" w:hAnsi="Times New Roman"/>
                <w:szCs w:val="21"/>
              </w:rPr>
            </w:pPr>
            <w:r>
              <w:rPr>
                <w:rFonts w:ascii="Times New Roman" w:hAnsi="Times New Roman"/>
                <w:szCs w:val="21"/>
              </w:rPr>
              <w:t>有组织</w:t>
            </w:r>
          </w:p>
        </w:tc>
        <w:tc>
          <w:tcPr>
            <w:tcW w:w="1118" w:type="dxa"/>
            <w:shd w:val="clear" w:color="auto" w:fill="auto"/>
            <w:vAlign w:val="center"/>
          </w:tcPr>
          <w:p w14:paraId="4FA435F2">
            <w:pPr>
              <w:widowControl/>
              <w:spacing w:line="360" w:lineRule="exact"/>
              <w:jc w:val="center"/>
              <w:rPr>
                <w:rFonts w:ascii="Times New Roman" w:hAnsi="Times New Roman"/>
                <w:szCs w:val="21"/>
              </w:rPr>
            </w:pPr>
            <w:r>
              <w:rPr>
                <w:rFonts w:ascii="Times New Roman" w:hAnsi="Times New Roman"/>
                <w:szCs w:val="21"/>
              </w:rPr>
              <w:t>PM</w:t>
            </w:r>
            <w:r>
              <w:rPr>
                <w:rFonts w:ascii="Times New Roman" w:hAnsi="Times New Roman"/>
                <w:szCs w:val="21"/>
                <w:vertAlign w:val="subscript"/>
              </w:rPr>
              <w:t>10</w:t>
            </w:r>
          </w:p>
        </w:tc>
        <w:tc>
          <w:tcPr>
            <w:tcW w:w="1022" w:type="dxa"/>
            <w:shd w:val="clear" w:color="auto" w:fill="auto"/>
            <w:vAlign w:val="center"/>
          </w:tcPr>
          <w:p w14:paraId="69B677C7">
            <w:pPr>
              <w:widowControl/>
              <w:spacing w:line="360" w:lineRule="exact"/>
              <w:jc w:val="center"/>
              <w:rPr>
                <w:rFonts w:ascii="Times New Roman" w:hAnsi="Times New Roman"/>
                <w:kern w:val="0"/>
                <w:szCs w:val="21"/>
                <w:u w:val="single"/>
              </w:rPr>
            </w:pPr>
            <w:r>
              <w:rPr>
                <w:rFonts w:ascii="Times New Roman" w:hAnsi="Times New Roman" w:eastAsia="等线"/>
                <w:szCs w:val="21"/>
                <w:u w:val="single"/>
              </w:rPr>
              <w:t>0.1283</w:t>
            </w:r>
          </w:p>
        </w:tc>
        <w:tc>
          <w:tcPr>
            <w:tcW w:w="1005" w:type="dxa"/>
            <w:shd w:val="clear" w:color="auto" w:fill="auto"/>
            <w:vAlign w:val="center"/>
          </w:tcPr>
          <w:p w14:paraId="181DF898">
            <w:pPr>
              <w:widowControl/>
              <w:spacing w:line="360" w:lineRule="exact"/>
              <w:jc w:val="center"/>
              <w:rPr>
                <w:rFonts w:ascii="Times New Roman" w:hAnsi="Times New Roman"/>
                <w:kern w:val="0"/>
                <w:szCs w:val="21"/>
                <w:u w:val="single"/>
              </w:rPr>
            </w:pPr>
            <w:r>
              <w:rPr>
                <w:rFonts w:ascii="Times New Roman" w:hAnsi="Times New Roman" w:eastAsia="等线"/>
                <w:szCs w:val="21"/>
                <w:u w:val="single"/>
              </w:rPr>
              <w:t>0.616</w:t>
            </w:r>
          </w:p>
        </w:tc>
        <w:tc>
          <w:tcPr>
            <w:tcW w:w="1136" w:type="dxa"/>
            <w:shd w:val="clear" w:color="auto" w:fill="auto"/>
            <w:vAlign w:val="center"/>
          </w:tcPr>
          <w:p w14:paraId="50D696E4">
            <w:pPr>
              <w:widowControl/>
              <w:spacing w:line="360" w:lineRule="exact"/>
              <w:jc w:val="center"/>
              <w:rPr>
                <w:rFonts w:ascii="Times New Roman" w:hAnsi="Times New Roman"/>
                <w:szCs w:val="21"/>
                <w:u w:val="single"/>
              </w:rPr>
            </w:pPr>
            <w:r>
              <w:rPr>
                <w:rFonts w:ascii="Times New Roman" w:hAnsi="Times New Roman" w:eastAsia="等线"/>
                <w:szCs w:val="21"/>
                <w:u w:val="single"/>
              </w:rPr>
              <w:t>0.16</w:t>
            </w:r>
          </w:p>
        </w:tc>
        <w:tc>
          <w:tcPr>
            <w:tcW w:w="1083" w:type="dxa"/>
            <w:shd w:val="clear" w:color="auto" w:fill="auto"/>
            <w:vAlign w:val="center"/>
          </w:tcPr>
          <w:p w14:paraId="53678118">
            <w:pPr>
              <w:widowControl/>
              <w:spacing w:line="360" w:lineRule="exact"/>
              <w:jc w:val="center"/>
              <w:rPr>
                <w:rFonts w:ascii="Times New Roman" w:hAnsi="Times New Roman"/>
                <w:kern w:val="0"/>
                <w:szCs w:val="21"/>
                <w:u w:val="single"/>
              </w:rPr>
            </w:pPr>
            <w:r>
              <w:rPr>
                <w:rFonts w:ascii="Times New Roman" w:hAnsi="Times New Roman" w:eastAsia="等线"/>
                <w:szCs w:val="21"/>
                <w:u w:val="single"/>
              </w:rPr>
              <w:t>0.0013</w:t>
            </w:r>
          </w:p>
        </w:tc>
        <w:tc>
          <w:tcPr>
            <w:tcW w:w="915" w:type="dxa"/>
            <w:shd w:val="clear" w:color="auto" w:fill="auto"/>
            <w:vAlign w:val="center"/>
          </w:tcPr>
          <w:p w14:paraId="44D04E82">
            <w:pPr>
              <w:widowControl/>
              <w:spacing w:line="360" w:lineRule="exact"/>
              <w:jc w:val="center"/>
              <w:rPr>
                <w:rFonts w:ascii="Times New Roman" w:hAnsi="Times New Roman"/>
                <w:kern w:val="0"/>
                <w:szCs w:val="21"/>
                <w:u w:val="single"/>
              </w:rPr>
            </w:pPr>
            <w:r>
              <w:rPr>
                <w:rFonts w:ascii="Times New Roman" w:hAnsi="Times New Roman" w:eastAsia="等线"/>
                <w:szCs w:val="21"/>
                <w:u w:val="single"/>
              </w:rPr>
              <w:t>0.0062</w:t>
            </w:r>
          </w:p>
        </w:tc>
        <w:tc>
          <w:tcPr>
            <w:tcW w:w="2469" w:type="dxa"/>
            <w:shd w:val="clear" w:color="auto" w:fill="auto"/>
            <w:vAlign w:val="center"/>
          </w:tcPr>
          <w:p w14:paraId="0660B46F">
            <w:pPr>
              <w:widowControl/>
              <w:spacing w:line="360" w:lineRule="exact"/>
              <w:jc w:val="left"/>
              <w:rPr>
                <w:rFonts w:ascii="Times New Roman" w:hAnsi="Times New Roman"/>
                <w:szCs w:val="21"/>
                <w:u w:val="single"/>
              </w:rPr>
            </w:pPr>
            <w:r>
              <w:rPr>
                <w:rFonts w:ascii="Times New Roman" w:hAnsi="Times New Roman"/>
                <w:szCs w:val="21"/>
                <w:u w:val="single"/>
              </w:rPr>
              <w:t>烘干机进出料口集气罩+袋式除尘+1</w:t>
            </w:r>
            <w:r>
              <w:rPr>
                <w:rFonts w:hint="eastAsia" w:ascii="Times New Roman" w:hAnsi="Times New Roman"/>
                <w:szCs w:val="21"/>
                <w:u w:val="single"/>
              </w:rPr>
              <w:t>9</w:t>
            </w:r>
            <w:r>
              <w:rPr>
                <w:rFonts w:ascii="Times New Roman" w:hAnsi="Times New Roman"/>
                <w:szCs w:val="21"/>
                <w:u w:val="single"/>
              </w:rPr>
              <w:t>m排气筒</w:t>
            </w:r>
          </w:p>
        </w:tc>
        <w:tc>
          <w:tcPr>
            <w:tcW w:w="915" w:type="dxa"/>
            <w:shd w:val="clear" w:color="auto" w:fill="auto"/>
            <w:vAlign w:val="center"/>
          </w:tcPr>
          <w:p w14:paraId="46F6CCAF">
            <w:pPr>
              <w:widowControl/>
              <w:spacing w:line="360" w:lineRule="exact"/>
              <w:jc w:val="center"/>
              <w:rPr>
                <w:rFonts w:ascii="Times New Roman" w:hAnsi="Times New Roman"/>
                <w:szCs w:val="21"/>
              </w:rPr>
            </w:pPr>
            <w:r>
              <w:rPr>
                <w:rFonts w:ascii="Times New Roman" w:hAnsi="Times New Roman"/>
                <w:szCs w:val="21"/>
              </w:rPr>
              <w:t>DA00</w:t>
            </w:r>
            <w:r>
              <w:rPr>
                <w:rFonts w:hint="eastAsia" w:ascii="Times New Roman" w:hAnsi="Times New Roman"/>
                <w:szCs w:val="21"/>
              </w:rPr>
              <w:t>2</w:t>
            </w:r>
          </w:p>
        </w:tc>
        <w:tc>
          <w:tcPr>
            <w:tcW w:w="2563" w:type="dxa"/>
            <w:shd w:val="clear" w:color="auto" w:fill="auto"/>
            <w:vAlign w:val="center"/>
          </w:tcPr>
          <w:p w14:paraId="05171E8F">
            <w:pPr>
              <w:widowControl/>
              <w:spacing w:line="360" w:lineRule="exact"/>
              <w:jc w:val="left"/>
              <w:rPr>
                <w:rFonts w:ascii="Times New Roman" w:hAnsi="Times New Roman"/>
                <w:spacing w:val="-2"/>
                <w:kern w:val="0"/>
                <w:szCs w:val="21"/>
                <w:u w:val="single"/>
              </w:rPr>
            </w:pPr>
            <w:r>
              <w:rPr>
                <w:rFonts w:ascii="Times New Roman" w:hAnsi="Times New Roman"/>
                <w:spacing w:val="-2"/>
                <w:kern w:val="0"/>
                <w:szCs w:val="21"/>
                <w:u w:val="single"/>
              </w:rPr>
              <w:t>《大气污染物综合排放标准》（GB16297-1996）</w:t>
            </w:r>
          </w:p>
        </w:tc>
      </w:tr>
      <w:tr w14:paraId="50B96C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03" w:type="dxa"/>
            <w:shd w:val="clear" w:color="auto" w:fill="auto"/>
            <w:vAlign w:val="center"/>
          </w:tcPr>
          <w:p w14:paraId="793CF7B3">
            <w:pPr>
              <w:widowControl/>
              <w:spacing w:line="360" w:lineRule="exact"/>
              <w:jc w:val="center"/>
              <w:rPr>
                <w:rFonts w:ascii="Times New Roman" w:hAnsi="Times New Roman"/>
                <w:szCs w:val="21"/>
              </w:rPr>
            </w:pPr>
            <w:r>
              <w:rPr>
                <w:rFonts w:hint="eastAsia" w:ascii="Times New Roman" w:hAnsi="Times New Roman"/>
                <w:szCs w:val="21"/>
              </w:rPr>
              <w:t>2#生产车间粉尘</w:t>
            </w:r>
          </w:p>
        </w:tc>
        <w:tc>
          <w:tcPr>
            <w:tcW w:w="895" w:type="dxa"/>
            <w:shd w:val="clear" w:color="auto" w:fill="auto"/>
            <w:vAlign w:val="center"/>
          </w:tcPr>
          <w:p w14:paraId="32F77B0D">
            <w:pPr>
              <w:widowControl/>
              <w:spacing w:line="360" w:lineRule="exact"/>
              <w:jc w:val="left"/>
              <w:rPr>
                <w:rFonts w:ascii="Times New Roman" w:hAnsi="Times New Roman"/>
                <w:szCs w:val="21"/>
              </w:rPr>
            </w:pPr>
            <w:r>
              <w:rPr>
                <w:rFonts w:ascii="Times New Roman" w:hAnsi="Times New Roman"/>
                <w:szCs w:val="21"/>
              </w:rPr>
              <w:t>有组织</w:t>
            </w:r>
          </w:p>
        </w:tc>
        <w:tc>
          <w:tcPr>
            <w:tcW w:w="1118" w:type="dxa"/>
            <w:shd w:val="clear" w:color="auto" w:fill="auto"/>
            <w:vAlign w:val="center"/>
          </w:tcPr>
          <w:p w14:paraId="5B386049">
            <w:pPr>
              <w:widowControl/>
              <w:spacing w:line="360" w:lineRule="exact"/>
              <w:jc w:val="center"/>
              <w:rPr>
                <w:rFonts w:ascii="Times New Roman" w:hAnsi="Times New Roman"/>
                <w:szCs w:val="21"/>
              </w:rPr>
            </w:pPr>
            <w:r>
              <w:rPr>
                <w:rFonts w:ascii="Times New Roman" w:hAnsi="Times New Roman"/>
                <w:szCs w:val="21"/>
              </w:rPr>
              <w:t>PM</w:t>
            </w:r>
            <w:r>
              <w:rPr>
                <w:rFonts w:ascii="Times New Roman" w:hAnsi="Times New Roman"/>
                <w:szCs w:val="21"/>
                <w:vertAlign w:val="subscript"/>
              </w:rPr>
              <w:t>10</w:t>
            </w:r>
          </w:p>
        </w:tc>
        <w:tc>
          <w:tcPr>
            <w:tcW w:w="1022" w:type="dxa"/>
            <w:shd w:val="clear" w:color="auto" w:fill="auto"/>
            <w:vAlign w:val="center"/>
          </w:tcPr>
          <w:p w14:paraId="1CD2C410">
            <w:pPr>
              <w:widowControl/>
              <w:spacing w:line="360" w:lineRule="exact"/>
              <w:jc w:val="center"/>
              <w:rPr>
                <w:rFonts w:ascii="Times New Roman" w:hAnsi="Times New Roman"/>
                <w:kern w:val="0"/>
                <w:szCs w:val="21"/>
                <w:u w:val="single"/>
              </w:rPr>
            </w:pPr>
            <w:r>
              <w:rPr>
                <w:rFonts w:ascii="Times New Roman" w:hAnsi="Times New Roman" w:eastAsia="等线"/>
                <w:szCs w:val="21"/>
                <w:u w:val="single"/>
              </w:rPr>
              <w:t>0.1663</w:t>
            </w:r>
          </w:p>
        </w:tc>
        <w:tc>
          <w:tcPr>
            <w:tcW w:w="1005" w:type="dxa"/>
            <w:shd w:val="clear" w:color="auto" w:fill="auto"/>
            <w:vAlign w:val="center"/>
          </w:tcPr>
          <w:p w14:paraId="5CB850BC">
            <w:pPr>
              <w:widowControl/>
              <w:spacing w:line="360" w:lineRule="exact"/>
              <w:jc w:val="center"/>
              <w:rPr>
                <w:rFonts w:ascii="Times New Roman" w:hAnsi="Times New Roman"/>
                <w:kern w:val="0"/>
                <w:szCs w:val="21"/>
                <w:u w:val="single"/>
              </w:rPr>
            </w:pPr>
            <w:r>
              <w:rPr>
                <w:rFonts w:ascii="Times New Roman" w:hAnsi="Times New Roman" w:eastAsia="等线"/>
                <w:szCs w:val="21"/>
                <w:u w:val="single"/>
              </w:rPr>
              <w:t>0.798</w:t>
            </w:r>
          </w:p>
        </w:tc>
        <w:tc>
          <w:tcPr>
            <w:tcW w:w="1136" w:type="dxa"/>
            <w:shd w:val="clear" w:color="auto" w:fill="auto"/>
            <w:vAlign w:val="center"/>
          </w:tcPr>
          <w:p w14:paraId="25FE1B9C">
            <w:pPr>
              <w:widowControl/>
              <w:spacing w:line="360" w:lineRule="exact"/>
              <w:jc w:val="center"/>
              <w:rPr>
                <w:rFonts w:ascii="Times New Roman" w:hAnsi="Times New Roman"/>
                <w:szCs w:val="21"/>
                <w:u w:val="single"/>
              </w:rPr>
            </w:pPr>
            <w:r>
              <w:rPr>
                <w:rFonts w:ascii="Times New Roman" w:hAnsi="Times New Roman" w:eastAsia="等线"/>
                <w:szCs w:val="21"/>
                <w:u w:val="single"/>
              </w:rPr>
              <w:t>0.21</w:t>
            </w:r>
          </w:p>
        </w:tc>
        <w:tc>
          <w:tcPr>
            <w:tcW w:w="1083" w:type="dxa"/>
            <w:shd w:val="clear" w:color="auto" w:fill="auto"/>
            <w:vAlign w:val="center"/>
          </w:tcPr>
          <w:p w14:paraId="2075E4F3">
            <w:pPr>
              <w:widowControl/>
              <w:spacing w:line="360" w:lineRule="exact"/>
              <w:jc w:val="center"/>
              <w:rPr>
                <w:rFonts w:ascii="Times New Roman" w:hAnsi="Times New Roman"/>
                <w:kern w:val="0"/>
                <w:szCs w:val="21"/>
                <w:u w:val="single"/>
              </w:rPr>
            </w:pPr>
            <w:r>
              <w:rPr>
                <w:rFonts w:ascii="Times New Roman" w:hAnsi="Times New Roman" w:eastAsia="等线"/>
                <w:szCs w:val="21"/>
                <w:u w:val="single"/>
              </w:rPr>
              <w:t>0.0017</w:t>
            </w:r>
          </w:p>
        </w:tc>
        <w:tc>
          <w:tcPr>
            <w:tcW w:w="915" w:type="dxa"/>
            <w:shd w:val="clear" w:color="auto" w:fill="auto"/>
            <w:vAlign w:val="center"/>
          </w:tcPr>
          <w:p w14:paraId="65DCF75F">
            <w:pPr>
              <w:widowControl/>
              <w:spacing w:line="360" w:lineRule="exact"/>
              <w:jc w:val="center"/>
              <w:rPr>
                <w:rFonts w:ascii="Times New Roman" w:hAnsi="Times New Roman"/>
                <w:kern w:val="0"/>
                <w:szCs w:val="21"/>
                <w:u w:val="single"/>
              </w:rPr>
            </w:pPr>
            <w:r>
              <w:rPr>
                <w:rFonts w:ascii="Times New Roman" w:hAnsi="Times New Roman" w:eastAsia="等线"/>
                <w:szCs w:val="21"/>
                <w:u w:val="single"/>
              </w:rPr>
              <w:t>0.0080</w:t>
            </w:r>
          </w:p>
        </w:tc>
        <w:tc>
          <w:tcPr>
            <w:tcW w:w="2469" w:type="dxa"/>
            <w:shd w:val="clear" w:color="auto" w:fill="auto"/>
            <w:vAlign w:val="center"/>
          </w:tcPr>
          <w:p w14:paraId="690AE115">
            <w:pPr>
              <w:widowControl/>
              <w:spacing w:line="360" w:lineRule="exact"/>
              <w:jc w:val="left"/>
              <w:rPr>
                <w:rFonts w:ascii="Times New Roman" w:hAnsi="Times New Roman"/>
                <w:szCs w:val="21"/>
                <w:u w:val="single"/>
              </w:rPr>
            </w:pPr>
            <w:r>
              <w:rPr>
                <w:rFonts w:ascii="Times New Roman" w:hAnsi="Times New Roman"/>
                <w:szCs w:val="21"/>
                <w:u w:val="single"/>
              </w:rPr>
              <w:t>磁选机进出料口集气罩+袋式除尘+1</w:t>
            </w:r>
            <w:r>
              <w:rPr>
                <w:rFonts w:hint="eastAsia" w:ascii="Times New Roman" w:hAnsi="Times New Roman"/>
                <w:szCs w:val="21"/>
                <w:u w:val="single"/>
              </w:rPr>
              <w:t>9</w:t>
            </w:r>
            <w:r>
              <w:rPr>
                <w:rFonts w:ascii="Times New Roman" w:hAnsi="Times New Roman"/>
                <w:szCs w:val="21"/>
                <w:u w:val="single"/>
              </w:rPr>
              <w:t>m排气筒</w:t>
            </w:r>
          </w:p>
        </w:tc>
        <w:tc>
          <w:tcPr>
            <w:tcW w:w="915" w:type="dxa"/>
            <w:shd w:val="clear" w:color="auto" w:fill="auto"/>
            <w:vAlign w:val="center"/>
          </w:tcPr>
          <w:p w14:paraId="6169E035">
            <w:pPr>
              <w:widowControl/>
              <w:spacing w:line="360" w:lineRule="exact"/>
              <w:jc w:val="center"/>
              <w:rPr>
                <w:rFonts w:ascii="Times New Roman" w:hAnsi="Times New Roman"/>
                <w:szCs w:val="21"/>
              </w:rPr>
            </w:pPr>
            <w:r>
              <w:rPr>
                <w:rFonts w:ascii="Times New Roman" w:hAnsi="Times New Roman"/>
                <w:szCs w:val="21"/>
              </w:rPr>
              <w:t>DA00</w:t>
            </w:r>
            <w:r>
              <w:rPr>
                <w:rFonts w:hint="eastAsia" w:ascii="Times New Roman" w:hAnsi="Times New Roman"/>
                <w:szCs w:val="21"/>
              </w:rPr>
              <w:t>3</w:t>
            </w:r>
          </w:p>
        </w:tc>
        <w:tc>
          <w:tcPr>
            <w:tcW w:w="2563" w:type="dxa"/>
            <w:shd w:val="clear" w:color="auto" w:fill="auto"/>
            <w:vAlign w:val="center"/>
          </w:tcPr>
          <w:p w14:paraId="35CB3B94">
            <w:pPr>
              <w:widowControl/>
              <w:spacing w:line="360" w:lineRule="exact"/>
              <w:jc w:val="left"/>
              <w:rPr>
                <w:rFonts w:ascii="Times New Roman" w:hAnsi="Times New Roman"/>
                <w:spacing w:val="-2"/>
                <w:kern w:val="0"/>
                <w:szCs w:val="21"/>
                <w:u w:val="single"/>
              </w:rPr>
            </w:pPr>
            <w:r>
              <w:rPr>
                <w:rFonts w:ascii="Times New Roman" w:hAnsi="Times New Roman"/>
                <w:spacing w:val="-2"/>
                <w:kern w:val="0"/>
                <w:szCs w:val="21"/>
                <w:u w:val="single"/>
              </w:rPr>
              <w:t>《大气污染物综合排放标准》（GB16297-1996）</w:t>
            </w:r>
          </w:p>
        </w:tc>
      </w:tr>
      <w:tr w14:paraId="3015D6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03" w:type="dxa"/>
            <w:shd w:val="clear" w:color="auto" w:fill="auto"/>
            <w:vAlign w:val="center"/>
          </w:tcPr>
          <w:p w14:paraId="74951AA9">
            <w:pPr>
              <w:widowControl/>
              <w:spacing w:line="360" w:lineRule="exact"/>
              <w:jc w:val="center"/>
              <w:rPr>
                <w:rFonts w:ascii="Times New Roman" w:hAnsi="Times New Roman"/>
                <w:szCs w:val="21"/>
              </w:rPr>
            </w:pPr>
            <w:r>
              <w:rPr>
                <w:rFonts w:hint="eastAsia" w:ascii="Times New Roman" w:hAnsi="Times New Roman"/>
                <w:szCs w:val="21"/>
              </w:rPr>
              <w:t>生产车间粉尘</w:t>
            </w:r>
          </w:p>
        </w:tc>
        <w:tc>
          <w:tcPr>
            <w:tcW w:w="895" w:type="dxa"/>
            <w:shd w:val="clear" w:color="auto" w:fill="auto"/>
            <w:vAlign w:val="center"/>
          </w:tcPr>
          <w:p w14:paraId="172CBFAE">
            <w:pPr>
              <w:widowControl/>
              <w:spacing w:line="360" w:lineRule="exact"/>
              <w:jc w:val="left"/>
              <w:rPr>
                <w:rFonts w:ascii="Times New Roman" w:hAnsi="Times New Roman"/>
                <w:szCs w:val="21"/>
              </w:rPr>
            </w:pPr>
            <w:r>
              <w:rPr>
                <w:rFonts w:hint="eastAsia" w:ascii="Times New Roman" w:hAnsi="Times New Roman"/>
                <w:szCs w:val="21"/>
              </w:rPr>
              <w:t>无组织</w:t>
            </w:r>
          </w:p>
        </w:tc>
        <w:tc>
          <w:tcPr>
            <w:tcW w:w="1118" w:type="dxa"/>
            <w:shd w:val="clear" w:color="auto" w:fill="auto"/>
            <w:vAlign w:val="center"/>
          </w:tcPr>
          <w:p w14:paraId="2AC23A79">
            <w:pPr>
              <w:widowControl/>
              <w:spacing w:line="360" w:lineRule="exact"/>
              <w:jc w:val="center"/>
              <w:rPr>
                <w:rFonts w:ascii="Times New Roman" w:hAnsi="Times New Roman"/>
                <w:szCs w:val="21"/>
              </w:rPr>
            </w:pPr>
            <w:r>
              <w:rPr>
                <w:rFonts w:ascii="Times New Roman" w:hAnsi="Times New Roman"/>
                <w:szCs w:val="21"/>
              </w:rPr>
              <w:t>TSP</w:t>
            </w:r>
          </w:p>
        </w:tc>
        <w:tc>
          <w:tcPr>
            <w:tcW w:w="1022" w:type="dxa"/>
            <w:shd w:val="clear" w:color="auto" w:fill="auto"/>
            <w:vAlign w:val="center"/>
          </w:tcPr>
          <w:p w14:paraId="7849F9A3">
            <w:pPr>
              <w:widowControl/>
              <w:spacing w:line="360" w:lineRule="exact"/>
              <w:jc w:val="center"/>
              <w:rPr>
                <w:rFonts w:ascii="Times New Roman" w:hAnsi="Times New Roman"/>
                <w:kern w:val="0"/>
                <w:szCs w:val="21"/>
                <w:u w:val="single"/>
              </w:rPr>
            </w:pPr>
            <w:r>
              <w:rPr>
                <w:rFonts w:ascii="Times New Roman" w:hAnsi="Times New Roman" w:eastAsia="等线"/>
                <w:szCs w:val="21"/>
                <w:u w:val="single"/>
              </w:rPr>
              <w:t>0.8492</w:t>
            </w:r>
          </w:p>
        </w:tc>
        <w:tc>
          <w:tcPr>
            <w:tcW w:w="1005" w:type="dxa"/>
            <w:shd w:val="clear" w:color="auto" w:fill="auto"/>
            <w:vAlign w:val="center"/>
          </w:tcPr>
          <w:p w14:paraId="48FADF92">
            <w:pPr>
              <w:widowControl/>
              <w:spacing w:line="360" w:lineRule="exact"/>
              <w:jc w:val="center"/>
              <w:rPr>
                <w:rFonts w:ascii="Times New Roman" w:hAnsi="Times New Roman"/>
                <w:kern w:val="0"/>
                <w:szCs w:val="21"/>
                <w:u w:val="single"/>
              </w:rPr>
            </w:pPr>
            <w:r>
              <w:rPr>
                <w:rFonts w:ascii="Times New Roman" w:hAnsi="Times New Roman" w:eastAsia="等线"/>
                <w:szCs w:val="21"/>
                <w:u w:val="single"/>
              </w:rPr>
              <w:t>2.024</w:t>
            </w:r>
          </w:p>
        </w:tc>
        <w:tc>
          <w:tcPr>
            <w:tcW w:w="1136" w:type="dxa"/>
            <w:shd w:val="clear" w:color="auto" w:fill="auto"/>
            <w:vAlign w:val="center"/>
          </w:tcPr>
          <w:p w14:paraId="5B5FB988">
            <w:pPr>
              <w:widowControl/>
              <w:spacing w:line="360" w:lineRule="exact"/>
              <w:jc w:val="center"/>
              <w:rPr>
                <w:rFonts w:ascii="Times New Roman" w:hAnsi="Times New Roman"/>
                <w:szCs w:val="21"/>
                <w:u w:val="single"/>
              </w:rPr>
            </w:pPr>
            <w:r>
              <w:rPr>
                <w:rFonts w:ascii="Times New Roman" w:hAnsi="Times New Roman" w:eastAsia="等线"/>
                <w:szCs w:val="21"/>
                <w:u w:val="single"/>
              </w:rPr>
              <w:t>/</w:t>
            </w:r>
          </w:p>
        </w:tc>
        <w:tc>
          <w:tcPr>
            <w:tcW w:w="1083" w:type="dxa"/>
            <w:shd w:val="clear" w:color="auto" w:fill="auto"/>
            <w:vAlign w:val="center"/>
          </w:tcPr>
          <w:p w14:paraId="025D79EA">
            <w:pPr>
              <w:widowControl/>
              <w:spacing w:line="360" w:lineRule="exact"/>
              <w:jc w:val="center"/>
              <w:rPr>
                <w:rFonts w:ascii="Times New Roman" w:hAnsi="Times New Roman"/>
                <w:kern w:val="0"/>
                <w:szCs w:val="21"/>
                <w:u w:val="single"/>
              </w:rPr>
            </w:pPr>
            <w:r>
              <w:rPr>
                <w:rFonts w:ascii="Times New Roman" w:hAnsi="Times New Roman" w:eastAsia="等线"/>
                <w:szCs w:val="21"/>
                <w:u w:val="single"/>
              </w:rPr>
              <w:t>0.1054</w:t>
            </w:r>
          </w:p>
        </w:tc>
        <w:tc>
          <w:tcPr>
            <w:tcW w:w="915" w:type="dxa"/>
            <w:shd w:val="clear" w:color="auto" w:fill="auto"/>
            <w:vAlign w:val="center"/>
          </w:tcPr>
          <w:p w14:paraId="571AC1E0">
            <w:pPr>
              <w:widowControl/>
              <w:spacing w:line="360" w:lineRule="exact"/>
              <w:jc w:val="center"/>
              <w:rPr>
                <w:rFonts w:ascii="Times New Roman" w:hAnsi="Times New Roman"/>
                <w:kern w:val="0"/>
                <w:szCs w:val="21"/>
                <w:u w:val="single"/>
              </w:rPr>
            </w:pPr>
            <w:r>
              <w:rPr>
                <w:rFonts w:ascii="Times New Roman" w:hAnsi="Times New Roman" w:eastAsia="等线"/>
                <w:szCs w:val="21"/>
                <w:u w:val="single"/>
              </w:rPr>
              <w:t>0.5061</w:t>
            </w:r>
          </w:p>
        </w:tc>
        <w:tc>
          <w:tcPr>
            <w:tcW w:w="2469" w:type="dxa"/>
            <w:shd w:val="clear" w:color="auto" w:fill="auto"/>
            <w:vAlign w:val="center"/>
          </w:tcPr>
          <w:p w14:paraId="388C8D3D">
            <w:pPr>
              <w:widowControl/>
              <w:spacing w:line="360" w:lineRule="exact"/>
              <w:jc w:val="left"/>
              <w:rPr>
                <w:rFonts w:ascii="Times New Roman" w:hAnsi="Times New Roman"/>
                <w:szCs w:val="21"/>
                <w:u w:val="single"/>
              </w:rPr>
            </w:pPr>
            <w:r>
              <w:rPr>
                <w:rFonts w:hint="eastAsia" w:ascii="Times New Roman" w:hAnsi="Times New Roman"/>
                <w:szCs w:val="21"/>
                <w:u w:val="single"/>
              </w:rPr>
              <w:t>封闭式厂房+封闭环境内装卸作业+水雾喷淋</w:t>
            </w:r>
          </w:p>
        </w:tc>
        <w:tc>
          <w:tcPr>
            <w:tcW w:w="915" w:type="dxa"/>
            <w:shd w:val="clear" w:color="auto" w:fill="auto"/>
            <w:vAlign w:val="center"/>
          </w:tcPr>
          <w:p w14:paraId="031325FF">
            <w:pPr>
              <w:widowControl/>
              <w:spacing w:line="360" w:lineRule="exact"/>
              <w:jc w:val="center"/>
              <w:rPr>
                <w:rFonts w:ascii="Times New Roman" w:hAnsi="Times New Roman"/>
                <w:szCs w:val="21"/>
              </w:rPr>
            </w:pPr>
            <w:r>
              <w:rPr>
                <w:rFonts w:hint="eastAsia" w:ascii="Times New Roman" w:hAnsi="Times New Roman"/>
                <w:szCs w:val="21"/>
              </w:rPr>
              <w:t>/</w:t>
            </w:r>
          </w:p>
        </w:tc>
        <w:tc>
          <w:tcPr>
            <w:tcW w:w="2563" w:type="dxa"/>
            <w:shd w:val="clear" w:color="auto" w:fill="auto"/>
            <w:vAlign w:val="center"/>
          </w:tcPr>
          <w:p w14:paraId="10A54A08">
            <w:pPr>
              <w:widowControl/>
              <w:spacing w:line="360" w:lineRule="exact"/>
              <w:jc w:val="left"/>
              <w:rPr>
                <w:rFonts w:ascii="Times New Roman" w:hAnsi="Times New Roman"/>
                <w:spacing w:val="-2"/>
                <w:kern w:val="0"/>
                <w:szCs w:val="21"/>
                <w:u w:val="single"/>
              </w:rPr>
            </w:pPr>
            <w:r>
              <w:rPr>
                <w:rFonts w:ascii="Times New Roman" w:hAnsi="Times New Roman"/>
                <w:spacing w:val="-2"/>
                <w:kern w:val="0"/>
                <w:szCs w:val="21"/>
                <w:u w:val="single"/>
              </w:rPr>
              <w:t>《大气污染物综合排放标准》（GB16297-1996）</w:t>
            </w:r>
          </w:p>
        </w:tc>
      </w:tr>
      <w:tr w14:paraId="246AA1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03" w:type="dxa"/>
            <w:shd w:val="clear" w:color="auto" w:fill="auto"/>
            <w:vAlign w:val="center"/>
          </w:tcPr>
          <w:p w14:paraId="50DA4793">
            <w:pPr>
              <w:widowControl/>
              <w:spacing w:line="360" w:lineRule="exact"/>
              <w:jc w:val="center"/>
              <w:rPr>
                <w:rFonts w:ascii="Times New Roman" w:hAnsi="Times New Roman"/>
                <w:szCs w:val="21"/>
              </w:rPr>
            </w:pPr>
            <w:r>
              <w:rPr>
                <w:rFonts w:ascii="Times New Roman" w:hAnsi="Times New Roman"/>
                <w:szCs w:val="21"/>
              </w:rPr>
              <w:t>物料运输</w:t>
            </w:r>
          </w:p>
          <w:p w14:paraId="60F8B53B">
            <w:pPr>
              <w:widowControl/>
              <w:spacing w:line="360" w:lineRule="exact"/>
              <w:jc w:val="center"/>
              <w:rPr>
                <w:rFonts w:ascii="Times New Roman" w:hAnsi="Times New Roman"/>
                <w:szCs w:val="21"/>
              </w:rPr>
            </w:pPr>
            <w:r>
              <w:rPr>
                <w:rFonts w:ascii="Times New Roman" w:hAnsi="Times New Roman"/>
                <w:szCs w:val="21"/>
              </w:rPr>
              <w:t>扬尘</w:t>
            </w:r>
          </w:p>
        </w:tc>
        <w:tc>
          <w:tcPr>
            <w:tcW w:w="895" w:type="dxa"/>
            <w:shd w:val="clear" w:color="auto" w:fill="auto"/>
            <w:vAlign w:val="center"/>
          </w:tcPr>
          <w:p w14:paraId="404D88AD">
            <w:pPr>
              <w:widowControl/>
              <w:spacing w:line="360" w:lineRule="exact"/>
              <w:jc w:val="left"/>
              <w:rPr>
                <w:rFonts w:ascii="Times New Roman" w:hAnsi="Times New Roman"/>
                <w:szCs w:val="21"/>
              </w:rPr>
            </w:pPr>
            <w:r>
              <w:rPr>
                <w:rFonts w:ascii="Times New Roman" w:hAnsi="Times New Roman"/>
                <w:szCs w:val="21"/>
              </w:rPr>
              <w:t>无组织</w:t>
            </w:r>
          </w:p>
        </w:tc>
        <w:tc>
          <w:tcPr>
            <w:tcW w:w="1118" w:type="dxa"/>
            <w:shd w:val="clear" w:color="auto" w:fill="auto"/>
            <w:vAlign w:val="center"/>
          </w:tcPr>
          <w:p w14:paraId="7981326E">
            <w:pPr>
              <w:widowControl/>
              <w:spacing w:line="360" w:lineRule="exact"/>
              <w:jc w:val="center"/>
              <w:rPr>
                <w:rFonts w:ascii="Times New Roman" w:hAnsi="Times New Roman"/>
                <w:szCs w:val="21"/>
              </w:rPr>
            </w:pPr>
            <w:r>
              <w:rPr>
                <w:rFonts w:ascii="Times New Roman" w:hAnsi="Times New Roman"/>
                <w:szCs w:val="21"/>
              </w:rPr>
              <w:t>TSP</w:t>
            </w:r>
          </w:p>
        </w:tc>
        <w:tc>
          <w:tcPr>
            <w:tcW w:w="1022" w:type="dxa"/>
            <w:shd w:val="clear" w:color="auto" w:fill="auto"/>
            <w:vAlign w:val="center"/>
          </w:tcPr>
          <w:p w14:paraId="6C78A124">
            <w:pPr>
              <w:widowControl/>
              <w:spacing w:line="360" w:lineRule="exact"/>
              <w:jc w:val="center"/>
              <w:rPr>
                <w:rFonts w:ascii="Times New Roman" w:hAnsi="Times New Roman"/>
                <w:szCs w:val="21"/>
                <w:u w:val="single"/>
              </w:rPr>
            </w:pPr>
            <w:r>
              <w:rPr>
                <w:rFonts w:ascii="Times New Roman" w:hAnsi="Times New Roman" w:eastAsia="等线"/>
                <w:szCs w:val="21"/>
                <w:u w:val="single"/>
              </w:rPr>
              <w:t>0.0299</w:t>
            </w:r>
          </w:p>
        </w:tc>
        <w:tc>
          <w:tcPr>
            <w:tcW w:w="1005" w:type="dxa"/>
            <w:shd w:val="clear" w:color="auto" w:fill="auto"/>
            <w:vAlign w:val="center"/>
          </w:tcPr>
          <w:p w14:paraId="6ACAD398">
            <w:pPr>
              <w:widowControl/>
              <w:spacing w:line="360" w:lineRule="exact"/>
              <w:jc w:val="center"/>
              <w:rPr>
                <w:rFonts w:ascii="Times New Roman" w:hAnsi="Times New Roman"/>
                <w:szCs w:val="21"/>
                <w:u w:val="single"/>
              </w:rPr>
            </w:pPr>
            <w:r>
              <w:rPr>
                <w:rFonts w:ascii="Times New Roman" w:hAnsi="Times New Roman" w:eastAsia="等线"/>
                <w:szCs w:val="21"/>
                <w:u w:val="single"/>
              </w:rPr>
              <w:t>0.1435</w:t>
            </w:r>
          </w:p>
        </w:tc>
        <w:tc>
          <w:tcPr>
            <w:tcW w:w="1136" w:type="dxa"/>
            <w:shd w:val="clear" w:color="auto" w:fill="auto"/>
            <w:vAlign w:val="center"/>
          </w:tcPr>
          <w:p w14:paraId="02244F41">
            <w:pPr>
              <w:widowControl/>
              <w:spacing w:line="360" w:lineRule="exact"/>
              <w:jc w:val="center"/>
              <w:rPr>
                <w:rFonts w:ascii="Times New Roman" w:hAnsi="Times New Roman"/>
                <w:szCs w:val="21"/>
                <w:u w:val="single"/>
              </w:rPr>
            </w:pPr>
            <w:r>
              <w:rPr>
                <w:rFonts w:ascii="Times New Roman" w:hAnsi="Times New Roman" w:eastAsia="等线"/>
                <w:szCs w:val="21"/>
                <w:u w:val="single"/>
              </w:rPr>
              <w:t>/</w:t>
            </w:r>
          </w:p>
        </w:tc>
        <w:tc>
          <w:tcPr>
            <w:tcW w:w="1083" w:type="dxa"/>
            <w:shd w:val="clear" w:color="auto" w:fill="auto"/>
            <w:vAlign w:val="center"/>
          </w:tcPr>
          <w:p w14:paraId="46012CC8">
            <w:pPr>
              <w:widowControl/>
              <w:spacing w:line="360" w:lineRule="exact"/>
              <w:jc w:val="center"/>
              <w:rPr>
                <w:rFonts w:ascii="Times New Roman" w:hAnsi="Times New Roman"/>
                <w:szCs w:val="21"/>
                <w:u w:val="single"/>
              </w:rPr>
            </w:pPr>
            <w:r>
              <w:rPr>
                <w:rFonts w:ascii="Times New Roman" w:hAnsi="Times New Roman" w:eastAsia="等线"/>
                <w:szCs w:val="21"/>
                <w:u w:val="single"/>
              </w:rPr>
              <w:t>0.0299</w:t>
            </w:r>
          </w:p>
        </w:tc>
        <w:tc>
          <w:tcPr>
            <w:tcW w:w="915" w:type="dxa"/>
            <w:shd w:val="clear" w:color="auto" w:fill="auto"/>
            <w:vAlign w:val="center"/>
          </w:tcPr>
          <w:p w14:paraId="361FC907">
            <w:pPr>
              <w:widowControl/>
              <w:spacing w:line="360" w:lineRule="exact"/>
              <w:jc w:val="center"/>
              <w:rPr>
                <w:rFonts w:ascii="Times New Roman" w:hAnsi="Times New Roman"/>
                <w:szCs w:val="21"/>
                <w:u w:val="single"/>
              </w:rPr>
            </w:pPr>
            <w:r>
              <w:rPr>
                <w:rFonts w:ascii="Times New Roman" w:hAnsi="Times New Roman" w:eastAsia="等线"/>
                <w:szCs w:val="21"/>
                <w:u w:val="single"/>
              </w:rPr>
              <w:t>0.1435</w:t>
            </w:r>
          </w:p>
        </w:tc>
        <w:tc>
          <w:tcPr>
            <w:tcW w:w="2469" w:type="dxa"/>
            <w:shd w:val="clear" w:color="auto" w:fill="auto"/>
            <w:vAlign w:val="center"/>
          </w:tcPr>
          <w:p w14:paraId="7C6FF040">
            <w:pPr>
              <w:widowControl/>
              <w:spacing w:line="360" w:lineRule="exact"/>
              <w:jc w:val="left"/>
              <w:rPr>
                <w:rFonts w:ascii="Times New Roman" w:hAnsi="Times New Roman"/>
                <w:szCs w:val="21"/>
              </w:rPr>
            </w:pPr>
            <w:r>
              <w:rPr>
                <w:rFonts w:hint="eastAsia" w:ascii="Times New Roman" w:hAnsi="Times New Roman"/>
                <w:szCs w:val="21"/>
              </w:rPr>
              <w:t>篷布覆盖物料；</w:t>
            </w:r>
            <w:r>
              <w:rPr>
                <w:rFonts w:ascii="Times New Roman" w:hAnsi="Times New Roman"/>
                <w:szCs w:val="21"/>
              </w:rPr>
              <w:t>定期洒水，运输时期每天2次</w:t>
            </w:r>
          </w:p>
        </w:tc>
        <w:tc>
          <w:tcPr>
            <w:tcW w:w="915" w:type="dxa"/>
            <w:shd w:val="clear" w:color="auto" w:fill="auto"/>
            <w:vAlign w:val="center"/>
          </w:tcPr>
          <w:p w14:paraId="6D60B7DD">
            <w:pPr>
              <w:widowControl/>
              <w:spacing w:line="360" w:lineRule="exact"/>
              <w:jc w:val="center"/>
              <w:rPr>
                <w:rFonts w:ascii="Times New Roman" w:hAnsi="Times New Roman"/>
                <w:szCs w:val="21"/>
              </w:rPr>
            </w:pPr>
            <w:r>
              <w:rPr>
                <w:rFonts w:ascii="Times New Roman" w:hAnsi="Times New Roman"/>
                <w:szCs w:val="21"/>
              </w:rPr>
              <w:t>/</w:t>
            </w:r>
          </w:p>
        </w:tc>
        <w:tc>
          <w:tcPr>
            <w:tcW w:w="2563" w:type="dxa"/>
            <w:shd w:val="clear" w:color="auto" w:fill="auto"/>
            <w:vAlign w:val="center"/>
          </w:tcPr>
          <w:p w14:paraId="327A99CA">
            <w:pPr>
              <w:widowControl/>
              <w:spacing w:line="360" w:lineRule="exact"/>
              <w:jc w:val="left"/>
              <w:rPr>
                <w:rFonts w:ascii="Times New Roman" w:hAnsi="Times New Roman"/>
                <w:szCs w:val="21"/>
                <w:u w:val="single"/>
              </w:rPr>
            </w:pPr>
            <w:r>
              <w:rPr>
                <w:rFonts w:ascii="Times New Roman" w:hAnsi="Times New Roman"/>
                <w:spacing w:val="-2"/>
                <w:kern w:val="0"/>
                <w:szCs w:val="21"/>
                <w:u w:val="single"/>
              </w:rPr>
              <w:t>《大气污染物综合排放标准》（GB16297-1996）</w:t>
            </w:r>
          </w:p>
        </w:tc>
      </w:tr>
      <w:tr w14:paraId="73FA8D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524" w:type="dxa"/>
            <w:gridSpan w:val="11"/>
            <w:shd w:val="clear" w:color="auto" w:fill="auto"/>
            <w:vAlign w:val="center"/>
          </w:tcPr>
          <w:p w14:paraId="29C7E074">
            <w:pPr>
              <w:widowControl/>
              <w:spacing w:line="360" w:lineRule="exact"/>
              <w:jc w:val="center"/>
              <w:rPr>
                <w:rFonts w:ascii="Times New Roman" w:hAnsi="Times New Roman"/>
                <w:b/>
                <w:bCs/>
                <w:szCs w:val="21"/>
              </w:rPr>
            </w:pPr>
            <w:r>
              <w:rPr>
                <w:rFonts w:ascii="Times New Roman" w:hAnsi="Times New Roman"/>
                <w:b/>
                <w:bCs/>
                <w:szCs w:val="21"/>
              </w:rPr>
              <w:t>二、废水　</w:t>
            </w:r>
          </w:p>
        </w:tc>
      </w:tr>
      <w:tr w14:paraId="54F85B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98" w:type="dxa"/>
            <w:gridSpan w:val="2"/>
            <w:shd w:val="clear" w:color="auto" w:fill="auto"/>
            <w:vAlign w:val="center"/>
          </w:tcPr>
          <w:p w14:paraId="6E1C966D">
            <w:pPr>
              <w:widowControl/>
              <w:spacing w:line="360" w:lineRule="exact"/>
              <w:jc w:val="center"/>
              <w:rPr>
                <w:rFonts w:ascii="Times New Roman" w:hAnsi="Times New Roman"/>
                <w:szCs w:val="21"/>
              </w:rPr>
            </w:pPr>
            <w:r>
              <w:rPr>
                <w:rFonts w:ascii="Times New Roman" w:hAnsi="Times New Roman"/>
                <w:szCs w:val="21"/>
              </w:rPr>
              <w:t>污染源</w:t>
            </w:r>
          </w:p>
        </w:tc>
        <w:tc>
          <w:tcPr>
            <w:tcW w:w="1118" w:type="dxa"/>
            <w:shd w:val="clear" w:color="auto" w:fill="auto"/>
            <w:vAlign w:val="center"/>
          </w:tcPr>
          <w:p w14:paraId="59C3BCB9">
            <w:pPr>
              <w:widowControl/>
              <w:spacing w:line="360" w:lineRule="exact"/>
              <w:jc w:val="center"/>
              <w:rPr>
                <w:rFonts w:ascii="Times New Roman" w:hAnsi="Times New Roman"/>
                <w:szCs w:val="21"/>
              </w:rPr>
            </w:pPr>
            <w:r>
              <w:rPr>
                <w:rFonts w:ascii="Times New Roman" w:hAnsi="Times New Roman"/>
                <w:szCs w:val="21"/>
              </w:rPr>
              <w:t>污染物</w:t>
            </w:r>
          </w:p>
        </w:tc>
        <w:tc>
          <w:tcPr>
            <w:tcW w:w="1022" w:type="dxa"/>
            <w:shd w:val="clear" w:color="auto" w:fill="auto"/>
            <w:vAlign w:val="center"/>
          </w:tcPr>
          <w:p w14:paraId="452BD90D">
            <w:pPr>
              <w:widowControl/>
              <w:spacing w:line="360" w:lineRule="exact"/>
              <w:jc w:val="center"/>
              <w:rPr>
                <w:rFonts w:ascii="Times New Roman" w:hAnsi="Times New Roman"/>
                <w:szCs w:val="21"/>
              </w:rPr>
            </w:pPr>
            <w:r>
              <w:rPr>
                <w:rFonts w:ascii="Times New Roman" w:hAnsi="Times New Roman"/>
                <w:szCs w:val="21"/>
              </w:rPr>
              <w:t>产生浓度mg/L</w:t>
            </w:r>
          </w:p>
        </w:tc>
        <w:tc>
          <w:tcPr>
            <w:tcW w:w="1005" w:type="dxa"/>
            <w:shd w:val="clear" w:color="auto" w:fill="auto"/>
            <w:vAlign w:val="center"/>
          </w:tcPr>
          <w:p w14:paraId="3E32AB61">
            <w:pPr>
              <w:widowControl/>
              <w:spacing w:line="360" w:lineRule="exact"/>
              <w:jc w:val="center"/>
              <w:rPr>
                <w:rFonts w:ascii="Times New Roman" w:hAnsi="Times New Roman"/>
                <w:szCs w:val="21"/>
              </w:rPr>
            </w:pPr>
            <w:r>
              <w:rPr>
                <w:rFonts w:ascii="Times New Roman" w:hAnsi="Times New Roman"/>
                <w:szCs w:val="21"/>
              </w:rPr>
              <w:t>产生量t/a</w:t>
            </w:r>
          </w:p>
        </w:tc>
        <w:tc>
          <w:tcPr>
            <w:tcW w:w="1136" w:type="dxa"/>
            <w:shd w:val="clear" w:color="auto" w:fill="auto"/>
            <w:vAlign w:val="center"/>
          </w:tcPr>
          <w:p w14:paraId="38E5720B">
            <w:pPr>
              <w:widowControl/>
              <w:spacing w:line="360" w:lineRule="exact"/>
              <w:jc w:val="center"/>
              <w:rPr>
                <w:rFonts w:ascii="Times New Roman" w:hAnsi="Times New Roman"/>
                <w:szCs w:val="21"/>
              </w:rPr>
            </w:pPr>
            <w:r>
              <w:rPr>
                <w:rFonts w:ascii="Times New Roman" w:hAnsi="Times New Roman"/>
                <w:szCs w:val="21"/>
              </w:rPr>
              <w:t>排放浓度mg/L</w:t>
            </w:r>
          </w:p>
        </w:tc>
        <w:tc>
          <w:tcPr>
            <w:tcW w:w="1083" w:type="dxa"/>
            <w:shd w:val="clear" w:color="auto" w:fill="auto"/>
            <w:vAlign w:val="center"/>
          </w:tcPr>
          <w:p w14:paraId="5554E69D">
            <w:pPr>
              <w:widowControl/>
              <w:spacing w:line="360" w:lineRule="exact"/>
              <w:jc w:val="center"/>
              <w:rPr>
                <w:rFonts w:ascii="Times New Roman" w:hAnsi="Times New Roman"/>
                <w:szCs w:val="21"/>
              </w:rPr>
            </w:pPr>
            <w:r>
              <w:rPr>
                <w:rFonts w:ascii="Times New Roman" w:hAnsi="Times New Roman"/>
                <w:szCs w:val="21"/>
              </w:rPr>
              <w:t>排放量t/a</w:t>
            </w:r>
          </w:p>
        </w:tc>
        <w:tc>
          <w:tcPr>
            <w:tcW w:w="915" w:type="dxa"/>
            <w:shd w:val="clear" w:color="auto" w:fill="auto"/>
            <w:vAlign w:val="center"/>
          </w:tcPr>
          <w:p w14:paraId="351FEDFA">
            <w:pPr>
              <w:widowControl/>
              <w:spacing w:line="360" w:lineRule="exact"/>
              <w:jc w:val="center"/>
              <w:rPr>
                <w:rFonts w:ascii="Times New Roman" w:hAnsi="Times New Roman"/>
                <w:szCs w:val="21"/>
              </w:rPr>
            </w:pPr>
            <w:r>
              <w:rPr>
                <w:rFonts w:ascii="Times New Roman" w:hAnsi="Times New Roman"/>
                <w:szCs w:val="21"/>
              </w:rPr>
              <w:t>消减量t/a</w:t>
            </w:r>
          </w:p>
        </w:tc>
        <w:tc>
          <w:tcPr>
            <w:tcW w:w="2469" w:type="dxa"/>
            <w:shd w:val="clear" w:color="auto" w:fill="auto"/>
            <w:vAlign w:val="center"/>
          </w:tcPr>
          <w:p w14:paraId="24F95A9A">
            <w:pPr>
              <w:widowControl/>
              <w:spacing w:line="360" w:lineRule="exact"/>
              <w:jc w:val="center"/>
              <w:rPr>
                <w:rFonts w:ascii="Times New Roman" w:hAnsi="Times New Roman"/>
                <w:szCs w:val="21"/>
              </w:rPr>
            </w:pPr>
            <w:r>
              <w:rPr>
                <w:rFonts w:ascii="Times New Roman" w:hAnsi="Times New Roman"/>
                <w:szCs w:val="21"/>
              </w:rPr>
              <w:t>保护措施</w:t>
            </w:r>
          </w:p>
        </w:tc>
        <w:tc>
          <w:tcPr>
            <w:tcW w:w="915" w:type="dxa"/>
            <w:shd w:val="clear" w:color="auto" w:fill="auto"/>
            <w:vAlign w:val="center"/>
          </w:tcPr>
          <w:p w14:paraId="0D158410">
            <w:pPr>
              <w:widowControl/>
              <w:spacing w:line="360" w:lineRule="exact"/>
              <w:jc w:val="center"/>
              <w:rPr>
                <w:rFonts w:ascii="Times New Roman" w:hAnsi="Times New Roman"/>
                <w:szCs w:val="21"/>
              </w:rPr>
            </w:pPr>
            <w:r>
              <w:rPr>
                <w:rFonts w:ascii="Times New Roman" w:hAnsi="Times New Roman"/>
                <w:szCs w:val="21"/>
              </w:rPr>
              <w:t>排污口信息</w:t>
            </w:r>
          </w:p>
        </w:tc>
        <w:tc>
          <w:tcPr>
            <w:tcW w:w="2563" w:type="dxa"/>
            <w:shd w:val="clear" w:color="auto" w:fill="auto"/>
            <w:vAlign w:val="center"/>
          </w:tcPr>
          <w:p w14:paraId="0D78238C">
            <w:pPr>
              <w:widowControl/>
              <w:spacing w:line="360" w:lineRule="exact"/>
              <w:jc w:val="center"/>
              <w:rPr>
                <w:rFonts w:ascii="Times New Roman" w:hAnsi="Times New Roman"/>
                <w:szCs w:val="21"/>
              </w:rPr>
            </w:pPr>
            <w:r>
              <w:rPr>
                <w:rFonts w:ascii="Times New Roman" w:hAnsi="Times New Roman"/>
                <w:szCs w:val="21"/>
              </w:rPr>
              <w:t>排放标准</w:t>
            </w:r>
          </w:p>
        </w:tc>
      </w:tr>
      <w:tr w14:paraId="16D0E2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98" w:type="dxa"/>
            <w:gridSpan w:val="2"/>
            <w:vMerge w:val="restart"/>
            <w:shd w:val="clear" w:color="auto" w:fill="auto"/>
            <w:vAlign w:val="center"/>
          </w:tcPr>
          <w:p w14:paraId="56CD7780">
            <w:pPr>
              <w:widowControl/>
              <w:spacing w:line="360" w:lineRule="exact"/>
              <w:jc w:val="center"/>
              <w:rPr>
                <w:rFonts w:ascii="Times New Roman" w:hAnsi="Times New Roman"/>
                <w:szCs w:val="21"/>
              </w:rPr>
            </w:pPr>
            <w:r>
              <w:rPr>
                <w:rFonts w:ascii="Times New Roman" w:hAnsi="Times New Roman"/>
                <w:szCs w:val="21"/>
              </w:rPr>
              <w:t>生活污水</w:t>
            </w:r>
          </w:p>
          <w:p w14:paraId="236E5A45">
            <w:pPr>
              <w:widowControl/>
              <w:spacing w:line="360" w:lineRule="exact"/>
              <w:jc w:val="center"/>
              <w:rPr>
                <w:rFonts w:ascii="Times New Roman" w:hAnsi="Times New Roman"/>
                <w:szCs w:val="21"/>
              </w:rPr>
            </w:pPr>
            <w:r>
              <w:rPr>
                <w:rFonts w:ascii="Times New Roman" w:hAnsi="Times New Roman"/>
                <w:szCs w:val="21"/>
              </w:rPr>
              <w:t>120m</w:t>
            </w:r>
            <w:r>
              <w:rPr>
                <w:rFonts w:ascii="Times New Roman" w:hAnsi="Times New Roman"/>
                <w:szCs w:val="21"/>
                <w:vertAlign w:val="superscript"/>
              </w:rPr>
              <w:t>3</w:t>
            </w:r>
            <w:r>
              <w:rPr>
                <w:rFonts w:ascii="Times New Roman" w:hAnsi="Times New Roman"/>
                <w:szCs w:val="21"/>
              </w:rPr>
              <w:t>/a</w:t>
            </w:r>
          </w:p>
        </w:tc>
        <w:tc>
          <w:tcPr>
            <w:tcW w:w="1118" w:type="dxa"/>
            <w:shd w:val="clear" w:color="auto" w:fill="auto"/>
            <w:vAlign w:val="center"/>
          </w:tcPr>
          <w:p w14:paraId="5B89CAB4">
            <w:pPr>
              <w:widowControl/>
              <w:spacing w:line="360" w:lineRule="exact"/>
              <w:jc w:val="center"/>
              <w:rPr>
                <w:rFonts w:ascii="Times New Roman" w:hAnsi="Times New Roman"/>
                <w:szCs w:val="21"/>
              </w:rPr>
            </w:pPr>
            <w:r>
              <w:rPr>
                <w:rFonts w:ascii="Times New Roman" w:hAnsi="Times New Roman"/>
                <w:szCs w:val="21"/>
              </w:rPr>
              <w:t>COD</w:t>
            </w:r>
            <w:r>
              <w:rPr>
                <w:rFonts w:ascii="Times New Roman" w:hAnsi="Times New Roman"/>
                <w:szCs w:val="21"/>
                <w:vertAlign w:val="subscript"/>
              </w:rPr>
              <w:t>Cr</w:t>
            </w:r>
          </w:p>
        </w:tc>
        <w:tc>
          <w:tcPr>
            <w:tcW w:w="1022" w:type="dxa"/>
            <w:shd w:val="clear" w:color="auto" w:fill="auto"/>
            <w:vAlign w:val="center"/>
          </w:tcPr>
          <w:p w14:paraId="503239BA">
            <w:pPr>
              <w:widowControl/>
              <w:spacing w:line="360" w:lineRule="exact"/>
              <w:jc w:val="center"/>
              <w:rPr>
                <w:rFonts w:ascii="Times New Roman" w:hAnsi="Times New Roman"/>
                <w:szCs w:val="21"/>
              </w:rPr>
            </w:pPr>
            <w:r>
              <w:rPr>
                <w:rFonts w:ascii="Times New Roman" w:hAnsi="Times New Roman"/>
                <w:szCs w:val="21"/>
              </w:rPr>
              <w:t>394</w:t>
            </w:r>
          </w:p>
        </w:tc>
        <w:tc>
          <w:tcPr>
            <w:tcW w:w="1005" w:type="dxa"/>
            <w:shd w:val="clear" w:color="auto" w:fill="auto"/>
            <w:vAlign w:val="center"/>
          </w:tcPr>
          <w:p w14:paraId="31DD6259">
            <w:pPr>
              <w:widowControl/>
              <w:spacing w:line="360" w:lineRule="exact"/>
              <w:jc w:val="center"/>
              <w:rPr>
                <w:rFonts w:ascii="Times New Roman" w:hAnsi="Times New Roman"/>
                <w:szCs w:val="21"/>
              </w:rPr>
            </w:pPr>
            <w:r>
              <w:rPr>
                <w:rFonts w:ascii="Times New Roman" w:hAnsi="Times New Roman"/>
                <w:szCs w:val="21"/>
              </w:rPr>
              <w:t>0.047</w:t>
            </w:r>
          </w:p>
        </w:tc>
        <w:tc>
          <w:tcPr>
            <w:tcW w:w="1136" w:type="dxa"/>
            <w:shd w:val="clear" w:color="auto" w:fill="auto"/>
            <w:vAlign w:val="center"/>
          </w:tcPr>
          <w:p w14:paraId="1512B8A4">
            <w:pPr>
              <w:widowControl/>
              <w:spacing w:line="360" w:lineRule="exact"/>
              <w:jc w:val="center"/>
              <w:rPr>
                <w:rFonts w:ascii="Times New Roman" w:hAnsi="Times New Roman"/>
                <w:szCs w:val="21"/>
              </w:rPr>
            </w:pPr>
            <w:r>
              <w:rPr>
                <w:rFonts w:ascii="Times New Roman" w:hAnsi="Times New Roman"/>
                <w:szCs w:val="21"/>
              </w:rPr>
              <w:t>197</w:t>
            </w:r>
          </w:p>
        </w:tc>
        <w:tc>
          <w:tcPr>
            <w:tcW w:w="1083" w:type="dxa"/>
            <w:shd w:val="clear" w:color="auto" w:fill="auto"/>
            <w:vAlign w:val="center"/>
          </w:tcPr>
          <w:p w14:paraId="0A4229EC">
            <w:pPr>
              <w:widowControl/>
              <w:spacing w:line="360" w:lineRule="exact"/>
              <w:jc w:val="center"/>
              <w:rPr>
                <w:rFonts w:ascii="Times New Roman" w:hAnsi="Times New Roman"/>
                <w:szCs w:val="21"/>
              </w:rPr>
            </w:pPr>
            <w:r>
              <w:rPr>
                <w:rFonts w:ascii="Times New Roman" w:hAnsi="Times New Roman"/>
                <w:szCs w:val="21"/>
              </w:rPr>
              <w:t>0.024</w:t>
            </w:r>
          </w:p>
        </w:tc>
        <w:tc>
          <w:tcPr>
            <w:tcW w:w="915" w:type="dxa"/>
            <w:shd w:val="clear" w:color="auto" w:fill="auto"/>
            <w:vAlign w:val="center"/>
          </w:tcPr>
          <w:p w14:paraId="274EFB02">
            <w:pPr>
              <w:widowControl/>
              <w:spacing w:line="360" w:lineRule="exact"/>
              <w:jc w:val="center"/>
              <w:rPr>
                <w:rFonts w:ascii="Times New Roman" w:hAnsi="Times New Roman"/>
                <w:szCs w:val="21"/>
              </w:rPr>
            </w:pPr>
            <w:r>
              <w:rPr>
                <w:rFonts w:ascii="Times New Roman" w:hAnsi="Times New Roman"/>
                <w:szCs w:val="21"/>
              </w:rPr>
              <w:t>0.023</w:t>
            </w:r>
          </w:p>
        </w:tc>
        <w:tc>
          <w:tcPr>
            <w:tcW w:w="2469" w:type="dxa"/>
            <w:vMerge w:val="restart"/>
            <w:shd w:val="clear" w:color="auto" w:fill="auto"/>
            <w:vAlign w:val="center"/>
          </w:tcPr>
          <w:p w14:paraId="1C003F04">
            <w:pPr>
              <w:widowControl/>
              <w:spacing w:line="360" w:lineRule="exact"/>
              <w:jc w:val="center"/>
              <w:rPr>
                <w:rFonts w:ascii="Times New Roman" w:hAnsi="Times New Roman"/>
                <w:szCs w:val="21"/>
              </w:rPr>
            </w:pPr>
            <w:r>
              <w:rPr>
                <w:rFonts w:ascii="Times New Roman" w:hAnsi="Times New Roman"/>
                <w:szCs w:val="21"/>
              </w:rPr>
              <w:t>化粪池处理后排入污水排入市政污水管网</w:t>
            </w:r>
          </w:p>
        </w:tc>
        <w:tc>
          <w:tcPr>
            <w:tcW w:w="915" w:type="dxa"/>
            <w:vMerge w:val="restart"/>
            <w:shd w:val="clear" w:color="auto" w:fill="auto"/>
            <w:vAlign w:val="center"/>
          </w:tcPr>
          <w:p w14:paraId="507E3446">
            <w:pPr>
              <w:widowControl/>
              <w:spacing w:line="360" w:lineRule="exact"/>
              <w:jc w:val="center"/>
              <w:rPr>
                <w:rFonts w:ascii="Times New Roman" w:hAnsi="Times New Roman"/>
                <w:szCs w:val="21"/>
              </w:rPr>
            </w:pPr>
            <w:r>
              <w:rPr>
                <w:rFonts w:ascii="Times New Roman" w:hAnsi="Times New Roman"/>
                <w:szCs w:val="21"/>
              </w:rPr>
              <w:t>/</w:t>
            </w:r>
          </w:p>
        </w:tc>
        <w:tc>
          <w:tcPr>
            <w:tcW w:w="2563" w:type="dxa"/>
            <w:vMerge w:val="restart"/>
            <w:shd w:val="clear" w:color="auto" w:fill="auto"/>
            <w:vAlign w:val="center"/>
          </w:tcPr>
          <w:p w14:paraId="14A847A3">
            <w:pPr>
              <w:widowControl/>
              <w:spacing w:line="360" w:lineRule="exact"/>
              <w:jc w:val="center"/>
              <w:rPr>
                <w:rFonts w:ascii="Times New Roman" w:hAnsi="Times New Roman"/>
                <w:szCs w:val="21"/>
              </w:rPr>
            </w:pPr>
            <w:r>
              <w:rPr>
                <w:rFonts w:ascii="Times New Roman" w:hAnsi="Times New Roman"/>
                <w:szCs w:val="21"/>
              </w:rPr>
              <w:t>/</w:t>
            </w:r>
          </w:p>
        </w:tc>
      </w:tr>
      <w:tr w14:paraId="7E92B6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98" w:type="dxa"/>
            <w:gridSpan w:val="2"/>
            <w:vMerge w:val="continue"/>
            <w:shd w:val="clear" w:color="auto" w:fill="auto"/>
            <w:vAlign w:val="center"/>
          </w:tcPr>
          <w:p w14:paraId="668A4702">
            <w:pPr>
              <w:widowControl/>
              <w:spacing w:line="360" w:lineRule="exact"/>
              <w:jc w:val="left"/>
              <w:rPr>
                <w:rFonts w:ascii="Times New Roman" w:hAnsi="Times New Roman"/>
                <w:szCs w:val="21"/>
              </w:rPr>
            </w:pPr>
          </w:p>
        </w:tc>
        <w:tc>
          <w:tcPr>
            <w:tcW w:w="1118" w:type="dxa"/>
            <w:shd w:val="clear" w:color="auto" w:fill="auto"/>
            <w:vAlign w:val="center"/>
          </w:tcPr>
          <w:p w14:paraId="61D2FD67">
            <w:pPr>
              <w:widowControl/>
              <w:spacing w:line="360" w:lineRule="exact"/>
              <w:jc w:val="center"/>
              <w:rPr>
                <w:rFonts w:ascii="Times New Roman" w:hAnsi="Times New Roman"/>
                <w:szCs w:val="21"/>
              </w:rPr>
            </w:pPr>
            <w:r>
              <w:rPr>
                <w:rFonts w:ascii="Times New Roman" w:hAnsi="Times New Roman"/>
                <w:szCs w:val="21"/>
              </w:rPr>
              <w:t>BOD</w:t>
            </w:r>
            <w:r>
              <w:rPr>
                <w:rFonts w:ascii="Times New Roman" w:hAnsi="Times New Roman"/>
                <w:szCs w:val="21"/>
                <w:vertAlign w:val="subscript"/>
              </w:rPr>
              <w:t>5</w:t>
            </w:r>
          </w:p>
        </w:tc>
        <w:tc>
          <w:tcPr>
            <w:tcW w:w="1022" w:type="dxa"/>
            <w:shd w:val="clear" w:color="auto" w:fill="auto"/>
            <w:vAlign w:val="center"/>
          </w:tcPr>
          <w:p w14:paraId="765044E9">
            <w:pPr>
              <w:widowControl/>
              <w:spacing w:line="360" w:lineRule="exact"/>
              <w:jc w:val="center"/>
              <w:rPr>
                <w:rFonts w:ascii="Times New Roman" w:hAnsi="Times New Roman"/>
                <w:szCs w:val="21"/>
              </w:rPr>
            </w:pPr>
            <w:r>
              <w:rPr>
                <w:rFonts w:ascii="Times New Roman" w:hAnsi="Times New Roman"/>
                <w:szCs w:val="21"/>
              </w:rPr>
              <w:t>173</w:t>
            </w:r>
          </w:p>
        </w:tc>
        <w:tc>
          <w:tcPr>
            <w:tcW w:w="1005" w:type="dxa"/>
            <w:shd w:val="clear" w:color="auto" w:fill="auto"/>
            <w:vAlign w:val="center"/>
          </w:tcPr>
          <w:p w14:paraId="00709F73">
            <w:pPr>
              <w:widowControl/>
              <w:spacing w:line="360" w:lineRule="exact"/>
              <w:jc w:val="center"/>
              <w:rPr>
                <w:rFonts w:ascii="Times New Roman" w:hAnsi="Times New Roman"/>
                <w:szCs w:val="21"/>
              </w:rPr>
            </w:pPr>
            <w:r>
              <w:rPr>
                <w:rFonts w:ascii="Times New Roman" w:hAnsi="Times New Roman"/>
                <w:szCs w:val="21"/>
              </w:rPr>
              <w:t>0.021</w:t>
            </w:r>
          </w:p>
        </w:tc>
        <w:tc>
          <w:tcPr>
            <w:tcW w:w="1136" w:type="dxa"/>
            <w:shd w:val="clear" w:color="auto" w:fill="auto"/>
            <w:vAlign w:val="center"/>
          </w:tcPr>
          <w:p w14:paraId="7BA1BB8A">
            <w:pPr>
              <w:widowControl/>
              <w:spacing w:line="360" w:lineRule="exact"/>
              <w:jc w:val="center"/>
              <w:rPr>
                <w:rFonts w:ascii="Times New Roman" w:hAnsi="Times New Roman"/>
                <w:szCs w:val="21"/>
              </w:rPr>
            </w:pPr>
            <w:r>
              <w:rPr>
                <w:rFonts w:ascii="Times New Roman" w:hAnsi="Times New Roman"/>
                <w:szCs w:val="21"/>
              </w:rPr>
              <w:t>69</w:t>
            </w:r>
          </w:p>
        </w:tc>
        <w:tc>
          <w:tcPr>
            <w:tcW w:w="1083" w:type="dxa"/>
            <w:shd w:val="clear" w:color="auto" w:fill="auto"/>
            <w:vAlign w:val="center"/>
          </w:tcPr>
          <w:p w14:paraId="06A4A941">
            <w:pPr>
              <w:widowControl/>
              <w:spacing w:line="360" w:lineRule="exact"/>
              <w:jc w:val="center"/>
              <w:rPr>
                <w:rFonts w:ascii="Times New Roman" w:hAnsi="Times New Roman"/>
                <w:szCs w:val="21"/>
              </w:rPr>
            </w:pPr>
            <w:r>
              <w:rPr>
                <w:rFonts w:ascii="Times New Roman" w:hAnsi="Times New Roman"/>
                <w:szCs w:val="21"/>
              </w:rPr>
              <w:t>0.008</w:t>
            </w:r>
          </w:p>
        </w:tc>
        <w:tc>
          <w:tcPr>
            <w:tcW w:w="915" w:type="dxa"/>
            <w:shd w:val="clear" w:color="auto" w:fill="auto"/>
            <w:vAlign w:val="center"/>
          </w:tcPr>
          <w:p w14:paraId="75FDD4E3">
            <w:pPr>
              <w:widowControl/>
              <w:spacing w:line="360" w:lineRule="exact"/>
              <w:jc w:val="center"/>
              <w:rPr>
                <w:rFonts w:ascii="Times New Roman" w:hAnsi="Times New Roman"/>
                <w:szCs w:val="21"/>
              </w:rPr>
            </w:pPr>
            <w:r>
              <w:rPr>
                <w:rFonts w:ascii="Times New Roman" w:hAnsi="Times New Roman"/>
                <w:szCs w:val="21"/>
              </w:rPr>
              <w:t>0.013</w:t>
            </w:r>
          </w:p>
        </w:tc>
        <w:tc>
          <w:tcPr>
            <w:tcW w:w="2469" w:type="dxa"/>
            <w:vMerge w:val="continue"/>
            <w:shd w:val="clear" w:color="auto" w:fill="auto"/>
            <w:vAlign w:val="center"/>
          </w:tcPr>
          <w:p w14:paraId="25DD0419">
            <w:pPr>
              <w:widowControl/>
              <w:spacing w:line="360" w:lineRule="exact"/>
              <w:jc w:val="left"/>
              <w:rPr>
                <w:rFonts w:ascii="Times New Roman" w:hAnsi="Times New Roman"/>
                <w:szCs w:val="21"/>
              </w:rPr>
            </w:pPr>
          </w:p>
        </w:tc>
        <w:tc>
          <w:tcPr>
            <w:tcW w:w="915" w:type="dxa"/>
            <w:vMerge w:val="continue"/>
            <w:shd w:val="clear" w:color="auto" w:fill="auto"/>
            <w:vAlign w:val="center"/>
          </w:tcPr>
          <w:p w14:paraId="2AF301D5">
            <w:pPr>
              <w:widowControl/>
              <w:spacing w:line="360" w:lineRule="exact"/>
              <w:jc w:val="left"/>
              <w:rPr>
                <w:rFonts w:ascii="Times New Roman" w:hAnsi="Times New Roman"/>
                <w:szCs w:val="21"/>
              </w:rPr>
            </w:pPr>
          </w:p>
        </w:tc>
        <w:tc>
          <w:tcPr>
            <w:tcW w:w="2563" w:type="dxa"/>
            <w:vMerge w:val="continue"/>
            <w:shd w:val="clear" w:color="auto" w:fill="auto"/>
            <w:vAlign w:val="center"/>
          </w:tcPr>
          <w:p w14:paraId="479A1E8C">
            <w:pPr>
              <w:widowControl/>
              <w:spacing w:line="360" w:lineRule="exact"/>
              <w:jc w:val="left"/>
              <w:rPr>
                <w:rFonts w:ascii="Times New Roman" w:hAnsi="Times New Roman"/>
                <w:szCs w:val="21"/>
              </w:rPr>
            </w:pPr>
          </w:p>
        </w:tc>
      </w:tr>
      <w:tr w14:paraId="01B3D3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98" w:type="dxa"/>
            <w:gridSpan w:val="2"/>
            <w:vMerge w:val="continue"/>
            <w:shd w:val="clear" w:color="auto" w:fill="auto"/>
            <w:vAlign w:val="center"/>
          </w:tcPr>
          <w:p w14:paraId="5D6A7E33">
            <w:pPr>
              <w:widowControl/>
              <w:spacing w:line="360" w:lineRule="exact"/>
              <w:jc w:val="left"/>
              <w:rPr>
                <w:rFonts w:ascii="Times New Roman" w:hAnsi="Times New Roman"/>
                <w:szCs w:val="21"/>
              </w:rPr>
            </w:pPr>
          </w:p>
        </w:tc>
        <w:tc>
          <w:tcPr>
            <w:tcW w:w="1118" w:type="dxa"/>
            <w:shd w:val="clear" w:color="auto" w:fill="auto"/>
            <w:vAlign w:val="center"/>
          </w:tcPr>
          <w:p w14:paraId="59784CC2">
            <w:pPr>
              <w:widowControl/>
              <w:spacing w:line="360" w:lineRule="exact"/>
              <w:jc w:val="center"/>
              <w:rPr>
                <w:rFonts w:ascii="Times New Roman" w:hAnsi="Times New Roman"/>
                <w:szCs w:val="21"/>
              </w:rPr>
            </w:pPr>
            <w:r>
              <w:rPr>
                <w:rFonts w:ascii="Times New Roman" w:hAnsi="Times New Roman"/>
                <w:szCs w:val="21"/>
              </w:rPr>
              <w:t>SS</w:t>
            </w:r>
          </w:p>
        </w:tc>
        <w:tc>
          <w:tcPr>
            <w:tcW w:w="1022" w:type="dxa"/>
            <w:shd w:val="clear" w:color="auto" w:fill="auto"/>
            <w:vAlign w:val="center"/>
          </w:tcPr>
          <w:p w14:paraId="77258D55">
            <w:pPr>
              <w:widowControl/>
              <w:spacing w:line="360" w:lineRule="exact"/>
              <w:jc w:val="center"/>
              <w:rPr>
                <w:rFonts w:ascii="Times New Roman" w:hAnsi="Times New Roman"/>
                <w:szCs w:val="21"/>
              </w:rPr>
            </w:pPr>
            <w:r>
              <w:rPr>
                <w:rFonts w:ascii="Times New Roman" w:hAnsi="Times New Roman"/>
                <w:szCs w:val="21"/>
              </w:rPr>
              <w:t>200</w:t>
            </w:r>
          </w:p>
        </w:tc>
        <w:tc>
          <w:tcPr>
            <w:tcW w:w="1005" w:type="dxa"/>
            <w:shd w:val="clear" w:color="auto" w:fill="auto"/>
            <w:vAlign w:val="center"/>
          </w:tcPr>
          <w:p w14:paraId="76ABF46E">
            <w:pPr>
              <w:widowControl/>
              <w:spacing w:line="360" w:lineRule="exact"/>
              <w:jc w:val="center"/>
              <w:rPr>
                <w:rFonts w:ascii="Times New Roman" w:hAnsi="Times New Roman"/>
                <w:szCs w:val="21"/>
              </w:rPr>
            </w:pPr>
            <w:r>
              <w:rPr>
                <w:rFonts w:ascii="Times New Roman" w:hAnsi="Times New Roman"/>
                <w:szCs w:val="21"/>
              </w:rPr>
              <w:t>0.024</w:t>
            </w:r>
          </w:p>
        </w:tc>
        <w:tc>
          <w:tcPr>
            <w:tcW w:w="1136" w:type="dxa"/>
            <w:shd w:val="clear" w:color="auto" w:fill="auto"/>
            <w:vAlign w:val="center"/>
          </w:tcPr>
          <w:p w14:paraId="3DCD1839">
            <w:pPr>
              <w:widowControl/>
              <w:spacing w:line="360" w:lineRule="exact"/>
              <w:jc w:val="center"/>
              <w:rPr>
                <w:rFonts w:ascii="Times New Roman" w:hAnsi="Times New Roman"/>
                <w:szCs w:val="21"/>
              </w:rPr>
            </w:pPr>
            <w:r>
              <w:rPr>
                <w:rFonts w:ascii="Times New Roman" w:hAnsi="Times New Roman"/>
                <w:szCs w:val="21"/>
              </w:rPr>
              <w:t>60</w:t>
            </w:r>
          </w:p>
        </w:tc>
        <w:tc>
          <w:tcPr>
            <w:tcW w:w="1083" w:type="dxa"/>
            <w:shd w:val="clear" w:color="auto" w:fill="auto"/>
            <w:vAlign w:val="center"/>
          </w:tcPr>
          <w:p w14:paraId="00270AB8">
            <w:pPr>
              <w:widowControl/>
              <w:spacing w:line="360" w:lineRule="exact"/>
              <w:jc w:val="center"/>
              <w:rPr>
                <w:rFonts w:ascii="Times New Roman" w:hAnsi="Times New Roman"/>
                <w:szCs w:val="21"/>
              </w:rPr>
            </w:pPr>
            <w:r>
              <w:rPr>
                <w:rFonts w:ascii="Times New Roman" w:hAnsi="Times New Roman"/>
                <w:szCs w:val="21"/>
              </w:rPr>
              <w:t>0.007</w:t>
            </w:r>
          </w:p>
        </w:tc>
        <w:tc>
          <w:tcPr>
            <w:tcW w:w="915" w:type="dxa"/>
            <w:shd w:val="clear" w:color="auto" w:fill="auto"/>
            <w:vAlign w:val="center"/>
          </w:tcPr>
          <w:p w14:paraId="74D2D74F">
            <w:pPr>
              <w:widowControl/>
              <w:spacing w:line="360" w:lineRule="exact"/>
              <w:jc w:val="center"/>
              <w:rPr>
                <w:rFonts w:ascii="Times New Roman" w:hAnsi="Times New Roman"/>
                <w:szCs w:val="21"/>
              </w:rPr>
            </w:pPr>
            <w:r>
              <w:rPr>
                <w:rFonts w:ascii="Times New Roman" w:hAnsi="Times New Roman"/>
                <w:szCs w:val="21"/>
              </w:rPr>
              <w:t>0.017</w:t>
            </w:r>
          </w:p>
        </w:tc>
        <w:tc>
          <w:tcPr>
            <w:tcW w:w="2469" w:type="dxa"/>
            <w:vMerge w:val="continue"/>
            <w:shd w:val="clear" w:color="auto" w:fill="auto"/>
            <w:vAlign w:val="center"/>
          </w:tcPr>
          <w:p w14:paraId="579AE0D1">
            <w:pPr>
              <w:widowControl/>
              <w:spacing w:line="360" w:lineRule="exact"/>
              <w:jc w:val="left"/>
              <w:rPr>
                <w:rFonts w:ascii="Times New Roman" w:hAnsi="Times New Roman"/>
                <w:szCs w:val="21"/>
              </w:rPr>
            </w:pPr>
          </w:p>
        </w:tc>
        <w:tc>
          <w:tcPr>
            <w:tcW w:w="915" w:type="dxa"/>
            <w:vMerge w:val="continue"/>
            <w:shd w:val="clear" w:color="auto" w:fill="auto"/>
            <w:vAlign w:val="center"/>
          </w:tcPr>
          <w:p w14:paraId="6BAFA889">
            <w:pPr>
              <w:widowControl/>
              <w:spacing w:line="360" w:lineRule="exact"/>
              <w:jc w:val="left"/>
              <w:rPr>
                <w:rFonts w:ascii="Times New Roman" w:hAnsi="Times New Roman"/>
                <w:szCs w:val="21"/>
              </w:rPr>
            </w:pPr>
          </w:p>
        </w:tc>
        <w:tc>
          <w:tcPr>
            <w:tcW w:w="2563" w:type="dxa"/>
            <w:vMerge w:val="continue"/>
            <w:shd w:val="clear" w:color="auto" w:fill="auto"/>
            <w:vAlign w:val="center"/>
          </w:tcPr>
          <w:p w14:paraId="4CE17E37">
            <w:pPr>
              <w:widowControl/>
              <w:spacing w:line="360" w:lineRule="exact"/>
              <w:jc w:val="left"/>
              <w:rPr>
                <w:rFonts w:ascii="Times New Roman" w:hAnsi="Times New Roman"/>
                <w:szCs w:val="21"/>
              </w:rPr>
            </w:pPr>
          </w:p>
        </w:tc>
      </w:tr>
      <w:tr w14:paraId="173FFE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98" w:type="dxa"/>
            <w:gridSpan w:val="2"/>
            <w:vMerge w:val="continue"/>
            <w:shd w:val="clear" w:color="auto" w:fill="auto"/>
            <w:vAlign w:val="center"/>
          </w:tcPr>
          <w:p w14:paraId="6AD62408">
            <w:pPr>
              <w:widowControl/>
              <w:spacing w:line="360" w:lineRule="exact"/>
              <w:jc w:val="left"/>
              <w:rPr>
                <w:rFonts w:ascii="Times New Roman" w:hAnsi="Times New Roman"/>
                <w:szCs w:val="21"/>
              </w:rPr>
            </w:pPr>
          </w:p>
        </w:tc>
        <w:tc>
          <w:tcPr>
            <w:tcW w:w="1118" w:type="dxa"/>
            <w:shd w:val="clear" w:color="auto" w:fill="auto"/>
            <w:vAlign w:val="center"/>
          </w:tcPr>
          <w:p w14:paraId="34312731">
            <w:pPr>
              <w:widowControl/>
              <w:spacing w:line="360" w:lineRule="exact"/>
              <w:jc w:val="center"/>
              <w:rPr>
                <w:rFonts w:ascii="Times New Roman" w:hAnsi="Times New Roman"/>
                <w:szCs w:val="21"/>
              </w:rPr>
            </w:pPr>
            <w:r>
              <w:rPr>
                <w:rFonts w:ascii="Times New Roman" w:hAnsi="Times New Roman"/>
                <w:szCs w:val="21"/>
              </w:rPr>
              <w:t>NH</w:t>
            </w:r>
            <w:r>
              <w:rPr>
                <w:rFonts w:ascii="Times New Roman" w:hAnsi="Times New Roman"/>
                <w:szCs w:val="21"/>
                <w:vertAlign w:val="subscript"/>
              </w:rPr>
              <w:t>3</w:t>
            </w:r>
            <w:r>
              <w:rPr>
                <w:rFonts w:ascii="Times New Roman" w:hAnsi="Times New Roman"/>
                <w:szCs w:val="21"/>
              </w:rPr>
              <w:t>-N</w:t>
            </w:r>
          </w:p>
        </w:tc>
        <w:tc>
          <w:tcPr>
            <w:tcW w:w="1022" w:type="dxa"/>
            <w:shd w:val="clear" w:color="auto" w:fill="auto"/>
            <w:vAlign w:val="center"/>
          </w:tcPr>
          <w:p w14:paraId="5CB95CF0">
            <w:pPr>
              <w:widowControl/>
              <w:spacing w:line="360" w:lineRule="exact"/>
              <w:jc w:val="center"/>
              <w:rPr>
                <w:rFonts w:ascii="Times New Roman" w:hAnsi="Times New Roman"/>
                <w:szCs w:val="21"/>
              </w:rPr>
            </w:pPr>
            <w:r>
              <w:rPr>
                <w:rFonts w:ascii="Times New Roman" w:hAnsi="Times New Roman"/>
                <w:szCs w:val="21"/>
              </w:rPr>
              <w:t>30</w:t>
            </w:r>
          </w:p>
        </w:tc>
        <w:tc>
          <w:tcPr>
            <w:tcW w:w="1005" w:type="dxa"/>
            <w:shd w:val="clear" w:color="auto" w:fill="auto"/>
            <w:vAlign w:val="center"/>
          </w:tcPr>
          <w:p w14:paraId="4E2F50BB">
            <w:pPr>
              <w:widowControl/>
              <w:spacing w:line="360" w:lineRule="exact"/>
              <w:jc w:val="center"/>
              <w:rPr>
                <w:rFonts w:ascii="Times New Roman" w:hAnsi="Times New Roman"/>
                <w:szCs w:val="21"/>
              </w:rPr>
            </w:pPr>
            <w:r>
              <w:rPr>
                <w:rFonts w:ascii="Times New Roman" w:hAnsi="Times New Roman"/>
                <w:szCs w:val="21"/>
              </w:rPr>
              <w:t>0.004</w:t>
            </w:r>
          </w:p>
        </w:tc>
        <w:tc>
          <w:tcPr>
            <w:tcW w:w="1136" w:type="dxa"/>
            <w:shd w:val="clear" w:color="auto" w:fill="auto"/>
            <w:vAlign w:val="center"/>
          </w:tcPr>
          <w:p w14:paraId="08390535">
            <w:pPr>
              <w:widowControl/>
              <w:spacing w:line="360" w:lineRule="exact"/>
              <w:jc w:val="center"/>
              <w:rPr>
                <w:rFonts w:ascii="Times New Roman" w:hAnsi="Times New Roman"/>
                <w:szCs w:val="21"/>
              </w:rPr>
            </w:pPr>
            <w:r>
              <w:rPr>
                <w:rFonts w:ascii="Times New Roman" w:hAnsi="Times New Roman"/>
                <w:szCs w:val="21"/>
              </w:rPr>
              <w:t>27</w:t>
            </w:r>
          </w:p>
        </w:tc>
        <w:tc>
          <w:tcPr>
            <w:tcW w:w="1083" w:type="dxa"/>
            <w:shd w:val="clear" w:color="auto" w:fill="auto"/>
            <w:vAlign w:val="center"/>
          </w:tcPr>
          <w:p w14:paraId="0E896B9E">
            <w:pPr>
              <w:widowControl/>
              <w:spacing w:line="360" w:lineRule="exact"/>
              <w:jc w:val="center"/>
              <w:rPr>
                <w:rFonts w:ascii="Times New Roman" w:hAnsi="Times New Roman"/>
                <w:szCs w:val="21"/>
              </w:rPr>
            </w:pPr>
            <w:r>
              <w:rPr>
                <w:rFonts w:ascii="Times New Roman" w:hAnsi="Times New Roman"/>
                <w:szCs w:val="21"/>
              </w:rPr>
              <w:t>0.003</w:t>
            </w:r>
          </w:p>
        </w:tc>
        <w:tc>
          <w:tcPr>
            <w:tcW w:w="915" w:type="dxa"/>
            <w:shd w:val="clear" w:color="auto" w:fill="auto"/>
            <w:vAlign w:val="center"/>
          </w:tcPr>
          <w:p w14:paraId="48F24A10">
            <w:pPr>
              <w:widowControl/>
              <w:spacing w:line="360" w:lineRule="exact"/>
              <w:jc w:val="center"/>
              <w:rPr>
                <w:rFonts w:ascii="Times New Roman" w:hAnsi="Times New Roman"/>
                <w:szCs w:val="21"/>
              </w:rPr>
            </w:pPr>
            <w:r>
              <w:rPr>
                <w:rFonts w:ascii="Times New Roman" w:hAnsi="Times New Roman"/>
                <w:szCs w:val="21"/>
              </w:rPr>
              <w:t>0.001</w:t>
            </w:r>
          </w:p>
        </w:tc>
        <w:tc>
          <w:tcPr>
            <w:tcW w:w="2469" w:type="dxa"/>
            <w:vMerge w:val="continue"/>
            <w:shd w:val="clear" w:color="auto" w:fill="auto"/>
            <w:vAlign w:val="center"/>
          </w:tcPr>
          <w:p w14:paraId="12103476">
            <w:pPr>
              <w:widowControl/>
              <w:spacing w:line="360" w:lineRule="exact"/>
              <w:jc w:val="left"/>
              <w:rPr>
                <w:rFonts w:ascii="Times New Roman" w:hAnsi="Times New Roman"/>
                <w:szCs w:val="21"/>
              </w:rPr>
            </w:pPr>
          </w:p>
        </w:tc>
        <w:tc>
          <w:tcPr>
            <w:tcW w:w="915" w:type="dxa"/>
            <w:vMerge w:val="continue"/>
            <w:shd w:val="clear" w:color="auto" w:fill="auto"/>
            <w:vAlign w:val="center"/>
          </w:tcPr>
          <w:p w14:paraId="12B954E2">
            <w:pPr>
              <w:widowControl/>
              <w:spacing w:line="360" w:lineRule="exact"/>
              <w:jc w:val="left"/>
              <w:rPr>
                <w:rFonts w:ascii="Times New Roman" w:hAnsi="Times New Roman"/>
                <w:szCs w:val="21"/>
              </w:rPr>
            </w:pPr>
          </w:p>
        </w:tc>
        <w:tc>
          <w:tcPr>
            <w:tcW w:w="2563" w:type="dxa"/>
            <w:vMerge w:val="continue"/>
            <w:shd w:val="clear" w:color="auto" w:fill="auto"/>
            <w:vAlign w:val="center"/>
          </w:tcPr>
          <w:p w14:paraId="6AFA168D">
            <w:pPr>
              <w:widowControl/>
              <w:spacing w:line="360" w:lineRule="exact"/>
              <w:jc w:val="left"/>
              <w:rPr>
                <w:rFonts w:ascii="Times New Roman" w:hAnsi="Times New Roman"/>
                <w:szCs w:val="21"/>
              </w:rPr>
            </w:pPr>
          </w:p>
        </w:tc>
      </w:tr>
      <w:tr w14:paraId="31CA3A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524" w:type="dxa"/>
            <w:gridSpan w:val="11"/>
            <w:shd w:val="clear" w:color="auto" w:fill="auto"/>
            <w:vAlign w:val="center"/>
          </w:tcPr>
          <w:p w14:paraId="0D1D22BC">
            <w:pPr>
              <w:widowControl/>
              <w:spacing w:line="360" w:lineRule="exact"/>
              <w:jc w:val="center"/>
              <w:rPr>
                <w:rFonts w:ascii="Times New Roman" w:hAnsi="Times New Roman"/>
                <w:b/>
                <w:bCs/>
                <w:szCs w:val="21"/>
              </w:rPr>
            </w:pPr>
            <w:r>
              <w:rPr>
                <w:rFonts w:ascii="Times New Roman" w:hAnsi="Times New Roman"/>
                <w:b/>
                <w:bCs/>
                <w:szCs w:val="21"/>
              </w:rPr>
              <w:t>三、固体废弃物　</w:t>
            </w:r>
          </w:p>
        </w:tc>
      </w:tr>
      <w:tr w14:paraId="54D65B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98" w:type="dxa"/>
            <w:gridSpan w:val="2"/>
            <w:shd w:val="clear" w:color="auto" w:fill="auto"/>
            <w:vAlign w:val="center"/>
          </w:tcPr>
          <w:p w14:paraId="361FD237">
            <w:pPr>
              <w:widowControl/>
              <w:spacing w:line="360" w:lineRule="exact"/>
              <w:jc w:val="center"/>
              <w:rPr>
                <w:rFonts w:ascii="Times New Roman" w:hAnsi="Times New Roman"/>
                <w:szCs w:val="21"/>
              </w:rPr>
            </w:pPr>
            <w:r>
              <w:rPr>
                <w:rFonts w:ascii="Times New Roman" w:hAnsi="Times New Roman"/>
                <w:szCs w:val="21"/>
              </w:rPr>
              <w:t>污染源</w:t>
            </w:r>
          </w:p>
        </w:tc>
        <w:tc>
          <w:tcPr>
            <w:tcW w:w="2140" w:type="dxa"/>
            <w:gridSpan w:val="2"/>
            <w:shd w:val="clear" w:color="auto" w:fill="auto"/>
            <w:vAlign w:val="center"/>
          </w:tcPr>
          <w:p w14:paraId="7DD05501">
            <w:pPr>
              <w:widowControl/>
              <w:spacing w:line="360" w:lineRule="exact"/>
              <w:jc w:val="center"/>
              <w:rPr>
                <w:rFonts w:ascii="Times New Roman" w:hAnsi="Times New Roman"/>
                <w:szCs w:val="21"/>
              </w:rPr>
            </w:pPr>
            <w:r>
              <w:rPr>
                <w:rFonts w:ascii="Times New Roman" w:hAnsi="Times New Roman"/>
                <w:szCs w:val="21"/>
              </w:rPr>
              <w:t>污染物</w:t>
            </w:r>
          </w:p>
        </w:tc>
        <w:tc>
          <w:tcPr>
            <w:tcW w:w="1005" w:type="dxa"/>
            <w:shd w:val="clear" w:color="auto" w:fill="auto"/>
            <w:vAlign w:val="center"/>
          </w:tcPr>
          <w:p w14:paraId="3C59FD14">
            <w:pPr>
              <w:widowControl/>
              <w:spacing w:line="360" w:lineRule="exact"/>
              <w:jc w:val="center"/>
              <w:rPr>
                <w:rFonts w:ascii="Times New Roman" w:hAnsi="Times New Roman"/>
                <w:szCs w:val="21"/>
              </w:rPr>
            </w:pPr>
            <w:r>
              <w:rPr>
                <w:rFonts w:ascii="Times New Roman" w:hAnsi="Times New Roman"/>
                <w:szCs w:val="21"/>
              </w:rPr>
              <w:t>产生量t/a</w:t>
            </w:r>
          </w:p>
        </w:tc>
        <w:tc>
          <w:tcPr>
            <w:tcW w:w="1136" w:type="dxa"/>
            <w:shd w:val="clear" w:color="auto" w:fill="auto"/>
            <w:vAlign w:val="center"/>
          </w:tcPr>
          <w:p w14:paraId="634EA987">
            <w:pPr>
              <w:widowControl/>
              <w:spacing w:line="360" w:lineRule="exact"/>
              <w:jc w:val="center"/>
              <w:rPr>
                <w:rFonts w:ascii="Times New Roman" w:hAnsi="Times New Roman"/>
                <w:szCs w:val="21"/>
              </w:rPr>
            </w:pPr>
            <w:r>
              <w:rPr>
                <w:rFonts w:ascii="Times New Roman" w:hAnsi="Times New Roman"/>
                <w:szCs w:val="21"/>
              </w:rPr>
              <w:t>排放量 t/a</w:t>
            </w:r>
          </w:p>
        </w:tc>
        <w:tc>
          <w:tcPr>
            <w:tcW w:w="5382" w:type="dxa"/>
            <w:gridSpan w:val="4"/>
            <w:shd w:val="clear" w:color="auto" w:fill="auto"/>
            <w:vAlign w:val="center"/>
          </w:tcPr>
          <w:p w14:paraId="5BCA81E6">
            <w:pPr>
              <w:widowControl/>
              <w:spacing w:line="360" w:lineRule="exact"/>
              <w:jc w:val="center"/>
              <w:rPr>
                <w:rFonts w:ascii="Times New Roman" w:hAnsi="Times New Roman"/>
                <w:szCs w:val="21"/>
              </w:rPr>
            </w:pPr>
            <w:r>
              <w:rPr>
                <w:rFonts w:ascii="Times New Roman" w:hAnsi="Times New Roman"/>
                <w:szCs w:val="21"/>
              </w:rPr>
              <w:t>保护措施</w:t>
            </w:r>
          </w:p>
        </w:tc>
        <w:tc>
          <w:tcPr>
            <w:tcW w:w="2563" w:type="dxa"/>
            <w:shd w:val="clear" w:color="auto" w:fill="auto"/>
            <w:vAlign w:val="center"/>
          </w:tcPr>
          <w:p w14:paraId="02E636F1">
            <w:pPr>
              <w:widowControl/>
              <w:spacing w:line="360" w:lineRule="exact"/>
              <w:jc w:val="center"/>
              <w:rPr>
                <w:rFonts w:ascii="Times New Roman" w:hAnsi="Times New Roman"/>
                <w:szCs w:val="21"/>
              </w:rPr>
            </w:pPr>
            <w:r>
              <w:rPr>
                <w:rFonts w:ascii="Times New Roman" w:hAnsi="Times New Roman"/>
                <w:szCs w:val="21"/>
              </w:rPr>
              <w:t>排放标准</w:t>
            </w:r>
          </w:p>
        </w:tc>
      </w:tr>
      <w:tr w14:paraId="1CE971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98" w:type="dxa"/>
            <w:gridSpan w:val="2"/>
            <w:vMerge w:val="restart"/>
            <w:tcBorders>
              <w:bottom w:val="single" w:color="auto" w:sz="6" w:space="0"/>
            </w:tcBorders>
            <w:shd w:val="clear" w:color="auto" w:fill="auto"/>
            <w:noWrap/>
            <w:vAlign w:val="center"/>
          </w:tcPr>
          <w:p w14:paraId="3E85B2B7">
            <w:pPr>
              <w:widowControl/>
              <w:spacing w:line="360" w:lineRule="exact"/>
              <w:jc w:val="center"/>
              <w:rPr>
                <w:rFonts w:ascii="Times New Roman" w:hAnsi="Times New Roman"/>
                <w:szCs w:val="21"/>
              </w:rPr>
            </w:pPr>
            <w:r>
              <w:rPr>
                <w:rFonts w:ascii="Times New Roman" w:hAnsi="Times New Roman"/>
                <w:szCs w:val="21"/>
              </w:rPr>
              <w:t>一般固废</w:t>
            </w:r>
          </w:p>
        </w:tc>
        <w:tc>
          <w:tcPr>
            <w:tcW w:w="2140" w:type="dxa"/>
            <w:gridSpan w:val="2"/>
            <w:tcBorders>
              <w:bottom w:val="single" w:color="auto" w:sz="6" w:space="0"/>
            </w:tcBorders>
            <w:shd w:val="clear" w:color="auto" w:fill="auto"/>
            <w:vAlign w:val="center"/>
          </w:tcPr>
          <w:p w14:paraId="091D3285">
            <w:pPr>
              <w:spacing w:line="360" w:lineRule="exact"/>
              <w:jc w:val="center"/>
              <w:rPr>
                <w:rFonts w:ascii="Times New Roman" w:hAnsi="Times New Roman"/>
                <w:szCs w:val="21"/>
              </w:rPr>
            </w:pPr>
            <w:r>
              <w:rPr>
                <w:rFonts w:ascii="Times New Roman" w:hAnsi="Times New Roman"/>
                <w:kern w:val="0"/>
                <w:szCs w:val="21"/>
                <w:u w:val="single"/>
              </w:rPr>
              <w:t>烘干炉炉渣</w:t>
            </w:r>
          </w:p>
        </w:tc>
        <w:tc>
          <w:tcPr>
            <w:tcW w:w="1005" w:type="dxa"/>
            <w:tcBorders>
              <w:bottom w:val="single" w:color="auto" w:sz="6" w:space="0"/>
            </w:tcBorders>
            <w:shd w:val="clear" w:color="auto" w:fill="auto"/>
            <w:vAlign w:val="center"/>
          </w:tcPr>
          <w:p w14:paraId="4027DC47">
            <w:pPr>
              <w:spacing w:line="360" w:lineRule="exact"/>
              <w:jc w:val="center"/>
              <w:rPr>
                <w:rFonts w:ascii="Times New Roman" w:hAnsi="Times New Roman"/>
                <w:szCs w:val="21"/>
                <w:u w:val="single"/>
              </w:rPr>
            </w:pPr>
            <w:r>
              <w:rPr>
                <w:rFonts w:ascii="Times New Roman" w:hAnsi="Times New Roman" w:eastAsia="等线"/>
                <w:szCs w:val="21"/>
                <w:u w:val="single"/>
              </w:rPr>
              <w:t>63.2</w:t>
            </w:r>
            <w:r>
              <w:rPr>
                <w:rFonts w:hint="eastAsia" w:ascii="Times New Roman" w:hAnsi="Times New Roman" w:eastAsia="等线"/>
                <w:szCs w:val="21"/>
                <w:u w:val="single"/>
              </w:rPr>
              <w:t>473</w:t>
            </w:r>
          </w:p>
        </w:tc>
        <w:tc>
          <w:tcPr>
            <w:tcW w:w="1136" w:type="dxa"/>
            <w:tcBorders>
              <w:bottom w:val="single" w:color="auto" w:sz="6" w:space="0"/>
            </w:tcBorders>
            <w:shd w:val="clear" w:color="auto" w:fill="auto"/>
            <w:vAlign w:val="center"/>
          </w:tcPr>
          <w:p w14:paraId="543A5FF7">
            <w:pPr>
              <w:spacing w:line="360" w:lineRule="exact"/>
              <w:jc w:val="center"/>
              <w:rPr>
                <w:rFonts w:ascii="Times New Roman" w:hAnsi="Times New Roman"/>
                <w:szCs w:val="21"/>
              </w:rPr>
            </w:pPr>
            <w:r>
              <w:rPr>
                <w:rFonts w:ascii="Times New Roman" w:hAnsi="Times New Roman"/>
                <w:szCs w:val="21"/>
                <w:u w:val="single"/>
              </w:rPr>
              <w:t>0</w:t>
            </w:r>
          </w:p>
        </w:tc>
        <w:tc>
          <w:tcPr>
            <w:tcW w:w="5382" w:type="dxa"/>
            <w:gridSpan w:val="4"/>
            <w:shd w:val="clear" w:color="auto" w:fill="auto"/>
            <w:vAlign w:val="center"/>
          </w:tcPr>
          <w:p w14:paraId="5E806E34">
            <w:pPr>
              <w:spacing w:line="360" w:lineRule="exact"/>
              <w:jc w:val="center"/>
              <w:rPr>
                <w:rFonts w:ascii="Times New Roman" w:hAnsi="Times New Roman"/>
                <w:szCs w:val="21"/>
              </w:rPr>
            </w:pPr>
            <w:r>
              <w:rPr>
                <w:rFonts w:ascii="Times New Roman" w:hAnsi="Times New Roman"/>
                <w:szCs w:val="21"/>
                <w:u w:val="single"/>
              </w:rPr>
              <w:t>采用编织袋袋装收集后，暂存于车间内的灰渣临时堆放点，</w:t>
            </w:r>
            <w:r>
              <w:rPr>
                <w:rFonts w:hint="eastAsia" w:ascii="Times New Roman" w:hAnsi="Times New Roman"/>
                <w:szCs w:val="21"/>
                <w:u w:val="single"/>
              </w:rPr>
              <w:t>作为原料</w:t>
            </w:r>
            <w:r>
              <w:rPr>
                <w:rFonts w:ascii="Times New Roman" w:hAnsi="Times New Roman"/>
                <w:szCs w:val="21"/>
                <w:u w:val="single"/>
              </w:rPr>
              <w:t>定期</w:t>
            </w:r>
            <w:r>
              <w:rPr>
                <w:rFonts w:hint="eastAsia" w:ascii="Times New Roman" w:hAnsi="Times New Roman"/>
                <w:szCs w:val="21"/>
                <w:u w:val="single"/>
              </w:rPr>
              <w:t>出售给有机肥生产企</w:t>
            </w:r>
            <w:r>
              <w:rPr>
                <w:rFonts w:ascii="Times New Roman" w:hAnsi="Times New Roman"/>
                <w:kern w:val="0"/>
                <w:szCs w:val="21"/>
                <w:u w:val="single"/>
              </w:rPr>
              <w:t>业综合利用</w:t>
            </w:r>
            <w:r>
              <w:rPr>
                <w:rFonts w:ascii="Times New Roman" w:hAnsi="Times New Roman"/>
                <w:szCs w:val="21"/>
                <w:u w:val="single"/>
              </w:rPr>
              <w:t>。</w:t>
            </w:r>
          </w:p>
        </w:tc>
        <w:tc>
          <w:tcPr>
            <w:tcW w:w="2563" w:type="dxa"/>
            <w:vMerge w:val="restart"/>
            <w:tcBorders>
              <w:bottom w:val="single" w:color="auto" w:sz="6" w:space="0"/>
            </w:tcBorders>
            <w:shd w:val="clear" w:color="auto" w:fill="auto"/>
            <w:vAlign w:val="center"/>
          </w:tcPr>
          <w:p w14:paraId="0010BB2E">
            <w:pPr>
              <w:widowControl/>
              <w:spacing w:line="360" w:lineRule="exact"/>
              <w:jc w:val="center"/>
              <w:rPr>
                <w:rFonts w:ascii="Times New Roman" w:hAnsi="Times New Roman"/>
                <w:szCs w:val="21"/>
              </w:rPr>
            </w:pPr>
            <w:r>
              <w:rPr>
                <w:rFonts w:ascii="Times New Roman" w:hAnsi="Times New Roman"/>
                <w:szCs w:val="21"/>
              </w:rPr>
              <w:t>《一般工业固体废物贮存和填埋污染控制标准》（GB18599-2020）</w:t>
            </w:r>
          </w:p>
        </w:tc>
      </w:tr>
      <w:tr w14:paraId="34D845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98" w:type="dxa"/>
            <w:gridSpan w:val="2"/>
            <w:vMerge w:val="continue"/>
            <w:shd w:val="clear" w:color="auto" w:fill="auto"/>
            <w:vAlign w:val="center"/>
          </w:tcPr>
          <w:p w14:paraId="752852C4">
            <w:pPr>
              <w:widowControl/>
              <w:spacing w:line="360" w:lineRule="exact"/>
              <w:jc w:val="left"/>
              <w:rPr>
                <w:rFonts w:ascii="Times New Roman" w:hAnsi="Times New Roman"/>
                <w:szCs w:val="21"/>
              </w:rPr>
            </w:pPr>
          </w:p>
        </w:tc>
        <w:tc>
          <w:tcPr>
            <w:tcW w:w="2140" w:type="dxa"/>
            <w:gridSpan w:val="2"/>
            <w:shd w:val="clear" w:color="auto" w:fill="auto"/>
            <w:vAlign w:val="center"/>
          </w:tcPr>
          <w:p w14:paraId="22F23074">
            <w:pPr>
              <w:widowControl/>
              <w:spacing w:line="360" w:lineRule="exact"/>
              <w:jc w:val="center"/>
              <w:rPr>
                <w:rFonts w:ascii="Times New Roman" w:hAnsi="Times New Roman"/>
                <w:kern w:val="0"/>
                <w:szCs w:val="21"/>
                <w:u w:val="single"/>
              </w:rPr>
            </w:pPr>
            <w:r>
              <w:rPr>
                <w:rFonts w:ascii="Times New Roman" w:hAnsi="Times New Roman"/>
                <w:kern w:val="0"/>
                <w:szCs w:val="21"/>
                <w:u w:val="single"/>
              </w:rPr>
              <w:t>烘干炉除尘器</w:t>
            </w:r>
          </w:p>
          <w:p w14:paraId="26FC1D58">
            <w:pPr>
              <w:widowControl/>
              <w:spacing w:line="360" w:lineRule="exact"/>
              <w:jc w:val="center"/>
              <w:rPr>
                <w:rFonts w:ascii="Times New Roman" w:hAnsi="Times New Roman"/>
                <w:kern w:val="0"/>
                <w:szCs w:val="21"/>
                <w:u w:val="single"/>
              </w:rPr>
            </w:pPr>
            <w:r>
              <w:rPr>
                <w:rFonts w:ascii="Times New Roman" w:hAnsi="Times New Roman"/>
                <w:kern w:val="0"/>
                <w:szCs w:val="21"/>
                <w:u w:val="single"/>
              </w:rPr>
              <w:t>收集粉尘</w:t>
            </w:r>
          </w:p>
        </w:tc>
        <w:tc>
          <w:tcPr>
            <w:tcW w:w="1005" w:type="dxa"/>
            <w:shd w:val="clear" w:color="auto" w:fill="auto"/>
            <w:vAlign w:val="center"/>
          </w:tcPr>
          <w:p w14:paraId="30FE816D">
            <w:pPr>
              <w:widowControl/>
              <w:spacing w:line="360" w:lineRule="exact"/>
              <w:jc w:val="center"/>
              <w:rPr>
                <w:rFonts w:ascii="Times New Roman" w:hAnsi="Times New Roman" w:eastAsia="等线"/>
                <w:szCs w:val="21"/>
                <w:u w:val="single"/>
              </w:rPr>
            </w:pPr>
            <w:r>
              <w:rPr>
                <w:rFonts w:ascii="Times New Roman" w:hAnsi="Times New Roman" w:eastAsia="等线"/>
                <w:szCs w:val="21"/>
                <w:u w:val="single"/>
              </w:rPr>
              <w:t>8.3</w:t>
            </w:r>
            <w:r>
              <w:rPr>
                <w:rFonts w:hint="eastAsia" w:ascii="Times New Roman" w:hAnsi="Times New Roman" w:eastAsia="等线"/>
                <w:szCs w:val="21"/>
                <w:u w:val="single"/>
              </w:rPr>
              <w:t>591</w:t>
            </w:r>
          </w:p>
        </w:tc>
        <w:tc>
          <w:tcPr>
            <w:tcW w:w="1136" w:type="dxa"/>
            <w:shd w:val="clear" w:color="auto" w:fill="auto"/>
            <w:vAlign w:val="center"/>
          </w:tcPr>
          <w:p w14:paraId="2EB7FEE0">
            <w:pPr>
              <w:widowControl/>
              <w:spacing w:line="360" w:lineRule="exact"/>
              <w:jc w:val="center"/>
              <w:rPr>
                <w:rFonts w:ascii="Times New Roman" w:hAnsi="Times New Roman"/>
                <w:szCs w:val="21"/>
                <w:u w:val="single"/>
              </w:rPr>
            </w:pPr>
            <w:r>
              <w:rPr>
                <w:rFonts w:hint="eastAsia" w:ascii="Times New Roman" w:hAnsi="Times New Roman"/>
                <w:szCs w:val="21"/>
                <w:u w:val="single"/>
              </w:rPr>
              <w:t>0</w:t>
            </w:r>
          </w:p>
        </w:tc>
        <w:tc>
          <w:tcPr>
            <w:tcW w:w="5382" w:type="dxa"/>
            <w:gridSpan w:val="4"/>
            <w:vMerge w:val="restart"/>
            <w:shd w:val="clear" w:color="auto" w:fill="auto"/>
            <w:vAlign w:val="center"/>
          </w:tcPr>
          <w:p w14:paraId="63B9ADC4">
            <w:pPr>
              <w:widowControl/>
              <w:spacing w:line="360" w:lineRule="exact"/>
              <w:jc w:val="center"/>
              <w:rPr>
                <w:rFonts w:ascii="Times New Roman" w:hAnsi="Times New Roman"/>
                <w:szCs w:val="21"/>
                <w:u w:val="single"/>
              </w:rPr>
            </w:pPr>
            <w:r>
              <w:rPr>
                <w:rFonts w:ascii="Times New Roman" w:hAnsi="Times New Roman"/>
                <w:kern w:val="0"/>
                <w:szCs w:val="21"/>
                <w:u w:val="single"/>
              </w:rPr>
              <w:t>堆放在车间内的</w:t>
            </w:r>
            <w:r>
              <w:rPr>
                <w:rFonts w:hint="eastAsia" w:ascii="Times New Roman" w:hAnsi="Times New Roman"/>
                <w:kern w:val="0"/>
                <w:szCs w:val="21"/>
                <w:u w:val="single"/>
              </w:rPr>
              <w:t>锆中矿</w:t>
            </w:r>
            <w:r>
              <w:rPr>
                <w:rFonts w:ascii="Times New Roman" w:hAnsi="Times New Roman"/>
                <w:kern w:val="0"/>
                <w:szCs w:val="21"/>
                <w:u w:val="single"/>
              </w:rPr>
              <w:t>堆放区，</w:t>
            </w:r>
            <w:r>
              <w:rPr>
                <w:rFonts w:hint="eastAsia" w:ascii="Times New Roman" w:hAnsi="Times New Roman"/>
                <w:kern w:val="0"/>
                <w:szCs w:val="21"/>
                <w:u w:val="single"/>
              </w:rPr>
              <w:t>作为原料</w:t>
            </w:r>
            <w:r>
              <w:rPr>
                <w:rFonts w:ascii="Times New Roman" w:hAnsi="Times New Roman"/>
                <w:kern w:val="0"/>
                <w:szCs w:val="21"/>
                <w:u w:val="single"/>
              </w:rPr>
              <w:t>定期外售给深度选矿企业综合利用</w:t>
            </w:r>
            <w:r>
              <w:rPr>
                <w:rFonts w:ascii="Times New Roman" w:hAnsi="Times New Roman"/>
                <w:szCs w:val="21"/>
                <w:u w:val="single"/>
              </w:rPr>
              <w:t>。</w:t>
            </w:r>
          </w:p>
        </w:tc>
        <w:tc>
          <w:tcPr>
            <w:tcW w:w="2563" w:type="dxa"/>
            <w:vMerge w:val="continue"/>
            <w:shd w:val="clear" w:color="auto" w:fill="auto"/>
            <w:vAlign w:val="center"/>
          </w:tcPr>
          <w:p w14:paraId="654C2299">
            <w:pPr>
              <w:widowControl/>
              <w:spacing w:line="360" w:lineRule="exact"/>
              <w:jc w:val="left"/>
              <w:rPr>
                <w:rFonts w:ascii="Times New Roman" w:hAnsi="Times New Roman"/>
                <w:szCs w:val="21"/>
              </w:rPr>
            </w:pPr>
          </w:p>
        </w:tc>
      </w:tr>
      <w:tr w14:paraId="1FC872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98" w:type="dxa"/>
            <w:gridSpan w:val="2"/>
            <w:vMerge w:val="continue"/>
            <w:shd w:val="clear" w:color="auto" w:fill="auto"/>
            <w:vAlign w:val="center"/>
          </w:tcPr>
          <w:p w14:paraId="6367308D">
            <w:pPr>
              <w:widowControl/>
              <w:spacing w:line="360" w:lineRule="exact"/>
              <w:jc w:val="left"/>
              <w:rPr>
                <w:rFonts w:ascii="Times New Roman" w:hAnsi="Times New Roman"/>
                <w:szCs w:val="21"/>
              </w:rPr>
            </w:pPr>
          </w:p>
        </w:tc>
        <w:tc>
          <w:tcPr>
            <w:tcW w:w="2140" w:type="dxa"/>
            <w:gridSpan w:val="2"/>
            <w:shd w:val="clear" w:color="auto" w:fill="auto"/>
            <w:vAlign w:val="center"/>
          </w:tcPr>
          <w:p w14:paraId="047AA897">
            <w:pPr>
              <w:widowControl/>
              <w:spacing w:line="360" w:lineRule="exact"/>
              <w:jc w:val="center"/>
              <w:rPr>
                <w:rFonts w:ascii="Times New Roman" w:hAnsi="Times New Roman"/>
                <w:kern w:val="0"/>
                <w:szCs w:val="21"/>
                <w:u w:val="single"/>
              </w:rPr>
            </w:pPr>
            <w:r>
              <w:rPr>
                <w:rFonts w:ascii="Times New Roman" w:hAnsi="Times New Roman"/>
                <w:kern w:val="0"/>
                <w:szCs w:val="21"/>
                <w:u w:val="single"/>
              </w:rPr>
              <w:t>生产车间除尘器</w:t>
            </w:r>
          </w:p>
          <w:p w14:paraId="08BE8152">
            <w:pPr>
              <w:widowControl/>
              <w:spacing w:line="360" w:lineRule="exact"/>
              <w:jc w:val="center"/>
              <w:rPr>
                <w:rFonts w:ascii="Times New Roman" w:hAnsi="Times New Roman"/>
                <w:kern w:val="0"/>
                <w:szCs w:val="21"/>
                <w:u w:val="single"/>
              </w:rPr>
            </w:pPr>
            <w:r>
              <w:rPr>
                <w:rFonts w:ascii="Times New Roman" w:hAnsi="Times New Roman"/>
                <w:kern w:val="0"/>
                <w:szCs w:val="21"/>
                <w:u w:val="single"/>
              </w:rPr>
              <w:t>收集粉尘</w:t>
            </w:r>
          </w:p>
        </w:tc>
        <w:tc>
          <w:tcPr>
            <w:tcW w:w="1005" w:type="dxa"/>
            <w:shd w:val="clear" w:color="auto" w:fill="auto"/>
            <w:vAlign w:val="center"/>
          </w:tcPr>
          <w:p w14:paraId="0F73D014">
            <w:pPr>
              <w:widowControl/>
              <w:spacing w:line="360" w:lineRule="exact"/>
              <w:jc w:val="center"/>
              <w:rPr>
                <w:rFonts w:ascii="Times New Roman" w:hAnsi="Times New Roman" w:eastAsia="等线"/>
                <w:szCs w:val="21"/>
                <w:u w:val="single"/>
              </w:rPr>
            </w:pPr>
            <w:r>
              <w:rPr>
                <w:rFonts w:ascii="Times New Roman" w:hAnsi="Times New Roman" w:eastAsia="等线"/>
                <w:szCs w:val="21"/>
                <w:u w:val="single"/>
              </w:rPr>
              <w:t>1.</w:t>
            </w:r>
            <w:r>
              <w:rPr>
                <w:rFonts w:hint="eastAsia" w:ascii="Times New Roman" w:hAnsi="Times New Roman" w:eastAsia="等线"/>
                <w:szCs w:val="21"/>
                <w:u w:val="single"/>
              </w:rPr>
              <w:t>3998</w:t>
            </w:r>
          </w:p>
        </w:tc>
        <w:tc>
          <w:tcPr>
            <w:tcW w:w="1136" w:type="dxa"/>
            <w:shd w:val="clear" w:color="auto" w:fill="auto"/>
            <w:vAlign w:val="center"/>
          </w:tcPr>
          <w:p w14:paraId="690245F6">
            <w:pPr>
              <w:widowControl/>
              <w:spacing w:line="360" w:lineRule="exact"/>
              <w:jc w:val="center"/>
              <w:rPr>
                <w:rFonts w:ascii="Times New Roman" w:hAnsi="Times New Roman"/>
                <w:szCs w:val="21"/>
                <w:u w:val="single"/>
              </w:rPr>
            </w:pPr>
            <w:r>
              <w:rPr>
                <w:rFonts w:ascii="Times New Roman" w:hAnsi="Times New Roman"/>
                <w:szCs w:val="21"/>
                <w:u w:val="single"/>
              </w:rPr>
              <w:t>0</w:t>
            </w:r>
          </w:p>
        </w:tc>
        <w:tc>
          <w:tcPr>
            <w:tcW w:w="5382" w:type="dxa"/>
            <w:gridSpan w:val="4"/>
            <w:vMerge w:val="continue"/>
            <w:shd w:val="clear" w:color="auto" w:fill="auto"/>
            <w:vAlign w:val="center"/>
          </w:tcPr>
          <w:p w14:paraId="1742DF23">
            <w:pPr>
              <w:widowControl/>
              <w:spacing w:line="360" w:lineRule="exact"/>
              <w:jc w:val="left"/>
              <w:rPr>
                <w:rFonts w:ascii="Times New Roman" w:hAnsi="Times New Roman"/>
                <w:szCs w:val="21"/>
                <w:u w:val="single"/>
              </w:rPr>
            </w:pPr>
          </w:p>
        </w:tc>
        <w:tc>
          <w:tcPr>
            <w:tcW w:w="2563" w:type="dxa"/>
            <w:vMerge w:val="continue"/>
            <w:shd w:val="clear" w:color="auto" w:fill="auto"/>
            <w:vAlign w:val="center"/>
          </w:tcPr>
          <w:p w14:paraId="7B770359">
            <w:pPr>
              <w:widowControl/>
              <w:spacing w:line="360" w:lineRule="exact"/>
              <w:jc w:val="left"/>
              <w:rPr>
                <w:rFonts w:ascii="Times New Roman" w:hAnsi="Times New Roman"/>
                <w:szCs w:val="21"/>
              </w:rPr>
            </w:pPr>
          </w:p>
        </w:tc>
      </w:tr>
      <w:tr w14:paraId="483A28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98" w:type="dxa"/>
            <w:gridSpan w:val="2"/>
            <w:vMerge w:val="continue"/>
            <w:shd w:val="clear" w:color="auto" w:fill="auto"/>
            <w:vAlign w:val="center"/>
          </w:tcPr>
          <w:p w14:paraId="44271E82">
            <w:pPr>
              <w:widowControl/>
              <w:spacing w:line="360" w:lineRule="exact"/>
              <w:jc w:val="left"/>
              <w:rPr>
                <w:rFonts w:ascii="Times New Roman" w:hAnsi="Times New Roman"/>
                <w:szCs w:val="21"/>
              </w:rPr>
            </w:pPr>
          </w:p>
        </w:tc>
        <w:tc>
          <w:tcPr>
            <w:tcW w:w="2140" w:type="dxa"/>
            <w:gridSpan w:val="2"/>
            <w:shd w:val="clear" w:color="auto" w:fill="auto"/>
            <w:vAlign w:val="center"/>
          </w:tcPr>
          <w:p w14:paraId="31E2E82A">
            <w:pPr>
              <w:widowControl/>
              <w:spacing w:line="360" w:lineRule="exact"/>
              <w:jc w:val="center"/>
              <w:rPr>
                <w:rFonts w:ascii="Times New Roman" w:hAnsi="Times New Roman"/>
                <w:kern w:val="0"/>
                <w:szCs w:val="21"/>
                <w:u w:val="single"/>
              </w:rPr>
            </w:pPr>
            <w:r>
              <w:rPr>
                <w:rFonts w:ascii="Times New Roman" w:hAnsi="Times New Roman"/>
                <w:kern w:val="0"/>
                <w:szCs w:val="21"/>
                <w:u w:val="single"/>
              </w:rPr>
              <w:t>生产车间地面</w:t>
            </w:r>
          </w:p>
          <w:p w14:paraId="2BCA46D5">
            <w:pPr>
              <w:widowControl/>
              <w:spacing w:line="360" w:lineRule="exact"/>
              <w:jc w:val="center"/>
              <w:rPr>
                <w:rFonts w:ascii="Times New Roman" w:hAnsi="Times New Roman"/>
                <w:kern w:val="0"/>
                <w:szCs w:val="21"/>
                <w:u w:val="single"/>
              </w:rPr>
            </w:pPr>
            <w:r>
              <w:rPr>
                <w:rFonts w:ascii="Times New Roman" w:hAnsi="Times New Roman"/>
                <w:kern w:val="0"/>
                <w:szCs w:val="21"/>
                <w:u w:val="single"/>
              </w:rPr>
              <w:t>沉降粉尘</w:t>
            </w:r>
          </w:p>
        </w:tc>
        <w:tc>
          <w:tcPr>
            <w:tcW w:w="1005" w:type="dxa"/>
            <w:shd w:val="clear" w:color="auto" w:fill="auto"/>
            <w:vAlign w:val="center"/>
          </w:tcPr>
          <w:p w14:paraId="0A0C188C">
            <w:pPr>
              <w:widowControl/>
              <w:spacing w:line="360" w:lineRule="exact"/>
              <w:jc w:val="center"/>
              <w:rPr>
                <w:rFonts w:ascii="Times New Roman" w:hAnsi="Times New Roman" w:eastAsia="等线"/>
                <w:szCs w:val="21"/>
                <w:u w:val="single"/>
              </w:rPr>
            </w:pPr>
            <w:r>
              <w:rPr>
                <w:rFonts w:ascii="Times New Roman" w:hAnsi="Times New Roman" w:eastAsia="等线"/>
                <w:szCs w:val="21"/>
                <w:u w:val="single"/>
              </w:rPr>
              <w:t>3.5</w:t>
            </w:r>
            <w:r>
              <w:rPr>
                <w:rFonts w:hint="eastAsia" w:ascii="Times New Roman" w:hAnsi="Times New Roman" w:eastAsia="等线"/>
                <w:szCs w:val="21"/>
                <w:u w:val="single"/>
              </w:rPr>
              <w:t>699</w:t>
            </w:r>
          </w:p>
        </w:tc>
        <w:tc>
          <w:tcPr>
            <w:tcW w:w="1136" w:type="dxa"/>
            <w:shd w:val="clear" w:color="auto" w:fill="auto"/>
            <w:vAlign w:val="center"/>
          </w:tcPr>
          <w:p w14:paraId="0D166B0F">
            <w:pPr>
              <w:widowControl/>
              <w:spacing w:line="360" w:lineRule="exact"/>
              <w:jc w:val="center"/>
              <w:rPr>
                <w:rFonts w:ascii="Times New Roman" w:hAnsi="Times New Roman"/>
                <w:szCs w:val="21"/>
                <w:u w:val="single"/>
              </w:rPr>
            </w:pPr>
            <w:r>
              <w:rPr>
                <w:rFonts w:ascii="Times New Roman" w:hAnsi="Times New Roman"/>
                <w:szCs w:val="21"/>
                <w:u w:val="single"/>
              </w:rPr>
              <w:t>0</w:t>
            </w:r>
          </w:p>
        </w:tc>
        <w:tc>
          <w:tcPr>
            <w:tcW w:w="5382" w:type="dxa"/>
            <w:gridSpan w:val="4"/>
            <w:shd w:val="clear" w:color="auto" w:fill="auto"/>
            <w:vAlign w:val="center"/>
          </w:tcPr>
          <w:p w14:paraId="3015DAC5">
            <w:pPr>
              <w:widowControl/>
              <w:spacing w:line="360" w:lineRule="exact"/>
              <w:jc w:val="center"/>
              <w:rPr>
                <w:rFonts w:ascii="Times New Roman" w:hAnsi="Times New Roman"/>
                <w:szCs w:val="21"/>
                <w:u w:val="single"/>
              </w:rPr>
            </w:pPr>
            <w:r>
              <w:rPr>
                <w:rFonts w:hint="eastAsia" w:ascii="Times New Roman" w:hAnsi="Times New Roman"/>
                <w:szCs w:val="21"/>
                <w:u w:val="single"/>
              </w:rPr>
              <w:t>收集后作为原料重新投入到生产线进行分选。</w:t>
            </w:r>
          </w:p>
        </w:tc>
        <w:tc>
          <w:tcPr>
            <w:tcW w:w="2563" w:type="dxa"/>
            <w:vMerge w:val="continue"/>
            <w:shd w:val="clear" w:color="auto" w:fill="auto"/>
            <w:vAlign w:val="center"/>
          </w:tcPr>
          <w:p w14:paraId="51767382">
            <w:pPr>
              <w:widowControl/>
              <w:spacing w:line="360" w:lineRule="exact"/>
              <w:jc w:val="left"/>
              <w:rPr>
                <w:rFonts w:ascii="Times New Roman" w:hAnsi="Times New Roman"/>
                <w:szCs w:val="21"/>
              </w:rPr>
            </w:pPr>
          </w:p>
        </w:tc>
      </w:tr>
      <w:tr w14:paraId="7F86EE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98" w:type="dxa"/>
            <w:gridSpan w:val="2"/>
            <w:vMerge w:val="continue"/>
            <w:shd w:val="clear" w:color="auto" w:fill="auto"/>
            <w:vAlign w:val="center"/>
          </w:tcPr>
          <w:p w14:paraId="2472DE45">
            <w:pPr>
              <w:widowControl/>
              <w:spacing w:line="360" w:lineRule="exact"/>
              <w:jc w:val="left"/>
              <w:rPr>
                <w:rFonts w:ascii="Times New Roman" w:hAnsi="Times New Roman"/>
                <w:szCs w:val="21"/>
              </w:rPr>
            </w:pPr>
          </w:p>
        </w:tc>
        <w:tc>
          <w:tcPr>
            <w:tcW w:w="2140" w:type="dxa"/>
            <w:gridSpan w:val="2"/>
            <w:shd w:val="clear" w:color="auto" w:fill="auto"/>
            <w:vAlign w:val="center"/>
          </w:tcPr>
          <w:p w14:paraId="65C5B76F">
            <w:pPr>
              <w:widowControl/>
              <w:spacing w:line="360" w:lineRule="exact"/>
              <w:jc w:val="center"/>
              <w:rPr>
                <w:rFonts w:ascii="Times New Roman" w:hAnsi="Times New Roman"/>
                <w:szCs w:val="21"/>
              </w:rPr>
            </w:pPr>
            <w:r>
              <w:rPr>
                <w:rFonts w:ascii="Times New Roman" w:hAnsi="Times New Roman"/>
                <w:szCs w:val="21"/>
              </w:rPr>
              <w:t>生活垃圾</w:t>
            </w:r>
          </w:p>
        </w:tc>
        <w:tc>
          <w:tcPr>
            <w:tcW w:w="1005" w:type="dxa"/>
            <w:shd w:val="clear" w:color="auto" w:fill="auto"/>
            <w:vAlign w:val="center"/>
          </w:tcPr>
          <w:p w14:paraId="6D1B0A44">
            <w:pPr>
              <w:widowControl/>
              <w:spacing w:line="360" w:lineRule="exact"/>
              <w:jc w:val="center"/>
              <w:rPr>
                <w:rFonts w:ascii="Times New Roman" w:hAnsi="Times New Roman"/>
                <w:szCs w:val="21"/>
              </w:rPr>
            </w:pPr>
            <w:r>
              <w:rPr>
                <w:rFonts w:ascii="Times New Roman" w:hAnsi="Times New Roman" w:eastAsia="等线"/>
                <w:szCs w:val="21"/>
              </w:rPr>
              <w:t>0.90</w:t>
            </w:r>
          </w:p>
        </w:tc>
        <w:tc>
          <w:tcPr>
            <w:tcW w:w="1136" w:type="dxa"/>
            <w:shd w:val="clear" w:color="auto" w:fill="auto"/>
            <w:vAlign w:val="center"/>
          </w:tcPr>
          <w:p w14:paraId="4165D6F4">
            <w:pPr>
              <w:widowControl/>
              <w:spacing w:line="360" w:lineRule="exact"/>
              <w:jc w:val="center"/>
              <w:rPr>
                <w:rFonts w:ascii="Times New Roman" w:hAnsi="Times New Roman"/>
                <w:szCs w:val="21"/>
              </w:rPr>
            </w:pPr>
            <w:r>
              <w:rPr>
                <w:rFonts w:ascii="Times New Roman" w:hAnsi="Times New Roman"/>
                <w:szCs w:val="21"/>
              </w:rPr>
              <w:t>0</w:t>
            </w:r>
          </w:p>
        </w:tc>
        <w:tc>
          <w:tcPr>
            <w:tcW w:w="5382" w:type="dxa"/>
            <w:gridSpan w:val="4"/>
            <w:shd w:val="clear" w:color="auto" w:fill="auto"/>
            <w:vAlign w:val="center"/>
          </w:tcPr>
          <w:p w14:paraId="7AF4190B">
            <w:pPr>
              <w:widowControl/>
              <w:spacing w:line="360" w:lineRule="exact"/>
              <w:jc w:val="center"/>
              <w:rPr>
                <w:rFonts w:ascii="Times New Roman" w:hAnsi="Times New Roman"/>
                <w:szCs w:val="21"/>
              </w:rPr>
            </w:pPr>
            <w:r>
              <w:rPr>
                <w:rFonts w:ascii="Times New Roman" w:hAnsi="Times New Roman"/>
                <w:szCs w:val="21"/>
              </w:rPr>
              <w:t>收集到创大冷链物流公司进口汽车仓储物流园内垃圾收集点后由环卫部门统一收运。</w:t>
            </w:r>
          </w:p>
        </w:tc>
        <w:tc>
          <w:tcPr>
            <w:tcW w:w="2563" w:type="dxa"/>
            <w:vMerge w:val="continue"/>
            <w:shd w:val="clear" w:color="auto" w:fill="auto"/>
            <w:vAlign w:val="center"/>
          </w:tcPr>
          <w:p w14:paraId="0171A300">
            <w:pPr>
              <w:widowControl/>
              <w:spacing w:line="360" w:lineRule="exact"/>
              <w:jc w:val="left"/>
              <w:rPr>
                <w:rFonts w:ascii="Times New Roman" w:hAnsi="Times New Roman"/>
                <w:szCs w:val="21"/>
              </w:rPr>
            </w:pPr>
          </w:p>
        </w:tc>
      </w:tr>
      <w:tr w14:paraId="516582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98" w:type="dxa"/>
            <w:gridSpan w:val="2"/>
            <w:vMerge w:val="continue"/>
            <w:shd w:val="clear" w:color="auto" w:fill="auto"/>
            <w:vAlign w:val="center"/>
          </w:tcPr>
          <w:p w14:paraId="768A943B">
            <w:pPr>
              <w:widowControl/>
              <w:spacing w:line="360" w:lineRule="exact"/>
              <w:jc w:val="left"/>
              <w:rPr>
                <w:rFonts w:ascii="Times New Roman" w:hAnsi="Times New Roman"/>
                <w:szCs w:val="21"/>
              </w:rPr>
            </w:pPr>
          </w:p>
        </w:tc>
        <w:tc>
          <w:tcPr>
            <w:tcW w:w="2140" w:type="dxa"/>
            <w:gridSpan w:val="2"/>
            <w:shd w:val="clear" w:color="auto" w:fill="auto"/>
            <w:vAlign w:val="center"/>
          </w:tcPr>
          <w:p w14:paraId="7D2A984E">
            <w:pPr>
              <w:widowControl/>
              <w:spacing w:line="360" w:lineRule="exact"/>
              <w:jc w:val="center"/>
              <w:rPr>
                <w:rFonts w:ascii="Times New Roman" w:hAnsi="Times New Roman"/>
                <w:szCs w:val="21"/>
                <w:u w:val="single"/>
              </w:rPr>
            </w:pPr>
            <w:r>
              <w:rPr>
                <w:rFonts w:ascii="Times New Roman" w:hAnsi="Times New Roman"/>
                <w:kern w:val="0"/>
                <w:szCs w:val="21"/>
                <w:u w:val="single"/>
              </w:rPr>
              <w:t>除尘器废除尘袋</w:t>
            </w:r>
          </w:p>
        </w:tc>
        <w:tc>
          <w:tcPr>
            <w:tcW w:w="1005" w:type="dxa"/>
            <w:shd w:val="clear" w:color="auto" w:fill="auto"/>
            <w:vAlign w:val="center"/>
          </w:tcPr>
          <w:p w14:paraId="6621DF78">
            <w:pPr>
              <w:spacing w:line="360" w:lineRule="exact"/>
              <w:jc w:val="center"/>
              <w:rPr>
                <w:rFonts w:ascii="Times New Roman" w:hAnsi="Times New Roman"/>
                <w:szCs w:val="21"/>
                <w:u w:val="single"/>
              </w:rPr>
            </w:pPr>
            <w:r>
              <w:rPr>
                <w:rFonts w:ascii="Times New Roman" w:hAnsi="Times New Roman" w:eastAsia="等线"/>
                <w:szCs w:val="21"/>
                <w:u w:val="single"/>
              </w:rPr>
              <w:t>0.</w:t>
            </w:r>
            <w:r>
              <w:rPr>
                <w:rFonts w:hint="eastAsia" w:ascii="Times New Roman" w:hAnsi="Times New Roman" w:eastAsia="等线"/>
                <w:szCs w:val="21"/>
                <w:u w:val="single"/>
              </w:rPr>
              <w:t>6</w:t>
            </w:r>
            <w:r>
              <w:rPr>
                <w:rFonts w:ascii="Times New Roman" w:hAnsi="Times New Roman" w:eastAsia="等线"/>
                <w:szCs w:val="21"/>
                <w:u w:val="single"/>
              </w:rPr>
              <w:t>0</w:t>
            </w:r>
          </w:p>
        </w:tc>
        <w:tc>
          <w:tcPr>
            <w:tcW w:w="1136" w:type="dxa"/>
            <w:shd w:val="clear" w:color="auto" w:fill="auto"/>
            <w:vAlign w:val="center"/>
          </w:tcPr>
          <w:p w14:paraId="3C86F79A">
            <w:pPr>
              <w:spacing w:line="360" w:lineRule="exact"/>
              <w:jc w:val="center"/>
              <w:rPr>
                <w:rFonts w:ascii="Times New Roman" w:hAnsi="Times New Roman"/>
                <w:szCs w:val="21"/>
                <w:u w:val="single"/>
              </w:rPr>
            </w:pPr>
            <w:r>
              <w:rPr>
                <w:rFonts w:ascii="Times New Roman" w:hAnsi="Times New Roman"/>
                <w:szCs w:val="21"/>
                <w:u w:val="single"/>
              </w:rPr>
              <w:t>0</w:t>
            </w:r>
          </w:p>
        </w:tc>
        <w:tc>
          <w:tcPr>
            <w:tcW w:w="5382" w:type="dxa"/>
            <w:gridSpan w:val="4"/>
            <w:shd w:val="clear" w:color="auto" w:fill="auto"/>
            <w:vAlign w:val="center"/>
          </w:tcPr>
          <w:p w14:paraId="20D5B633">
            <w:pPr>
              <w:spacing w:line="360" w:lineRule="exact"/>
              <w:jc w:val="center"/>
              <w:rPr>
                <w:rFonts w:ascii="Times New Roman" w:hAnsi="Times New Roman"/>
                <w:szCs w:val="21"/>
                <w:u w:val="single"/>
              </w:rPr>
            </w:pPr>
            <w:r>
              <w:rPr>
                <w:rFonts w:ascii="Times New Roman" w:hAnsi="Times New Roman"/>
                <w:szCs w:val="21"/>
                <w:u w:val="single"/>
              </w:rPr>
              <w:t>暂存于专用贮存场地，</w:t>
            </w:r>
            <w:r>
              <w:rPr>
                <w:rFonts w:hint="eastAsia" w:ascii="Times New Roman" w:hAnsi="Times New Roman"/>
                <w:szCs w:val="21"/>
                <w:u w:val="single"/>
              </w:rPr>
              <w:t>定期外售综合利用或处置</w:t>
            </w:r>
            <w:r>
              <w:rPr>
                <w:rFonts w:ascii="Times New Roman" w:hAnsi="Times New Roman"/>
                <w:szCs w:val="21"/>
                <w:u w:val="single"/>
              </w:rPr>
              <w:t>。</w:t>
            </w:r>
          </w:p>
        </w:tc>
        <w:tc>
          <w:tcPr>
            <w:tcW w:w="2563" w:type="dxa"/>
            <w:vMerge w:val="continue"/>
            <w:shd w:val="clear" w:color="auto" w:fill="auto"/>
            <w:vAlign w:val="center"/>
          </w:tcPr>
          <w:p w14:paraId="41BB818B">
            <w:pPr>
              <w:widowControl/>
              <w:spacing w:line="360" w:lineRule="exact"/>
              <w:jc w:val="left"/>
              <w:rPr>
                <w:rFonts w:ascii="Times New Roman" w:hAnsi="Times New Roman"/>
                <w:szCs w:val="21"/>
              </w:rPr>
            </w:pPr>
          </w:p>
        </w:tc>
      </w:tr>
      <w:tr w14:paraId="5EA28F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98" w:type="dxa"/>
            <w:gridSpan w:val="2"/>
            <w:shd w:val="clear" w:color="auto" w:fill="auto"/>
            <w:vAlign w:val="center"/>
          </w:tcPr>
          <w:p w14:paraId="20052F32">
            <w:pPr>
              <w:widowControl/>
              <w:spacing w:line="360" w:lineRule="exact"/>
              <w:jc w:val="center"/>
              <w:rPr>
                <w:rFonts w:ascii="Times New Roman" w:hAnsi="Times New Roman"/>
                <w:szCs w:val="21"/>
              </w:rPr>
            </w:pPr>
            <w:r>
              <w:rPr>
                <w:rFonts w:ascii="Times New Roman" w:hAnsi="Times New Roman"/>
                <w:szCs w:val="21"/>
              </w:rPr>
              <w:t>危险废物</w:t>
            </w:r>
          </w:p>
        </w:tc>
        <w:tc>
          <w:tcPr>
            <w:tcW w:w="2140" w:type="dxa"/>
            <w:gridSpan w:val="2"/>
            <w:shd w:val="clear" w:color="auto" w:fill="auto"/>
            <w:vAlign w:val="center"/>
          </w:tcPr>
          <w:p w14:paraId="01F04F6F">
            <w:pPr>
              <w:widowControl/>
              <w:spacing w:line="360" w:lineRule="exact"/>
              <w:jc w:val="center"/>
              <w:rPr>
                <w:rFonts w:ascii="Times New Roman" w:hAnsi="Times New Roman"/>
                <w:szCs w:val="21"/>
              </w:rPr>
            </w:pPr>
            <w:r>
              <w:rPr>
                <w:rFonts w:ascii="Times New Roman" w:hAnsi="Times New Roman"/>
                <w:szCs w:val="21"/>
              </w:rPr>
              <w:t>废机油</w:t>
            </w:r>
          </w:p>
        </w:tc>
        <w:tc>
          <w:tcPr>
            <w:tcW w:w="1005" w:type="dxa"/>
            <w:shd w:val="clear" w:color="auto" w:fill="auto"/>
            <w:vAlign w:val="center"/>
          </w:tcPr>
          <w:p w14:paraId="7B2406A0">
            <w:pPr>
              <w:widowControl/>
              <w:spacing w:line="360" w:lineRule="exact"/>
              <w:jc w:val="center"/>
              <w:rPr>
                <w:rFonts w:ascii="Times New Roman" w:hAnsi="Times New Roman"/>
                <w:szCs w:val="21"/>
                <w:u w:val="single"/>
              </w:rPr>
            </w:pPr>
            <w:r>
              <w:rPr>
                <w:rFonts w:ascii="Times New Roman" w:hAnsi="Times New Roman"/>
                <w:szCs w:val="21"/>
                <w:u w:val="single"/>
              </w:rPr>
              <w:t>0.3</w:t>
            </w:r>
          </w:p>
        </w:tc>
        <w:tc>
          <w:tcPr>
            <w:tcW w:w="1136" w:type="dxa"/>
            <w:shd w:val="clear" w:color="auto" w:fill="auto"/>
            <w:vAlign w:val="center"/>
          </w:tcPr>
          <w:p w14:paraId="301F15E6">
            <w:pPr>
              <w:widowControl/>
              <w:spacing w:line="360" w:lineRule="exact"/>
              <w:jc w:val="center"/>
              <w:rPr>
                <w:rFonts w:ascii="Times New Roman" w:hAnsi="Times New Roman"/>
                <w:szCs w:val="21"/>
              </w:rPr>
            </w:pPr>
            <w:r>
              <w:rPr>
                <w:rFonts w:ascii="Times New Roman" w:hAnsi="Times New Roman"/>
                <w:szCs w:val="21"/>
              </w:rPr>
              <w:t>0</w:t>
            </w:r>
          </w:p>
        </w:tc>
        <w:tc>
          <w:tcPr>
            <w:tcW w:w="5382" w:type="dxa"/>
            <w:gridSpan w:val="4"/>
            <w:shd w:val="clear" w:color="auto" w:fill="auto"/>
            <w:vAlign w:val="center"/>
          </w:tcPr>
          <w:p w14:paraId="3397E701">
            <w:pPr>
              <w:widowControl/>
              <w:spacing w:line="360" w:lineRule="exact"/>
              <w:jc w:val="center"/>
              <w:rPr>
                <w:rFonts w:ascii="Times New Roman" w:hAnsi="Times New Roman"/>
                <w:szCs w:val="21"/>
              </w:rPr>
            </w:pPr>
            <w:r>
              <w:rPr>
                <w:rFonts w:ascii="Times New Roman" w:hAnsi="Times New Roman"/>
                <w:szCs w:val="21"/>
              </w:rPr>
              <w:t>暂存于危废暂存间，定期委托有处理资质单位处置</w:t>
            </w:r>
          </w:p>
        </w:tc>
        <w:tc>
          <w:tcPr>
            <w:tcW w:w="2563" w:type="dxa"/>
            <w:shd w:val="clear" w:color="auto" w:fill="auto"/>
            <w:vAlign w:val="center"/>
          </w:tcPr>
          <w:p w14:paraId="6585F205">
            <w:pPr>
              <w:widowControl/>
              <w:spacing w:line="360" w:lineRule="exact"/>
              <w:jc w:val="center"/>
              <w:rPr>
                <w:rFonts w:ascii="Times New Roman" w:hAnsi="Times New Roman"/>
                <w:szCs w:val="21"/>
              </w:rPr>
            </w:pPr>
            <w:r>
              <w:rPr>
                <w:rFonts w:ascii="Times New Roman" w:hAnsi="Times New Roman"/>
                <w:szCs w:val="21"/>
              </w:rPr>
              <w:t>《危险废物贮存污染控制标准》（GB18597—2023）</w:t>
            </w:r>
          </w:p>
        </w:tc>
      </w:tr>
      <w:tr w14:paraId="6987F6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524" w:type="dxa"/>
            <w:gridSpan w:val="11"/>
            <w:shd w:val="clear" w:color="auto" w:fill="auto"/>
            <w:vAlign w:val="center"/>
          </w:tcPr>
          <w:p w14:paraId="1D7340C1">
            <w:pPr>
              <w:widowControl/>
              <w:spacing w:line="360" w:lineRule="exact"/>
              <w:jc w:val="center"/>
              <w:rPr>
                <w:rFonts w:ascii="Times New Roman" w:hAnsi="Times New Roman"/>
                <w:b/>
                <w:bCs/>
                <w:szCs w:val="21"/>
              </w:rPr>
            </w:pPr>
            <w:r>
              <w:rPr>
                <w:rFonts w:ascii="Times New Roman" w:hAnsi="Times New Roman"/>
                <w:b/>
                <w:bCs/>
                <w:szCs w:val="21"/>
              </w:rPr>
              <w:t>四、噪声　</w:t>
            </w:r>
          </w:p>
        </w:tc>
      </w:tr>
      <w:tr w14:paraId="1E13FC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438" w:type="dxa"/>
            <w:gridSpan w:val="4"/>
            <w:shd w:val="clear" w:color="auto" w:fill="auto"/>
            <w:vAlign w:val="center"/>
          </w:tcPr>
          <w:p w14:paraId="1FF7CEBB">
            <w:pPr>
              <w:widowControl/>
              <w:spacing w:line="360" w:lineRule="exact"/>
              <w:jc w:val="center"/>
              <w:rPr>
                <w:rFonts w:ascii="Times New Roman" w:hAnsi="Times New Roman"/>
                <w:szCs w:val="21"/>
              </w:rPr>
            </w:pPr>
            <w:r>
              <w:rPr>
                <w:rFonts w:ascii="Times New Roman" w:hAnsi="Times New Roman"/>
                <w:szCs w:val="21"/>
              </w:rPr>
              <w:t>设备生产噪声</w:t>
            </w:r>
          </w:p>
        </w:tc>
        <w:tc>
          <w:tcPr>
            <w:tcW w:w="7523" w:type="dxa"/>
            <w:gridSpan w:val="6"/>
            <w:shd w:val="clear" w:color="auto" w:fill="auto"/>
            <w:vAlign w:val="center"/>
          </w:tcPr>
          <w:p w14:paraId="00C2ACA3">
            <w:pPr>
              <w:widowControl/>
              <w:spacing w:line="360" w:lineRule="exact"/>
              <w:jc w:val="center"/>
              <w:rPr>
                <w:rFonts w:ascii="Times New Roman" w:hAnsi="Times New Roman"/>
                <w:szCs w:val="21"/>
              </w:rPr>
            </w:pPr>
            <w:r>
              <w:rPr>
                <w:rFonts w:ascii="Times New Roman" w:hAnsi="Times New Roman"/>
                <w:szCs w:val="21"/>
              </w:rPr>
              <w:t>基础减震、噪声较大的引风机等设备设置独立隔声间且内墙面铺装吸声、厂房隔声等</w:t>
            </w:r>
          </w:p>
        </w:tc>
        <w:tc>
          <w:tcPr>
            <w:tcW w:w="2563" w:type="dxa"/>
            <w:shd w:val="clear" w:color="auto" w:fill="auto"/>
            <w:vAlign w:val="center"/>
          </w:tcPr>
          <w:p w14:paraId="47658E61">
            <w:pPr>
              <w:widowControl/>
              <w:spacing w:line="360" w:lineRule="exact"/>
              <w:jc w:val="left"/>
              <w:rPr>
                <w:rFonts w:ascii="Times New Roman" w:hAnsi="Times New Roman"/>
                <w:szCs w:val="21"/>
              </w:rPr>
            </w:pPr>
            <w:r>
              <w:rPr>
                <w:rFonts w:ascii="Times New Roman" w:hAnsi="Times New Roman"/>
                <w:szCs w:val="21"/>
              </w:rPr>
              <w:t>《工业企业厂界环境噪声排放标准》（GB12348-2008）</w:t>
            </w:r>
            <w:r>
              <w:rPr>
                <w:rFonts w:hint="eastAsia" w:ascii="Times New Roman" w:hAnsi="Times New Roman"/>
                <w:szCs w:val="21"/>
              </w:rPr>
              <w:t>3</w:t>
            </w:r>
            <w:r>
              <w:rPr>
                <w:rFonts w:ascii="Times New Roman" w:hAnsi="Times New Roman"/>
                <w:szCs w:val="21"/>
              </w:rPr>
              <w:t>类</w:t>
            </w:r>
          </w:p>
        </w:tc>
      </w:tr>
    </w:tbl>
    <w:p w14:paraId="7FD14B31">
      <w:pPr>
        <w:spacing w:line="360" w:lineRule="auto"/>
        <w:ind w:firstLine="472" w:firstLineChars="200"/>
        <w:rPr>
          <w:rFonts w:ascii="Times New Roman" w:hAnsi="Times New Roman"/>
          <w:spacing w:val="-2"/>
          <w:kern w:val="0"/>
          <w:sz w:val="24"/>
          <w:szCs w:val="24"/>
        </w:rPr>
      </w:pPr>
    </w:p>
    <w:p w14:paraId="1B3E888B">
      <w:pPr>
        <w:spacing w:line="360" w:lineRule="auto"/>
        <w:ind w:firstLine="472" w:firstLineChars="200"/>
        <w:rPr>
          <w:rFonts w:ascii="Times New Roman" w:hAnsi="Times New Roman"/>
          <w:spacing w:val="-2"/>
          <w:kern w:val="0"/>
          <w:sz w:val="24"/>
          <w:szCs w:val="24"/>
        </w:rPr>
        <w:sectPr>
          <w:pgSz w:w="16838" w:h="11906" w:orient="landscape"/>
          <w:pgMar w:top="1418" w:right="1418" w:bottom="1418" w:left="1418" w:header="851" w:footer="992" w:gutter="0"/>
          <w:cols w:space="720" w:num="1"/>
          <w:docGrid w:type="lines" w:linePitch="312" w:charSpace="0"/>
        </w:sectPr>
      </w:pPr>
    </w:p>
    <w:p w14:paraId="49090C25">
      <w:pPr>
        <w:pStyle w:val="6"/>
        <w:numPr>
          <w:ilvl w:val="2"/>
          <w:numId w:val="3"/>
        </w:numPr>
      </w:pPr>
      <w:r>
        <w:t>污染物排放总量控制</w:t>
      </w:r>
    </w:p>
    <w:p w14:paraId="7B23C480">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国家实行重点污染物排放总量控制制度。重点污染物排放总量控制指标由国务院下达，省、自治区、直辖市人民政府分解落实。企业事业单位在执行国家和地方污染物排放标准的同时，应当遵守分解落实到本单位的重点污染物排放总量控制指标。</w:t>
      </w:r>
    </w:p>
    <w:p w14:paraId="26365345">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项目营运期实行污水与雨水分流，项目生活污水经化粪池处理后排入市政污水管网送大榄坪污水处理厂处理，废水总量指标已在大榄坪污水处理厂项目核算，不重复核算总量；项目排放废气污染物主要有NO</w:t>
      </w:r>
      <w:r>
        <w:rPr>
          <w:rFonts w:ascii="Times New Roman" w:hAnsi="Times New Roman"/>
          <w:spacing w:val="-2"/>
          <w:kern w:val="0"/>
          <w:sz w:val="24"/>
          <w:szCs w:val="24"/>
          <w:vertAlign w:val="subscript"/>
        </w:rPr>
        <w:t>X</w:t>
      </w:r>
      <w:r>
        <w:rPr>
          <w:rFonts w:ascii="Times New Roman" w:hAnsi="Times New Roman"/>
          <w:spacing w:val="-2"/>
          <w:kern w:val="0"/>
          <w:sz w:val="24"/>
          <w:szCs w:val="24"/>
        </w:rPr>
        <w:t>。根据《</w:t>
      </w:r>
      <w:r>
        <w:rPr>
          <w:rFonts w:ascii="宋体" w:hAnsi="宋体"/>
          <w:spacing w:val="-2"/>
          <w:kern w:val="0"/>
          <w:sz w:val="24"/>
          <w:szCs w:val="24"/>
        </w:rPr>
        <w:t>“十四五”</w:t>
      </w:r>
      <w:r>
        <w:rPr>
          <w:rFonts w:ascii="Times New Roman" w:hAnsi="Times New Roman"/>
          <w:spacing w:val="-2"/>
          <w:kern w:val="0"/>
          <w:sz w:val="24"/>
          <w:szCs w:val="24"/>
        </w:rPr>
        <w:t>污染减排综合工作方案编制技术指南》给出的减排因子和广西的有关要求，结合本项目的特点，本项目的总量控制指标建议见表7.2-2。</w:t>
      </w:r>
    </w:p>
    <w:p w14:paraId="0D253FC8">
      <w:pPr>
        <w:pStyle w:val="8"/>
        <w:numPr>
          <w:ilvl w:val="4"/>
          <w:numId w:val="3"/>
        </w:numPr>
        <w:rPr>
          <w:sz w:val="24"/>
          <w:szCs w:val="24"/>
        </w:rPr>
      </w:pPr>
      <w:r>
        <w:rPr>
          <w:sz w:val="24"/>
          <w:szCs w:val="24"/>
        </w:rPr>
        <w:t>项目污染物总量指标建议值表</w:t>
      </w:r>
    </w:p>
    <w:tbl>
      <w:tblPr>
        <w:tblStyle w:val="88"/>
        <w:tblW w:w="8865"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4432"/>
        <w:gridCol w:w="4433"/>
      </w:tblGrid>
      <w:tr w14:paraId="72D051D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432" w:type="dxa"/>
            <w:vAlign w:val="center"/>
          </w:tcPr>
          <w:p w14:paraId="690C9A98">
            <w:pPr>
              <w:adjustRightInd w:val="0"/>
              <w:snapToGrid w:val="0"/>
              <w:jc w:val="center"/>
              <w:rPr>
                <w:rFonts w:ascii="Times New Roman" w:hAnsi="Times New Roman"/>
                <w:b/>
                <w:bCs/>
                <w:szCs w:val="21"/>
              </w:rPr>
            </w:pPr>
            <w:r>
              <w:rPr>
                <w:rFonts w:ascii="Times New Roman" w:hAnsi="Times New Roman"/>
                <w:b/>
                <w:bCs/>
                <w:szCs w:val="21"/>
              </w:rPr>
              <w:t>控制污染物</w:t>
            </w:r>
          </w:p>
        </w:tc>
        <w:tc>
          <w:tcPr>
            <w:tcW w:w="4433" w:type="dxa"/>
            <w:vAlign w:val="center"/>
          </w:tcPr>
          <w:p w14:paraId="2393A93D">
            <w:pPr>
              <w:adjustRightInd w:val="0"/>
              <w:snapToGrid w:val="0"/>
              <w:jc w:val="center"/>
              <w:rPr>
                <w:rFonts w:ascii="Times New Roman" w:hAnsi="Times New Roman"/>
                <w:b/>
                <w:bCs/>
                <w:szCs w:val="21"/>
              </w:rPr>
            </w:pPr>
            <w:r>
              <w:rPr>
                <w:rFonts w:ascii="Times New Roman" w:hAnsi="Times New Roman"/>
                <w:b/>
                <w:bCs/>
                <w:szCs w:val="21"/>
              </w:rPr>
              <w:t>总量指标（t/a）</w:t>
            </w:r>
          </w:p>
        </w:tc>
      </w:tr>
      <w:tr w14:paraId="07564C0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432" w:type="dxa"/>
            <w:vAlign w:val="center"/>
          </w:tcPr>
          <w:p w14:paraId="3CE0864A">
            <w:pPr>
              <w:adjustRightInd w:val="0"/>
              <w:snapToGrid w:val="0"/>
              <w:jc w:val="center"/>
              <w:rPr>
                <w:rFonts w:ascii="Times New Roman" w:hAnsi="Times New Roman"/>
                <w:szCs w:val="21"/>
              </w:rPr>
            </w:pPr>
            <w:r>
              <w:rPr>
                <w:rFonts w:ascii="Times New Roman" w:hAnsi="Times New Roman"/>
                <w:szCs w:val="21"/>
              </w:rPr>
              <w:t>NOx</w:t>
            </w:r>
          </w:p>
        </w:tc>
        <w:tc>
          <w:tcPr>
            <w:tcW w:w="4433" w:type="dxa"/>
            <w:vAlign w:val="center"/>
          </w:tcPr>
          <w:p w14:paraId="0C8C8EFE">
            <w:pPr>
              <w:adjustRightInd w:val="0"/>
              <w:snapToGrid w:val="0"/>
              <w:jc w:val="center"/>
              <w:rPr>
                <w:rFonts w:ascii="Times New Roman" w:hAnsi="Times New Roman"/>
                <w:szCs w:val="21"/>
                <w:u w:val="single"/>
              </w:rPr>
            </w:pPr>
            <w:r>
              <w:rPr>
                <w:rFonts w:hint="eastAsia" w:ascii="Times New Roman" w:hAnsi="Times New Roman"/>
                <w:szCs w:val="21"/>
                <w:u w:val="single"/>
              </w:rPr>
              <w:t>2.4</w:t>
            </w:r>
          </w:p>
        </w:tc>
      </w:tr>
    </w:tbl>
    <w:p w14:paraId="14AFE417">
      <w:pPr>
        <w:spacing w:line="360" w:lineRule="auto"/>
        <w:ind w:firstLine="472" w:firstLineChars="200"/>
        <w:rPr>
          <w:rFonts w:ascii="Times New Roman" w:hAnsi="Times New Roman"/>
          <w:spacing w:val="-2"/>
          <w:kern w:val="0"/>
          <w:sz w:val="24"/>
          <w:szCs w:val="24"/>
        </w:rPr>
      </w:pPr>
    </w:p>
    <w:p w14:paraId="3ACE12A2">
      <w:pPr>
        <w:pStyle w:val="6"/>
        <w:numPr>
          <w:ilvl w:val="2"/>
          <w:numId w:val="3"/>
        </w:numPr>
      </w:pPr>
      <w:r>
        <w:t>排污口设置及规范化管理</w:t>
      </w:r>
    </w:p>
    <w:p w14:paraId="0EADA73F">
      <w:pPr>
        <w:spacing w:line="360" w:lineRule="auto"/>
        <w:ind w:firstLine="472" w:firstLineChars="200"/>
        <w:rPr>
          <w:rFonts w:ascii="Times New Roman" w:hAnsi="Times New Roman"/>
          <w:spacing w:val="-2"/>
          <w:kern w:val="0"/>
          <w:sz w:val="24"/>
          <w:szCs w:val="24"/>
          <w:u w:val="single"/>
        </w:rPr>
      </w:pPr>
      <w:r>
        <w:rPr>
          <w:rFonts w:ascii="Times New Roman" w:hAnsi="Times New Roman"/>
          <w:spacing w:val="-2"/>
          <w:kern w:val="0"/>
          <w:sz w:val="24"/>
          <w:szCs w:val="24"/>
          <w:u w:val="single"/>
        </w:rPr>
        <w:t>根据《排污口规范化整治技术要求(试行)》（环监〔1996〕470 号），项目建设的同时应进行排污口规范化工作，以促进企业加强经营管理和污染治理，实现污染物排放的科学化、定量化管理。排污口规范化整治应遵循便于采集样品，便于计量监测，便于日常现场监督检查的原则。</w:t>
      </w:r>
    </w:p>
    <w:p w14:paraId="36F5DFEC">
      <w:pPr>
        <w:spacing w:line="360" w:lineRule="auto"/>
        <w:ind w:firstLine="472" w:firstLineChars="200"/>
        <w:rPr>
          <w:rFonts w:ascii="Times New Roman" w:hAnsi="Times New Roman"/>
          <w:spacing w:val="-2"/>
          <w:kern w:val="0"/>
          <w:sz w:val="24"/>
          <w:szCs w:val="24"/>
          <w:u w:val="single"/>
        </w:rPr>
      </w:pPr>
      <w:r>
        <w:rPr>
          <w:rFonts w:ascii="Times New Roman" w:hAnsi="Times New Roman"/>
          <w:spacing w:val="-2"/>
          <w:kern w:val="0"/>
          <w:sz w:val="24"/>
          <w:szCs w:val="24"/>
          <w:u w:val="single"/>
        </w:rPr>
        <w:t>（1）废气排放口</w:t>
      </w:r>
    </w:p>
    <w:p w14:paraId="119C37E1">
      <w:pPr>
        <w:spacing w:line="360" w:lineRule="auto"/>
        <w:ind w:firstLine="472" w:firstLineChars="200"/>
        <w:rPr>
          <w:rFonts w:ascii="Times New Roman" w:hAnsi="Times New Roman"/>
          <w:spacing w:val="-2"/>
          <w:kern w:val="0"/>
          <w:sz w:val="24"/>
          <w:szCs w:val="24"/>
          <w:u w:val="single"/>
        </w:rPr>
      </w:pPr>
      <w:r>
        <w:rPr>
          <w:rFonts w:ascii="Times New Roman" w:hAnsi="Times New Roman"/>
          <w:spacing w:val="-2"/>
          <w:kern w:val="0"/>
          <w:sz w:val="24"/>
          <w:szCs w:val="24"/>
          <w:u w:val="single"/>
        </w:rPr>
        <w:t>根据《排污口规范化整治技术要求（试行）》（环监〔1996〕470 号），项目建设的同时应进行排污口规范化工作，具体应有如下设施与标志：</w:t>
      </w:r>
    </w:p>
    <w:p w14:paraId="31186FBB">
      <w:pPr>
        <w:spacing w:line="360" w:lineRule="auto"/>
        <w:ind w:firstLine="472" w:firstLineChars="200"/>
        <w:rPr>
          <w:rFonts w:ascii="Times New Roman" w:hAnsi="Times New Roman"/>
          <w:spacing w:val="-2"/>
          <w:kern w:val="0"/>
          <w:sz w:val="24"/>
          <w:szCs w:val="24"/>
          <w:u w:val="single"/>
        </w:rPr>
      </w:pPr>
      <w:r>
        <w:rPr>
          <w:rFonts w:ascii="宋体" w:hAnsi="宋体" w:cs="Cambria Math"/>
          <w:spacing w:val="-2"/>
          <w:kern w:val="0"/>
          <w:sz w:val="24"/>
          <w:szCs w:val="24"/>
          <w:u w:val="single"/>
        </w:rPr>
        <w:t>①</w:t>
      </w:r>
      <w:r>
        <w:rPr>
          <w:rFonts w:ascii="Times New Roman" w:hAnsi="Times New Roman"/>
          <w:spacing w:val="-2"/>
          <w:kern w:val="0"/>
          <w:sz w:val="24"/>
          <w:szCs w:val="24"/>
          <w:u w:val="single"/>
        </w:rPr>
        <w:t xml:space="preserve"> 项目废气的排气筒应设置便于采样、监测的采样口。采样口的设置应符合《污染源监测技术规范》要求。采样口位置无法满足</w:t>
      </w:r>
      <w:r>
        <w:rPr>
          <w:rFonts w:ascii="宋体" w:hAnsi="宋体"/>
          <w:spacing w:val="-2"/>
          <w:kern w:val="0"/>
          <w:sz w:val="24"/>
          <w:szCs w:val="24"/>
          <w:u w:val="single"/>
        </w:rPr>
        <w:t>“规范”</w:t>
      </w:r>
      <w:r>
        <w:rPr>
          <w:rFonts w:ascii="Times New Roman" w:hAnsi="Times New Roman"/>
          <w:spacing w:val="-2"/>
          <w:kern w:val="0"/>
          <w:sz w:val="24"/>
          <w:szCs w:val="24"/>
          <w:u w:val="single"/>
        </w:rPr>
        <w:t>要求的，其监测孔位置由当地环境监测部门确认。排气筒应设置、注明以下内容：标准编号、污染源名称及型号；排放高度、出口直径；排气量、最大允许排放浓度；排放大气污染物的名称、最大允许排放量。</w:t>
      </w:r>
    </w:p>
    <w:p w14:paraId="11832D3B">
      <w:pPr>
        <w:spacing w:line="360" w:lineRule="auto"/>
        <w:ind w:firstLine="472" w:firstLineChars="200"/>
        <w:rPr>
          <w:rFonts w:ascii="Times New Roman" w:hAnsi="Times New Roman"/>
          <w:spacing w:val="-2"/>
          <w:kern w:val="0"/>
          <w:sz w:val="24"/>
          <w:szCs w:val="24"/>
          <w:u w:val="single"/>
        </w:rPr>
      </w:pPr>
      <w:r>
        <w:rPr>
          <w:rFonts w:ascii="宋体" w:hAnsi="宋体" w:cs="Cambria Math"/>
          <w:spacing w:val="-2"/>
          <w:kern w:val="0"/>
          <w:sz w:val="24"/>
          <w:szCs w:val="24"/>
          <w:u w:val="single"/>
        </w:rPr>
        <w:t>②</w:t>
      </w:r>
      <w:r>
        <w:rPr>
          <w:rFonts w:ascii="Times New Roman" w:hAnsi="Times New Roman"/>
          <w:spacing w:val="-2"/>
          <w:kern w:val="0"/>
          <w:sz w:val="24"/>
          <w:szCs w:val="24"/>
          <w:u w:val="single"/>
        </w:rPr>
        <w:t xml:space="preserve"> 可根据实际情况分别选择设置立式或平面固定式标志牌。标志牌设置位置应距污染物排放口（源）或采样点较近且醒目处，并能长久保留。设置高度一般为：标志牌上缘距离地面2米，标志规格为：60cm×40cm。</w:t>
      </w:r>
    </w:p>
    <w:p w14:paraId="706AF12B">
      <w:pPr>
        <w:spacing w:line="360" w:lineRule="auto"/>
        <w:ind w:firstLine="472" w:firstLineChars="200"/>
        <w:rPr>
          <w:rFonts w:ascii="Times New Roman" w:hAnsi="Times New Roman"/>
          <w:spacing w:val="-2"/>
          <w:kern w:val="0"/>
          <w:sz w:val="24"/>
          <w:szCs w:val="24"/>
          <w:u w:val="single"/>
        </w:rPr>
      </w:pPr>
      <w:r>
        <w:rPr>
          <w:rFonts w:ascii="Times New Roman" w:hAnsi="Times New Roman"/>
          <w:spacing w:val="-2"/>
          <w:kern w:val="0"/>
          <w:sz w:val="24"/>
          <w:szCs w:val="24"/>
          <w:u w:val="single"/>
        </w:rPr>
        <w:t>（2）废水排放口</w:t>
      </w:r>
    </w:p>
    <w:p w14:paraId="51B2FC6D">
      <w:pPr>
        <w:spacing w:line="360" w:lineRule="auto"/>
        <w:ind w:firstLine="472" w:firstLineChars="200"/>
        <w:rPr>
          <w:rFonts w:ascii="Times New Roman" w:hAnsi="Times New Roman"/>
          <w:spacing w:val="-2"/>
          <w:kern w:val="0"/>
          <w:sz w:val="24"/>
          <w:szCs w:val="24"/>
          <w:u w:val="single"/>
        </w:rPr>
      </w:pPr>
      <w:r>
        <w:rPr>
          <w:rFonts w:ascii="Times New Roman" w:hAnsi="Times New Roman"/>
          <w:spacing w:val="-2"/>
          <w:kern w:val="0"/>
          <w:sz w:val="24"/>
          <w:szCs w:val="24"/>
          <w:u w:val="single"/>
        </w:rPr>
        <w:t>根据《排污口规范化整治技术要求（试行）》（环监〔1996〕470 号），项目建设的同时应进行排污口规范化工作，按照《污染源监测技术规范》设置采样点，如：工厂总排放口、排放一类污染物的车间排放口，污水处理设施的进水和出水口等；应设置规范的、便于测量流量、流速的测流段；列入重点整治的污水排放口应安装流量计；一般污水排污口可安装三角堰、矩形堰、测流槽等测流装置或其他计量装置。</w:t>
      </w:r>
    </w:p>
    <w:p w14:paraId="5A8ABA89">
      <w:pPr>
        <w:spacing w:line="360" w:lineRule="auto"/>
        <w:ind w:firstLine="472" w:firstLineChars="200"/>
        <w:rPr>
          <w:rFonts w:ascii="Times New Roman" w:hAnsi="Times New Roman"/>
          <w:spacing w:val="-2"/>
          <w:kern w:val="0"/>
          <w:sz w:val="24"/>
          <w:szCs w:val="24"/>
          <w:u w:val="single"/>
        </w:rPr>
      </w:pPr>
      <w:r>
        <w:rPr>
          <w:rFonts w:ascii="Times New Roman" w:hAnsi="Times New Roman"/>
          <w:spacing w:val="-2"/>
          <w:kern w:val="0"/>
          <w:sz w:val="24"/>
          <w:szCs w:val="24"/>
          <w:u w:val="single"/>
        </w:rPr>
        <w:t>（3）固体废弃物储存（处置）场所</w:t>
      </w:r>
    </w:p>
    <w:p w14:paraId="17230AEA">
      <w:pPr>
        <w:spacing w:line="360" w:lineRule="auto"/>
        <w:ind w:firstLine="472" w:firstLineChars="200"/>
        <w:rPr>
          <w:rFonts w:ascii="Times New Roman" w:hAnsi="Times New Roman"/>
          <w:spacing w:val="-2"/>
          <w:kern w:val="0"/>
          <w:sz w:val="24"/>
          <w:szCs w:val="24"/>
          <w:u w:val="single"/>
        </w:rPr>
      </w:pPr>
      <w:r>
        <w:rPr>
          <w:rFonts w:ascii="Times New Roman" w:hAnsi="Times New Roman"/>
          <w:spacing w:val="-2"/>
          <w:kern w:val="0"/>
          <w:sz w:val="24"/>
          <w:szCs w:val="24"/>
          <w:u w:val="single"/>
        </w:rPr>
        <w:t>本项目设置一般工业固废</w:t>
      </w:r>
      <w:r>
        <w:rPr>
          <w:rFonts w:hint="eastAsia" w:ascii="Times New Roman" w:hAnsi="Times New Roman"/>
          <w:spacing w:val="-2"/>
          <w:kern w:val="0"/>
          <w:sz w:val="24"/>
          <w:szCs w:val="24"/>
          <w:u w:val="single"/>
        </w:rPr>
        <w:t>暂存</w:t>
      </w:r>
      <w:r>
        <w:rPr>
          <w:rFonts w:ascii="Times New Roman" w:hAnsi="Times New Roman"/>
          <w:spacing w:val="-2"/>
          <w:kern w:val="0"/>
          <w:sz w:val="24"/>
          <w:szCs w:val="24"/>
          <w:u w:val="single"/>
        </w:rPr>
        <w:t>房、危废暂存库对项目产生的固体废物收集后，按照一般固废以及危险废物贮存、转移的规定程序进行。项目内的固体废物暂存场应设置环境保护图形标志，按</w:t>
      </w:r>
      <w:r>
        <w:rPr>
          <w:rFonts w:hint="eastAsia" w:ascii="Times New Roman" w:hAnsi="Times New Roman"/>
          <w:spacing w:val="-2"/>
          <w:kern w:val="0"/>
          <w:sz w:val="24"/>
          <w:szCs w:val="24"/>
          <w:u w:val="single"/>
        </w:rPr>
        <w:t>《环境保护图形标志—固体废物贮存（处置）场》（GB15562.2-1995）及其修改单和《危险废物识别标志设置技术规范 》（HJ 1276-2022）</w:t>
      </w:r>
      <w:r>
        <w:rPr>
          <w:rFonts w:ascii="Times New Roman" w:hAnsi="Times New Roman"/>
          <w:spacing w:val="-2"/>
          <w:kern w:val="0"/>
          <w:sz w:val="24"/>
          <w:szCs w:val="24"/>
          <w:u w:val="single"/>
        </w:rPr>
        <w:t>规定进行检查和维护。</w:t>
      </w:r>
    </w:p>
    <w:p w14:paraId="36667120">
      <w:pPr>
        <w:spacing w:line="360" w:lineRule="auto"/>
        <w:ind w:firstLine="472" w:firstLineChars="200"/>
        <w:rPr>
          <w:rFonts w:ascii="Times New Roman" w:hAnsi="Times New Roman"/>
          <w:spacing w:val="-2"/>
          <w:kern w:val="0"/>
          <w:sz w:val="24"/>
          <w:szCs w:val="24"/>
          <w:u w:val="single"/>
        </w:rPr>
      </w:pPr>
      <w:r>
        <w:rPr>
          <w:rFonts w:ascii="Times New Roman" w:hAnsi="Times New Roman"/>
          <w:spacing w:val="-2"/>
          <w:kern w:val="0"/>
          <w:sz w:val="24"/>
          <w:szCs w:val="24"/>
          <w:u w:val="single"/>
        </w:rPr>
        <w:t>（4）固定噪声源</w:t>
      </w:r>
    </w:p>
    <w:p w14:paraId="130EA25C">
      <w:pPr>
        <w:spacing w:line="360" w:lineRule="auto"/>
        <w:ind w:firstLine="472" w:firstLineChars="200"/>
        <w:rPr>
          <w:rFonts w:ascii="Times New Roman" w:hAnsi="Times New Roman"/>
          <w:spacing w:val="-2"/>
          <w:kern w:val="0"/>
          <w:sz w:val="24"/>
          <w:szCs w:val="24"/>
          <w:u w:val="single"/>
        </w:rPr>
      </w:pPr>
      <w:r>
        <w:rPr>
          <w:rFonts w:ascii="Times New Roman" w:hAnsi="Times New Roman"/>
          <w:spacing w:val="-2"/>
          <w:kern w:val="0"/>
          <w:sz w:val="24"/>
          <w:szCs w:val="24"/>
          <w:u w:val="single"/>
        </w:rPr>
        <w:t>对固定噪声污染源对边界影响最大处，设置环境噪声监测点，并在该处附近醒目处设置环境保护图形标志牌；边界上有若干个在声环境中相对独立的固定噪声污染源扰民处，应分别设置环境噪声监测点和环境保护图形标志牌。</w:t>
      </w:r>
    </w:p>
    <w:p w14:paraId="33774CB5">
      <w:pPr>
        <w:spacing w:line="360" w:lineRule="auto"/>
        <w:ind w:firstLine="472" w:firstLineChars="200"/>
        <w:rPr>
          <w:rFonts w:ascii="Times New Roman" w:hAnsi="Times New Roman"/>
          <w:spacing w:val="-2"/>
          <w:kern w:val="0"/>
          <w:sz w:val="24"/>
          <w:szCs w:val="24"/>
          <w:u w:val="single"/>
        </w:rPr>
      </w:pPr>
      <w:r>
        <w:rPr>
          <w:rFonts w:ascii="Times New Roman" w:hAnsi="Times New Roman"/>
          <w:spacing w:val="-2"/>
          <w:kern w:val="0"/>
          <w:sz w:val="24"/>
          <w:szCs w:val="24"/>
          <w:u w:val="single"/>
        </w:rPr>
        <w:t>（5）排污口立标和建档</w:t>
      </w:r>
    </w:p>
    <w:p w14:paraId="02C698D2">
      <w:pPr>
        <w:spacing w:line="360" w:lineRule="auto"/>
        <w:ind w:firstLine="472" w:firstLineChars="200"/>
        <w:rPr>
          <w:rFonts w:ascii="Times New Roman" w:hAnsi="Times New Roman"/>
          <w:spacing w:val="-2"/>
          <w:kern w:val="0"/>
          <w:sz w:val="24"/>
          <w:szCs w:val="24"/>
          <w:u w:val="single"/>
        </w:rPr>
      </w:pPr>
      <w:r>
        <w:rPr>
          <w:rFonts w:ascii="宋体" w:hAnsi="宋体" w:cs="Cambria Math"/>
          <w:spacing w:val="-2"/>
          <w:kern w:val="0"/>
          <w:sz w:val="24"/>
          <w:szCs w:val="24"/>
          <w:u w:val="single"/>
        </w:rPr>
        <w:t>①</w:t>
      </w:r>
      <w:r>
        <w:rPr>
          <w:rFonts w:ascii="Times New Roman" w:hAnsi="Times New Roman"/>
          <w:spacing w:val="-2"/>
          <w:kern w:val="0"/>
          <w:sz w:val="24"/>
          <w:szCs w:val="24"/>
          <w:u w:val="single"/>
        </w:rPr>
        <w:t xml:space="preserve"> 排污口立标管理</w:t>
      </w:r>
    </w:p>
    <w:p w14:paraId="17E15455">
      <w:pPr>
        <w:spacing w:line="360" w:lineRule="auto"/>
        <w:ind w:firstLine="472" w:firstLineChars="200"/>
        <w:rPr>
          <w:rFonts w:ascii="Times New Roman" w:hAnsi="Times New Roman"/>
          <w:spacing w:val="-2"/>
          <w:kern w:val="0"/>
          <w:sz w:val="24"/>
          <w:szCs w:val="24"/>
          <w:u w:val="single"/>
        </w:rPr>
      </w:pPr>
      <w:r>
        <w:rPr>
          <w:rFonts w:ascii="Times New Roman" w:hAnsi="Times New Roman"/>
          <w:spacing w:val="-2"/>
          <w:kern w:val="0"/>
          <w:sz w:val="24"/>
          <w:szCs w:val="24"/>
          <w:u w:val="single"/>
        </w:rPr>
        <w:t>废气、废水排放口和固体废物堆场等应按《环境保护图形标志-排污口（源）》（GB15562.1-1995）规定，设置统一制作的环境保护图形标志牌，污染物排放口设置提示性环境保护图形标志牌。污染物排放口的环保图形标志牌应设置在靠近采样点的醒目处，标志牌设置高度为其上缘距地面2m。示例见图7.2-1。</w:t>
      </w:r>
    </w:p>
    <w:p w14:paraId="3A6D0285">
      <w:pPr>
        <w:spacing w:line="360" w:lineRule="auto"/>
        <w:ind w:firstLine="472" w:firstLineChars="200"/>
        <w:rPr>
          <w:rFonts w:ascii="Times New Roman" w:hAnsi="Times New Roman"/>
          <w:spacing w:val="-2"/>
          <w:kern w:val="0"/>
          <w:sz w:val="24"/>
          <w:szCs w:val="24"/>
          <w:u w:val="single"/>
        </w:rPr>
      </w:pPr>
      <w:r>
        <w:rPr>
          <w:rFonts w:ascii="宋体" w:hAnsi="宋体" w:cs="Cambria Math"/>
          <w:spacing w:val="-2"/>
          <w:kern w:val="0"/>
          <w:sz w:val="24"/>
          <w:szCs w:val="24"/>
          <w:u w:val="single"/>
        </w:rPr>
        <w:t>②</w:t>
      </w:r>
      <w:r>
        <w:rPr>
          <w:rFonts w:ascii="Times New Roman" w:hAnsi="Times New Roman"/>
          <w:spacing w:val="-2"/>
          <w:kern w:val="0"/>
          <w:sz w:val="24"/>
          <w:szCs w:val="24"/>
          <w:u w:val="single"/>
        </w:rPr>
        <w:t xml:space="preserve"> 排污口建档管理</w:t>
      </w:r>
    </w:p>
    <w:p w14:paraId="0306774B">
      <w:pPr>
        <w:spacing w:line="360" w:lineRule="auto"/>
        <w:ind w:firstLine="472" w:firstLineChars="200"/>
        <w:rPr>
          <w:rFonts w:ascii="Times New Roman" w:hAnsi="Times New Roman"/>
          <w:spacing w:val="-2"/>
          <w:kern w:val="0"/>
          <w:sz w:val="24"/>
          <w:szCs w:val="24"/>
          <w:u w:val="single"/>
        </w:rPr>
      </w:pPr>
      <w:r>
        <w:rPr>
          <w:rFonts w:ascii="Times New Roman" w:hAnsi="Times New Roman"/>
          <w:spacing w:val="-2"/>
          <w:kern w:val="0"/>
          <w:sz w:val="24"/>
          <w:szCs w:val="24"/>
          <w:u w:val="single"/>
        </w:rPr>
        <w:t>项目应使用国家环保局统一印制的《中华人民共和国规范化排污口标志登记证》，并按要求填写有关内容，项目建成后，应将主要污染物种类、数量、浓度、排放去向、达标情况及设施运行情况记录于档案。</w:t>
      </w:r>
    </w:p>
    <w:p w14:paraId="2A1B3CF5">
      <w:pPr>
        <w:spacing w:line="360" w:lineRule="auto"/>
        <w:ind w:firstLine="472" w:firstLineChars="200"/>
        <w:rPr>
          <w:rFonts w:ascii="Times New Roman" w:hAnsi="Times New Roman"/>
          <w:spacing w:val="-2"/>
          <w:kern w:val="0"/>
          <w:sz w:val="24"/>
          <w:szCs w:val="24"/>
        </w:rPr>
      </w:pPr>
    </w:p>
    <w:p w14:paraId="71FE4C22">
      <w:pPr>
        <w:spacing w:line="360" w:lineRule="auto"/>
        <w:ind w:firstLine="472" w:firstLineChars="200"/>
        <w:rPr>
          <w:rFonts w:ascii="Times New Roman" w:hAnsi="Times New Roman"/>
          <w:spacing w:val="-2"/>
          <w:kern w:val="0"/>
          <w:sz w:val="24"/>
          <w:szCs w:val="24"/>
        </w:rPr>
      </w:pPr>
    </w:p>
    <w:p w14:paraId="43BBAFFC">
      <w:pPr>
        <w:spacing w:line="360" w:lineRule="auto"/>
        <w:ind w:firstLine="472" w:firstLineChars="200"/>
        <w:rPr>
          <w:rFonts w:ascii="Times New Roman" w:hAnsi="Times New Roman"/>
          <w:spacing w:val="-2"/>
          <w:kern w:val="0"/>
          <w:sz w:val="24"/>
          <w:szCs w:val="24"/>
        </w:rPr>
      </w:pPr>
    </w:p>
    <w:p w14:paraId="125B254D">
      <w:pPr>
        <w:spacing w:line="360" w:lineRule="auto"/>
        <w:rPr>
          <w:rFonts w:ascii="Times New Roman" w:hAnsi="Times New Roman"/>
          <w:spacing w:val="-2"/>
          <w:kern w:val="0"/>
          <w:sz w:val="24"/>
          <w:szCs w:val="24"/>
        </w:rPr>
      </w:pPr>
      <w:r>
        <w:rPr>
          <w:rFonts w:ascii="Times New Roman" w:hAnsi="Times New Roman"/>
          <w:spacing w:val="-2"/>
          <w:kern w:val="0"/>
          <w:sz w:val="24"/>
          <w:szCs w:val="24"/>
        </w:rPr>
        <w:drawing>
          <wp:inline distT="0" distB="0" distL="0" distR="0">
            <wp:extent cx="5486400" cy="2914650"/>
            <wp:effectExtent l="0" t="0" r="0" b="0"/>
            <wp:docPr id="1811531047"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531047" name="图片 155"/>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5486400" cy="2914650"/>
                    </a:xfrm>
                    <a:prstGeom prst="rect">
                      <a:avLst/>
                    </a:prstGeom>
                  </pic:spPr>
                </pic:pic>
              </a:graphicData>
            </a:graphic>
          </wp:inline>
        </w:drawing>
      </w:r>
    </w:p>
    <w:p w14:paraId="4DB2AAC7">
      <w:pPr>
        <w:pStyle w:val="9"/>
        <w:numPr>
          <w:ilvl w:val="5"/>
          <w:numId w:val="3"/>
        </w:numPr>
        <w:rPr>
          <w:sz w:val="24"/>
        </w:rPr>
      </w:pPr>
      <w:r>
        <w:rPr>
          <w:sz w:val="24"/>
        </w:rPr>
        <w:t>排污口图形标识示例图</w:t>
      </w:r>
    </w:p>
    <w:p w14:paraId="5A4E69C9">
      <w:pPr>
        <w:pStyle w:val="6"/>
        <w:numPr>
          <w:ilvl w:val="2"/>
          <w:numId w:val="3"/>
        </w:numPr>
      </w:pPr>
      <w:r>
        <w:t>排污许可制度</w:t>
      </w:r>
    </w:p>
    <w:p w14:paraId="0D3D2787">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环境保护部办公厅于2017年11月14日印发《关于做好环境影响评价制度与排污许可证衔接相关工作的通知》（环办环评﹝2017﹞84号）中提出：</w:t>
      </w:r>
      <w:r>
        <w:rPr>
          <w:rFonts w:ascii="宋体" w:hAnsi="宋体"/>
          <w:spacing w:val="-2"/>
          <w:kern w:val="0"/>
          <w:sz w:val="24"/>
          <w:szCs w:val="24"/>
        </w:rPr>
        <w:t>“排污许可制是企事业单位生产运营期排污的法律依据，是确保环境影响评价提出的污染防治设施和措施落实落地的重要保障。”因</w:t>
      </w:r>
      <w:r>
        <w:rPr>
          <w:rFonts w:ascii="Times New Roman" w:hAnsi="Times New Roman"/>
          <w:spacing w:val="-2"/>
          <w:kern w:val="0"/>
          <w:sz w:val="24"/>
          <w:szCs w:val="24"/>
        </w:rPr>
        <w:t>此，项目必须在发生实际排污行为之前申领排污许可证，环境影响评价文件及批复中与污染物排放相关的主要内容应当纳入排污许可证，其排污许可证执行情况应作为环境影响后评价的重要依据。</w:t>
      </w:r>
    </w:p>
    <w:p w14:paraId="7E2221E8">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根据《排污许可管理办法》（试行），纳入固定污染源排污许可分类管理名录的企业事业单位和其他生产经营者（以下简称排污单位）应当按照规定的时限申请并取得排污许可证。根据《固定污染源排污许可分类管理名录（2019年版）》，</w:t>
      </w:r>
      <w:r>
        <w:rPr>
          <w:rFonts w:ascii="宋体" w:hAnsi="宋体"/>
          <w:spacing w:val="-2"/>
          <w:kern w:val="0"/>
          <w:sz w:val="24"/>
          <w:szCs w:val="24"/>
        </w:rPr>
        <w:t>本项目属于该名录中“五、有色金属</w:t>
      </w:r>
      <w:r>
        <w:rPr>
          <w:rFonts w:ascii="Times New Roman" w:hAnsi="Times New Roman"/>
          <w:spacing w:val="-2"/>
          <w:kern w:val="0"/>
          <w:sz w:val="24"/>
          <w:szCs w:val="24"/>
        </w:rPr>
        <w:t>矿采选业 09—6、稀有稀土金属矿采选 093</w:t>
      </w:r>
      <w:r>
        <w:rPr>
          <w:rFonts w:ascii="宋体" w:hAnsi="宋体"/>
          <w:spacing w:val="-2"/>
          <w:kern w:val="0"/>
          <w:sz w:val="24"/>
          <w:szCs w:val="24"/>
        </w:rPr>
        <w:t>”类别，项目涉及的通用工序为</w:t>
      </w:r>
      <w:r>
        <w:rPr>
          <w:rFonts w:ascii="Times New Roman" w:hAnsi="Times New Roman"/>
          <w:spacing w:val="-2"/>
          <w:kern w:val="0"/>
          <w:sz w:val="24"/>
          <w:szCs w:val="24"/>
        </w:rPr>
        <w:t>“110、工业炉窑</w:t>
      </w:r>
      <w:r>
        <w:rPr>
          <w:rFonts w:ascii="宋体" w:hAnsi="宋体"/>
          <w:spacing w:val="-2"/>
          <w:kern w:val="0"/>
          <w:sz w:val="24"/>
          <w:szCs w:val="24"/>
        </w:rPr>
        <w:t>”，项</w:t>
      </w:r>
      <w:r>
        <w:rPr>
          <w:rFonts w:ascii="Times New Roman" w:hAnsi="Times New Roman"/>
          <w:spacing w:val="-2"/>
          <w:kern w:val="0"/>
          <w:sz w:val="24"/>
          <w:szCs w:val="24"/>
        </w:rPr>
        <w:t>目配套供热设备为烘干炉，属于干燥炉，</w:t>
      </w:r>
      <w:r>
        <w:rPr>
          <w:rFonts w:hint="eastAsia" w:ascii="Times New Roman" w:hAnsi="Times New Roman"/>
          <w:spacing w:val="-2"/>
          <w:kern w:val="0"/>
          <w:sz w:val="24"/>
          <w:szCs w:val="24"/>
        </w:rPr>
        <w:t>未纳入重点排污单位名录，</w:t>
      </w:r>
      <w:r>
        <w:rPr>
          <w:rFonts w:ascii="Times New Roman" w:hAnsi="Times New Roman"/>
          <w:spacing w:val="-2"/>
          <w:kern w:val="0"/>
          <w:sz w:val="24"/>
          <w:szCs w:val="24"/>
        </w:rPr>
        <w:t>因此本项目实行排污许可简化管理，本项目依规定需办理排污许可证。</w:t>
      </w:r>
    </w:p>
    <w:p w14:paraId="7E7BC680">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排污单位依法按照《排污许可管理办法》（试行）、《排污许可证申请与核发技术规范 总则》（HJ942—2018）和《排污许可申请与核发技术规范 工业窑炉》（HJ1121-2020）要求在全国排污许可管理信息平台填报并提交排污许可申请，同时向核发环保部门提交通过全国排污许可证管理信息平台印制的书面申请材料，申请材料应当包括：</w:t>
      </w:r>
    </w:p>
    <w:p w14:paraId="6D7B1B34">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1）排污许可证申请表，主要内容包括：排污单位基本信息，主要生产设施、主要产品及产能、主要原辅材料，废气、废水等产排污环节和污染防治设施，申请的排放口位置和数量、排放方式、排放去向，按照排放口和生产设施或者车间申请的排放污染物种类，排放浓度和排放量，执行的排放标准；</w:t>
      </w:r>
    </w:p>
    <w:p w14:paraId="26CF79BA">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（2）由排污单位法定代表人或者主要负责人签字或者盖章的承诺书；</w:t>
      </w:r>
    </w:p>
    <w:p w14:paraId="007D9457">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（3）排污单位有关排污口规范化的情况说明；</w:t>
      </w:r>
    </w:p>
    <w:p w14:paraId="6CB070D2">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（4）自行监测方案；</w:t>
      </w:r>
    </w:p>
    <w:p w14:paraId="47E5105E">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（5）建设项目环境影响评价文件审批文号，或者按照有关国家规定经地方人民政府依法处理、整顿规范并符合要求的相关证明材料；</w:t>
      </w:r>
    </w:p>
    <w:p w14:paraId="39B1B0B4">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（6）排污许可证申请前信息公开情况说明表；</w:t>
      </w:r>
    </w:p>
    <w:p w14:paraId="70D4B8F6">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（7）污水集中处理设施的经营管理单位应当提供纳污范围、纳污单位名单、管网布置、最终排放去向等材料；</w:t>
      </w:r>
    </w:p>
    <w:p w14:paraId="2BC8B1D3">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8）新建、改建、扩建项目排污单位存在通过污染物排放等量或者减量替代削减获得重点污染物排放总量控制指标情况的，且出让重点污染物排放总量控制指标的排污单位已经取得排污许可证的，应当提供出让重点污染物排放总量控制指标的排污单位的排污许可证完成变更的相关材料；</w:t>
      </w:r>
    </w:p>
    <w:p w14:paraId="4D5ABA40">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（9）法律法规规章规定的其他材料</w:t>
      </w:r>
    </w:p>
    <w:p w14:paraId="2CA817D8">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主要生产设施、主要产品产能等登记事项中涉及商业秘密的，排污单位应当进行标注。</w:t>
      </w:r>
    </w:p>
    <w:p w14:paraId="47A79734">
      <w:pPr>
        <w:pStyle w:val="5"/>
        <w:numPr>
          <w:ilvl w:val="1"/>
          <w:numId w:val="3"/>
        </w:numPr>
      </w:pPr>
      <w:bookmarkStart w:id="316" w:name="_Toc15400"/>
      <w:bookmarkStart w:id="317" w:name="_Toc10766"/>
      <w:bookmarkStart w:id="318" w:name="_Toc410662473"/>
      <w:r>
        <w:t>环境监测计划</w:t>
      </w:r>
      <w:bookmarkEnd w:id="316"/>
      <w:bookmarkEnd w:id="317"/>
      <w:bookmarkEnd w:id="318"/>
    </w:p>
    <w:p w14:paraId="036088A6">
      <w:pPr>
        <w:pStyle w:val="6"/>
        <w:numPr>
          <w:ilvl w:val="2"/>
          <w:numId w:val="3"/>
        </w:numPr>
      </w:pPr>
      <w:r>
        <w:t>环境监测计划</w:t>
      </w:r>
      <w:r>
        <w:rPr>
          <w:rFonts w:hint="eastAsia"/>
        </w:rPr>
        <w:t>要求</w:t>
      </w:r>
    </w:p>
    <w:p w14:paraId="29670B38">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实施环境监测的目的是及时了解建设项目在其施工期和运营期对所在区域的环境质量影响，以便对可能产生较大环境影响的关键环节事先进行制度性的监测，使可能造成环境影响的因素得以及时发现，为项目环境管理提供科学依据。同时，实施环境监测也是企业制定环境保护规划、判断环境治理效果、开展有效的环境管理的重要依据。《排污单位自行监测技术指南 总则》（HJ819-2017）提出了企业自行监测的一般要求、监测方案制定、信息记录和报告的基本内容和要求，本评价参照监测技术指南中相关内容，结合本项目特征，制定项目的环境监测计划。环境监测计划应按《环境监测技术规范》的各项监测指标进行监测，并根据具体指标分别采取常规监测和定期监测，环境监测计划包括污染源监测计划和环境质量监测计划。</w:t>
      </w:r>
    </w:p>
    <w:p w14:paraId="71261EAF">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本项目运行期间严格按照《排污单位自行监测技术指南 总则》（HJ819-2017）、《排污许可证申请与核发技术规范 总则》（HJ942—2018）和《排污许可申请与核发技术规范 工业窑炉》（HJ1121-2020）的要求制定环境监测计划。</w:t>
      </w:r>
    </w:p>
    <w:p w14:paraId="5E741A61">
      <w:pPr>
        <w:pStyle w:val="6"/>
        <w:numPr>
          <w:ilvl w:val="2"/>
          <w:numId w:val="3"/>
        </w:numPr>
      </w:pPr>
      <w:r>
        <w:rPr>
          <w:rFonts w:hint="eastAsia"/>
        </w:rPr>
        <w:t>污染源监测计划</w:t>
      </w:r>
    </w:p>
    <w:p w14:paraId="2724F05A">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根据《排污单位自行监测技术指南  总则》（HJ819-2017）</w:t>
      </w:r>
      <w:r>
        <w:rPr>
          <w:rFonts w:hint="eastAsia" w:ascii="Times New Roman" w:hAnsi="Times New Roman"/>
          <w:spacing w:val="-2"/>
          <w:kern w:val="0"/>
          <w:sz w:val="24"/>
          <w:szCs w:val="24"/>
        </w:rPr>
        <w:t>的要求，企业自行监测内容包括</w:t>
      </w:r>
      <w:r>
        <w:rPr>
          <w:rFonts w:ascii="Times New Roman" w:hAnsi="Times New Roman"/>
          <w:spacing w:val="-2"/>
          <w:kern w:val="0"/>
          <w:sz w:val="24"/>
          <w:szCs w:val="24"/>
        </w:rPr>
        <w:t>污染物排放监测、周边环境质量影响监测、关键工艺参数监测和污染治理设施处理效</w:t>
      </w:r>
      <w:r>
        <w:rPr>
          <w:rFonts w:ascii="宋体" w:hAnsi="宋体"/>
          <w:spacing w:val="-2"/>
          <w:kern w:val="0"/>
          <w:sz w:val="24"/>
          <w:szCs w:val="24"/>
        </w:rPr>
        <w:t>果监测</w:t>
      </w:r>
      <w:r>
        <w:rPr>
          <w:rFonts w:hint="eastAsia" w:ascii="宋体" w:hAnsi="宋体"/>
          <w:spacing w:val="-2"/>
          <w:kern w:val="0"/>
          <w:sz w:val="24"/>
          <w:szCs w:val="24"/>
        </w:rPr>
        <w:t>等。项目废气排放监测按</w:t>
      </w:r>
      <w:r>
        <w:rPr>
          <w:rFonts w:ascii="宋体" w:hAnsi="宋体"/>
          <w:spacing w:val="-2"/>
          <w:kern w:val="0"/>
          <w:sz w:val="24"/>
          <w:szCs w:val="24"/>
        </w:rPr>
        <w:t>非重点排污单位其他排放口监测指标的监测最低频次为“年”</w:t>
      </w:r>
      <w:r>
        <w:rPr>
          <w:rFonts w:hint="eastAsia" w:ascii="Times New Roman" w:hAnsi="Times New Roman"/>
          <w:spacing w:val="-2"/>
          <w:kern w:val="0"/>
          <w:sz w:val="24"/>
          <w:szCs w:val="24"/>
        </w:rPr>
        <w:t>；厂界环境噪声监测每季度至少开展一次，夜间生产的要监测夜间噪声。</w:t>
      </w:r>
    </w:p>
    <w:p w14:paraId="4F2582DD">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根据《排污许可申请与核发技术规范 工业窑炉》（HJ1121-2020）</w:t>
      </w:r>
      <w:r>
        <w:rPr>
          <w:rFonts w:hint="eastAsia" w:ascii="Times New Roman" w:hAnsi="Times New Roman"/>
          <w:spacing w:val="-2"/>
          <w:kern w:val="0"/>
          <w:sz w:val="24"/>
          <w:szCs w:val="24"/>
        </w:rPr>
        <w:t>简化管理工业炉窑有车间厂房的颗粒物</w:t>
      </w:r>
      <w:r>
        <w:rPr>
          <w:rFonts w:ascii="Times New Roman" w:hAnsi="Times New Roman"/>
          <w:spacing w:val="-2"/>
          <w:kern w:val="0"/>
          <w:sz w:val="24"/>
          <w:szCs w:val="24"/>
        </w:rPr>
        <w:t>最低监测频次为1次/年</w:t>
      </w:r>
      <w:r>
        <w:rPr>
          <w:rFonts w:hint="eastAsia" w:ascii="Times New Roman" w:hAnsi="Times New Roman"/>
          <w:spacing w:val="-2"/>
          <w:kern w:val="0"/>
          <w:sz w:val="24"/>
          <w:szCs w:val="24"/>
        </w:rPr>
        <w:t>（一般地区）</w:t>
      </w:r>
      <w:r>
        <w:rPr>
          <w:rFonts w:ascii="Times New Roman" w:hAnsi="Times New Roman"/>
          <w:spacing w:val="-2"/>
          <w:kern w:val="0"/>
          <w:sz w:val="24"/>
          <w:szCs w:val="24"/>
        </w:rPr>
        <w:t>；厂界</w:t>
      </w:r>
      <w:r>
        <w:rPr>
          <w:rFonts w:hint="eastAsia" w:ascii="Times New Roman" w:hAnsi="Times New Roman"/>
          <w:spacing w:val="-2"/>
          <w:kern w:val="0"/>
          <w:sz w:val="24"/>
          <w:szCs w:val="24"/>
        </w:rPr>
        <w:t>无组织废气颗粒物</w:t>
      </w:r>
      <w:r>
        <w:rPr>
          <w:rFonts w:ascii="Times New Roman" w:hAnsi="Times New Roman"/>
          <w:spacing w:val="-2"/>
          <w:kern w:val="0"/>
          <w:sz w:val="24"/>
          <w:szCs w:val="24"/>
        </w:rPr>
        <w:t>最低监测频次为1次/年</w:t>
      </w:r>
      <w:r>
        <w:rPr>
          <w:rFonts w:hint="eastAsia" w:ascii="Times New Roman" w:hAnsi="Times New Roman"/>
          <w:spacing w:val="-2"/>
          <w:kern w:val="0"/>
          <w:sz w:val="24"/>
          <w:szCs w:val="24"/>
        </w:rPr>
        <w:t>（一般地区）。</w:t>
      </w:r>
    </w:p>
    <w:p w14:paraId="6D1A2DC7">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项目运营期间的环境监测根据相关规范要求采用自动监控、自行监测或外委监测等措施开展，工厂分析人员协助环境监测单位进行。项目所有监测、分析方法采用现行国家或行业的有关标准或规范进行。当发生污染事故时，应根据具体情况相应增加监测频率，并进行追踪监测。</w:t>
      </w:r>
    </w:p>
    <w:p w14:paraId="205B0ECD">
      <w:pPr>
        <w:spacing w:line="360" w:lineRule="auto"/>
        <w:ind w:firstLine="472" w:firstLineChars="200"/>
        <w:rPr>
          <w:rFonts w:ascii="Times New Roman" w:hAnsi="Times New Roman"/>
          <w:sz w:val="24"/>
          <w:szCs w:val="24"/>
        </w:rPr>
      </w:pPr>
      <w:r>
        <w:rPr>
          <w:rFonts w:ascii="Times New Roman" w:hAnsi="Times New Roman"/>
          <w:spacing w:val="-2"/>
          <w:kern w:val="0"/>
          <w:sz w:val="24"/>
          <w:szCs w:val="24"/>
        </w:rPr>
        <w:t>本项目监测计划见表7.3-1</w:t>
      </w:r>
      <w:r>
        <w:rPr>
          <w:rFonts w:hint="eastAsia" w:ascii="Times New Roman" w:hAnsi="Times New Roman"/>
          <w:spacing w:val="-2"/>
          <w:kern w:val="0"/>
          <w:sz w:val="24"/>
          <w:szCs w:val="24"/>
        </w:rPr>
        <w:t>，</w:t>
      </w:r>
      <w:r>
        <w:rPr>
          <w:rFonts w:ascii="Times New Roman" w:hAnsi="Times New Roman"/>
          <w:spacing w:val="-2"/>
          <w:kern w:val="0"/>
          <w:sz w:val="24"/>
          <w:szCs w:val="24"/>
        </w:rPr>
        <w:t>辐射环境监测计划详见</w:t>
      </w:r>
      <w:r>
        <w:rPr>
          <w:rFonts w:ascii="Times New Roman" w:hAnsi="Times New Roman"/>
          <w:sz w:val="24"/>
          <w:szCs w:val="24"/>
        </w:rPr>
        <w:t>《锆钛矿石分选加工项目辐射环境影响评价专篇》</w:t>
      </w:r>
      <w:r>
        <w:rPr>
          <w:rFonts w:hint="eastAsia" w:ascii="Times New Roman" w:hAnsi="Times New Roman"/>
          <w:sz w:val="24"/>
          <w:szCs w:val="24"/>
        </w:rPr>
        <w:t>。</w:t>
      </w:r>
    </w:p>
    <w:p w14:paraId="60538A57">
      <w:pPr>
        <w:pStyle w:val="8"/>
        <w:numPr>
          <w:ilvl w:val="4"/>
          <w:numId w:val="3"/>
        </w:numPr>
        <w:rPr>
          <w:sz w:val="24"/>
          <w:szCs w:val="24"/>
        </w:rPr>
      </w:pPr>
      <w:r>
        <w:rPr>
          <w:sz w:val="24"/>
          <w:szCs w:val="24"/>
        </w:rPr>
        <w:t>项目污染源监测计划表</w:t>
      </w:r>
    </w:p>
    <w:tbl>
      <w:tblPr>
        <w:tblStyle w:val="88"/>
        <w:tblW w:w="928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95"/>
        <w:gridCol w:w="693"/>
        <w:gridCol w:w="1224"/>
        <w:gridCol w:w="1916"/>
        <w:gridCol w:w="709"/>
        <w:gridCol w:w="709"/>
        <w:gridCol w:w="1962"/>
        <w:gridCol w:w="693"/>
        <w:gridCol w:w="687"/>
      </w:tblGrid>
      <w:tr w14:paraId="66EAE8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8" w:hRule="atLeast"/>
          <w:tblHeader/>
        </w:trPr>
        <w:tc>
          <w:tcPr>
            <w:tcW w:w="695" w:type="dxa"/>
            <w:shd w:val="clear" w:color="auto" w:fill="auto"/>
            <w:vAlign w:val="center"/>
          </w:tcPr>
          <w:p w14:paraId="7FEF0A76">
            <w:pPr>
              <w:widowControl/>
              <w:spacing w:line="360" w:lineRule="exact"/>
              <w:jc w:val="center"/>
              <w:rPr>
                <w:rFonts w:ascii="Times New Roman" w:hAnsi="Times New Roman"/>
                <w:b/>
                <w:bCs/>
                <w:szCs w:val="21"/>
              </w:rPr>
            </w:pPr>
            <w:r>
              <w:rPr>
                <w:rFonts w:ascii="Times New Roman" w:hAnsi="Times New Roman"/>
                <w:b/>
                <w:bCs/>
                <w:szCs w:val="21"/>
              </w:rPr>
              <w:t>监测阶段</w:t>
            </w:r>
          </w:p>
        </w:tc>
        <w:tc>
          <w:tcPr>
            <w:tcW w:w="693" w:type="dxa"/>
            <w:shd w:val="clear" w:color="auto" w:fill="auto"/>
            <w:vAlign w:val="center"/>
          </w:tcPr>
          <w:p w14:paraId="10714F6D">
            <w:pPr>
              <w:widowControl/>
              <w:spacing w:line="360" w:lineRule="exact"/>
              <w:jc w:val="center"/>
              <w:rPr>
                <w:rFonts w:ascii="Times New Roman" w:hAnsi="Times New Roman"/>
                <w:b/>
                <w:bCs/>
                <w:szCs w:val="21"/>
              </w:rPr>
            </w:pPr>
            <w:r>
              <w:rPr>
                <w:rFonts w:ascii="Times New Roman" w:hAnsi="Times New Roman"/>
                <w:b/>
                <w:bCs/>
                <w:szCs w:val="21"/>
              </w:rPr>
              <w:t>监测要素</w:t>
            </w:r>
          </w:p>
        </w:tc>
        <w:tc>
          <w:tcPr>
            <w:tcW w:w="1224" w:type="dxa"/>
            <w:shd w:val="clear" w:color="auto" w:fill="auto"/>
            <w:vAlign w:val="center"/>
          </w:tcPr>
          <w:p w14:paraId="6600B421">
            <w:pPr>
              <w:widowControl/>
              <w:spacing w:line="360" w:lineRule="exact"/>
              <w:jc w:val="center"/>
              <w:rPr>
                <w:rFonts w:ascii="Times New Roman" w:hAnsi="Times New Roman"/>
                <w:b/>
                <w:bCs/>
                <w:szCs w:val="21"/>
              </w:rPr>
            </w:pPr>
            <w:r>
              <w:rPr>
                <w:rFonts w:ascii="Times New Roman" w:hAnsi="Times New Roman"/>
                <w:b/>
                <w:bCs/>
                <w:szCs w:val="21"/>
              </w:rPr>
              <w:t>监测点位</w:t>
            </w:r>
          </w:p>
        </w:tc>
        <w:tc>
          <w:tcPr>
            <w:tcW w:w="1916" w:type="dxa"/>
            <w:shd w:val="clear" w:color="auto" w:fill="auto"/>
            <w:vAlign w:val="center"/>
          </w:tcPr>
          <w:p w14:paraId="440B4448">
            <w:pPr>
              <w:widowControl/>
              <w:spacing w:line="360" w:lineRule="exact"/>
              <w:jc w:val="center"/>
              <w:rPr>
                <w:rFonts w:ascii="Times New Roman" w:hAnsi="Times New Roman"/>
                <w:b/>
                <w:bCs/>
                <w:szCs w:val="21"/>
              </w:rPr>
            </w:pPr>
            <w:r>
              <w:rPr>
                <w:rFonts w:ascii="Times New Roman" w:hAnsi="Times New Roman"/>
                <w:b/>
                <w:bCs/>
                <w:szCs w:val="21"/>
              </w:rPr>
              <w:t>监测指标</w:t>
            </w:r>
          </w:p>
        </w:tc>
        <w:tc>
          <w:tcPr>
            <w:tcW w:w="709" w:type="dxa"/>
            <w:shd w:val="clear" w:color="auto" w:fill="auto"/>
            <w:vAlign w:val="center"/>
          </w:tcPr>
          <w:p w14:paraId="7F476661">
            <w:pPr>
              <w:widowControl/>
              <w:spacing w:line="360" w:lineRule="exact"/>
              <w:jc w:val="center"/>
              <w:rPr>
                <w:rFonts w:ascii="Times New Roman" w:hAnsi="Times New Roman"/>
                <w:b/>
                <w:bCs/>
                <w:szCs w:val="21"/>
              </w:rPr>
            </w:pPr>
            <w:r>
              <w:rPr>
                <w:rFonts w:ascii="Times New Roman" w:hAnsi="Times New Roman"/>
                <w:b/>
                <w:bCs/>
                <w:szCs w:val="21"/>
              </w:rPr>
              <w:t>监测频次</w:t>
            </w:r>
          </w:p>
        </w:tc>
        <w:tc>
          <w:tcPr>
            <w:tcW w:w="709" w:type="dxa"/>
            <w:shd w:val="clear" w:color="auto" w:fill="auto"/>
            <w:vAlign w:val="center"/>
          </w:tcPr>
          <w:p w14:paraId="712F8A7A">
            <w:pPr>
              <w:widowControl/>
              <w:spacing w:line="360" w:lineRule="exact"/>
              <w:jc w:val="center"/>
              <w:rPr>
                <w:rFonts w:ascii="Times New Roman" w:hAnsi="Times New Roman"/>
                <w:b/>
                <w:bCs/>
                <w:szCs w:val="21"/>
              </w:rPr>
            </w:pPr>
            <w:r>
              <w:rPr>
                <w:rFonts w:ascii="Times New Roman" w:hAnsi="Times New Roman"/>
                <w:b/>
                <w:bCs/>
                <w:szCs w:val="21"/>
              </w:rPr>
              <w:t>监测方式</w:t>
            </w:r>
          </w:p>
        </w:tc>
        <w:tc>
          <w:tcPr>
            <w:tcW w:w="1962" w:type="dxa"/>
            <w:shd w:val="clear" w:color="auto" w:fill="auto"/>
            <w:vAlign w:val="center"/>
          </w:tcPr>
          <w:p w14:paraId="47E0523F">
            <w:pPr>
              <w:widowControl/>
              <w:spacing w:line="360" w:lineRule="exact"/>
              <w:jc w:val="center"/>
              <w:rPr>
                <w:rFonts w:ascii="Times New Roman" w:hAnsi="Times New Roman"/>
                <w:b/>
                <w:bCs/>
                <w:szCs w:val="21"/>
              </w:rPr>
            </w:pPr>
            <w:r>
              <w:rPr>
                <w:rFonts w:ascii="Times New Roman" w:hAnsi="Times New Roman"/>
                <w:b/>
                <w:bCs/>
                <w:szCs w:val="21"/>
              </w:rPr>
              <w:t>执行排放标准</w:t>
            </w:r>
          </w:p>
        </w:tc>
        <w:tc>
          <w:tcPr>
            <w:tcW w:w="693" w:type="dxa"/>
            <w:shd w:val="clear" w:color="auto" w:fill="auto"/>
            <w:vAlign w:val="center"/>
          </w:tcPr>
          <w:p w14:paraId="03C01255">
            <w:pPr>
              <w:widowControl/>
              <w:spacing w:line="360" w:lineRule="exact"/>
              <w:jc w:val="center"/>
              <w:rPr>
                <w:rFonts w:ascii="Times New Roman" w:hAnsi="Times New Roman"/>
                <w:b/>
                <w:bCs/>
                <w:szCs w:val="21"/>
              </w:rPr>
            </w:pPr>
            <w:r>
              <w:rPr>
                <w:rFonts w:ascii="Times New Roman" w:hAnsi="Times New Roman"/>
                <w:b/>
                <w:bCs/>
                <w:szCs w:val="21"/>
              </w:rPr>
              <w:t>执行机构</w:t>
            </w:r>
          </w:p>
        </w:tc>
        <w:tc>
          <w:tcPr>
            <w:tcW w:w="687" w:type="dxa"/>
            <w:shd w:val="clear" w:color="auto" w:fill="auto"/>
            <w:vAlign w:val="center"/>
          </w:tcPr>
          <w:p w14:paraId="7A8BF961">
            <w:pPr>
              <w:widowControl/>
              <w:spacing w:line="360" w:lineRule="exact"/>
              <w:jc w:val="center"/>
              <w:rPr>
                <w:rFonts w:ascii="Times New Roman" w:hAnsi="Times New Roman"/>
                <w:b/>
                <w:bCs/>
                <w:szCs w:val="21"/>
              </w:rPr>
            </w:pPr>
            <w:r>
              <w:rPr>
                <w:rFonts w:ascii="Times New Roman" w:hAnsi="Times New Roman"/>
                <w:b/>
                <w:bCs/>
                <w:szCs w:val="21"/>
              </w:rPr>
              <w:t>监督单位</w:t>
            </w:r>
          </w:p>
        </w:tc>
      </w:tr>
      <w:tr w14:paraId="1B867E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5" w:hRule="atLeast"/>
        </w:trPr>
        <w:tc>
          <w:tcPr>
            <w:tcW w:w="695" w:type="dxa"/>
            <w:vMerge w:val="restart"/>
            <w:shd w:val="clear" w:color="auto" w:fill="auto"/>
            <w:vAlign w:val="center"/>
          </w:tcPr>
          <w:p w14:paraId="5CE2ECD1">
            <w:pPr>
              <w:widowControl/>
              <w:spacing w:line="360" w:lineRule="exact"/>
              <w:jc w:val="center"/>
              <w:rPr>
                <w:rFonts w:ascii="Times New Roman" w:hAnsi="Times New Roman"/>
                <w:szCs w:val="21"/>
              </w:rPr>
            </w:pPr>
            <w:r>
              <w:rPr>
                <w:rFonts w:ascii="Times New Roman" w:hAnsi="Times New Roman"/>
                <w:szCs w:val="21"/>
              </w:rPr>
              <w:t>运营期</w:t>
            </w:r>
          </w:p>
        </w:tc>
        <w:tc>
          <w:tcPr>
            <w:tcW w:w="693" w:type="dxa"/>
            <w:vMerge w:val="restart"/>
            <w:shd w:val="clear" w:color="auto" w:fill="auto"/>
            <w:vAlign w:val="center"/>
          </w:tcPr>
          <w:p w14:paraId="08A4049E">
            <w:pPr>
              <w:widowControl/>
              <w:spacing w:line="360" w:lineRule="exact"/>
              <w:jc w:val="center"/>
              <w:rPr>
                <w:rFonts w:ascii="Times New Roman" w:hAnsi="Times New Roman"/>
                <w:szCs w:val="21"/>
              </w:rPr>
            </w:pPr>
            <w:r>
              <w:rPr>
                <w:rFonts w:ascii="Times New Roman" w:hAnsi="Times New Roman"/>
                <w:szCs w:val="21"/>
              </w:rPr>
              <w:t>大气</w:t>
            </w:r>
          </w:p>
        </w:tc>
        <w:tc>
          <w:tcPr>
            <w:tcW w:w="1224" w:type="dxa"/>
            <w:shd w:val="clear" w:color="auto" w:fill="auto"/>
            <w:vAlign w:val="center"/>
          </w:tcPr>
          <w:p w14:paraId="1751CA16">
            <w:pPr>
              <w:widowControl/>
              <w:spacing w:line="360" w:lineRule="exact"/>
              <w:jc w:val="center"/>
              <w:rPr>
                <w:rFonts w:ascii="Times New Roman" w:hAnsi="Times New Roman"/>
                <w:szCs w:val="21"/>
              </w:rPr>
            </w:pPr>
            <w:r>
              <w:rPr>
                <w:rFonts w:hint="eastAsia" w:ascii="Times New Roman" w:hAnsi="Times New Roman"/>
                <w:szCs w:val="21"/>
              </w:rPr>
              <w:t>烘干炉烟气排气筒</w:t>
            </w:r>
            <w:r>
              <w:rPr>
                <w:rFonts w:ascii="Times New Roman" w:hAnsi="Times New Roman"/>
                <w:szCs w:val="21"/>
              </w:rPr>
              <w:t xml:space="preserve"> DA001</w:t>
            </w:r>
          </w:p>
        </w:tc>
        <w:tc>
          <w:tcPr>
            <w:tcW w:w="1916" w:type="dxa"/>
            <w:shd w:val="clear" w:color="auto" w:fill="auto"/>
            <w:vAlign w:val="center"/>
          </w:tcPr>
          <w:p w14:paraId="37C279AC">
            <w:pPr>
              <w:widowControl/>
              <w:spacing w:line="360" w:lineRule="exact"/>
              <w:jc w:val="center"/>
              <w:rPr>
                <w:rFonts w:ascii="Times New Roman" w:hAnsi="Times New Roman"/>
                <w:szCs w:val="21"/>
              </w:rPr>
            </w:pPr>
            <w:r>
              <w:rPr>
                <w:rFonts w:hint="eastAsia" w:ascii="Times New Roman" w:hAnsi="Times New Roman"/>
                <w:szCs w:val="21"/>
              </w:rPr>
              <w:t>PM</w:t>
            </w:r>
            <w:r>
              <w:rPr>
                <w:rFonts w:hint="eastAsia" w:ascii="Times New Roman" w:hAnsi="Times New Roman"/>
                <w:szCs w:val="21"/>
                <w:vertAlign w:val="subscript"/>
              </w:rPr>
              <w:t>10</w:t>
            </w:r>
            <w:r>
              <w:rPr>
                <w:rFonts w:hint="eastAsia" w:ascii="Times New Roman" w:hAnsi="Times New Roman"/>
                <w:szCs w:val="21"/>
              </w:rPr>
              <w:t>、SO</w:t>
            </w:r>
            <w:r>
              <w:rPr>
                <w:rFonts w:hint="eastAsia" w:ascii="Times New Roman" w:hAnsi="Times New Roman"/>
                <w:szCs w:val="21"/>
                <w:vertAlign w:val="subscript"/>
              </w:rPr>
              <w:t>2</w:t>
            </w:r>
            <w:r>
              <w:rPr>
                <w:rFonts w:hint="eastAsia" w:ascii="Times New Roman" w:hAnsi="Times New Roman"/>
                <w:szCs w:val="21"/>
              </w:rPr>
              <w:t>、NO</w:t>
            </w:r>
            <w:r>
              <w:rPr>
                <w:rFonts w:hint="eastAsia" w:ascii="Times New Roman" w:hAnsi="Times New Roman"/>
                <w:szCs w:val="21"/>
                <w:vertAlign w:val="subscript"/>
              </w:rPr>
              <w:t>X</w:t>
            </w:r>
          </w:p>
        </w:tc>
        <w:tc>
          <w:tcPr>
            <w:tcW w:w="709" w:type="dxa"/>
            <w:shd w:val="clear" w:color="auto" w:fill="auto"/>
            <w:vAlign w:val="center"/>
          </w:tcPr>
          <w:p w14:paraId="3AC2807E">
            <w:pPr>
              <w:widowControl/>
              <w:spacing w:line="360" w:lineRule="exact"/>
              <w:jc w:val="center"/>
              <w:rPr>
                <w:rFonts w:ascii="Times New Roman" w:hAnsi="Times New Roman"/>
                <w:szCs w:val="21"/>
              </w:rPr>
            </w:pPr>
            <w:r>
              <w:rPr>
                <w:rFonts w:ascii="Times New Roman" w:hAnsi="Times New Roman"/>
                <w:szCs w:val="21"/>
              </w:rPr>
              <w:t>1次/</w:t>
            </w:r>
            <w:r>
              <w:rPr>
                <w:rFonts w:hint="eastAsia" w:ascii="Times New Roman" w:hAnsi="Times New Roman"/>
                <w:szCs w:val="21"/>
              </w:rPr>
              <w:t>年</w:t>
            </w:r>
          </w:p>
        </w:tc>
        <w:tc>
          <w:tcPr>
            <w:tcW w:w="709" w:type="dxa"/>
            <w:shd w:val="clear" w:color="auto" w:fill="auto"/>
            <w:vAlign w:val="center"/>
          </w:tcPr>
          <w:p w14:paraId="52C846C7">
            <w:pPr>
              <w:widowControl/>
              <w:spacing w:line="360" w:lineRule="exact"/>
              <w:jc w:val="center"/>
              <w:rPr>
                <w:rFonts w:ascii="Times New Roman" w:hAnsi="Times New Roman"/>
                <w:szCs w:val="21"/>
              </w:rPr>
            </w:pPr>
            <w:r>
              <w:rPr>
                <w:rFonts w:ascii="Times New Roman" w:hAnsi="Times New Roman"/>
                <w:szCs w:val="21"/>
              </w:rPr>
              <w:t>手工</w:t>
            </w:r>
          </w:p>
        </w:tc>
        <w:tc>
          <w:tcPr>
            <w:tcW w:w="1962" w:type="dxa"/>
            <w:shd w:val="clear" w:color="auto" w:fill="auto"/>
            <w:vAlign w:val="center"/>
          </w:tcPr>
          <w:p w14:paraId="6850146F">
            <w:pPr>
              <w:widowControl/>
              <w:spacing w:line="360" w:lineRule="exact"/>
              <w:jc w:val="center"/>
              <w:rPr>
                <w:rFonts w:ascii="Times New Roman" w:hAnsi="Times New Roman"/>
                <w:szCs w:val="21"/>
              </w:rPr>
            </w:pPr>
            <w:r>
              <w:rPr>
                <w:rFonts w:ascii="Times New Roman" w:hAnsi="Times New Roman"/>
                <w:spacing w:val="-2"/>
                <w:kern w:val="0"/>
                <w:szCs w:val="21"/>
              </w:rPr>
              <w:t>《工业炉窑大气污染物排放标准》（GB9078-1996）</w:t>
            </w:r>
          </w:p>
        </w:tc>
        <w:tc>
          <w:tcPr>
            <w:tcW w:w="693" w:type="dxa"/>
            <w:vMerge w:val="restart"/>
            <w:shd w:val="clear" w:color="auto" w:fill="auto"/>
            <w:vAlign w:val="center"/>
          </w:tcPr>
          <w:p w14:paraId="632CE5DA">
            <w:pPr>
              <w:widowControl/>
              <w:spacing w:line="360" w:lineRule="exact"/>
              <w:jc w:val="center"/>
              <w:rPr>
                <w:rFonts w:ascii="Times New Roman" w:hAnsi="Times New Roman"/>
                <w:szCs w:val="21"/>
              </w:rPr>
            </w:pPr>
            <w:r>
              <w:rPr>
                <w:rFonts w:ascii="Times New Roman" w:hAnsi="Times New Roman"/>
                <w:szCs w:val="21"/>
              </w:rPr>
              <w:t>建设单位</w:t>
            </w:r>
            <w:r>
              <w:rPr>
                <w:rFonts w:hint="eastAsia" w:ascii="Times New Roman" w:hAnsi="Times New Roman"/>
                <w:szCs w:val="21"/>
              </w:rPr>
              <w:t>、有资质监测机构</w:t>
            </w:r>
          </w:p>
        </w:tc>
        <w:tc>
          <w:tcPr>
            <w:tcW w:w="687" w:type="dxa"/>
            <w:vMerge w:val="restart"/>
            <w:shd w:val="clear" w:color="auto" w:fill="auto"/>
            <w:vAlign w:val="center"/>
          </w:tcPr>
          <w:p w14:paraId="4C7ABBE1">
            <w:pPr>
              <w:widowControl/>
              <w:spacing w:line="360" w:lineRule="exact"/>
              <w:jc w:val="center"/>
              <w:rPr>
                <w:rFonts w:ascii="Times New Roman" w:hAnsi="Times New Roman"/>
                <w:szCs w:val="21"/>
              </w:rPr>
            </w:pPr>
            <w:r>
              <w:rPr>
                <w:rFonts w:hint="eastAsia" w:ascii="Times New Roman" w:hAnsi="Times New Roman"/>
                <w:szCs w:val="21"/>
              </w:rPr>
              <w:t>钦州市生态环境局</w:t>
            </w:r>
          </w:p>
        </w:tc>
      </w:tr>
      <w:tr w14:paraId="711D84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88" w:hRule="atLeast"/>
        </w:trPr>
        <w:tc>
          <w:tcPr>
            <w:tcW w:w="695" w:type="dxa"/>
            <w:vMerge w:val="continue"/>
            <w:vAlign w:val="center"/>
          </w:tcPr>
          <w:p w14:paraId="11BD626A">
            <w:pPr>
              <w:widowControl/>
              <w:spacing w:line="360" w:lineRule="exact"/>
              <w:jc w:val="left"/>
              <w:rPr>
                <w:rFonts w:ascii="Times New Roman" w:hAnsi="Times New Roman"/>
                <w:szCs w:val="21"/>
              </w:rPr>
            </w:pPr>
          </w:p>
        </w:tc>
        <w:tc>
          <w:tcPr>
            <w:tcW w:w="693" w:type="dxa"/>
            <w:vMerge w:val="continue"/>
            <w:vAlign w:val="center"/>
          </w:tcPr>
          <w:p w14:paraId="29754198">
            <w:pPr>
              <w:widowControl/>
              <w:spacing w:line="360" w:lineRule="exact"/>
              <w:jc w:val="left"/>
              <w:rPr>
                <w:rFonts w:ascii="Times New Roman" w:hAnsi="Times New Roman"/>
                <w:szCs w:val="21"/>
              </w:rPr>
            </w:pPr>
          </w:p>
        </w:tc>
        <w:tc>
          <w:tcPr>
            <w:tcW w:w="1224" w:type="dxa"/>
            <w:shd w:val="clear" w:color="auto" w:fill="auto"/>
            <w:vAlign w:val="center"/>
          </w:tcPr>
          <w:p w14:paraId="126229D5">
            <w:pPr>
              <w:widowControl/>
              <w:spacing w:line="360" w:lineRule="exact"/>
              <w:jc w:val="center"/>
              <w:rPr>
                <w:rFonts w:ascii="Times New Roman" w:hAnsi="Times New Roman"/>
                <w:szCs w:val="21"/>
              </w:rPr>
            </w:pPr>
            <w:r>
              <w:rPr>
                <w:rFonts w:hint="eastAsia" w:ascii="Times New Roman" w:hAnsi="Times New Roman"/>
                <w:szCs w:val="21"/>
              </w:rPr>
              <w:t>车间粉尘排气筒</w:t>
            </w:r>
            <w:r>
              <w:rPr>
                <w:rFonts w:ascii="Times New Roman" w:hAnsi="Times New Roman"/>
                <w:szCs w:val="21"/>
              </w:rPr>
              <w:t xml:space="preserve"> DA00</w:t>
            </w:r>
            <w:r>
              <w:rPr>
                <w:rFonts w:hint="eastAsia" w:ascii="Times New Roman" w:hAnsi="Times New Roman"/>
                <w:szCs w:val="21"/>
              </w:rPr>
              <w:t>2</w:t>
            </w:r>
          </w:p>
        </w:tc>
        <w:tc>
          <w:tcPr>
            <w:tcW w:w="1916" w:type="dxa"/>
            <w:shd w:val="clear" w:color="auto" w:fill="auto"/>
            <w:vAlign w:val="center"/>
          </w:tcPr>
          <w:p w14:paraId="5AEB7A0A">
            <w:pPr>
              <w:widowControl/>
              <w:spacing w:line="360" w:lineRule="exact"/>
              <w:jc w:val="center"/>
              <w:rPr>
                <w:rFonts w:ascii="Times New Roman" w:hAnsi="Times New Roman"/>
                <w:szCs w:val="21"/>
              </w:rPr>
            </w:pPr>
            <w:r>
              <w:rPr>
                <w:rFonts w:hint="eastAsia" w:ascii="Times New Roman" w:hAnsi="Times New Roman"/>
                <w:szCs w:val="21"/>
              </w:rPr>
              <w:t>PM</w:t>
            </w:r>
            <w:r>
              <w:rPr>
                <w:rFonts w:hint="eastAsia" w:ascii="Times New Roman" w:hAnsi="Times New Roman"/>
                <w:szCs w:val="21"/>
                <w:vertAlign w:val="subscript"/>
              </w:rPr>
              <w:t>10</w:t>
            </w:r>
          </w:p>
        </w:tc>
        <w:tc>
          <w:tcPr>
            <w:tcW w:w="709" w:type="dxa"/>
            <w:shd w:val="clear" w:color="auto" w:fill="auto"/>
            <w:vAlign w:val="center"/>
          </w:tcPr>
          <w:p w14:paraId="16B5AB2D">
            <w:pPr>
              <w:widowControl/>
              <w:spacing w:line="360" w:lineRule="exact"/>
              <w:jc w:val="center"/>
              <w:rPr>
                <w:rFonts w:ascii="Times New Roman" w:hAnsi="Times New Roman"/>
                <w:szCs w:val="21"/>
              </w:rPr>
            </w:pPr>
            <w:r>
              <w:rPr>
                <w:rFonts w:ascii="Times New Roman" w:hAnsi="Times New Roman"/>
                <w:szCs w:val="21"/>
              </w:rPr>
              <w:t>1次/</w:t>
            </w:r>
            <w:r>
              <w:rPr>
                <w:rFonts w:hint="eastAsia" w:ascii="Times New Roman" w:hAnsi="Times New Roman"/>
                <w:szCs w:val="21"/>
              </w:rPr>
              <w:t>年</w:t>
            </w:r>
          </w:p>
        </w:tc>
        <w:tc>
          <w:tcPr>
            <w:tcW w:w="709" w:type="dxa"/>
            <w:shd w:val="clear" w:color="auto" w:fill="auto"/>
            <w:vAlign w:val="center"/>
          </w:tcPr>
          <w:p w14:paraId="52749325">
            <w:pPr>
              <w:widowControl/>
              <w:spacing w:line="360" w:lineRule="exact"/>
              <w:jc w:val="center"/>
              <w:rPr>
                <w:rFonts w:ascii="Times New Roman" w:hAnsi="Times New Roman"/>
                <w:szCs w:val="21"/>
              </w:rPr>
            </w:pPr>
            <w:r>
              <w:rPr>
                <w:rFonts w:ascii="Times New Roman" w:hAnsi="Times New Roman"/>
                <w:szCs w:val="21"/>
              </w:rPr>
              <w:t>手工</w:t>
            </w:r>
          </w:p>
        </w:tc>
        <w:tc>
          <w:tcPr>
            <w:tcW w:w="1962" w:type="dxa"/>
            <w:shd w:val="clear" w:color="auto" w:fill="auto"/>
            <w:vAlign w:val="center"/>
          </w:tcPr>
          <w:p w14:paraId="5D3DDC50">
            <w:pPr>
              <w:widowControl/>
              <w:spacing w:line="360" w:lineRule="exact"/>
              <w:jc w:val="center"/>
              <w:rPr>
                <w:rFonts w:ascii="Times New Roman" w:hAnsi="Times New Roman"/>
                <w:szCs w:val="21"/>
                <w:u w:val="single"/>
              </w:rPr>
            </w:pPr>
            <w:r>
              <w:rPr>
                <w:rFonts w:hint="eastAsia" w:ascii="Times New Roman" w:hAnsi="Times New Roman"/>
                <w:spacing w:val="-2"/>
                <w:kern w:val="0"/>
                <w:szCs w:val="21"/>
                <w:u w:val="single"/>
              </w:rPr>
              <w:t>《大气污染物综合排放标准》（GB16297-1996）</w:t>
            </w:r>
          </w:p>
        </w:tc>
        <w:tc>
          <w:tcPr>
            <w:tcW w:w="693" w:type="dxa"/>
            <w:vMerge w:val="continue"/>
            <w:vAlign w:val="center"/>
          </w:tcPr>
          <w:p w14:paraId="2939DC27">
            <w:pPr>
              <w:widowControl/>
              <w:spacing w:line="360" w:lineRule="exact"/>
              <w:jc w:val="left"/>
              <w:rPr>
                <w:rFonts w:ascii="Times New Roman" w:hAnsi="Times New Roman"/>
                <w:szCs w:val="21"/>
              </w:rPr>
            </w:pPr>
          </w:p>
        </w:tc>
        <w:tc>
          <w:tcPr>
            <w:tcW w:w="687" w:type="dxa"/>
            <w:vMerge w:val="continue"/>
            <w:vAlign w:val="center"/>
          </w:tcPr>
          <w:p w14:paraId="2BBF9E02">
            <w:pPr>
              <w:widowControl/>
              <w:spacing w:line="360" w:lineRule="exact"/>
              <w:jc w:val="left"/>
              <w:rPr>
                <w:rFonts w:ascii="Times New Roman" w:hAnsi="Times New Roman"/>
                <w:szCs w:val="21"/>
              </w:rPr>
            </w:pPr>
          </w:p>
        </w:tc>
      </w:tr>
      <w:tr w14:paraId="3C9617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4" w:hRule="atLeast"/>
        </w:trPr>
        <w:tc>
          <w:tcPr>
            <w:tcW w:w="695" w:type="dxa"/>
            <w:vMerge w:val="continue"/>
            <w:vAlign w:val="center"/>
          </w:tcPr>
          <w:p w14:paraId="146D1672">
            <w:pPr>
              <w:widowControl/>
              <w:spacing w:line="360" w:lineRule="exact"/>
              <w:jc w:val="left"/>
              <w:rPr>
                <w:rFonts w:ascii="Times New Roman" w:hAnsi="Times New Roman"/>
                <w:szCs w:val="21"/>
              </w:rPr>
            </w:pPr>
          </w:p>
        </w:tc>
        <w:tc>
          <w:tcPr>
            <w:tcW w:w="693" w:type="dxa"/>
            <w:vMerge w:val="continue"/>
            <w:vAlign w:val="center"/>
          </w:tcPr>
          <w:p w14:paraId="3802E1B7">
            <w:pPr>
              <w:widowControl/>
              <w:spacing w:line="360" w:lineRule="exact"/>
              <w:jc w:val="center"/>
              <w:rPr>
                <w:rFonts w:ascii="Times New Roman" w:hAnsi="Times New Roman"/>
                <w:szCs w:val="21"/>
              </w:rPr>
            </w:pPr>
          </w:p>
        </w:tc>
        <w:tc>
          <w:tcPr>
            <w:tcW w:w="1224" w:type="dxa"/>
            <w:shd w:val="clear" w:color="auto" w:fill="auto"/>
            <w:vAlign w:val="center"/>
          </w:tcPr>
          <w:p w14:paraId="6199FC33">
            <w:pPr>
              <w:widowControl/>
              <w:spacing w:line="360" w:lineRule="exact"/>
              <w:jc w:val="center"/>
              <w:rPr>
                <w:rFonts w:ascii="Times New Roman" w:hAnsi="Times New Roman"/>
                <w:szCs w:val="21"/>
              </w:rPr>
            </w:pPr>
            <w:r>
              <w:rPr>
                <w:rFonts w:hint="eastAsia" w:ascii="Times New Roman" w:hAnsi="Times New Roman"/>
                <w:szCs w:val="21"/>
              </w:rPr>
              <w:t>无组织厂界下风向</w:t>
            </w:r>
          </w:p>
        </w:tc>
        <w:tc>
          <w:tcPr>
            <w:tcW w:w="1916" w:type="dxa"/>
            <w:shd w:val="clear" w:color="auto" w:fill="auto"/>
            <w:vAlign w:val="center"/>
          </w:tcPr>
          <w:p w14:paraId="6B6D1EBF">
            <w:pPr>
              <w:widowControl/>
              <w:spacing w:line="360" w:lineRule="exact"/>
              <w:jc w:val="center"/>
              <w:rPr>
                <w:rFonts w:ascii="Times New Roman" w:hAnsi="Times New Roman"/>
                <w:szCs w:val="21"/>
              </w:rPr>
            </w:pPr>
            <w:r>
              <w:rPr>
                <w:rFonts w:hint="eastAsia" w:ascii="Times New Roman" w:hAnsi="Times New Roman"/>
                <w:szCs w:val="21"/>
              </w:rPr>
              <w:t>PM</w:t>
            </w:r>
            <w:r>
              <w:rPr>
                <w:rFonts w:hint="eastAsia" w:ascii="Times New Roman" w:hAnsi="Times New Roman"/>
                <w:szCs w:val="21"/>
                <w:vertAlign w:val="subscript"/>
              </w:rPr>
              <w:t>10</w:t>
            </w:r>
            <w:r>
              <w:rPr>
                <w:rFonts w:hint="eastAsia" w:ascii="Times New Roman" w:hAnsi="Times New Roman"/>
                <w:szCs w:val="21"/>
              </w:rPr>
              <w:t>、SO</w:t>
            </w:r>
            <w:r>
              <w:rPr>
                <w:rFonts w:hint="eastAsia" w:ascii="Times New Roman" w:hAnsi="Times New Roman"/>
                <w:szCs w:val="21"/>
                <w:vertAlign w:val="subscript"/>
              </w:rPr>
              <w:t>2</w:t>
            </w:r>
          </w:p>
        </w:tc>
        <w:tc>
          <w:tcPr>
            <w:tcW w:w="709" w:type="dxa"/>
            <w:shd w:val="clear" w:color="auto" w:fill="auto"/>
            <w:vAlign w:val="center"/>
          </w:tcPr>
          <w:p w14:paraId="544166A5">
            <w:pPr>
              <w:widowControl/>
              <w:spacing w:line="360" w:lineRule="exact"/>
              <w:jc w:val="center"/>
              <w:rPr>
                <w:rFonts w:ascii="Times New Roman" w:hAnsi="Times New Roman"/>
                <w:szCs w:val="21"/>
              </w:rPr>
            </w:pPr>
            <w:r>
              <w:rPr>
                <w:rFonts w:ascii="Times New Roman" w:hAnsi="Times New Roman"/>
                <w:szCs w:val="21"/>
              </w:rPr>
              <w:t>1次/</w:t>
            </w:r>
            <w:r>
              <w:rPr>
                <w:rFonts w:hint="eastAsia" w:ascii="Times New Roman" w:hAnsi="Times New Roman"/>
                <w:szCs w:val="21"/>
              </w:rPr>
              <w:t>年</w:t>
            </w:r>
          </w:p>
        </w:tc>
        <w:tc>
          <w:tcPr>
            <w:tcW w:w="709" w:type="dxa"/>
            <w:shd w:val="clear" w:color="auto" w:fill="auto"/>
            <w:vAlign w:val="center"/>
          </w:tcPr>
          <w:p w14:paraId="6C0B9916">
            <w:pPr>
              <w:widowControl/>
              <w:spacing w:line="360" w:lineRule="exact"/>
              <w:jc w:val="center"/>
              <w:rPr>
                <w:rFonts w:ascii="Times New Roman" w:hAnsi="Times New Roman"/>
                <w:szCs w:val="21"/>
              </w:rPr>
            </w:pPr>
            <w:r>
              <w:rPr>
                <w:rFonts w:ascii="Times New Roman" w:hAnsi="Times New Roman"/>
                <w:szCs w:val="21"/>
              </w:rPr>
              <w:t>手工</w:t>
            </w:r>
          </w:p>
        </w:tc>
        <w:tc>
          <w:tcPr>
            <w:tcW w:w="1962" w:type="dxa"/>
            <w:shd w:val="clear" w:color="auto" w:fill="auto"/>
            <w:vAlign w:val="center"/>
          </w:tcPr>
          <w:p w14:paraId="13FCD655">
            <w:pPr>
              <w:widowControl/>
              <w:spacing w:line="360" w:lineRule="exact"/>
              <w:jc w:val="center"/>
              <w:rPr>
                <w:rFonts w:ascii="Times New Roman" w:hAnsi="Times New Roman"/>
                <w:szCs w:val="21"/>
                <w:u w:val="single"/>
              </w:rPr>
            </w:pPr>
            <w:r>
              <w:rPr>
                <w:rFonts w:hint="eastAsia" w:ascii="Times New Roman" w:hAnsi="Times New Roman"/>
                <w:spacing w:val="-2"/>
                <w:kern w:val="0"/>
                <w:szCs w:val="21"/>
                <w:u w:val="single"/>
              </w:rPr>
              <w:t>《大气污染物综合排放标准》（GB16297-1996）</w:t>
            </w:r>
          </w:p>
        </w:tc>
        <w:tc>
          <w:tcPr>
            <w:tcW w:w="693" w:type="dxa"/>
            <w:vMerge w:val="continue"/>
            <w:vAlign w:val="center"/>
          </w:tcPr>
          <w:p w14:paraId="65B73FBC">
            <w:pPr>
              <w:widowControl/>
              <w:spacing w:line="360" w:lineRule="exact"/>
              <w:jc w:val="left"/>
              <w:rPr>
                <w:rFonts w:ascii="Times New Roman" w:hAnsi="Times New Roman"/>
                <w:szCs w:val="21"/>
              </w:rPr>
            </w:pPr>
          </w:p>
        </w:tc>
        <w:tc>
          <w:tcPr>
            <w:tcW w:w="687" w:type="dxa"/>
            <w:vMerge w:val="continue"/>
            <w:vAlign w:val="center"/>
          </w:tcPr>
          <w:p w14:paraId="42150CBA">
            <w:pPr>
              <w:widowControl/>
              <w:spacing w:line="360" w:lineRule="exact"/>
              <w:jc w:val="left"/>
              <w:rPr>
                <w:rFonts w:ascii="Times New Roman" w:hAnsi="Times New Roman"/>
                <w:szCs w:val="21"/>
              </w:rPr>
            </w:pPr>
          </w:p>
        </w:tc>
      </w:tr>
      <w:tr w14:paraId="29FAE0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95" w:type="dxa"/>
            <w:vMerge w:val="continue"/>
            <w:vAlign w:val="center"/>
          </w:tcPr>
          <w:p w14:paraId="6521EA6B">
            <w:pPr>
              <w:widowControl/>
              <w:spacing w:line="360" w:lineRule="exact"/>
              <w:jc w:val="left"/>
              <w:rPr>
                <w:rFonts w:ascii="Times New Roman" w:hAnsi="Times New Roman"/>
                <w:szCs w:val="21"/>
              </w:rPr>
            </w:pPr>
          </w:p>
        </w:tc>
        <w:tc>
          <w:tcPr>
            <w:tcW w:w="693" w:type="dxa"/>
            <w:shd w:val="clear" w:color="auto" w:fill="auto"/>
            <w:vAlign w:val="center"/>
          </w:tcPr>
          <w:p w14:paraId="612AF199">
            <w:pPr>
              <w:widowControl/>
              <w:spacing w:line="360" w:lineRule="exact"/>
              <w:jc w:val="center"/>
              <w:rPr>
                <w:rFonts w:ascii="Times New Roman" w:hAnsi="Times New Roman"/>
                <w:szCs w:val="21"/>
              </w:rPr>
            </w:pPr>
            <w:r>
              <w:rPr>
                <w:rFonts w:ascii="Times New Roman" w:hAnsi="Times New Roman"/>
                <w:szCs w:val="21"/>
              </w:rPr>
              <w:t>噪声</w:t>
            </w:r>
          </w:p>
        </w:tc>
        <w:tc>
          <w:tcPr>
            <w:tcW w:w="1224" w:type="dxa"/>
            <w:shd w:val="clear" w:color="auto" w:fill="auto"/>
            <w:vAlign w:val="center"/>
          </w:tcPr>
          <w:p w14:paraId="4783558B">
            <w:pPr>
              <w:widowControl/>
              <w:spacing w:line="360" w:lineRule="exact"/>
              <w:jc w:val="center"/>
              <w:rPr>
                <w:rFonts w:ascii="Times New Roman" w:hAnsi="Times New Roman"/>
                <w:szCs w:val="21"/>
              </w:rPr>
            </w:pPr>
            <w:r>
              <w:rPr>
                <w:rFonts w:ascii="Times New Roman" w:hAnsi="Times New Roman"/>
                <w:szCs w:val="21"/>
              </w:rPr>
              <w:t>四周厂界外1m处</w:t>
            </w:r>
          </w:p>
        </w:tc>
        <w:tc>
          <w:tcPr>
            <w:tcW w:w="1916" w:type="dxa"/>
            <w:shd w:val="clear" w:color="auto" w:fill="auto"/>
            <w:vAlign w:val="center"/>
          </w:tcPr>
          <w:p w14:paraId="1475A2F8">
            <w:pPr>
              <w:widowControl/>
              <w:spacing w:line="360" w:lineRule="exact"/>
              <w:jc w:val="center"/>
              <w:rPr>
                <w:rFonts w:ascii="Times New Roman" w:hAnsi="Times New Roman"/>
                <w:szCs w:val="21"/>
              </w:rPr>
            </w:pPr>
            <w:r>
              <w:rPr>
                <w:rFonts w:hint="eastAsia" w:ascii="Times New Roman" w:hAnsi="Times New Roman"/>
                <w:szCs w:val="21"/>
              </w:rPr>
              <w:t>昼间、夜间</w:t>
            </w:r>
            <w:r>
              <w:rPr>
                <w:rFonts w:ascii="Times New Roman" w:hAnsi="Times New Roman"/>
                <w:szCs w:val="21"/>
              </w:rPr>
              <w:t>等效连续A声级</w:t>
            </w:r>
          </w:p>
        </w:tc>
        <w:tc>
          <w:tcPr>
            <w:tcW w:w="709" w:type="dxa"/>
            <w:shd w:val="clear" w:color="auto" w:fill="auto"/>
            <w:vAlign w:val="center"/>
          </w:tcPr>
          <w:p w14:paraId="7FF9C607">
            <w:pPr>
              <w:widowControl/>
              <w:spacing w:line="360" w:lineRule="exact"/>
              <w:jc w:val="center"/>
              <w:rPr>
                <w:rFonts w:ascii="Times New Roman" w:hAnsi="Times New Roman"/>
                <w:szCs w:val="21"/>
              </w:rPr>
            </w:pPr>
            <w:r>
              <w:rPr>
                <w:rFonts w:ascii="Times New Roman" w:hAnsi="Times New Roman"/>
                <w:szCs w:val="21"/>
              </w:rPr>
              <w:t>1次/季度</w:t>
            </w:r>
          </w:p>
        </w:tc>
        <w:tc>
          <w:tcPr>
            <w:tcW w:w="709" w:type="dxa"/>
            <w:shd w:val="clear" w:color="auto" w:fill="auto"/>
            <w:vAlign w:val="center"/>
          </w:tcPr>
          <w:p w14:paraId="2C2EF4C1">
            <w:pPr>
              <w:widowControl/>
              <w:spacing w:line="360" w:lineRule="exact"/>
              <w:jc w:val="center"/>
              <w:rPr>
                <w:rFonts w:ascii="Times New Roman" w:hAnsi="Times New Roman"/>
                <w:szCs w:val="21"/>
              </w:rPr>
            </w:pPr>
            <w:r>
              <w:rPr>
                <w:rFonts w:ascii="Times New Roman" w:hAnsi="Times New Roman"/>
                <w:szCs w:val="21"/>
              </w:rPr>
              <w:t>手工</w:t>
            </w:r>
          </w:p>
        </w:tc>
        <w:tc>
          <w:tcPr>
            <w:tcW w:w="1962" w:type="dxa"/>
            <w:shd w:val="clear" w:color="auto" w:fill="auto"/>
            <w:vAlign w:val="center"/>
          </w:tcPr>
          <w:p w14:paraId="20704D7B">
            <w:pPr>
              <w:widowControl/>
              <w:spacing w:line="360" w:lineRule="exact"/>
              <w:jc w:val="center"/>
              <w:rPr>
                <w:rFonts w:ascii="Times New Roman" w:hAnsi="Times New Roman"/>
                <w:szCs w:val="21"/>
              </w:rPr>
            </w:pPr>
            <w:r>
              <w:rPr>
                <w:rFonts w:ascii="Times New Roman" w:hAnsi="Times New Roman"/>
                <w:szCs w:val="21"/>
              </w:rPr>
              <w:t>《工业企业厂界环境噪声排放标准》（GB12348-2008）</w:t>
            </w:r>
            <w:r>
              <w:rPr>
                <w:rFonts w:hint="eastAsia" w:ascii="Times New Roman" w:hAnsi="Times New Roman"/>
                <w:szCs w:val="21"/>
              </w:rPr>
              <w:t>3</w:t>
            </w:r>
            <w:r>
              <w:rPr>
                <w:rFonts w:ascii="Times New Roman" w:hAnsi="Times New Roman"/>
                <w:szCs w:val="21"/>
              </w:rPr>
              <w:t>类</w:t>
            </w:r>
          </w:p>
        </w:tc>
        <w:tc>
          <w:tcPr>
            <w:tcW w:w="693" w:type="dxa"/>
            <w:vMerge w:val="continue"/>
            <w:vAlign w:val="center"/>
          </w:tcPr>
          <w:p w14:paraId="0F593876">
            <w:pPr>
              <w:widowControl/>
              <w:spacing w:line="360" w:lineRule="exact"/>
              <w:jc w:val="left"/>
              <w:rPr>
                <w:rFonts w:ascii="Times New Roman" w:hAnsi="Times New Roman"/>
                <w:szCs w:val="21"/>
              </w:rPr>
            </w:pPr>
          </w:p>
        </w:tc>
        <w:tc>
          <w:tcPr>
            <w:tcW w:w="687" w:type="dxa"/>
            <w:vMerge w:val="continue"/>
            <w:vAlign w:val="center"/>
          </w:tcPr>
          <w:p w14:paraId="6CD7B2FF">
            <w:pPr>
              <w:widowControl/>
              <w:spacing w:line="360" w:lineRule="exact"/>
              <w:jc w:val="left"/>
              <w:rPr>
                <w:rFonts w:ascii="Times New Roman" w:hAnsi="Times New Roman"/>
                <w:szCs w:val="21"/>
              </w:rPr>
            </w:pPr>
          </w:p>
        </w:tc>
      </w:tr>
    </w:tbl>
    <w:p w14:paraId="187C4AAF">
      <w:pPr>
        <w:spacing w:line="360" w:lineRule="auto"/>
        <w:ind w:firstLine="472" w:firstLineChars="200"/>
        <w:rPr>
          <w:rFonts w:ascii="Times New Roman" w:hAnsi="Times New Roman"/>
          <w:spacing w:val="-2"/>
          <w:kern w:val="0"/>
          <w:sz w:val="24"/>
          <w:szCs w:val="24"/>
        </w:rPr>
      </w:pPr>
    </w:p>
    <w:p w14:paraId="7349EB72">
      <w:pPr>
        <w:spacing w:line="360" w:lineRule="auto"/>
        <w:ind w:firstLine="472" w:firstLineChars="200"/>
        <w:rPr>
          <w:rFonts w:ascii="Times New Roman" w:hAnsi="Times New Roman"/>
          <w:spacing w:val="-2"/>
          <w:kern w:val="0"/>
          <w:sz w:val="24"/>
          <w:szCs w:val="24"/>
        </w:rPr>
      </w:pPr>
    </w:p>
    <w:p w14:paraId="75DA6661">
      <w:pPr>
        <w:pStyle w:val="6"/>
        <w:numPr>
          <w:ilvl w:val="2"/>
          <w:numId w:val="3"/>
        </w:numPr>
      </w:pPr>
      <w:r>
        <w:rPr>
          <w:rFonts w:hint="eastAsia"/>
        </w:rPr>
        <w:t>环境质量跟踪监测计划</w:t>
      </w:r>
    </w:p>
    <w:p w14:paraId="56967BB7">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结合本项目主要大气特征污染物、污水排放特征与环境影响评价相关技术导则，提出环境质量跟踪计划如下表所示。根据各类污染治理设施的运转情况，如发现治理设施非正常运转等情况，应增加监测频次，并采取必要措施确保治理设施正常运行。</w:t>
      </w:r>
    </w:p>
    <w:p w14:paraId="66150BA5">
      <w:pPr>
        <w:pStyle w:val="8"/>
        <w:numPr>
          <w:ilvl w:val="4"/>
          <w:numId w:val="3"/>
        </w:numPr>
        <w:rPr>
          <w:sz w:val="24"/>
          <w:szCs w:val="24"/>
        </w:rPr>
      </w:pPr>
      <w:r>
        <w:rPr>
          <w:sz w:val="24"/>
          <w:szCs w:val="24"/>
        </w:rPr>
        <w:t>项目环境质量跟踪监测计划表</w:t>
      </w:r>
    </w:p>
    <w:tbl>
      <w:tblPr>
        <w:tblStyle w:val="88"/>
        <w:tblW w:w="905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95"/>
        <w:gridCol w:w="693"/>
        <w:gridCol w:w="1291"/>
        <w:gridCol w:w="1417"/>
        <w:gridCol w:w="709"/>
        <w:gridCol w:w="2126"/>
        <w:gridCol w:w="961"/>
        <w:gridCol w:w="1165"/>
      </w:tblGrid>
      <w:tr w14:paraId="10B159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8" w:hRule="atLeast"/>
          <w:tblHeader/>
          <w:jc w:val="center"/>
        </w:trPr>
        <w:tc>
          <w:tcPr>
            <w:tcW w:w="695" w:type="dxa"/>
            <w:shd w:val="clear" w:color="auto" w:fill="auto"/>
            <w:vAlign w:val="center"/>
          </w:tcPr>
          <w:p w14:paraId="506CB5EC">
            <w:pPr>
              <w:widowControl/>
              <w:spacing w:line="360" w:lineRule="exact"/>
              <w:jc w:val="center"/>
              <w:rPr>
                <w:rFonts w:ascii="Times New Roman" w:hAnsi="Times New Roman"/>
                <w:b/>
                <w:bCs/>
                <w:szCs w:val="21"/>
              </w:rPr>
            </w:pPr>
            <w:r>
              <w:rPr>
                <w:rFonts w:ascii="Times New Roman" w:hAnsi="Times New Roman"/>
                <w:b/>
                <w:bCs/>
                <w:szCs w:val="21"/>
              </w:rPr>
              <w:t>监测阶段</w:t>
            </w:r>
          </w:p>
        </w:tc>
        <w:tc>
          <w:tcPr>
            <w:tcW w:w="693" w:type="dxa"/>
            <w:shd w:val="clear" w:color="auto" w:fill="auto"/>
            <w:vAlign w:val="center"/>
          </w:tcPr>
          <w:p w14:paraId="758BF7AC">
            <w:pPr>
              <w:widowControl/>
              <w:spacing w:line="360" w:lineRule="exact"/>
              <w:jc w:val="center"/>
              <w:rPr>
                <w:rFonts w:ascii="Times New Roman" w:hAnsi="Times New Roman"/>
                <w:b/>
                <w:bCs/>
                <w:szCs w:val="21"/>
              </w:rPr>
            </w:pPr>
            <w:r>
              <w:rPr>
                <w:rFonts w:ascii="Times New Roman" w:hAnsi="Times New Roman"/>
                <w:b/>
                <w:bCs/>
                <w:szCs w:val="21"/>
              </w:rPr>
              <w:t>监测要素</w:t>
            </w:r>
          </w:p>
        </w:tc>
        <w:tc>
          <w:tcPr>
            <w:tcW w:w="1291" w:type="dxa"/>
            <w:shd w:val="clear" w:color="auto" w:fill="auto"/>
            <w:vAlign w:val="center"/>
          </w:tcPr>
          <w:p w14:paraId="15A972A1">
            <w:pPr>
              <w:widowControl/>
              <w:spacing w:line="360" w:lineRule="exact"/>
              <w:jc w:val="center"/>
              <w:rPr>
                <w:rFonts w:ascii="Times New Roman" w:hAnsi="Times New Roman"/>
                <w:b/>
                <w:bCs/>
                <w:szCs w:val="21"/>
              </w:rPr>
            </w:pPr>
            <w:r>
              <w:rPr>
                <w:rFonts w:ascii="Times New Roman" w:hAnsi="Times New Roman"/>
                <w:b/>
                <w:bCs/>
                <w:szCs w:val="21"/>
              </w:rPr>
              <w:t>监测点位</w:t>
            </w:r>
          </w:p>
        </w:tc>
        <w:tc>
          <w:tcPr>
            <w:tcW w:w="1417" w:type="dxa"/>
            <w:shd w:val="clear" w:color="auto" w:fill="auto"/>
            <w:vAlign w:val="center"/>
          </w:tcPr>
          <w:p w14:paraId="209F48C2">
            <w:pPr>
              <w:widowControl/>
              <w:spacing w:line="360" w:lineRule="exact"/>
              <w:jc w:val="center"/>
              <w:rPr>
                <w:rFonts w:ascii="Times New Roman" w:hAnsi="Times New Roman"/>
                <w:b/>
                <w:bCs/>
                <w:szCs w:val="21"/>
              </w:rPr>
            </w:pPr>
            <w:r>
              <w:rPr>
                <w:rFonts w:ascii="Times New Roman" w:hAnsi="Times New Roman"/>
                <w:b/>
                <w:bCs/>
                <w:szCs w:val="21"/>
              </w:rPr>
              <w:t>监测指标</w:t>
            </w:r>
          </w:p>
        </w:tc>
        <w:tc>
          <w:tcPr>
            <w:tcW w:w="709" w:type="dxa"/>
            <w:shd w:val="clear" w:color="auto" w:fill="auto"/>
            <w:vAlign w:val="center"/>
          </w:tcPr>
          <w:p w14:paraId="19B6EBC8">
            <w:pPr>
              <w:widowControl/>
              <w:spacing w:line="360" w:lineRule="exact"/>
              <w:jc w:val="center"/>
              <w:rPr>
                <w:rFonts w:ascii="Times New Roman" w:hAnsi="Times New Roman"/>
                <w:b/>
                <w:bCs/>
                <w:szCs w:val="21"/>
              </w:rPr>
            </w:pPr>
            <w:r>
              <w:rPr>
                <w:rFonts w:ascii="Times New Roman" w:hAnsi="Times New Roman"/>
                <w:b/>
                <w:bCs/>
                <w:szCs w:val="21"/>
              </w:rPr>
              <w:t>监测频次</w:t>
            </w:r>
          </w:p>
        </w:tc>
        <w:tc>
          <w:tcPr>
            <w:tcW w:w="2126" w:type="dxa"/>
            <w:shd w:val="clear" w:color="auto" w:fill="auto"/>
            <w:vAlign w:val="center"/>
          </w:tcPr>
          <w:p w14:paraId="19801F11">
            <w:pPr>
              <w:widowControl/>
              <w:spacing w:line="360" w:lineRule="exact"/>
              <w:jc w:val="center"/>
              <w:rPr>
                <w:rFonts w:ascii="Times New Roman" w:hAnsi="Times New Roman"/>
                <w:b/>
                <w:bCs/>
                <w:szCs w:val="21"/>
              </w:rPr>
            </w:pPr>
            <w:r>
              <w:rPr>
                <w:rFonts w:ascii="Times New Roman" w:hAnsi="Times New Roman"/>
                <w:b/>
                <w:bCs/>
                <w:szCs w:val="21"/>
              </w:rPr>
              <w:t>执行排放标准</w:t>
            </w:r>
          </w:p>
        </w:tc>
        <w:tc>
          <w:tcPr>
            <w:tcW w:w="961" w:type="dxa"/>
            <w:shd w:val="clear" w:color="auto" w:fill="auto"/>
            <w:vAlign w:val="center"/>
          </w:tcPr>
          <w:p w14:paraId="6334869F">
            <w:pPr>
              <w:widowControl/>
              <w:spacing w:line="360" w:lineRule="exact"/>
              <w:jc w:val="center"/>
              <w:rPr>
                <w:rFonts w:ascii="Times New Roman" w:hAnsi="Times New Roman"/>
                <w:b/>
                <w:bCs/>
                <w:szCs w:val="21"/>
              </w:rPr>
            </w:pPr>
            <w:r>
              <w:rPr>
                <w:rFonts w:ascii="Times New Roman" w:hAnsi="Times New Roman"/>
                <w:b/>
                <w:bCs/>
                <w:szCs w:val="21"/>
              </w:rPr>
              <w:t>执行机构</w:t>
            </w:r>
          </w:p>
        </w:tc>
        <w:tc>
          <w:tcPr>
            <w:tcW w:w="1165" w:type="dxa"/>
            <w:shd w:val="clear" w:color="auto" w:fill="auto"/>
            <w:vAlign w:val="center"/>
          </w:tcPr>
          <w:p w14:paraId="711D6B7C">
            <w:pPr>
              <w:widowControl/>
              <w:spacing w:line="360" w:lineRule="exact"/>
              <w:jc w:val="center"/>
              <w:rPr>
                <w:rFonts w:ascii="Times New Roman" w:hAnsi="Times New Roman"/>
                <w:b/>
                <w:bCs/>
                <w:szCs w:val="21"/>
              </w:rPr>
            </w:pPr>
            <w:r>
              <w:rPr>
                <w:rFonts w:ascii="Times New Roman" w:hAnsi="Times New Roman"/>
                <w:b/>
                <w:bCs/>
                <w:szCs w:val="21"/>
              </w:rPr>
              <w:t>监督单位</w:t>
            </w:r>
          </w:p>
        </w:tc>
      </w:tr>
      <w:tr w14:paraId="0578EF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695" w:type="dxa"/>
            <w:vAlign w:val="center"/>
          </w:tcPr>
          <w:p w14:paraId="7EB7DBC1">
            <w:pPr>
              <w:widowControl/>
              <w:spacing w:line="360" w:lineRule="exact"/>
              <w:jc w:val="center"/>
              <w:rPr>
                <w:rFonts w:ascii="Times New Roman" w:hAnsi="Times New Roman"/>
                <w:szCs w:val="21"/>
              </w:rPr>
            </w:pPr>
            <w:r>
              <w:rPr>
                <w:rFonts w:ascii="Times New Roman" w:hAnsi="Times New Roman"/>
                <w:szCs w:val="21"/>
              </w:rPr>
              <w:t>运营期</w:t>
            </w:r>
          </w:p>
        </w:tc>
        <w:tc>
          <w:tcPr>
            <w:tcW w:w="693" w:type="dxa"/>
            <w:shd w:val="clear" w:color="auto" w:fill="auto"/>
            <w:vAlign w:val="center"/>
          </w:tcPr>
          <w:p w14:paraId="6E768055">
            <w:pPr>
              <w:widowControl/>
              <w:spacing w:line="360" w:lineRule="exact"/>
              <w:jc w:val="center"/>
              <w:rPr>
                <w:rFonts w:ascii="Times New Roman" w:hAnsi="Times New Roman"/>
                <w:szCs w:val="21"/>
              </w:rPr>
            </w:pPr>
            <w:r>
              <w:rPr>
                <w:rFonts w:ascii="Times New Roman" w:hAnsi="Times New Roman"/>
                <w:szCs w:val="21"/>
              </w:rPr>
              <w:t>地下水</w:t>
            </w:r>
          </w:p>
        </w:tc>
        <w:tc>
          <w:tcPr>
            <w:tcW w:w="1291" w:type="dxa"/>
            <w:shd w:val="clear" w:color="auto" w:fill="auto"/>
            <w:vAlign w:val="center"/>
          </w:tcPr>
          <w:p w14:paraId="53263B95">
            <w:pPr>
              <w:widowControl/>
              <w:spacing w:line="360" w:lineRule="exact"/>
              <w:jc w:val="center"/>
              <w:rPr>
                <w:rFonts w:ascii="Times New Roman" w:hAnsi="Times New Roman"/>
                <w:szCs w:val="21"/>
              </w:rPr>
            </w:pPr>
            <w:r>
              <w:rPr>
                <w:rFonts w:ascii="Times New Roman" w:hAnsi="Times New Roman"/>
                <w:szCs w:val="21"/>
              </w:rPr>
              <w:t>项目西南侧100m处（创大进口汽车仓储物流园内）</w:t>
            </w:r>
          </w:p>
        </w:tc>
        <w:tc>
          <w:tcPr>
            <w:tcW w:w="1417" w:type="dxa"/>
            <w:shd w:val="clear" w:color="auto" w:fill="auto"/>
            <w:vAlign w:val="center"/>
          </w:tcPr>
          <w:p w14:paraId="7CC8A2F5">
            <w:pPr>
              <w:widowControl/>
              <w:spacing w:line="360" w:lineRule="exact"/>
              <w:jc w:val="center"/>
              <w:rPr>
                <w:rFonts w:ascii="Times New Roman" w:hAnsi="Times New Roman"/>
                <w:szCs w:val="21"/>
              </w:rPr>
            </w:pPr>
            <w:r>
              <w:rPr>
                <w:rFonts w:ascii="Times New Roman" w:hAnsi="Times New Roman"/>
                <w:szCs w:val="21"/>
              </w:rPr>
              <w:t>pH值、氨氮、砷、汞、铅、镉、锌、铜、六价铬、铁</w:t>
            </w:r>
          </w:p>
        </w:tc>
        <w:tc>
          <w:tcPr>
            <w:tcW w:w="709" w:type="dxa"/>
            <w:shd w:val="clear" w:color="auto" w:fill="auto"/>
            <w:vAlign w:val="center"/>
          </w:tcPr>
          <w:p w14:paraId="38209D6C">
            <w:pPr>
              <w:widowControl/>
              <w:spacing w:line="360" w:lineRule="exact"/>
              <w:jc w:val="center"/>
              <w:rPr>
                <w:rFonts w:ascii="Times New Roman" w:hAnsi="Times New Roman"/>
                <w:szCs w:val="21"/>
              </w:rPr>
            </w:pPr>
            <w:r>
              <w:rPr>
                <w:rFonts w:ascii="Times New Roman" w:hAnsi="Times New Roman"/>
                <w:szCs w:val="21"/>
              </w:rPr>
              <w:t>1次/年</w:t>
            </w:r>
          </w:p>
        </w:tc>
        <w:tc>
          <w:tcPr>
            <w:tcW w:w="2126" w:type="dxa"/>
            <w:shd w:val="clear" w:color="auto" w:fill="auto"/>
            <w:vAlign w:val="center"/>
          </w:tcPr>
          <w:p w14:paraId="5643FAFF">
            <w:pPr>
              <w:widowControl/>
              <w:spacing w:line="360" w:lineRule="exact"/>
              <w:jc w:val="center"/>
              <w:rPr>
                <w:rFonts w:ascii="Times New Roman" w:hAnsi="Times New Roman"/>
                <w:szCs w:val="21"/>
              </w:rPr>
            </w:pPr>
            <w:r>
              <w:rPr>
                <w:rFonts w:ascii="Times New Roman" w:hAnsi="Times New Roman"/>
                <w:szCs w:val="21"/>
              </w:rPr>
              <w:t>《地下水质量标准》（GB/T 14848-2017）Ⅲ类标准</w:t>
            </w:r>
          </w:p>
        </w:tc>
        <w:tc>
          <w:tcPr>
            <w:tcW w:w="961" w:type="dxa"/>
            <w:vAlign w:val="center"/>
          </w:tcPr>
          <w:p w14:paraId="0900DC69">
            <w:pPr>
              <w:widowControl/>
              <w:spacing w:line="360" w:lineRule="exact"/>
              <w:jc w:val="center"/>
              <w:rPr>
                <w:rFonts w:ascii="Times New Roman" w:hAnsi="Times New Roman"/>
                <w:szCs w:val="21"/>
              </w:rPr>
            </w:pPr>
            <w:r>
              <w:rPr>
                <w:rFonts w:ascii="Times New Roman" w:hAnsi="Times New Roman"/>
                <w:szCs w:val="21"/>
              </w:rPr>
              <w:t>建设单位、有资质监测机构</w:t>
            </w:r>
          </w:p>
        </w:tc>
        <w:tc>
          <w:tcPr>
            <w:tcW w:w="1165" w:type="dxa"/>
            <w:vAlign w:val="center"/>
          </w:tcPr>
          <w:p w14:paraId="01145E79">
            <w:pPr>
              <w:widowControl/>
              <w:spacing w:line="360" w:lineRule="exact"/>
              <w:jc w:val="center"/>
              <w:rPr>
                <w:rFonts w:ascii="Times New Roman" w:hAnsi="Times New Roman"/>
                <w:szCs w:val="21"/>
              </w:rPr>
            </w:pPr>
            <w:r>
              <w:rPr>
                <w:rFonts w:hint="eastAsia" w:ascii="Times New Roman" w:hAnsi="Times New Roman"/>
                <w:szCs w:val="21"/>
              </w:rPr>
              <w:t>钦州市生态环境局</w:t>
            </w:r>
          </w:p>
        </w:tc>
      </w:tr>
    </w:tbl>
    <w:p w14:paraId="0B899790">
      <w:pPr>
        <w:spacing w:line="360" w:lineRule="auto"/>
        <w:ind w:firstLine="472" w:firstLineChars="200"/>
        <w:rPr>
          <w:rFonts w:ascii="Times New Roman" w:hAnsi="Times New Roman"/>
          <w:spacing w:val="-2"/>
          <w:kern w:val="0"/>
          <w:sz w:val="24"/>
          <w:szCs w:val="24"/>
        </w:rPr>
      </w:pPr>
    </w:p>
    <w:p w14:paraId="388830E9">
      <w:pPr>
        <w:pStyle w:val="5"/>
        <w:numPr>
          <w:ilvl w:val="1"/>
          <w:numId w:val="3"/>
        </w:numPr>
      </w:pPr>
      <w:bookmarkStart w:id="319" w:name="_Toc23148"/>
      <w:bookmarkStart w:id="320" w:name="_Toc15577"/>
      <w:r>
        <w:rPr>
          <w:rFonts w:hint="eastAsia"/>
        </w:rPr>
        <w:t>环保设施“</w:t>
      </w:r>
      <w:r>
        <w:t>三同时</w:t>
      </w:r>
      <w:r>
        <w:rPr>
          <w:rFonts w:hint="eastAsia"/>
        </w:rPr>
        <w:t>”</w:t>
      </w:r>
      <w:r>
        <w:t>及竣工环保验收</w:t>
      </w:r>
      <w:bookmarkEnd w:id="319"/>
      <w:bookmarkEnd w:id="320"/>
    </w:p>
    <w:p w14:paraId="5BC91AB0">
      <w:pPr>
        <w:spacing w:line="360" w:lineRule="auto"/>
        <w:ind w:firstLine="472" w:firstLineChars="200"/>
        <w:rPr>
          <w:rFonts w:ascii="Times New Roman" w:hAnsi="Times New Roman"/>
          <w:spacing w:val="-2"/>
          <w:kern w:val="0"/>
          <w:sz w:val="24"/>
          <w:szCs w:val="24"/>
        </w:rPr>
      </w:pPr>
      <w:bookmarkStart w:id="321" w:name="_Toc410662474"/>
      <w:r>
        <w:rPr>
          <w:rFonts w:hint="eastAsia" w:ascii="Times New Roman" w:hAnsi="Times New Roman"/>
          <w:spacing w:val="-2"/>
          <w:kern w:val="0"/>
          <w:sz w:val="24"/>
          <w:szCs w:val="24"/>
        </w:rPr>
        <w:t>建设单位在落实环评报告及其批复文件提出的各项环境保护措施的情况下，根据项目实际情况自行决定建设项目投入生产（运行）的时间。根据《“十三五”环境影响评价改革实施方案》（环评〔2016〕95号）中“创新“三同时”管理”规定：取消环保竣工验收行政许可，建立环评、“三同时”和排污许可衔接的管理机制，对建设项目环评文件及其批复中污染物排放控制有关要求，在排污许可证中载明，将企业落实“三同时”作为申领排污许可证的前提；根据国务院第682号令《建设项目环境保护管理条例》，建设项目竣工后，建设单位应当按照国务院环境保护行政主管部门规定的标准和程序，对配套建设的环境保护设施进行验收，编制验收报告。建设单位在环境保护设施验收过程中，应当如实查验、监测、记载建设项目环境保护设施的建设和调试情况，不得弄虚作假。除按照国家规定需要保密的情形外，建设单位应当依法向社会公开验收报告。</w:t>
      </w:r>
    </w:p>
    <w:p w14:paraId="4D11BF42">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项目竣工后，应根据《建设项目竣工环境保护验收暂行办法》（国环规环评〔2017〕4号））和《建设项目竣工环境保护验收技术指南 污染影响类》规定的程序和内容，自主开展环境保护验收。</w:t>
      </w:r>
    </w:p>
    <w:p w14:paraId="3CE32157">
      <w:pPr>
        <w:spacing w:line="360" w:lineRule="auto"/>
        <w:ind w:firstLine="472" w:firstLineChars="200"/>
        <w:rPr>
          <w:rFonts w:ascii="Times New Roman" w:hAnsi="Times New Roman"/>
          <w:sz w:val="24"/>
          <w:szCs w:val="24"/>
        </w:rPr>
      </w:pPr>
      <w:r>
        <w:rPr>
          <w:rFonts w:hint="eastAsia" w:ascii="Times New Roman" w:hAnsi="Times New Roman"/>
          <w:spacing w:val="-2"/>
          <w:kern w:val="0"/>
          <w:sz w:val="24"/>
          <w:szCs w:val="24"/>
        </w:rPr>
        <w:t>项目环保设施“三同时”验收表见表7.4-1</w:t>
      </w:r>
      <w:r>
        <w:rPr>
          <w:rFonts w:ascii="Times New Roman" w:hAnsi="Times New Roman"/>
          <w:spacing w:val="-2"/>
          <w:kern w:val="0"/>
          <w:sz w:val="24"/>
          <w:szCs w:val="24"/>
        </w:rPr>
        <w:t>。辐射环境保</w:t>
      </w:r>
      <w:r>
        <w:rPr>
          <w:rFonts w:ascii="宋体" w:hAnsi="宋体"/>
          <w:spacing w:val="-2"/>
          <w:kern w:val="0"/>
          <w:sz w:val="24"/>
          <w:szCs w:val="24"/>
        </w:rPr>
        <w:t>护“三同时”验</w:t>
      </w:r>
      <w:r>
        <w:rPr>
          <w:rFonts w:ascii="Times New Roman" w:hAnsi="Times New Roman"/>
          <w:spacing w:val="-2"/>
          <w:kern w:val="0"/>
          <w:sz w:val="24"/>
          <w:szCs w:val="24"/>
        </w:rPr>
        <w:t>收内容</w:t>
      </w:r>
      <w:r>
        <w:rPr>
          <w:rFonts w:ascii="Times New Roman" w:hAnsi="Times New Roman"/>
          <w:sz w:val="24"/>
          <w:szCs w:val="24"/>
        </w:rPr>
        <w:t>详见《锆钛矿石分选加工项目辐射环境影响评价专篇》。</w:t>
      </w:r>
    </w:p>
    <w:p w14:paraId="7082E2B1">
      <w:pPr>
        <w:spacing w:line="360" w:lineRule="auto"/>
        <w:ind w:firstLine="480" w:firstLineChars="200"/>
        <w:rPr>
          <w:rFonts w:ascii="Times New Roman" w:hAnsi="Times New Roman"/>
          <w:sz w:val="24"/>
          <w:szCs w:val="24"/>
        </w:rPr>
      </w:pPr>
    </w:p>
    <w:p w14:paraId="683F8334">
      <w:pPr>
        <w:spacing w:line="360" w:lineRule="auto"/>
        <w:ind w:firstLine="480" w:firstLineChars="200"/>
        <w:rPr>
          <w:rFonts w:ascii="Times New Roman" w:hAnsi="Times New Roman"/>
          <w:sz w:val="24"/>
          <w:szCs w:val="24"/>
        </w:rPr>
        <w:sectPr>
          <w:pgSz w:w="11906" w:h="16838"/>
          <w:pgMar w:top="1418" w:right="1418" w:bottom="1418" w:left="1418" w:header="851" w:footer="992" w:gutter="0"/>
          <w:cols w:space="720" w:num="1"/>
          <w:docGrid w:type="lines" w:linePitch="312" w:charSpace="0"/>
        </w:sectPr>
      </w:pPr>
    </w:p>
    <w:p w14:paraId="67995919">
      <w:pPr>
        <w:pStyle w:val="8"/>
        <w:numPr>
          <w:ilvl w:val="4"/>
          <w:numId w:val="3"/>
        </w:numPr>
        <w:rPr>
          <w:sz w:val="24"/>
          <w:szCs w:val="24"/>
        </w:rPr>
      </w:pPr>
      <w:r>
        <w:rPr>
          <w:sz w:val="24"/>
          <w:szCs w:val="24"/>
        </w:rPr>
        <w:t xml:space="preserve"> </w:t>
      </w:r>
      <w:r>
        <w:rPr>
          <w:rFonts w:hint="eastAsia"/>
          <w:sz w:val="24"/>
          <w:szCs w:val="24"/>
        </w:rPr>
        <w:t>项目环保设施</w:t>
      </w:r>
      <w:r>
        <w:rPr>
          <w:rFonts w:ascii="宋体" w:hAnsi="宋体"/>
          <w:sz w:val="24"/>
          <w:szCs w:val="24"/>
        </w:rPr>
        <w:t>“三同时”</w:t>
      </w:r>
      <w:r>
        <w:rPr>
          <w:sz w:val="24"/>
          <w:szCs w:val="24"/>
        </w:rPr>
        <w:t>验收一览表</w:t>
      </w:r>
    </w:p>
    <w:tbl>
      <w:tblPr>
        <w:tblStyle w:val="88"/>
        <w:tblW w:w="1389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126"/>
        <w:gridCol w:w="1716"/>
        <w:gridCol w:w="2926"/>
        <w:gridCol w:w="2603"/>
        <w:gridCol w:w="3543"/>
      </w:tblGrid>
      <w:tr w14:paraId="5C0D81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978" w:type="dxa"/>
            <w:shd w:val="clear" w:color="auto" w:fill="auto"/>
            <w:vAlign w:val="center"/>
          </w:tcPr>
          <w:p w14:paraId="00FC13EA">
            <w:pPr>
              <w:widowControl/>
              <w:spacing w:line="360" w:lineRule="exact"/>
              <w:jc w:val="center"/>
              <w:rPr>
                <w:rFonts w:ascii="Times New Roman" w:hAnsi="Times New Roman"/>
                <w:b/>
                <w:bCs/>
                <w:szCs w:val="21"/>
              </w:rPr>
            </w:pPr>
            <w:r>
              <w:rPr>
                <w:rFonts w:ascii="Times New Roman" w:hAnsi="Times New Roman"/>
                <w:b/>
                <w:bCs/>
                <w:szCs w:val="21"/>
              </w:rPr>
              <w:t>项目</w:t>
            </w:r>
          </w:p>
        </w:tc>
        <w:tc>
          <w:tcPr>
            <w:tcW w:w="2126" w:type="dxa"/>
            <w:shd w:val="clear" w:color="auto" w:fill="auto"/>
            <w:vAlign w:val="center"/>
          </w:tcPr>
          <w:p w14:paraId="6194A6D6">
            <w:pPr>
              <w:widowControl/>
              <w:spacing w:line="360" w:lineRule="exact"/>
              <w:jc w:val="center"/>
              <w:rPr>
                <w:rFonts w:ascii="Times New Roman" w:hAnsi="Times New Roman"/>
                <w:b/>
                <w:bCs/>
                <w:szCs w:val="21"/>
              </w:rPr>
            </w:pPr>
            <w:r>
              <w:rPr>
                <w:rFonts w:ascii="Times New Roman" w:hAnsi="Times New Roman"/>
                <w:b/>
                <w:bCs/>
                <w:szCs w:val="21"/>
              </w:rPr>
              <w:t>排放源</w:t>
            </w:r>
          </w:p>
        </w:tc>
        <w:tc>
          <w:tcPr>
            <w:tcW w:w="1716" w:type="dxa"/>
            <w:shd w:val="clear" w:color="auto" w:fill="auto"/>
            <w:vAlign w:val="center"/>
          </w:tcPr>
          <w:p w14:paraId="1ED14DBE">
            <w:pPr>
              <w:widowControl/>
              <w:spacing w:line="360" w:lineRule="exact"/>
              <w:jc w:val="center"/>
              <w:rPr>
                <w:rFonts w:ascii="Times New Roman" w:hAnsi="Times New Roman"/>
                <w:b/>
                <w:bCs/>
                <w:szCs w:val="21"/>
              </w:rPr>
            </w:pPr>
            <w:r>
              <w:rPr>
                <w:rFonts w:hint="eastAsia" w:ascii="Times New Roman" w:hAnsi="Times New Roman"/>
                <w:b/>
                <w:bCs/>
                <w:szCs w:val="21"/>
              </w:rPr>
              <w:t>污染物</w:t>
            </w:r>
          </w:p>
        </w:tc>
        <w:tc>
          <w:tcPr>
            <w:tcW w:w="2926" w:type="dxa"/>
            <w:shd w:val="clear" w:color="auto" w:fill="auto"/>
            <w:vAlign w:val="center"/>
          </w:tcPr>
          <w:p w14:paraId="5EA02379">
            <w:pPr>
              <w:widowControl/>
              <w:spacing w:line="360" w:lineRule="exact"/>
              <w:jc w:val="center"/>
              <w:rPr>
                <w:rFonts w:ascii="Times New Roman" w:hAnsi="Times New Roman"/>
                <w:b/>
                <w:bCs/>
                <w:szCs w:val="21"/>
              </w:rPr>
            </w:pPr>
            <w:r>
              <w:rPr>
                <w:rFonts w:hint="eastAsia" w:ascii="Times New Roman" w:hAnsi="Times New Roman"/>
                <w:b/>
                <w:bCs/>
                <w:szCs w:val="21"/>
              </w:rPr>
              <w:t>治理</w:t>
            </w:r>
            <w:r>
              <w:rPr>
                <w:rFonts w:ascii="Times New Roman" w:hAnsi="Times New Roman"/>
                <w:b/>
                <w:bCs/>
                <w:szCs w:val="21"/>
              </w:rPr>
              <w:t>措施</w:t>
            </w:r>
          </w:p>
        </w:tc>
        <w:tc>
          <w:tcPr>
            <w:tcW w:w="2603" w:type="dxa"/>
            <w:shd w:val="clear" w:color="auto" w:fill="auto"/>
            <w:vAlign w:val="center"/>
          </w:tcPr>
          <w:p w14:paraId="407DD4AA">
            <w:pPr>
              <w:widowControl/>
              <w:spacing w:line="360" w:lineRule="exact"/>
              <w:jc w:val="center"/>
              <w:rPr>
                <w:rFonts w:ascii="Times New Roman" w:hAnsi="Times New Roman"/>
                <w:b/>
                <w:bCs/>
                <w:szCs w:val="21"/>
              </w:rPr>
            </w:pPr>
            <w:r>
              <w:rPr>
                <w:rFonts w:ascii="Times New Roman" w:hAnsi="Times New Roman"/>
                <w:b/>
                <w:bCs/>
                <w:szCs w:val="21"/>
              </w:rPr>
              <w:t>验收内容</w:t>
            </w:r>
          </w:p>
        </w:tc>
        <w:tc>
          <w:tcPr>
            <w:tcW w:w="3543" w:type="dxa"/>
            <w:shd w:val="clear" w:color="auto" w:fill="auto"/>
            <w:vAlign w:val="center"/>
          </w:tcPr>
          <w:p w14:paraId="36545354">
            <w:pPr>
              <w:widowControl/>
              <w:spacing w:line="360" w:lineRule="exact"/>
              <w:jc w:val="center"/>
              <w:rPr>
                <w:rFonts w:ascii="Times New Roman" w:hAnsi="Times New Roman"/>
                <w:b/>
                <w:bCs/>
                <w:szCs w:val="21"/>
              </w:rPr>
            </w:pPr>
            <w:r>
              <w:rPr>
                <w:rFonts w:hint="eastAsia" w:ascii="Times New Roman" w:hAnsi="Times New Roman"/>
                <w:b/>
                <w:bCs/>
                <w:szCs w:val="21"/>
              </w:rPr>
              <w:t>验收标准</w:t>
            </w:r>
          </w:p>
        </w:tc>
      </w:tr>
      <w:tr w14:paraId="581969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78" w:type="dxa"/>
            <w:vMerge w:val="restart"/>
            <w:shd w:val="clear" w:color="auto" w:fill="auto"/>
            <w:vAlign w:val="center"/>
          </w:tcPr>
          <w:p w14:paraId="0D32B53D">
            <w:pPr>
              <w:widowControl/>
              <w:spacing w:line="360" w:lineRule="exact"/>
              <w:jc w:val="center"/>
              <w:rPr>
                <w:rFonts w:ascii="Times New Roman" w:hAnsi="Times New Roman"/>
                <w:szCs w:val="21"/>
              </w:rPr>
            </w:pPr>
            <w:r>
              <w:rPr>
                <w:rFonts w:ascii="Times New Roman" w:hAnsi="Times New Roman"/>
                <w:szCs w:val="21"/>
              </w:rPr>
              <w:t>废气</w:t>
            </w:r>
          </w:p>
        </w:tc>
        <w:tc>
          <w:tcPr>
            <w:tcW w:w="2126" w:type="dxa"/>
            <w:vMerge w:val="restart"/>
            <w:shd w:val="clear" w:color="auto" w:fill="auto"/>
            <w:vAlign w:val="center"/>
          </w:tcPr>
          <w:p w14:paraId="6D5F9E07">
            <w:pPr>
              <w:widowControl/>
              <w:spacing w:line="360" w:lineRule="exact"/>
              <w:jc w:val="center"/>
              <w:rPr>
                <w:rFonts w:ascii="Times New Roman" w:hAnsi="Times New Roman"/>
                <w:szCs w:val="21"/>
              </w:rPr>
            </w:pPr>
            <w:r>
              <w:rPr>
                <w:rFonts w:hint="eastAsia" w:ascii="Times New Roman" w:hAnsi="Times New Roman"/>
                <w:szCs w:val="21"/>
              </w:rPr>
              <w:t>烘干炉烟气排气筒</w:t>
            </w:r>
          </w:p>
        </w:tc>
        <w:tc>
          <w:tcPr>
            <w:tcW w:w="1716" w:type="dxa"/>
            <w:shd w:val="clear" w:color="auto" w:fill="auto"/>
            <w:vAlign w:val="center"/>
          </w:tcPr>
          <w:p w14:paraId="083E6D94">
            <w:pPr>
              <w:widowControl/>
              <w:spacing w:line="360" w:lineRule="exact"/>
              <w:jc w:val="center"/>
              <w:rPr>
                <w:rFonts w:ascii="Times New Roman" w:hAnsi="Times New Roman"/>
                <w:szCs w:val="21"/>
              </w:rPr>
            </w:pPr>
            <w:r>
              <w:rPr>
                <w:rFonts w:ascii="Times New Roman" w:hAnsi="Times New Roman"/>
                <w:szCs w:val="21"/>
              </w:rPr>
              <w:t>PM</w:t>
            </w:r>
            <w:r>
              <w:rPr>
                <w:rFonts w:ascii="Times New Roman" w:hAnsi="Times New Roman"/>
                <w:szCs w:val="21"/>
                <w:vertAlign w:val="subscript"/>
              </w:rPr>
              <w:t>10</w:t>
            </w:r>
          </w:p>
        </w:tc>
        <w:tc>
          <w:tcPr>
            <w:tcW w:w="2926" w:type="dxa"/>
            <w:vMerge w:val="restart"/>
            <w:shd w:val="clear" w:color="auto" w:fill="auto"/>
            <w:vAlign w:val="center"/>
          </w:tcPr>
          <w:p w14:paraId="5DFE8421">
            <w:pPr>
              <w:widowControl/>
              <w:spacing w:line="360" w:lineRule="exact"/>
              <w:jc w:val="center"/>
              <w:rPr>
                <w:rFonts w:ascii="Times New Roman" w:hAnsi="Times New Roman"/>
                <w:szCs w:val="21"/>
              </w:rPr>
            </w:pPr>
            <w:r>
              <w:rPr>
                <w:rFonts w:ascii="Times New Roman" w:hAnsi="Times New Roman"/>
                <w:szCs w:val="21"/>
              </w:rPr>
              <w:t>袋式除尘+1</w:t>
            </w:r>
            <w:r>
              <w:rPr>
                <w:rFonts w:hint="eastAsia" w:ascii="Times New Roman" w:hAnsi="Times New Roman"/>
                <w:szCs w:val="21"/>
              </w:rPr>
              <w:t>9</w:t>
            </w:r>
            <w:r>
              <w:rPr>
                <w:rFonts w:ascii="Times New Roman" w:hAnsi="Times New Roman"/>
                <w:szCs w:val="21"/>
              </w:rPr>
              <w:t>m排气筒</w:t>
            </w:r>
          </w:p>
        </w:tc>
        <w:tc>
          <w:tcPr>
            <w:tcW w:w="2603" w:type="dxa"/>
            <w:vMerge w:val="restart"/>
            <w:shd w:val="clear" w:color="auto" w:fill="auto"/>
            <w:vAlign w:val="center"/>
          </w:tcPr>
          <w:p w14:paraId="081FDD21">
            <w:pPr>
              <w:widowControl/>
              <w:spacing w:line="360" w:lineRule="exact"/>
              <w:jc w:val="center"/>
              <w:rPr>
                <w:rFonts w:ascii="Times New Roman" w:hAnsi="Times New Roman"/>
                <w:szCs w:val="21"/>
              </w:rPr>
            </w:pPr>
            <w:r>
              <w:rPr>
                <w:rFonts w:hint="eastAsia" w:ascii="Times New Roman" w:hAnsi="Times New Roman"/>
                <w:szCs w:val="21"/>
              </w:rPr>
              <w:t>是否落实及达标排放</w:t>
            </w:r>
          </w:p>
        </w:tc>
        <w:tc>
          <w:tcPr>
            <w:tcW w:w="3543" w:type="dxa"/>
            <w:vMerge w:val="restart"/>
            <w:shd w:val="clear" w:color="auto" w:fill="auto"/>
            <w:vAlign w:val="center"/>
          </w:tcPr>
          <w:p w14:paraId="4972E71F">
            <w:pPr>
              <w:widowControl/>
              <w:spacing w:line="360" w:lineRule="exact"/>
              <w:jc w:val="center"/>
              <w:rPr>
                <w:rFonts w:ascii="Times New Roman" w:hAnsi="Times New Roman"/>
                <w:szCs w:val="21"/>
              </w:rPr>
            </w:pPr>
            <w:r>
              <w:rPr>
                <w:rFonts w:ascii="Times New Roman" w:hAnsi="Times New Roman"/>
                <w:spacing w:val="-2"/>
                <w:kern w:val="0"/>
                <w:szCs w:val="21"/>
              </w:rPr>
              <w:t>《工业炉窑大气污染物排放标准》（GB9078-1996）</w:t>
            </w:r>
          </w:p>
        </w:tc>
      </w:tr>
      <w:tr w14:paraId="06E8E7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78" w:type="dxa"/>
            <w:vMerge w:val="continue"/>
            <w:shd w:val="clear" w:color="auto" w:fill="auto"/>
            <w:vAlign w:val="center"/>
          </w:tcPr>
          <w:p w14:paraId="61F41A05">
            <w:pPr>
              <w:widowControl/>
              <w:spacing w:line="360" w:lineRule="exact"/>
              <w:jc w:val="center"/>
              <w:rPr>
                <w:rFonts w:ascii="Times New Roman" w:hAnsi="Times New Roman"/>
                <w:szCs w:val="21"/>
              </w:rPr>
            </w:pPr>
          </w:p>
        </w:tc>
        <w:tc>
          <w:tcPr>
            <w:tcW w:w="2126" w:type="dxa"/>
            <w:vMerge w:val="continue"/>
            <w:shd w:val="clear" w:color="auto" w:fill="auto"/>
            <w:vAlign w:val="center"/>
          </w:tcPr>
          <w:p w14:paraId="6C97280D">
            <w:pPr>
              <w:widowControl/>
              <w:spacing w:line="360" w:lineRule="exact"/>
              <w:jc w:val="center"/>
              <w:rPr>
                <w:rFonts w:ascii="Times New Roman" w:hAnsi="Times New Roman"/>
                <w:szCs w:val="21"/>
              </w:rPr>
            </w:pPr>
          </w:p>
        </w:tc>
        <w:tc>
          <w:tcPr>
            <w:tcW w:w="1716" w:type="dxa"/>
            <w:shd w:val="clear" w:color="auto" w:fill="auto"/>
            <w:vAlign w:val="center"/>
          </w:tcPr>
          <w:p w14:paraId="7DE86CAF">
            <w:pPr>
              <w:widowControl/>
              <w:spacing w:line="360" w:lineRule="exact"/>
              <w:jc w:val="center"/>
              <w:rPr>
                <w:rFonts w:ascii="Times New Roman" w:hAnsi="Times New Roman"/>
                <w:szCs w:val="21"/>
              </w:rPr>
            </w:pPr>
            <w:r>
              <w:rPr>
                <w:rFonts w:ascii="Times New Roman" w:hAnsi="Times New Roman"/>
                <w:szCs w:val="21"/>
              </w:rPr>
              <w:t>SO</w:t>
            </w:r>
            <w:r>
              <w:rPr>
                <w:rFonts w:ascii="Times New Roman" w:hAnsi="Times New Roman"/>
                <w:szCs w:val="21"/>
                <w:vertAlign w:val="subscript"/>
              </w:rPr>
              <w:t>2</w:t>
            </w:r>
          </w:p>
        </w:tc>
        <w:tc>
          <w:tcPr>
            <w:tcW w:w="2926" w:type="dxa"/>
            <w:vMerge w:val="continue"/>
            <w:shd w:val="clear" w:color="auto" w:fill="auto"/>
            <w:vAlign w:val="center"/>
          </w:tcPr>
          <w:p w14:paraId="589E806A">
            <w:pPr>
              <w:widowControl/>
              <w:spacing w:line="360" w:lineRule="exact"/>
              <w:jc w:val="center"/>
              <w:rPr>
                <w:rFonts w:ascii="Times New Roman" w:hAnsi="Times New Roman"/>
                <w:szCs w:val="21"/>
              </w:rPr>
            </w:pPr>
          </w:p>
        </w:tc>
        <w:tc>
          <w:tcPr>
            <w:tcW w:w="2603" w:type="dxa"/>
            <w:vMerge w:val="continue"/>
            <w:shd w:val="clear" w:color="auto" w:fill="auto"/>
            <w:vAlign w:val="center"/>
          </w:tcPr>
          <w:p w14:paraId="53B152AD">
            <w:pPr>
              <w:widowControl/>
              <w:spacing w:line="360" w:lineRule="exact"/>
              <w:jc w:val="center"/>
              <w:rPr>
                <w:rFonts w:ascii="Times New Roman" w:hAnsi="Times New Roman"/>
                <w:szCs w:val="21"/>
              </w:rPr>
            </w:pPr>
          </w:p>
        </w:tc>
        <w:tc>
          <w:tcPr>
            <w:tcW w:w="3543" w:type="dxa"/>
            <w:vMerge w:val="continue"/>
            <w:shd w:val="clear" w:color="auto" w:fill="auto"/>
            <w:vAlign w:val="center"/>
          </w:tcPr>
          <w:p w14:paraId="54BD8D77">
            <w:pPr>
              <w:widowControl/>
              <w:spacing w:line="360" w:lineRule="exact"/>
              <w:jc w:val="center"/>
              <w:rPr>
                <w:rFonts w:ascii="Times New Roman" w:hAnsi="Times New Roman"/>
                <w:szCs w:val="21"/>
              </w:rPr>
            </w:pPr>
          </w:p>
        </w:tc>
      </w:tr>
      <w:tr w14:paraId="30ECA9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78" w:type="dxa"/>
            <w:vMerge w:val="continue"/>
            <w:shd w:val="clear" w:color="auto" w:fill="auto"/>
            <w:vAlign w:val="center"/>
          </w:tcPr>
          <w:p w14:paraId="2FF94DC4">
            <w:pPr>
              <w:widowControl/>
              <w:spacing w:line="360" w:lineRule="exact"/>
              <w:jc w:val="center"/>
              <w:rPr>
                <w:rFonts w:ascii="Times New Roman" w:hAnsi="Times New Roman"/>
                <w:szCs w:val="21"/>
              </w:rPr>
            </w:pPr>
          </w:p>
        </w:tc>
        <w:tc>
          <w:tcPr>
            <w:tcW w:w="2126" w:type="dxa"/>
            <w:vMerge w:val="continue"/>
            <w:shd w:val="clear" w:color="auto" w:fill="auto"/>
            <w:vAlign w:val="center"/>
          </w:tcPr>
          <w:p w14:paraId="0A291653">
            <w:pPr>
              <w:widowControl/>
              <w:spacing w:line="360" w:lineRule="exact"/>
              <w:jc w:val="center"/>
              <w:rPr>
                <w:rFonts w:ascii="Times New Roman" w:hAnsi="Times New Roman"/>
                <w:szCs w:val="21"/>
              </w:rPr>
            </w:pPr>
          </w:p>
        </w:tc>
        <w:tc>
          <w:tcPr>
            <w:tcW w:w="1716" w:type="dxa"/>
            <w:shd w:val="clear" w:color="auto" w:fill="auto"/>
            <w:vAlign w:val="center"/>
          </w:tcPr>
          <w:p w14:paraId="654A1184">
            <w:pPr>
              <w:widowControl/>
              <w:spacing w:line="360" w:lineRule="exact"/>
              <w:jc w:val="center"/>
              <w:rPr>
                <w:rFonts w:ascii="Times New Roman" w:hAnsi="Times New Roman"/>
                <w:szCs w:val="21"/>
              </w:rPr>
            </w:pPr>
            <w:r>
              <w:rPr>
                <w:rFonts w:ascii="Times New Roman" w:hAnsi="Times New Roman"/>
                <w:szCs w:val="21"/>
              </w:rPr>
              <w:t>NO</w:t>
            </w:r>
            <w:r>
              <w:rPr>
                <w:rFonts w:ascii="Times New Roman" w:hAnsi="Times New Roman"/>
                <w:szCs w:val="21"/>
                <w:vertAlign w:val="subscript"/>
              </w:rPr>
              <w:t>x</w:t>
            </w:r>
          </w:p>
        </w:tc>
        <w:tc>
          <w:tcPr>
            <w:tcW w:w="2926" w:type="dxa"/>
            <w:vMerge w:val="continue"/>
            <w:shd w:val="clear" w:color="auto" w:fill="auto"/>
            <w:vAlign w:val="center"/>
          </w:tcPr>
          <w:p w14:paraId="658EEAF7">
            <w:pPr>
              <w:widowControl/>
              <w:spacing w:line="360" w:lineRule="exact"/>
              <w:jc w:val="center"/>
              <w:rPr>
                <w:rFonts w:ascii="Times New Roman" w:hAnsi="Times New Roman"/>
                <w:szCs w:val="21"/>
              </w:rPr>
            </w:pPr>
          </w:p>
        </w:tc>
        <w:tc>
          <w:tcPr>
            <w:tcW w:w="2603" w:type="dxa"/>
            <w:vMerge w:val="continue"/>
            <w:shd w:val="clear" w:color="auto" w:fill="auto"/>
            <w:vAlign w:val="center"/>
          </w:tcPr>
          <w:p w14:paraId="36D8E2CB">
            <w:pPr>
              <w:widowControl/>
              <w:spacing w:line="360" w:lineRule="exact"/>
              <w:jc w:val="center"/>
              <w:rPr>
                <w:rFonts w:ascii="Times New Roman" w:hAnsi="Times New Roman"/>
                <w:szCs w:val="21"/>
              </w:rPr>
            </w:pPr>
          </w:p>
        </w:tc>
        <w:tc>
          <w:tcPr>
            <w:tcW w:w="3543" w:type="dxa"/>
            <w:shd w:val="clear" w:color="auto" w:fill="auto"/>
            <w:vAlign w:val="center"/>
          </w:tcPr>
          <w:p w14:paraId="39815027">
            <w:pPr>
              <w:widowControl/>
              <w:spacing w:line="360" w:lineRule="exact"/>
              <w:jc w:val="center"/>
              <w:rPr>
                <w:rFonts w:ascii="Times New Roman" w:hAnsi="Times New Roman"/>
                <w:szCs w:val="21"/>
              </w:rPr>
            </w:pPr>
            <w:r>
              <w:rPr>
                <w:rFonts w:ascii="Times New Roman" w:hAnsi="Times New Roman"/>
                <w:spacing w:val="-2"/>
                <w:kern w:val="0"/>
                <w:szCs w:val="21"/>
              </w:rPr>
              <w:t>《大气污染物综合排放标准》（GB16297-1996）</w:t>
            </w:r>
          </w:p>
        </w:tc>
      </w:tr>
      <w:tr w14:paraId="7FF7B5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78" w:type="dxa"/>
            <w:vMerge w:val="continue"/>
            <w:shd w:val="clear" w:color="auto" w:fill="auto"/>
            <w:vAlign w:val="center"/>
          </w:tcPr>
          <w:p w14:paraId="023B222D">
            <w:pPr>
              <w:widowControl/>
              <w:spacing w:line="360" w:lineRule="exact"/>
              <w:jc w:val="center"/>
              <w:rPr>
                <w:rFonts w:ascii="Times New Roman" w:hAnsi="Times New Roman"/>
                <w:szCs w:val="21"/>
              </w:rPr>
            </w:pPr>
          </w:p>
        </w:tc>
        <w:tc>
          <w:tcPr>
            <w:tcW w:w="2126" w:type="dxa"/>
            <w:shd w:val="clear" w:color="auto" w:fill="auto"/>
            <w:vAlign w:val="center"/>
          </w:tcPr>
          <w:p w14:paraId="319ABFC3">
            <w:pPr>
              <w:widowControl/>
              <w:spacing w:line="360" w:lineRule="exact"/>
              <w:jc w:val="center"/>
              <w:rPr>
                <w:rFonts w:ascii="Times New Roman" w:hAnsi="Times New Roman"/>
                <w:szCs w:val="21"/>
              </w:rPr>
            </w:pPr>
            <w:r>
              <w:rPr>
                <w:rFonts w:hint="eastAsia" w:ascii="Times New Roman" w:hAnsi="Times New Roman"/>
                <w:szCs w:val="21"/>
              </w:rPr>
              <w:t>1#原料处理车间粉尘排气筒</w:t>
            </w:r>
          </w:p>
        </w:tc>
        <w:tc>
          <w:tcPr>
            <w:tcW w:w="1716" w:type="dxa"/>
            <w:shd w:val="clear" w:color="auto" w:fill="auto"/>
            <w:vAlign w:val="center"/>
          </w:tcPr>
          <w:p w14:paraId="18BB6427">
            <w:pPr>
              <w:widowControl/>
              <w:spacing w:line="360" w:lineRule="exact"/>
              <w:jc w:val="center"/>
              <w:rPr>
                <w:rFonts w:ascii="Times New Roman" w:hAnsi="Times New Roman"/>
                <w:szCs w:val="21"/>
              </w:rPr>
            </w:pPr>
            <w:r>
              <w:rPr>
                <w:rFonts w:ascii="Times New Roman" w:hAnsi="Times New Roman"/>
                <w:szCs w:val="21"/>
              </w:rPr>
              <w:t>PM</w:t>
            </w:r>
            <w:r>
              <w:rPr>
                <w:rFonts w:ascii="Times New Roman" w:hAnsi="Times New Roman"/>
                <w:szCs w:val="21"/>
                <w:vertAlign w:val="subscript"/>
              </w:rPr>
              <w:t>10</w:t>
            </w:r>
          </w:p>
        </w:tc>
        <w:tc>
          <w:tcPr>
            <w:tcW w:w="2926" w:type="dxa"/>
            <w:shd w:val="clear" w:color="auto" w:fill="auto"/>
            <w:vAlign w:val="center"/>
          </w:tcPr>
          <w:p w14:paraId="67FDDB25">
            <w:pPr>
              <w:widowControl/>
              <w:spacing w:line="360" w:lineRule="exact"/>
              <w:jc w:val="center"/>
              <w:rPr>
                <w:rFonts w:ascii="Times New Roman" w:hAnsi="Times New Roman"/>
                <w:szCs w:val="21"/>
                <w:u w:val="single"/>
              </w:rPr>
            </w:pPr>
            <w:r>
              <w:rPr>
                <w:rFonts w:hint="eastAsia" w:ascii="Times New Roman" w:hAnsi="Times New Roman"/>
                <w:szCs w:val="21"/>
                <w:u w:val="single"/>
              </w:rPr>
              <w:t>烘干机</w:t>
            </w:r>
            <w:r>
              <w:rPr>
                <w:rFonts w:ascii="Times New Roman" w:hAnsi="Times New Roman"/>
                <w:szCs w:val="21"/>
                <w:u w:val="single"/>
              </w:rPr>
              <w:t>进出料口集气罩+袋式除尘+1</w:t>
            </w:r>
            <w:r>
              <w:rPr>
                <w:rFonts w:hint="eastAsia" w:ascii="Times New Roman" w:hAnsi="Times New Roman"/>
                <w:szCs w:val="21"/>
                <w:u w:val="single"/>
              </w:rPr>
              <w:t>9</w:t>
            </w:r>
            <w:r>
              <w:rPr>
                <w:rFonts w:ascii="Times New Roman" w:hAnsi="Times New Roman"/>
                <w:szCs w:val="21"/>
                <w:u w:val="single"/>
              </w:rPr>
              <w:t>m排气筒</w:t>
            </w:r>
          </w:p>
        </w:tc>
        <w:tc>
          <w:tcPr>
            <w:tcW w:w="2603" w:type="dxa"/>
            <w:shd w:val="clear" w:color="auto" w:fill="auto"/>
            <w:vAlign w:val="center"/>
          </w:tcPr>
          <w:p w14:paraId="10CD1660">
            <w:pPr>
              <w:widowControl/>
              <w:spacing w:line="360" w:lineRule="exact"/>
              <w:jc w:val="center"/>
              <w:rPr>
                <w:rFonts w:ascii="Times New Roman" w:hAnsi="Times New Roman"/>
                <w:szCs w:val="21"/>
              </w:rPr>
            </w:pPr>
            <w:r>
              <w:rPr>
                <w:rFonts w:hint="eastAsia" w:ascii="Times New Roman" w:hAnsi="Times New Roman"/>
                <w:szCs w:val="21"/>
              </w:rPr>
              <w:t>是否落实及达标排放</w:t>
            </w:r>
          </w:p>
        </w:tc>
        <w:tc>
          <w:tcPr>
            <w:tcW w:w="3543" w:type="dxa"/>
            <w:shd w:val="clear" w:color="auto" w:fill="auto"/>
            <w:vAlign w:val="center"/>
          </w:tcPr>
          <w:p w14:paraId="26E024FD">
            <w:pPr>
              <w:widowControl/>
              <w:spacing w:line="360" w:lineRule="exact"/>
              <w:jc w:val="center"/>
              <w:rPr>
                <w:rFonts w:ascii="Times New Roman" w:hAnsi="Times New Roman"/>
                <w:szCs w:val="21"/>
                <w:u w:val="single"/>
              </w:rPr>
            </w:pPr>
            <w:r>
              <w:rPr>
                <w:rFonts w:ascii="Times New Roman" w:hAnsi="Times New Roman"/>
                <w:spacing w:val="-2"/>
                <w:kern w:val="0"/>
                <w:szCs w:val="21"/>
                <w:u w:val="single"/>
              </w:rPr>
              <w:t>《大气污染物综合排放标准》（GB16297-1996）</w:t>
            </w:r>
          </w:p>
        </w:tc>
      </w:tr>
      <w:tr w14:paraId="12D407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78" w:type="dxa"/>
            <w:vMerge w:val="continue"/>
            <w:shd w:val="clear" w:color="auto" w:fill="auto"/>
            <w:vAlign w:val="center"/>
          </w:tcPr>
          <w:p w14:paraId="5D00CD43">
            <w:pPr>
              <w:widowControl/>
              <w:spacing w:line="360" w:lineRule="exact"/>
              <w:jc w:val="center"/>
              <w:rPr>
                <w:rFonts w:ascii="Times New Roman" w:hAnsi="Times New Roman"/>
                <w:szCs w:val="21"/>
              </w:rPr>
            </w:pPr>
          </w:p>
        </w:tc>
        <w:tc>
          <w:tcPr>
            <w:tcW w:w="2126" w:type="dxa"/>
            <w:shd w:val="clear" w:color="auto" w:fill="auto"/>
            <w:vAlign w:val="center"/>
          </w:tcPr>
          <w:p w14:paraId="02CF7E73">
            <w:pPr>
              <w:widowControl/>
              <w:spacing w:line="360" w:lineRule="exact"/>
              <w:jc w:val="center"/>
              <w:rPr>
                <w:rFonts w:ascii="Times New Roman" w:hAnsi="Times New Roman"/>
                <w:szCs w:val="21"/>
              </w:rPr>
            </w:pPr>
            <w:r>
              <w:rPr>
                <w:rFonts w:hint="eastAsia" w:ascii="Times New Roman" w:hAnsi="Times New Roman"/>
                <w:szCs w:val="21"/>
              </w:rPr>
              <w:t>2#分选车间粉尘排气筒</w:t>
            </w:r>
          </w:p>
        </w:tc>
        <w:tc>
          <w:tcPr>
            <w:tcW w:w="1716" w:type="dxa"/>
            <w:shd w:val="clear" w:color="auto" w:fill="auto"/>
            <w:vAlign w:val="center"/>
          </w:tcPr>
          <w:p w14:paraId="6D32C5F6">
            <w:pPr>
              <w:widowControl/>
              <w:spacing w:line="360" w:lineRule="exact"/>
              <w:jc w:val="center"/>
              <w:rPr>
                <w:rFonts w:ascii="Times New Roman" w:hAnsi="Times New Roman"/>
                <w:szCs w:val="21"/>
              </w:rPr>
            </w:pPr>
            <w:r>
              <w:rPr>
                <w:rFonts w:ascii="Times New Roman" w:hAnsi="Times New Roman"/>
                <w:szCs w:val="21"/>
              </w:rPr>
              <w:t>PM</w:t>
            </w:r>
            <w:r>
              <w:rPr>
                <w:rFonts w:ascii="Times New Roman" w:hAnsi="Times New Roman"/>
                <w:szCs w:val="21"/>
                <w:vertAlign w:val="subscript"/>
              </w:rPr>
              <w:t>10</w:t>
            </w:r>
          </w:p>
        </w:tc>
        <w:tc>
          <w:tcPr>
            <w:tcW w:w="2926" w:type="dxa"/>
            <w:shd w:val="clear" w:color="auto" w:fill="auto"/>
            <w:vAlign w:val="center"/>
          </w:tcPr>
          <w:p w14:paraId="4FE15372">
            <w:pPr>
              <w:widowControl/>
              <w:spacing w:line="360" w:lineRule="exact"/>
              <w:jc w:val="center"/>
              <w:rPr>
                <w:rFonts w:ascii="Times New Roman" w:hAnsi="Times New Roman"/>
                <w:szCs w:val="21"/>
                <w:u w:val="single"/>
              </w:rPr>
            </w:pPr>
            <w:r>
              <w:rPr>
                <w:rFonts w:hint="eastAsia" w:ascii="Times New Roman" w:hAnsi="Times New Roman"/>
                <w:szCs w:val="21"/>
                <w:u w:val="single"/>
              </w:rPr>
              <w:t>磁选机</w:t>
            </w:r>
            <w:r>
              <w:rPr>
                <w:rFonts w:ascii="Times New Roman" w:hAnsi="Times New Roman"/>
                <w:szCs w:val="21"/>
                <w:u w:val="single"/>
              </w:rPr>
              <w:t>进出料口集气罩+袋式除尘+1</w:t>
            </w:r>
            <w:r>
              <w:rPr>
                <w:rFonts w:hint="eastAsia" w:ascii="Times New Roman" w:hAnsi="Times New Roman"/>
                <w:szCs w:val="21"/>
                <w:u w:val="single"/>
              </w:rPr>
              <w:t>9</w:t>
            </w:r>
            <w:r>
              <w:rPr>
                <w:rFonts w:ascii="Times New Roman" w:hAnsi="Times New Roman"/>
                <w:szCs w:val="21"/>
                <w:u w:val="single"/>
              </w:rPr>
              <w:t>m排气筒</w:t>
            </w:r>
          </w:p>
        </w:tc>
        <w:tc>
          <w:tcPr>
            <w:tcW w:w="2603" w:type="dxa"/>
            <w:shd w:val="clear" w:color="auto" w:fill="auto"/>
            <w:vAlign w:val="center"/>
          </w:tcPr>
          <w:p w14:paraId="124B2E88">
            <w:pPr>
              <w:widowControl/>
              <w:spacing w:line="360" w:lineRule="exact"/>
              <w:jc w:val="center"/>
              <w:rPr>
                <w:rFonts w:ascii="Times New Roman" w:hAnsi="Times New Roman"/>
                <w:szCs w:val="21"/>
              </w:rPr>
            </w:pPr>
            <w:r>
              <w:rPr>
                <w:rFonts w:hint="eastAsia" w:ascii="Times New Roman" w:hAnsi="Times New Roman"/>
                <w:szCs w:val="21"/>
              </w:rPr>
              <w:t>是否落实及达标排放</w:t>
            </w:r>
          </w:p>
        </w:tc>
        <w:tc>
          <w:tcPr>
            <w:tcW w:w="3543" w:type="dxa"/>
            <w:shd w:val="clear" w:color="auto" w:fill="auto"/>
            <w:vAlign w:val="center"/>
          </w:tcPr>
          <w:p w14:paraId="6944E362">
            <w:pPr>
              <w:widowControl/>
              <w:spacing w:line="360" w:lineRule="exact"/>
              <w:jc w:val="center"/>
              <w:rPr>
                <w:rFonts w:ascii="Times New Roman" w:hAnsi="Times New Roman"/>
                <w:spacing w:val="-2"/>
                <w:kern w:val="0"/>
                <w:szCs w:val="21"/>
                <w:u w:val="single"/>
              </w:rPr>
            </w:pPr>
            <w:r>
              <w:rPr>
                <w:rFonts w:ascii="Times New Roman" w:hAnsi="Times New Roman"/>
                <w:spacing w:val="-2"/>
                <w:kern w:val="0"/>
                <w:szCs w:val="21"/>
                <w:u w:val="single"/>
              </w:rPr>
              <w:t>《大气污染物综合排放标准》（GB16297-1996）</w:t>
            </w:r>
          </w:p>
        </w:tc>
      </w:tr>
      <w:tr w14:paraId="39596B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78" w:type="dxa"/>
            <w:vMerge w:val="continue"/>
            <w:shd w:val="clear" w:color="auto" w:fill="auto"/>
            <w:vAlign w:val="center"/>
          </w:tcPr>
          <w:p w14:paraId="6B2FF490">
            <w:pPr>
              <w:widowControl/>
              <w:spacing w:line="360" w:lineRule="exact"/>
              <w:jc w:val="center"/>
              <w:rPr>
                <w:rFonts w:ascii="Times New Roman" w:hAnsi="Times New Roman"/>
                <w:szCs w:val="21"/>
              </w:rPr>
            </w:pPr>
          </w:p>
        </w:tc>
        <w:tc>
          <w:tcPr>
            <w:tcW w:w="2126" w:type="dxa"/>
            <w:shd w:val="clear" w:color="auto" w:fill="auto"/>
            <w:vAlign w:val="center"/>
          </w:tcPr>
          <w:p w14:paraId="29C63452">
            <w:pPr>
              <w:widowControl/>
              <w:spacing w:line="360" w:lineRule="exact"/>
              <w:jc w:val="center"/>
              <w:rPr>
                <w:rFonts w:ascii="Times New Roman" w:hAnsi="Times New Roman"/>
                <w:szCs w:val="21"/>
              </w:rPr>
            </w:pPr>
            <w:r>
              <w:rPr>
                <w:rFonts w:hint="eastAsia" w:ascii="Times New Roman" w:hAnsi="Times New Roman"/>
                <w:szCs w:val="21"/>
              </w:rPr>
              <w:t>无组织废气</w:t>
            </w:r>
          </w:p>
        </w:tc>
        <w:tc>
          <w:tcPr>
            <w:tcW w:w="1716" w:type="dxa"/>
            <w:shd w:val="clear" w:color="auto" w:fill="auto"/>
            <w:vAlign w:val="center"/>
          </w:tcPr>
          <w:p w14:paraId="33D1F8F1">
            <w:pPr>
              <w:widowControl/>
              <w:spacing w:line="360" w:lineRule="exact"/>
              <w:jc w:val="center"/>
              <w:rPr>
                <w:rFonts w:ascii="Times New Roman" w:hAnsi="Times New Roman"/>
                <w:szCs w:val="21"/>
              </w:rPr>
            </w:pPr>
            <w:r>
              <w:rPr>
                <w:rFonts w:hint="eastAsia" w:ascii="Times New Roman" w:hAnsi="Times New Roman"/>
                <w:szCs w:val="21"/>
              </w:rPr>
              <w:t>TSP</w:t>
            </w:r>
          </w:p>
        </w:tc>
        <w:tc>
          <w:tcPr>
            <w:tcW w:w="2926" w:type="dxa"/>
            <w:shd w:val="clear" w:color="auto" w:fill="auto"/>
            <w:vAlign w:val="center"/>
          </w:tcPr>
          <w:p w14:paraId="19481683">
            <w:pPr>
              <w:widowControl/>
              <w:spacing w:line="360" w:lineRule="exact"/>
              <w:jc w:val="center"/>
              <w:rPr>
                <w:rFonts w:ascii="Times New Roman" w:hAnsi="Times New Roman"/>
                <w:szCs w:val="21"/>
                <w:u w:val="single"/>
              </w:rPr>
            </w:pPr>
            <w:r>
              <w:rPr>
                <w:rFonts w:hint="eastAsia" w:ascii="Times New Roman" w:hAnsi="Times New Roman"/>
                <w:szCs w:val="21"/>
                <w:u w:val="single"/>
              </w:rPr>
              <w:t>厂房封闭式设计+封闭环境内装卸作业+水雾喷淋</w:t>
            </w:r>
          </w:p>
        </w:tc>
        <w:tc>
          <w:tcPr>
            <w:tcW w:w="2603" w:type="dxa"/>
            <w:shd w:val="clear" w:color="auto" w:fill="auto"/>
            <w:vAlign w:val="center"/>
          </w:tcPr>
          <w:p w14:paraId="7D9454B6">
            <w:pPr>
              <w:widowControl/>
              <w:spacing w:line="360" w:lineRule="exact"/>
              <w:jc w:val="center"/>
              <w:rPr>
                <w:rFonts w:ascii="Times New Roman" w:hAnsi="Times New Roman"/>
                <w:szCs w:val="21"/>
              </w:rPr>
            </w:pPr>
            <w:r>
              <w:rPr>
                <w:rFonts w:hint="eastAsia" w:ascii="Times New Roman" w:hAnsi="Times New Roman"/>
                <w:szCs w:val="21"/>
              </w:rPr>
              <w:t>是否落实及达标排放</w:t>
            </w:r>
          </w:p>
        </w:tc>
        <w:tc>
          <w:tcPr>
            <w:tcW w:w="3543" w:type="dxa"/>
            <w:shd w:val="clear" w:color="auto" w:fill="auto"/>
            <w:vAlign w:val="center"/>
          </w:tcPr>
          <w:p w14:paraId="3E82C201">
            <w:pPr>
              <w:widowControl/>
              <w:spacing w:line="360" w:lineRule="exact"/>
              <w:jc w:val="center"/>
              <w:rPr>
                <w:rFonts w:ascii="Times New Roman" w:hAnsi="Times New Roman"/>
                <w:szCs w:val="21"/>
                <w:u w:val="single"/>
              </w:rPr>
            </w:pPr>
            <w:r>
              <w:rPr>
                <w:rFonts w:ascii="Times New Roman" w:hAnsi="Times New Roman"/>
                <w:spacing w:val="-2"/>
                <w:kern w:val="0"/>
                <w:szCs w:val="21"/>
                <w:u w:val="single"/>
              </w:rPr>
              <w:t>《大气污染物综合排放标准》（GB16297-1996）</w:t>
            </w:r>
          </w:p>
        </w:tc>
      </w:tr>
      <w:tr w14:paraId="4D3B8E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78" w:type="dxa"/>
            <w:shd w:val="clear" w:color="auto" w:fill="auto"/>
            <w:vAlign w:val="center"/>
          </w:tcPr>
          <w:p w14:paraId="368A0765">
            <w:pPr>
              <w:widowControl/>
              <w:spacing w:line="360" w:lineRule="exact"/>
              <w:jc w:val="center"/>
              <w:rPr>
                <w:rFonts w:ascii="Times New Roman" w:hAnsi="Times New Roman"/>
                <w:szCs w:val="21"/>
              </w:rPr>
            </w:pPr>
            <w:r>
              <w:rPr>
                <w:rFonts w:ascii="Times New Roman" w:hAnsi="Times New Roman"/>
                <w:szCs w:val="21"/>
              </w:rPr>
              <w:t>废水</w:t>
            </w:r>
          </w:p>
        </w:tc>
        <w:tc>
          <w:tcPr>
            <w:tcW w:w="2126" w:type="dxa"/>
            <w:shd w:val="clear" w:color="auto" w:fill="auto"/>
            <w:vAlign w:val="center"/>
          </w:tcPr>
          <w:p w14:paraId="684A78B1">
            <w:pPr>
              <w:widowControl/>
              <w:spacing w:line="360" w:lineRule="exact"/>
              <w:jc w:val="center"/>
              <w:rPr>
                <w:rFonts w:ascii="Times New Roman" w:hAnsi="Times New Roman"/>
                <w:szCs w:val="21"/>
              </w:rPr>
            </w:pPr>
            <w:r>
              <w:rPr>
                <w:rFonts w:ascii="Times New Roman" w:hAnsi="Times New Roman"/>
                <w:szCs w:val="21"/>
              </w:rPr>
              <w:t>生产车间</w:t>
            </w:r>
          </w:p>
        </w:tc>
        <w:tc>
          <w:tcPr>
            <w:tcW w:w="1716" w:type="dxa"/>
            <w:shd w:val="clear" w:color="auto" w:fill="auto"/>
            <w:vAlign w:val="center"/>
          </w:tcPr>
          <w:p w14:paraId="0C0517B0">
            <w:pPr>
              <w:widowControl/>
              <w:spacing w:line="360" w:lineRule="exact"/>
              <w:jc w:val="center"/>
              <w:rPr>
                <w:rFonts w:ascii="Times New Roman" w:hAnsi="Times New Roman"/>
                <w:szCs w:val="21"/>
              </w:rPr>
            </w:pPr>
            <w:r>
              <w:rPr>
                <w:rFonts w:ascii="Times New Roman" w:hAnsi="Times New Roman"/>
                <w:szCs w:val="21"/>
              </w:rPr>
              <w:t>pH、COD、BOD</w:t>
            </w:r>
            <w:r>
              <w:rPr>
                <w:rFonts w:ascii="Times New Roman" w:hAnsi="Times New Roman"/>
                <w:szCs w:val="21"/>
                <w:vertAlign w:val="subscript"/>
              </w:rPr>
              <w:t>5</w:t>
            </w:r>
            <w:r>
              <w:rPr>
                <w:rFonts w:ascii="Times New Roman" w:hAnsi="Times New Roman"/>
                <w:szCs w:val="21"/>
              </w:rPr>
              <w:t>、SS、</w:t>
            </w:r>
            <w:r>
              <w:rPr>
                <w:rFonts w:hint="eastAsia" w:ascii="Times New Roman" w:hAnsi="Times New Roman"/>
                <w:szCs w:val="21"/>
              </w:rPr>
              <w:t>NH</w:t>
            </w:r>
            <w:r>
              <w:rPr>
                <w:rFonts w:hint="eastAsia" w:ascii="Times New Roman" w:hAnsi="Times New Roman"/>
                <w:szCs w:val="21"/>
                <w:vertAlign w:val="subscript"/>
              </w:rPr>
              <w:t>3</w:t>
            </w:r>
            <w:r>
              <w:rPr>
                <w:rFonts w:hint="eastAsia" w:ascii="Times New Roman" w:hAnsi="Times New Roman"/>
                <w:szCs w:val="21"/>
              </w:rPr>
              <w:t>-N</w:t>
            </w:r>
          </w:p>
        </w:tc>
        <w:tc>
          <w:tcPr>
            <w:tcW w:w="2926" w:type="dxa"/>
            <w:shd w:val="clear" w:color="auto" w:fill="auto"/>
            <w:vAlign w:val="center"/>
          </w:tcPr>
          <w:p w14:paraId="3A6A784E">
            <w:pPr>
              <w:widowControl/>
              <w:spacing w:line="360" w:lineRule="exact"/>
              <w:jc w:val="center"/>
              <w:rPr>
                <w:rFonts w:ascii="Times New Roman" w:hAnsi="Times New Roman"/>
                <w:szCs w:val="21"/>
              </w:rPr>
            </w:pPr>
            <w:r>
              <w:rPr>
                <w:rFonts w:ascii="Times New Roman" w:hAnsi="Times New Roman"/>
                <w:szCs w:val="21"/>
              </w:rPr>
              <w:t>化粪池处理后排入污水排入市政污水管网</w:t>
            </w:r>
          </w:p>
        </w:tc>
        <w:tc>
          <w:tcPr>
            <w:tcW w:w="2603" w:type="dxa"/>
            <w:shd w:val="clear" w:color="auto" w:fill="auto"/>
            <w:vAlign w:val="center"/>
          </w:tcPr>
          <w:p w14:paraId="2196191C">
            <w:pPr>
              <w:widowControl/>
              <w:spacing w:line="360" w:lineRule="exact"/>
              <w:jc w:val="center"/>
              <w:rPr>
                <w:rFonts w:ascii="Times New Roman" w:hAnsi="Times New Roman"/>
                <w:szCs w:val="21"/>
              </w:rPr>
            </w:pPr>
            <w:r>
              <w:rPr>
                <w:rFonts w:hint="eastAsia" w:ascii="Times New Roman" w:hAnsi="Times New Roman"/>
                <w:szCs w:val="21"/>
              </w:rPr>
              <w:t>是否已接入市政污水管网</w:t>
            </w:r>
          </w:p>
        </w:tc>
        <w:tc>
          <w:tcPr>
            <w:tcW w:w="3543" w:type="dxa"/>
            <w:shd w:val="clear" w:color="auto" w:fill="auto"/>
            <w:vAlign w:val="center"/>
          </w:tcPr>
          <w:p w14:paraId="164E19AC">
            <w:pPr>
              <w:widowControl/>
              <w:spacing w:line="360" w:lineRule="exact"/>
              <w:jc w:val="center"/>
              <w:rPr>
                <w:rFonts w:ascii="Times New Roman" w:hAnsi="Times New Roman"/>
                <w:szCs w:val="21"/>
              </w:rPr>
            </w:pPr>
            <w:r>
              <w:rPr>
                <w:rFonts w:ascii="Times New Roman" w:hAnsi="Times New Roman"/>
                <w:szCs w:val="21"/>
              </w:rPr>
              <w:t>/</w:t>
            </w:r>
          </w:p>
        </w:tc>
      </w:tr>
      <w:tr w14:paraId="5D1F06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78" w:type="dxa"/>
            <w:vMerge w:val="restart"/>
            <w:shd w:val="clear" w:color="auto" w:fill="auto"/>
            <w:vAlign w:val="center"/>
          </w:tcPr>
          <w:p w14:paraId="00D425F3">
            <w:pPr>
              <w:widowControl/>
              <w:spacing w:line="360" w:lineRule="exact"/>
              <w:jc w:val="center"/>
              <w:rPr>
                <w:rFonts w:ascii="Times New Roman" w:hAnsi="Times New Roman"/>
                <w:szCs w:val="21"/>
              </w:rPr>
            </w:pPr>
            <w:r>
              <w:rPr>
                <w:rFonts w:hint="eastAsia" w:ascii="Times New Roman" w:hAnsi="Times New Roman"/>
                <w:szCs w:val="21"/>
              </w:rPr>
              <w:t>地下水</w:t>
            </w:r>
          </w:p>
        </w:tc>
        <w:tc>
          <w:tcPr>
            <w:tcW w:w="2126" w:type="dxa"/>
            <w:shd w:val="clear" w:color="auto" w:fill="auto"/>
            <w:vAlign w:val="center"/>
          </w:tcPr>
          <w:p w14:paraId="65C084C9">
            <w:pPr>
              <w:widowControl/>
              <w:spacing w:line="360" w:lineRule="exact"/>
              <w:jc w:val="center"/>
              <w:rPr>
                <w:rFonts w:ascii="Times New Roman" w:hAnsi="Times New Roman"/>
                <w:szCs w:val="21"/>
              </w:rPr>
            </w:pPr>
            <w:r>
              <w:rPr>
                <w:rFonts w:hint="eastAsia" w:ascii="Times New Roman" w:hAnsi="Times New Roman"/>
                <w:szCs w:val="21"/>
              </w:rPr>
              <w:t>1#原料车间、2#分选车间（危废暂存间除外）</w:t>
            </w:r>
          </w:p>
        </w:tc>
        <w:tc>
          <w:tcPr>
            <w:tcW w:w="1716" w:type="dxa"/>
            <w:shd w:val="clear" w:color="auto" w:fill="auto"/>
            <w:vAlign w:val="center"/>
          </w:tcPr>
          <w:p w14:paraId="25B304FD">
            <w:pPr>
              <w:widowControl/>
              <w:spacing w:line="360" w:lineRule="exact"/>
              <w:jc w:val="center"/>
              <w:rPr>
                <w:rFonts w:ascii="Times New Roman" w:hAnsi="Times New Roman"/>
                <w:szCs w:val="21"/>
              </w:rPr>
            </w:pPr>
            <w:r>
              <w:rPr>
                <w:rFonts w:hint="eastAsia" w:ascii="Times New Roman" w:hAnsi="Times New Roman"/>
                <w:szCs w:val="21"/>
              </w:rPr>
              <w:t>放射性物质</w:t>
            </w:r>
          </w:p>
        </w:tc>
        <w:tc>
          <w:tcPr>
            <w:tcW w:w="2926" w:type="dxa"/>
            <w:shd w:val="clear" w:color="auto" w:fill="auto"/>
            <w:vAlign w:val="center"/>
          </w:tcPr>
          <w:p w14:paraId="5FD3276A">
            <w:pPr>
              <w:widowControl/>
              <w:spacing w:line="360" w:lineRule="exact"/>
              <w:jc w:val="center"/>
              <w:rPr>
                <w:rFonts w:ascii="Times New Roman" w:hAnsi="Times New Roman"/>
                <w:szCs w:val="21"/>
              </w:rPr>
            </w:pPr>
            <w:r>
              <w:rPr>
                <w:rFonts w:hint="eastAsia" w:ascii="Times New Roman" w:hAnsi="Times New Roman"/>
                <w:szCs w:val="21"/>
              </w:rPr>
              <w:t>一般防渗区，防渗要求达到</w:t>
            </w:r>
            <w:r>
              <w:rPr>
                <w:rFonts w:ascii="Times New Roman" w:hAnsi="Times New Roman"/>
              </w:rPr>
              <w:t>等效黏土防渗层Mb≥</w:t>
            </w:r>
            <w:r>
              <w:rPr>
                <w:rFonts w:hint="eastAsia" w:ascii="Times New Roman" w:hAnsi="Times New Roman"/>
              </w:rPr>
              <w:t>2.0</w:t>
            </w:r>
            <w:r>
              <w:rPr>
                <w:rFonts w:ascii="Times New Roman" w:hAnsi="Times New Roman"/>
              </w:rPr>
              <w:t>m，K≤1×10</w:t>
            </w:r>
            <w:r>
              <w:rPr>
                <w:rFonts w:ascii="Times New Roman" w:hAnsi="Times New Roman"/>
                <w:vertAlign w:val="superscript"/>
              </w:rPr>
              <w:t>-7</w:t>
            </w:r>
            <w:r>
              <w:rPr>
                <w:rFonts w:ascii="Times New Roman" w:hAnsi="Times New Roman"/>
              </w:rPr>
              <w:t xml:space="preserve"> cm/s</w:t>
            </w:r>
          </w:p>
        </w:tc>
        <w:tc>
          <w:tcPr>
            <w:tcW w:w="2603" w:type="dxa"/>
            <w:shd w:val="clear" w:color="auto" w:fill="auto"/>
            <w:vAlign w:val="center"/>
          </w:tcPr>
          <w:p w14:paraId="429BEE9D">
            <w:pPr>
              <w:widowControl/>
              <w:spacing w:line="360" w:lineRule="exact"/>
              <w:jc w:val="center"/>
              <w:rPr>
                <w:rFonts w:ascii="Times New Roman" w:hAnsi="Times New Roman"/>
                <w:szCs w:val="21"/>
              </w:rPr>
            </w:pPr>
            <w:r>
              <w:rPr>
                <w:rFonts w:hint="eastAsia" w:ascii="Times New Roman" w:hAnsi="Times New Roman"/>
                <w:szCs w:val="21"/>
              </w:rPr>
              <w:t>是否落实防渗措施</w:t>
            </w:r>
          </w:p>
        </w:tc>
        <w:tc>
          <w:tcPr>
            <w:tcW w:w="3543" w:type="dxa"/>
            <w:shd w:val="clear" w:color="auto" w:fill="auto"/>
            <w:vAlign w:val="center"/>
          </w:tcPr>
          <w:p w14:paraId="731DE675">
            <w:pPr>
              <w:widowControl/>
              <w:spacing w:line="360" w:lineRule="exact"/>
              <w:jc w:val="center"/>
              <w:rPr>
                <w:rFonts w:ascii="Times New Roman" w:hAnsi="Times New Roman"/>
                <w:szCs w:val="21"/>
              </w:rPr>
            </w:pPr>
            <w:r>
              <w:rPr>
                <w:rFonts w:hint="eastAsia" w:ascii="Times New Roman" w:hAnsi="Times New Roman"/>
                <w:szCs w:val="21"/>
              </w:rPr>
              <w:t>/</w:t>
            </w:r>
          </w:p>
        </w:tc>
      </w:tr>
      <w:tr w14:paraId="16A01D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78" w:type="dxa"/>
            <w:vMerge w:val="continue"/>
            <w:shd w:val="clear" w:color="auto" w:fill="auto"/>
            <w:vAlign w:val="center"/>
          </w:tcPr>
          <w:p w14:paraId="0A3BAC29">
            <w:pPr>
              <w:widowControl/>
              <w:spacing w:line="360" w:lineRule="exact"/>
              <w:jc w:val="center"/>
              <w:rPr>
                <w:rFonts w:ascii="Times New Roman" w:hAnsi="Times New Roman"/>
                <w:szCs w:val="21"/>
              </w:rPr>
            </w:pPr>
          </w:p>
        </w:tc>
        <w:tc>
          <w:tcPr>
            <w:tcW w:w="2126" w:type="dxa"/>
            <w:shd w:val="clear" w:color="auto" w:fill="auto"/>
            <w:vAlign w:val="center"/>
          </w:tcPr>
          <w:p w14:paraId="2E4857E5">
            <w:pPr>
              <w:widowControl/>
              <w:spacing w:line="360" w:lineRule="exact"/>
              <w:jc w:val="center"/>
              <w:rPr>
                <w:rFonts w:ascii="Times New Roman" w:hAnsi="Times New Roman"/>
                <w:szCs w:val="21"/>
              </w:rPr>
            </w:pPr>
            <w:r>
              <w:rPr>
                <w:rFonts w:hint="eastAsia" w:ascii="Times New Roman" w:hAnsi="Times New Roman"/>
                <w:szCs w:val="21"/>
              </w:rPr>
              <w:t>危废暂存间</w:t>
            </w:r>
          </w:p>
        </w:tc>
        <w:tc>
          <w:tcPr>
            <w:tcW w:w="1716" w:type="dxa"/>
            <w:shd w:val="clear" w:color="auto" w:fill="auto"/>
            <w:vAlign w:val="center"/>
          </w:tcPr>
          <w:p w14:paraId="2860AC1B">
            <w:pPr>
              <w:widowControl/>
              <w:spacing w:line="360" w:lineRule="exact"/>
              <w:jc w:val="center"/>
              <w:rPr>
                <w:rFonts w:ascii="Times New Roman" w:hAnsi="Times New Roman"/>
                <w:szCs w:val="21"/>
              </w:rPr>
            </w:pPr>
            <w:r>
              <w:rPr>
                <w:rFonts w:hint="eastAsia" w:ascii="Times New Roman" w:hAnsi="Times New Roman"/>
                <w:szCs w:val="21"/>
              </w:rPr>
              <w:t>废机油</w:t>
            </w:r>
          </w:p>
        </w:tc>
        <w:tc>
          <w:tcPr>
            <w:tcW w:w="2926" w:type="dxa"/>
            <w:shd w:val="clear" w:color="auto" w:fill="auto"/>
            <w:vAlign w:val="center"/>
          </w:tcPr>
          <w:p w14:paraId="1FB75F54">
            <w:pPr>
              <w:widowControl/>
              <w:spacing w:line="360" w:lineRule="exact"/>
              <w:jc w:val="center"/>
              <w:rPr>
                <w:rFonts w:ascii="Times New Roman" w:hAnsi="Times New Roman"/>
                <w:szCs w:val="21"/>
              </w:rPr>
            </w:pPr>
            <w:r>
              <w:rPr>
                <w:rFonts w:hint="eastAsia" w:ascii="Times New Roman" w:hAnsi="Times New Roman"/>
                <w:szCs w:val="21"/>
              </w:rPr>
              <w:t>重点防渗区，防渗要求达到</w:t>
            </w:r>
            <w:r>
              <w:rPr>
                <w:rFonts w:ascii="Times New Roman" w:hAnsi="Times New Roman"/>
              </w:rPr>
              <w:t>等效黏土防渗层Mb≥6.0m，K≤1×10</w:t>
            </w:r>
            <w:r>
              <w:rPr>
                <w:rFonts w:ascii="Times New Roman" w:hAnsi="Times New Roman"/>
                <w:vertAlign w:val="superscript"/>
              </w:rPr>
              <w:t>-7</w:t>
            </w:r>
            <w:r>
              <w:rPr>
                <w:rFonts w:ascii="Times New Roman" w:hAnsi="Times New Roman"/>
              </w:rPr>
              <w:t xml:space="preserve"> cm/s</w:t>
            </w:r>
          </w:p>
        </w:tc>
        <w:tc>
          <w:tcPr>
            <w:tcW w:w="2603" w:type="dxa"/>
            <w:shd w:val="clear" w:color="auto" w:fill="auto"/>
            <w:vAlign w:val="center"/>
          </w:tcPr>
          <w:p w14:paraId="58D0D2FC">
            <w:pPr>
              <w:widowControl/>
              <w:spacing w:line="360" w:lineRule="exact"/>
              <w:jc w:val="center"/>
              <w:rPr>
                <w:rFonts w:ascii="Times New Roman" w:hAnsi="Times New Roman"/>
                <w:szCs w:val="21"/>
              </w:rPr>
            </w:pPr>
            <w:r>
              <w:rPr>
                <w:rFonts w:hint="eastAsia" w:ascii="Times New Roman" w:hAnsi="Times New Roman"/>
                <w:szCs w:val="21"/>
              </w:rPr>
              <w:t>是否落实防渗措施</w:t>
            </w:r>
          </w:p>
        </w:tc>
        <w:tc>
          <w:tcPr>
            <w:tcW w:w="3543" w:type="dxa"/>
            <w:shd w:val="clear" w:color="auto" w:fill="auto"/>
            <w:vAlign w:val="center"/>
          </w:tcPr>
          <w:p w14:paraId="5E3AF399">
            <w:pPr>
              <w:widowControl/>
              <w:spacing w:line="360" w:lineRule="exact"/>
              <w:jc w:val="center"/>
              <w:rPr>
                <w:rFonts w:ascii="Times New Roman" w:hAnsi="Times New Roman"/>
                <w:szCs w:val="21"/>
              </w:rPr>
            </w:pPr>
            <w:r>
              <w:rPr>
                <w:rFonts w:hint="eastAsia" w:ascii="Times New Roman" w:hAnsi="Times New Roman"/>
                <w:szCs w:val="21"/>
              </w:rPr>
              <w:t>/</w:t>
            </w:r>
          </w:p>
        </w:tc>
      </w:tr>
      <w:tr w14:paraId="55E322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78" w:type="dxa"/>
            <w:shd w:val="clear" w:color="auto" w:fill="auto"/>
            <w:vAlign w:val="center"/>
          </w:tcPr>
          <w:p w14:paraId="179ABCC9">
            <w:pPr>
              <w:widowControl/>
              <w:spacing w:line="360" w:lineRule="exact"/>
              <w:jc w:val="center"/>
              <w:rPr>
                <w:rFonts w:ascii="Times New Roman" w:hAnsi="Times New Roman"/>
                <w:szCs w:val="21"/>
              </w:rPr>
            </w:pPr>
            <w:r>
              <w:rPr>
                <w:rFonts w:hint="eastAsia" w:ascii="Times New Roman" w:hAnsi="Times New Roman"/>
                <w:szCs w:val="21"/>
              </w:rPr>
              <w:t>噪声</w:t>
            </w:r>
          </w:p>
        </w:tc>
        <w:tc>
          <w:tcPr>
            <w:tcW w:w="2126" w:type="dxa"/>
            <w:shd w:val="clear" w:color="auto" w:fill="auto"/>
            <w:vAlign w:val="center"/>
          </w:tcPr>
          <w:p w14:paraId="26492996">
            <w:pPr>
              <w:widowControl/>
              <w:spacing w:line="360" w:lineRule="exact"/>
              <w:jc w:val="center"/>
              <w:rPr>
                <w:rFonts w:ascii="Times New Roman" w:hAnsi="Times New Roman"/>
                <w:szCs w:val="21"/>
              </w:rPr>
            </w:pPr>
            <w:r>
              <w:rPr>
                <w:rFonts w:hint="eastAsia" w:ascii="Times New Roman" w:hAnsi="Times New Roman"/>
                <w:szCs w:val="21"/>
              </w:rPr>
              <w:t>设备噪声</w:t>
            </w:r>
          </w:p>
        </w:tc>
        <w:tc>
          <w:tcPr>
            <w:tcW w:w="1716" w:type="dxa"/>
            <w:shd w:val="clear" w:color="auto" w:fill="auto"/>
            <w:vAlign w:val="center"/>
          </w:tcPr>
          <w:p w14:paraId="5FCD2CAB">
            <w:pPr>
              <w:widowControl/>
              <w:spacing w:line="360" w:lineRule="exact"/>
              <w:jc w:val="center"/>
              <w:rPr>
                <w:rFonts w:ascii="Times New Roman" w:hAnsi="Times New Roman"/>
                <w:szCs w:val="21"/>
              </w:rPr>
            </w:pPr>
            <w:r>
              <w:rPr>
                <w:rFonts w:hint="eastAsia" w:ascii="Times New Roman" w:hAnsi="Times New Roman"/>
                <w:szCs w:val="21"/>
              </w:rPr>
              <w:t>厂界噪声</w:t>
            </w:r>
          </w:p>
        </w:tc>
        <w:tc>
          <w:tcPr>
            <w:tcW w:w="2926" w:type="dxa"/>
            <w:shd w:val="clear" w:color="auto" w:fill="auto"/>
            <w:vAlign w:val="center"/>
          </w:tcPr>
          <w:p w14:paraId="5D377968">
            <w:pPr>
              <w:widowControl/>
              <w:spacing w:line="360" w:lineRule="exact"/>
              <w:jc w:val="center"/>
              <w:rPr>
                <w:rFonts w:ascii="Times New Roman" w:hAnsi="Times New Roman"/>
                <w:szCs w:val="21"/>
              </w:rPr>
            </w:pPr>
            <w:r>
              <w:rPr>
                <w:rFonts w:ascii="Times New Roman" w:hAnsi="Times New Roman"/>
                <w:szCs w:val="21"/>
              </w:rPr>
              <w:t>基础减震、噪声较大的引风机等设备设置独立隔声间且内墙面铺装吸声、厂房隔声</w:t>
            </w:r>
          </w:p>
        </w:tc>
        <w:tc>
          <w:tcPr>
            <w:tcW w:w="2603" w:type="dxa"/>
            <w:shd w:val="clear" w:color="auto" w:fill="auto"/>
            <w:vAlign w:val="center"/>
          </w:tcPr>
          <w:p w14:paraId="34396A17">
            <w:pPr>
              <w:widowControl/>
              <w:spacing w:line="360" w:lineRule="exact"/>
              <w:jc w:val="center"/>
              <w:rPr>
                <w:rFonts w:ascii="Times New Roman" w:hAnsi="Times New Roman"/>
                <w:szCs w:val="21"/>
              </w:rPr>
            </w:pPr>
            <w:r>
              <w:rPr>
                <w:rFonts w:hint="eastAsia" w:ascii="Times New Roman" w:hAnsi="Times New Roman"/>
                <w:szCs w:val="21"/>
              </w:rPr>
              <w:t>落实厂界是否达标排放</w:t>
            </w:r>
          </w:p>
        </w:tc>
        <w:tc>
          <w:tcPr>
            <w:tcW w:w="3543" w:type="dxa"/>
            <w:shd w:val="clear" w:color="auto" w:fill="auto"/>
            <w:vAlign w:val="center"/>
          </w:tcPr>
          <w:p w14:paraId="19A7CFFF">
            <w:pPr>
              <w:widowControl/>
              <w:spacing w:line="360" w:lineRule="exact"/>
              <w:jc w:val="center"/>
              <w:rPr>
                <w:rFonts w:ascii="Times New Roman" w:hAnsi="Times New Roman"/>
                <w:szCs w:val="21"/>
              </w:rPr>
            </w:pPr>
            <w:r>
              <w:rPr>
                <w:rFonts w:hint="eastAsia" w:ascii="Times New Roman" w:hAnsi="Times New Roman"/>
                <w:szCs w:val="21"/>
              </w:rPr>
              <w:t>《工业企业厂界环境噪声排放标准》（GB12348-2008）3类</w:t>
            </w:r>
          </w:p>
        </w:tc>
      </w:tr>
      <w:tr w14:paraId="460348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78" w:type="dxa"/>
            <w:vMerge w:val="restart"/>
            <w:tcBorders>
              <w:bottom w:val="single" w:color="auto" w:sz="6" w:space="0"/>
            </w:tcBorders>
            <w:shd w:val="clear" w:color="auto" w:fill="auto"/>
            <w:vAlign w:val="center"/>
          </w:tcPr>
          <w:p w14:paraId="05B84983">
            <w:pPr>
              <w:widowControl/>
              <w:spacing w:line="360" w:lineRule="exact"/>
              <w:jc w:val="center"/>
              <w:rPr>
                <w:rFonts w:ascii="Times New Roman" w:hAnsi="Times New Roman"/>
                <w:szCs w:val="21"/>
              </w:rPr>
            </w:pPr>
            <w:r>
              <w:rPr>
                <w:rFonts w:ascii="Times New Roman" w:hAnsi="Times New Roman"/>
                <w:szCs w:val="21"/>
              </w:rPr>
              <w:t>一般固体废物</w:t>
            </w:r>
          </w:p>
        </w:tc>
        <w:tc>
          <w:tcPr>
            <w:tcW w:w="2126" w:type="dxa"/>
            <w:vMerge w:val="restart"/>
            <w:tcBorders>
              <w:bottom w:val="single" w:color="auto" w:sz="6" w:space="0"/>
            </w:tcBorders>
            <w:shd w:val="clear" w:color="auto" w:fill="auto"/>
            <w:vAlign w:val="center"/>
          </w:tcPr>
          <w:p w14:paraId="09E8D772">
            <w:pPr>
              <w:widowControl/>
              <w:spacing w:line="360" w:lineRule="exact"/>
              <w:jc w:val="center"/>
              <w:rPr>
                <w:rFonts w:ascii="Times New Roman" w:hAnsi="Times New Roman"/>
                <w:szCs w:val="21"/>
              </w:rPr>
            </w:pPr>
            <w:r>
              <w:rPr>
                <w:rFonts w:hint="eastAsia" w:ascii="Times New Roman" w:hAnsi="Times New Roman"/>
                <w:szCs w:val="21"/>
              </w:rPr>
              <w:t>生产车间</w:t>
            </w:r>
          </w:p>
        </w:tc>
        <w:tc>
          <w:tcPr>
            <w:tcW w:w="1716" w:type="dxa"/>
            <w:tcBorders>
              <w:bottom w:val="single" w:color="auto" w:sz="6" w:space="0"/>
            </w:tcBorders>
            <w:shd w:val="clear" w:color="auto" w:fill="auto"/>
            <w:vAlign w:val="center"/>
          </w:tcPr>
          <w:p w14:paraId="7AB4D70C">
            <w:pPr>
              <w:spacing w:line="360" w:lineRule="exact"/>
              <w:jc w:val="center"/>
              <w:rPr>
                <w:rFonts w:ascii="Times New Roman" w:hAnsi="Times New Roman"/>
                <w:szCs w:val="21"/>
                <w:u w:val="single"/>
              </w:rPr>
            </w:pPr>
            <w:r>
              <w:rPr>
                <w:rFonts w:ascii="Times New Roman" w:hAnsi="Times New Roman"/>
                <w:kern w:val="0"/>
                <w:szCs w:val="21"/>
                <w:u w:val="single"/>
              </w:rPr>
              <w:t>烘干炉炉渣</w:t>
            </w:r>
          </w:p>
        </w:tc>
        <w:tc>
          <w:tcPr>
            <w:tcW w:w="2926" w:type="dxa"/>
            <w:shd w:val="clear" w:color="auto" w:fill="auto"/>
            <w:vAlign w:val="center"/>
          </w:tcPr>
          <w:p w14:paraId="06AACED7">
            <w:pPr>
              <w:spacing w:line="360" w:lineRule="exact"/>
              <w:jc w:val="center"/>
              <w:rPr>
                <w:rFonts w:ascii="Times New Roman" w:hAnsi="Times New Roman"/>
                <w:szCs w:val="21"/>
                <w:u w:val="single"/>
              </w:rPr>
            </w:pPr>
            <w:r>
              <w:rPr>
                <w:rFonts w:hint="eastAsia" w:ascii="Times New Roman" w:hAnsi="Times New Roman"/>
                <w:szCs w:val="21"/>
                <w:u w:val="single"/>
              </w:rPr>
              <w:t>采用编织袋袋装收集后，暂存于车间内的灰渣临时堆放点，定期出售给有机肥生产企业。</w:t>
            </w:r>
          </w:p>
        </w:tc>
        <w:tc>
          <w:tcPr>
            <w:tcW w:w="2603" w:type="dxa"/>
            <w:shd w:val="clear" w:color="auto" w:fill="auto"/>
            <w:vAlign w:val="center"/>
          </w:tcPr>
          <w:p w14:paraId="61CDBBBC">
            <w:pPr>
              <w:spacing w:line="360" w:lineRule="exact"/>
              <w:jc w:val="center"/>
              <w:rPr>
                <w:rFonts w:ascii="Times New Roman" w:hAnsi="Times New Roman"/>
                <w:szCs w:val="21"/>
                <w:u w:val="single"/>
              </w:rPr>
            </w:pPr>
            <w:r>
              <w:rPr>
                <w:rFonts w:hint="eastAsia" w:ascii="Times New Roman" w:hAnsi="Times New Roman"/>
                <w:szCs w:val="21"/>
                <w:u w:val="single"/>
              </w:rPr>
              <w:t>按标准设置灰渣临时堆放区，落实灰渣购买企业。</w:t>
            </w:r>
          </w:p>
        </w:tc>
        <w:tc>
          <w:tcPr>
            <w:tcW w:w="3543" w:type="dxa"/>
            <w:vMerge w:val="restart"/>
            <w:tcBorders>
              <w:bottom w:val="single" w:color="auto" w:sz="6" w:space="0"/>
            </w:tcBorders>
            <w:shd w:val="clear" w:color="auto" w:fill="auto"/>
            <w:vAlign w:val="center"/>
          </w:tcPr>
          <w:p w14:paraId="2CA80CE4">
            <w:pPr>
              <w:widowControl/>
              <w:spacing w:line="360" w:lineRule="exact"/>
              <w:jc w:val="center"/>
              <w:rPr>
                <w:rFonts w:ascii="Times New Roman" w:hAnsi="Times New Roman"/>
                <w:szCs w:val="21"/>
              </w:rPr>
            </w:pPr>
            <w:r>
              <w:rPr>
                <w:rFonts w:ascii="Times New Roman" w:hAnsi="Times New Roman"/>
                <w:szCs w:val="21"/>
              </w:rPr>
              <w:t>《一般工业固体废物贮存和填埋污染控制标准》（GB18599-2020）</w:t>
            </w:r>
          </w:p>
        </w:tc>
      </w:tr>
      <w:tr w14:paraId="442785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78" w:type="dxa"/>
            <w:vMerge w:val="continue"/>
            <w:shd w:val="clear" w:color="auto" w:fill="auto"/>
            <w:vAlign w:val="center"/>
          </w:tcPr>
          <w:p w14:paraId="1620F883">
            <w:pPr>
              <w:widowControl/>
              <w:spacing w:line="360" w:lineRule="exact"/>
              <w:jc w:val="center"/>
              <w:rPr>
                <w:rFonts w:ascii="Times New Roman" w:hAnsi="Times New Roman"/>
                <w:szCs w:val="21"/>
              </w:rPr>
            </w:pPr>
          </w:p>
        </w:tc>
        <w:tc>
          <w:tcPr>
            <w:tcW w:w="2126" w:type="dxa"/>
            <w:vMerge w:val="continue"/>
            <w:shd w:val="clear" w:color="auto" w:fill="auto"/>
            <w:vAlign w:val="center"/>
          </w:tcPr>
          <w:p w14:paraId="09EA6DE5">
            <w:pPr>
              <w:widowControl/>
              <w:spacing w:line="360" w:lineRule="exact"/>
              <w:jc w:val="center"/>
              <w:rPr>
                <w:rFonts w:ascii="Times New Roman" w:hAnsi="Times New Roman"/>
                <w:szCs w:val="21"/>
              </w:rPr>
            </w:pPr>
          </w:p>
        </w:tc>
        <w:tc>
          <w:tcPr>
            <w:tcW w:w="1716" w:type="dxa"/>
            <w:shd w:val="clear" w:color="auto" w:fill="auto"/>
            <w:vAlign w:val="center"/>
          </w:tcPr>
          <w:p w14:paraId="68A46DD5">
            <w:pPr>
              <w:widowControl/>
              <w:spacing w:line="360" w:lineRule="exact"/>
              <w:jc w:val="center"/>
              <w:rPr>
                <w:rFonts w:ascii="Times New Roman" w:hAnsi="Times New Roman"/>
                <w:kern w:val="0"/>
                <w:szCs w:val="21"/>
                <w:u w:val="single"/>
              </w:rPr>
            </w:pPr>
            <w:r>
              <w:rPr>
                <w:rFonts w:ascii="Times New Roman" w:hAnsi="Times New Roman"/>
                <w:kern w:val="0"/>
                <w:szCs w:val="21"/>
                <w:u w:val="single"/>
              </w:rPr>
              <w:t>烘干炉除尘器</w:t>
            </w:r>
          </w:p>
          <w:p w14:paraId="0186956E">
            <w:pPr>
              <w:widowControl/>
              <w:spacing w:line="360" w:lineRule="exact"/>
              <w:jc w:val="center"/>
              <w:rPr>
                <w:rFonts w:ascii="Times New Roman" w:hAnsi="Times New Roman"/>
                <w:kern w:val="0"/>
                <w:szCs w:val="21"/>
                <w:u w:val="single"/>
              </w:rPr>
            </w:pPr>
            <w:r>
              <w:rPr>
                <w:rFonts w:ascii="Times New Roman" w:hAnsi="Times New Roman"/>
                <w:kern w:val="0"/>
                <w:szCs w:val="21"/>
                <w:u w:val="single"/>
              </w:rPr>
              <w:t>收集粉尘</w:t>
            </w:r>
          </w:p>
        </w:tc>
        <w:tc>
          <w:tcPr>
            <w:tcW w:w="2926" w:type="dxa"/>
            <w:vMerge w:val="restart"/>
            <w:shd w:val="clear" w:color="auto" w:fill="auto"/>
            <w:vAlign w:val="center"/>
          </w:tcPr>
          <w:p w14:paraId="231F4905">
            <w:pPr>
              <w:widowControl/>
              <w:spacing w:line="360" w:lineRule="exact"/>
              <w:jc w:val="center"/>
              <w:rPr>
                <w:rFonts w:ascii="Times New Roman" w:hAnsi="Times New Roman"/>
                <w:szCs w:val="21"/>
                <w:u w:val="single"/>
              </w:rPr>
            </w:pPr>
            <w:r>
              <w:rPr>
                <w:rFonts w:hint="eastAsia" w:ascii="Times New Roman" w:hAnsi="Times New Roman"/>
                <w:szCs w:val="21"/>
                <w:u w:val="single"/>
              </w:rPr>
              <w:t>堆放在车间内的锆中矿堆放区，定期外售给深度选矿企业综合利用。</w:t>
            </w:r>
          </w:p>
        </w:tc>
        <w:tc>
          <w:tcPr>
            <w:tcW w:w="2603" w:type="dxa"/>
            <w:vMerge w:val="restart"/>
            <w:shd w:val="clear" w:color="auto" w:fill="auto"/>
            <w:vAlign w:val="center"/>
          </w:tcPr>
          <w:p w14:paraId="0241172B">
            <w:pPr>
              <w:widowControl/>
              <w:spacing w:line="360" w:lineRule="exact"/>
              <w:jc w:val="center"/>
              <w:rPr>
                <w:rFonts w:ascii="Times New Roman" w:hAnsi="Times New Roman"/>
                <w:szCs w:val="21"/>
                <w:u w:val="single"/>
              </w:rPr>
            </w:pPr>
            <w:r>
              <w:rPr>
                <w:rFonts w:hint="eastAsia" w:ascii="Times New Roman" w:hAnsi="Times New Roman"/>
                <w:szCs w:val="21"/>
                <w:u w:val="single"/>
              </w:rPr>
              <w:t>按标准设置锆中矿堆放区，落实锆中矿购买企业。</w:t>
            </w:r>
          </w:p>
        </w:tc>
        <w:tc>
          <w:tcPr>
            <w:tcW w:w="3543" w:type="dxa"/>
            <w:vMerge w:val="continue"/>
            <w:shd w:val="clear" w:color="auto" w:fill="auto"/>
            <w:vAlign w:val="center"/>
          </w:tcPr>
          <w:p w14:paraId="16227D24">
            <w:pPr>
              <w:widowControl/>
              <w:spacing w:line="360" w:lineRule="exact"/>
              <w:jc w:val="center"/>
              <w:rPr>
                <w:rFonts w:ascii="Times New Roman" w:hAnsi="Times New Roman"/>
                <w:szCs w:val="21"/>
              </w:rPr>
            </w:pPr>
          </w:p>
        </w:tc>
      </w:tr>
      <w:tr w14:paraId="5F63A2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78" w:type="dxa"/>
            <w:vMerge w:val="continue"/>
            <w:shd w:val="clear" w:color="auto" w:fill="auto"/>
            <w:vAlign w:val="center"/>
          </w:tcPr>
          <w:p w14:paraId="37498333">
            <w:pPr>
              <w:widowControl/>
              <w:spacing w:line="360" w:lineRule="exact"/>
              <w:jc w:val="center"/>
              <w:rPr>
                <w:rFonts w:ascii="Times New Roman" w:hAnsi="Times New Roman"/>
                <w:szCs w:val="21"/>
              </w:rPr>
            </w:pPr>
          </w:p>
        </w:tc>
        <w:tc>
          <w:tcPr>
            <w:tcW w:w="2126" w:type="dxa"/>
            <w:vMerge w:val="continue"/>
            <w:shd w:val="clear" w:color="auto" w:fill="auto"/>
            <w:vAlign w:val="center"/>
          </w:tcPr>
          <w:p w14:paraId="1A3B00B0">
            <w:pPr>
              <w:widowControl/>
              <w:spacing w:line="360" w:lineRule="exact"/>
              <w:jc w:val="center"/>
              <w:rPr>
                <w:rFonts w:ascii="Times New Roman" w:hAnsi="Times New Roman"/>
                <w:szCs w:val="21"/>
              </w:rPr>
            </w:pPr>
          </w:p>
        </w:tc>
        <w:tc>
          <w:tcPr>
            <w:tcW w:w="1716" w:type="dxa"/>
            <w:shd w:val="clear" w:color="auto" w:fill="auto"/>
            <w:vAlign w:val="center"/>
          </w:tcPr>
          <w:p w14:paraId="20E5FC4E">
            <w:pPr>
              <w:widowControl/>
              <w:spacing w:line="360" w:lineRule="exact"/>
              <w:jc w:val="center"/>
              <w:rPr>
                <w:rFonts w:ascii="Times New Roman" w:hAnsi="Times New Roman"/>
                <w:kern w:val="0"/>
                <w:szCs w:val="21"/>
                <w:u w:val="single"/>
              </w:rPr>
            </w:pPr>
            <w:r>
              <w:rPr>
                <w:rFonts w:ascii="Times New Roman" w:hAnsi="Times New Roman"/>
                <w:kern w:val="0"/>
                <w:szCs w:val="21"/>
                <w:u w:val="single"/>
              </w:rPr>
              <w:t>生产车间除尘器</w:t>
            </w:r>
          </w:p>
          <w:p w14:paraId="64962C83">
            <w:pPr>
              <w:widowControl/>
              <w:spacing w:line="360" w:lineRule="exact"/>
              <w:jc w:val="center"/>
              <w:rPr>
                <w:rFonts w:ascii="Times New Roman" w:hAnsi="Times New Roman"/>
                <w:kern w:val="0"/>
                <w:szCs w:val="21"/>
                <w:u w:val="single"/>
              </w:rPr>
            </w:pPr>
            <w:r>
              <w:rPr>
                <w:rFonts w:ascii="Times New Roman" w:hAnsi="Times New Roman"/>
                <w:kern w:val="0"/>
                <w:szCs w:val="21"/>
                <w:u w:val="single"/>
              </w:rPr>
              <w:t>收集粉尘</w:t>
            </w:r>
          </w:p>
        </w:tc>
        <w:tc>
          <w:tcPr>
            <w:tcW w:w="2926" w:type="dxa"/>
            <w:vMerge w:val="continue"/>
            <w:shd w:val="clear" w:color="auto" w:fill="auto"/>
            <w:vAlign w:val="center"/>
          </w:tcPr>
          <w:p w14:paraId="70368FDA">
            <w:pPr>
              <w:widowControl/>
              <w:spacing w:line="360" w:lineRule="exact"/>
              <w:jc w:val="center"/>
              <w:rPr>
                <w:rFonts w:ascii="Times New Roman" w:hAnsi="Times New Roman"/>
                <w:szCs w:val="21"/>
                <w:u w:val="single"/>
              </w:rPr>
            </w:pPr>
          </w:p>
        </w:tc>
        <w:tc>
          <w:tcPr>
            <w:tcW w:w="2603" w:type="dxa"/>
            <w:vMerge w:val="continue"/>
            <w:shd w:val="clear" w:color="auto" w:fill="auto"/>
            <w:vAlign w:val="center"/>
          </w:tcPr>
          <w:p w14:paraId="78399E78">
            <w:pPr>
              <w:widowControl/>
              <w:spacing w:line="360" w:lineRule="exact"/>
              <w:jc w:val="center"/>
              <w:rPr>
                <w:rFonts w:ascii="Times New Roman" w:hAnsi="Times New Roman"/>
                <w:szCs w:val="21"/>
                <w:u w:val="single"/>
              </w:rPr>
            </w:pPr>
          </w:p>
        </w:tc>
        <w:tc>
          <w:tcPr>
            <w:tcW w:w="3543" w:type="dxa"/>
            <w:vMerge w:val="continue"/>
            <w:shd w:val="clear" w:color="auto" w:fill="auto"/>
            <w:vAlign w:val="center"/>
          </w:tcPr>
          <w:p w14:paraId="55816099">
            <w:pPr>
              <w:widowControl/>
              <w:spacing w:line="360" w:lineRule="exact"/>
              <w:jc w:val="center"/>
              <w:rPr>
                <w:rFonts w:ascii="Times New Roman" w:hAnsi="Times New Roman"/>
                <w:szCs w:val="21"/>
              </w:rPr>
            </w:pPr>
          </w:p>
        </w:tc>
      </w:tr>
      <w:tr w14:paraId="663777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78" w:type="dxa"/>
            <w:vMerge w:val="continue"/>
            <w:shd w:val="clear" w:color="auto" w:fill="auto"/>
            <w:vAlign w:val="center"/>
          </w:tcPr>
          <w:p w14:paraId="01438802">
            <w:pPr>
              <w:widowControl/>
              <w:spacing w:line="360" w:lineRule="exact"/>
              <w:jc w:val="center"/>
              <w:rPr>
                <w:rFonts w:ascii="Times New Roman" w:hAnsi="Times New Roman"/>
                <w:szCs w:val="21"/>
              </w:rPr>
            </w:pPr>
          </w:p>
        </w:tc>
        <w:tc>
          <w:tcPr>
            <w:tcW w:w="2126" w:type="dxa"/>
            <w:vMerge w:val="continue"/>
            <w:shd w:val="clear" w:color="auto" w:fill="auto"/>
            <w:vAlign w:val="center"/>
          </w:tcPr>
          <w:p w14:paraId="16C56B94">
            <w:pPr>
              <w:widowControl/>
              <w:spacing w:line="360" w:lineRule="exact"/>
              <w:jc w:val="center"/>
              <w:rPr>
                <w:rFonts w:ascii="Times New Roman" w:hAnsi="Times New Roman"/>
                <w:szCs w:val="21"/>
              </w:rPr>
            </w:pPr>
          </w:p>
        </w:tc>
        <w:tc>
          <w:tcPr>
            <w:tcW w:w="1716" w:type="dxa"/>
            <w:shd w:val="clear" w:color="auto" w:fill="auto"/>
            <w:vAlign w:val="center"/>
          </w:tcPr>
          <w:p w14:paraId="4ED9F7BB">
            <w:pPr>
              <w:widowControl/>
              <w:spacing w:line="360" w:lineRule="exact"/>
              <w:jc w:val="center"/>
              <w:rPr>
                <w:rFonts w:ascii="Times New Roman" w:hAnsi="Times New Roman"/>
                <w:kern w:val="0"/>
                <w:szCs w:val="21"/>
                <w:u w:val="single"/>
              </w:rPr>
            </w:pPr>
            <w:r>
              <w:rPr>
                <w:rFonts w:ascii="Times New Roman" w:hAnsi="Times New Roman"/>
                <w:kern w:val="0"/>
                <w:szCs w:val="21"/>
                <w:u w:val="single"/>
              </w:rPr>
              <w:t>生产车间地面</w:t>
            </w:r>
          </w:p>
          <w:p w14:paraId="2EBCBEBF">
            <w:pPr>
              <w:widowControl/>
              <w:spacing w:line="360" w:lineRule="exact"/>
              <w:jc w:val="center"/>
              <w:rPr>
                <w:rFonts w:ascii="Times New Roman" w:hAnsi="Times New Roman"/>
                <w:kern w:val="0"/>
                <w:szCs w:val="21"/>
                <w:u w:val="single"/>
              </w:rPr>
            </w:pPr>
            <w:r>
              <w:rPr>
                <w:rFonts w:ascii="Times New Roman" w:hAnsi="Times New Roman"/>
                <w:kern w:val="0"/>
                <w:szCs w:val="21"/>
                <w:u w:val="single"/>
              </w:rPr>
              <w:t>沉降粉尘</w:t>
            </w:r>
          </w:p>
        </w:tc>
        <w:tc>
          <w:tcPr>
            <w:tcW w:w="2926" w:type="dxa"/>
            <w:shd w:val="clear" w:color="auto" w:fill="auto"/>
            <w:vAlign w:val="center"/>
          </w:tcPr>
          <w:p w14:paraId="19EE6A49">
            <w:pPr>
              <w:widowControl/>
              <w:spacing w:line="360" w:lineRule="exact"/>
              <w:jc w:val="center"/>
              <w:rPr>
                <w:rFonts w:ascii="Times New Roman" w:hAnsi="Times New Roman"/>
                <w:szCs w:val="21"/>
                <w:u w:val="single"/>
              </w:rPr>
            </w:pPr>
            <w:r>
              <w:rPr>
                <w:rFonts w:hint="eastAsia" w:ascii="Times New Roman" w:hAnsi="Times New Roman"/>
                <w:szCs w:val="21"/>
                <w:u w:val="single"/>
              </w:rPr>
              <w:t>收集后作为原料重新投入到生产线进行分选。</w:t>
            </w:r>
          </w:p>
        </w:tc>
        <w:tc>
          <w:tcPr>
            <w:tcW w:w="2603" w:type="dxa"/>
            <w:shd w:val="clear" w:color="auto" w:fill="auto"/>
            <w:vAlign w:val="center"/>
          </w:tcPr>
          <w:p w14:paraId="6A7039E3">
            <w:pPr>
              <w:widowControl/>
              <w:spacing w:line="360" w:lineRule="exact"/>
              <w:jc w:val="center"/>
              <w:rPr>
                <w:rFonts w:ascii="Times New Roman" w:hAnsi="Times New Roman"/>
                <w:szCs w:val="21"/>
                <w:u w:val="single"/>
              </w:rPr>
            </w:pPr>
            <w:r>
              <w:rPr>
                <w:rFonts w:hint="eastAsia" w:ascii="Times New Roman" w:hAnsi="Times New Roman"/>
                <w:szCs w:val="21"/>
                <w:u w:val="single"/>
              </w:rPr>
              <w:t>落实地面粉尘收集并回用。</w:t>
            </w:r>
          </w:p>
        </w:tc>
        <w:tc>
          <w:tcPr>
            <w:tcW w:w="3543" w:type="dxa"/>
            <w:vMerge w:val="continue"/>
            <w:shd w:val="clear" w:color="auto" w:fill="auto"/>
            <w:vAlign w:val="center"/>
          </w:tcPr>
          <w:p w14:paraId="6E69A6F8">
            <w:pPr>
              <w:widowControl/>
              <w:spacing w:line="360" w:lineRule="exact"/>
              <w:jc w:val="center"/>
              <w:rPr>
                <w:rFonts w:ascii="Times New Roman" w:hAnsi="Times New Roman"/>
                <w:szCs w:val="21"/>
              </w:rPr>
            </w:pPr>
          </w:p>
        </w:tc>
      </w:tr>
      <w:tr w14:paraId="502693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78" w:type="dxa"/>
            <w:vMerge w:val="continue"/>
            <w:shd w:val="clear" w:color="auto" w:fill="auto"/>
            <w:vAlign w:val="center"/>
          </w:tcPr>
          <w:p w14:paraId="030AC8AE">
            <w:pPr>
              <w:widowControl/>
              <w:spacing w:line="360" w:lineRule="exact"/>
              <w:jc w:val="center"/>
              <w:rPr>
                <w:rFonts w:ascii="Times New Roman" w:hAnsi="Times New Roman"/>
                <w:szCs w:val="21"/>
              </w:rPr>
            </w:pPr>
          </w:p>
        </w:tc>
        <w:tc>
          <w:tcPr>
            <w:tcW w:w="2126" w:type="dxa"/>
            <w:vMerge w:val="continue"/>
            <w:shd w:val="clear" w:color="auto" w:fill="auto"/>
            <w:vAlign w:val="center"/>
          </w:tcPr>
          <w:p w14:paraId="4FC1628C">
            <w:pPr>
              <w:widowControl/>
              <w:spacing w:line="360" w:lineRule="exact"/>
              <w:jc w:val="center"/>
              <w:rPr>
                <w:rFonts w:ascii="Times New Roman" w:hAnsi="Times New Roman"/>
                <w:szCs w:val="21"/>
              </w:rPr>
            </w:pPr>
          </w:p>
        </w:tc>
        <w:tc>
          <w:tcPr>
            <w:tcW w:w="1716" w:type="dxa"/>
            <w:shd w:val="clear" w:color="auto" w:fill="auto"/>
            <w:vAlign w:val="center"/>
          </w:tcPr>
          <w:p w14:paraId="48EE7C90">
            <w:pPr>
              <w:widowControl/>
              <w:spacing w:line="360" w:lineRule="exact"/>
              <w:jc w:val="center"/>
              <w:rPr>
                <w:rFonts w:ascii="Times New Roman" w:hAnsi="Times New Roman"/>
                <w:szCs w:val="21"/>
              </w:rPr>
            </w:pPr>
            <w:r>
              <w:rPr>
                <w:rFonts w:ascii="Times New Roman" w:hAnsi="Times New Roman"/>
                <w:szCs w:val="21"/>
              </w:rPr>
              <w:t>生活垃圾</w:t>
            </w:r>
          </w:p>
        </w:tc>
        <w:tc>
          <w:tcPr>
            <w:tcW w:w="2926" w:type="dxa"/>
            <w:shd w:val="clear" w:color="auto" w:fill="auto"/>
            <w:vAlign w:val="center"/>
          </w:tcPr>
          <w:p w14:paraId="002D79C8">
            <w:pPr>
              <w:widowControl/>
              <w:spacing w:line="360" w:lineRule="exact"/>
              <w:jc w:val="center"/>
              <w:rPr>
                <w:rFonts w:ascii="Times New Roman" w:hAnsi="Times New Roman"/>
                <w:szCs w:val="21"/>
              </w:rPr>
            </w:pPr>
            <w:r>
              <w:rPr>
                <w:rFonts w:hint="eastAsia" w:ascii="Times New Roman" w:hAnsi="Times New Roman"/>
                <w:szCs w:val="21"/>
              </w:rPr>
              <w:t>收集到创大进口汽车仓储物流园内垃圾收集点后由环卫部门统一收运。</w:t>
            </w:r>
          </w:p>
        </w:tc>
        <w:tc>
          <w:tcPr>
            <w:tcW w:w="2603" w:type="dxa"/>
            <w:shd w:val="clear" w:color="auto" w:fill="auto"/>
            <w:vAlign w:val="center"/>
          </w:tcPr>
          <w:p w14:paraId="6BA59C7C">
            <w:pPr>
              <w:widowControl/>
              <w:spacing w:line="360" w:lineRule="exact"/>
              <w:jc w:val="center"/>
              <w:rPr>
                <w:rFonts w:ascii="Times New Roman" w:hAnsi="Times New Roman"/>
                <w:szCs w:val="21"/>
              </w:rPr>
            </w:pPr>
            <w:r>
              <w:rPr>
                <w:rFonts w:hint="eastAsia" w:ascii="Times New Roman" w:hAnsi="Times New Roman"/>
                <w:szCs w:val="21"/>
              </w:rPr>
              <w:t>及时清运，无二次污染</w:t>
            </w:r>
          </w:p>
        </w:tc>
        <w:tc>
          <w:tcPr>
            <w:tcW w:w="3543" w:type="dxa"/>
            <w:vMerge w:val="continue"/>
            <w:shd w:val="clear" w:color="auto" w:fill="auto"/>
            <w:vAlign w:val="center"/>
          </w:tcPr>
          <w:p w14:paraId="4B712F0B">
            <w:pPr>
              <w:widowControl/>
              <w:spacing w:line="360" w:lineRule="exact"/>
              <w:jc w:val="center"/>
              <w:rPr>
                <w:rFonts w:ascii="Times New Roman" w:hAnsi="Times New Roman"/>
                <w:szCs w:val="21"/>
              </w:rPr>
            </w:pPr>
          </w:p>
        </w:tc>
      </w:tr>
      <w:tr w14:paraId="4558B5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78" w:type="dxa"/>
            <w:vMerge w:val="continue"/>
            <w:shd w:val="clear" w:color="auto" w:fill="auto"/>
            <w:vAlign w:val="center"/>
          </w:tcPr>
          <w:p w14:paraId="72FE6BDC">
            <w:pPr>
              <w:widowControl/>
              <w:spacing w:line="360" w:lineRule="exact"/>
              <w:jc w:val="center"/>
              <w:rPr>
                <w:rFonts w:ascii="Times New Roman" w:hAnsi="Times New Roman"/>
                <w:szCs w:val="21"/>
              </w:rPr>
            </w:pPr>
          </w:p>
        </w:tc>
        <w:tc>
          <w:tcPr>
            <w:tcW w:w="2126" w:type="dxa"/>
            <w:shd w:val="clear" w:color="auto" w:fill="auto"/>
            <w:vAlign w:val="center"/>
          </w:tcPr>
          <w:p w14:paraId="257CCB96">
            <w:pPr>
              <w:widowControl/>
              <w:spacing w:line="360" w:lineRule="exact"/>
              <w:jc w:val="center"/>
              <w:rPr>
                <w:rFonts w:ascii="Times New Roman" w:hAnsi="Times New Roman"/>
                <w:szCs w:val="21"/>
              </w:rPr>
            </w:pPr>
            <w:r>
              <w:rPr>
                <w:rFonts w:hint="eastAsia" w:ascii="Times New Roman" w:hAnsi="Times New Roman"/>
                <w:szCs w:val="21"/>
              </w:rPr>
              <w:t>袋式除尘器</w:t>
            </w:r>
          </w:p>
        </w:tc>
        <w:tc>
          <w:tcPr>
            <w:tcW w:w="1716" w:type="dxa"/>
            <w:shd w:val="clear" w:color="auto" w:fill="auto"/>
            <w:vAlign w:val="center"/>
          </w:tcPr>
          <w:p w14:paraId="3A3341B5">
            <w:pPr>
              <w:spacing w:line="360" w:lineRule="exact"/>
              <w:jc w:val="center"/>
              <w:rPr>
                <w:rFonts w:ascii="Times New Roman" w:hAnsi="Times New Roman"/>
                <w:szCs w:val="21"/>
              </w:rPr>
            </w:pPr>
            <w:r>
              <w:rPr>
                <w:rFonts w:ascii="Times New Roman" w:hAnsi="Times New Roman"/>
                <w:kern w:val="0"/>
                <w:szCs w:val="21"/>
                <w:u w:val="single"/>
              </w:rPr>
              <w:t>除尘器废除尘袋</w:t>
            </w:r>
          </w:p>
        </w:tc>
        <w:tc>
          <w:tcPr>
            <w:tcW w:w="2926" w:type="dxa"/>
            <w:shd w:val="clear" w:color="auto" w:fill="auto"/>
            <w:vAlign w:val="center"/>
          </w:tcPr>
          <w:p w14:paraId="5B6C99E3">
            <w:pPr>
              <w:spacing w:line="360" w:lineRule="exact"/>
              <w:jc w:val="center"/>
              <w:rPr>
                <w:rFonts w:ascii="Times New Roman" w:hAnsi="Times New Roman"/>
                <w:szCs w:val="21"/>
              </w:rPr>
            </w:pPr>
            <w:r>
              <w:rPr>
                <w:rFonts w:hint="eastAsia" w:ascii="Times New Roman" w:hAnsi="Times New Roman"/>
                <w:szCs w:val="21"/>
                <w:u w:val="single"/>
              </w:rPr>
              <w:t>暂存于专用贮存场地，定期外售综合利用或处置。</w:t>
            </w:r>
          </w:p>
        </w:tc>
        <w:tc>
          <w:tcPr>
            <w:tcW w:w="2603" w:type="dxa"/>
            <w:shd w:val="clear" w:color="auto" w:fill="auto"/>
            <w:vAlign w:val="center"/>
          </w:tcPr>
          <w:p w14:paraId="70589133">
            <w:pPr>
              <w:spacing w:line="360" w:lineRule="exact"/>
              <w:jc w:val="center"/>
              <w:rPr>
                <w:rFonts w:ascii="Times New Roman" w:hAnsi="Times New Roman"/>
                <w:szCs w:val="21"/>
              </w:rPr>
            </w:pPr>
            <w:r>
              <w:rPr>
                <w:rFonts w:hint="eastAsia" w:ascii="Times New Roman" w:hAnsi="Times New Roman"/>
                <w:szCs w:val="21"/>
                <w:u w:val="single"/>
              </w:rPr>
              <w:t>设置专用贮存场所，落实回收利用单位或处置企业。</w:t>
            </w:r>
          </w:p>
        </w:tc>
        <w:tc>
          <w:tcPr>
            <w:tcW w:w="3543" w:type="dxa"/>
            <w:vMerge w:val="continue"/>
            <w:shd w:val="clear" w:color="auto" w:fill="auto"/>
            <w:vAlign w:val="center"/>
          </w:tcPr>
          <w:p w14:paraId="10C73569">
            <w:pPr>
              <w:widowControl/>
              <w:spacing w:line="360" w:lineRule="exact"/>
              <w:jc w:val="center"/>
              <w:rPr>
                <w:rFonts w:ascii="Times New Roman" w:hAnsi="Times New Roman"/>
                <w:szCs w:val="21"/>
              </w:rPr>
            </w:pPr>
          </w:p>
        </w:tc>
      </w:tr>
      <w:tr w14:paraId="64021C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78" w:type="dxa"/>
            <w:shd w:val="clear" w:color="auto" w:fill="auto"/>
            <w:vAlign w:val="center"/>
          </w:tcPr>
          <w:p w14:paraId="656BC20B">
            <w:pPr>
              <w:widowControl/>
              <w:spacing w:line="360" w:lineRule="exact"/>
              <w:jc w:val="center"/>
              <w:rPr>
                <w:rFonts w:ascii="Times New Roman" w:hAnsi="Times New Roman"/>
                <w:szCs w:val="21"/>
              </w:rPr>
            </w:pPr>
            <w:r>
              <w:rPr>
                <w:rFonts w:ascii="Times New Roman" w:hAnsi="Times New Roman"/>
                <w:szCs w:val="21"/>
              </w:rPr>
              <w:t>危险</w:t>
            </w:r>
          </w:p>
          <w:p w14:paraId="72001FBF">
            <w:pPr>
              <w:widowControl/>
              <w:spacing w:line="360" w:lineRule="exact"/>
              <w:jc w:val="center"/>
              <w:rPr>
                <w:rFonts w:ascii="Times New Roman" w:hAnsi="Times New Roman"/>
                <w:szCs w:val="21"/>
              </w:rPr>
            </w:pPr>
            <w:r>
              <w:rPr>
                <w:rFonts w:ascii="Times New Roman" w:hAnsi="Times New Roman"/>
                <w:szCs w:val="21"/>
              </w:rPr>
              <w:t>废物</w:t>
            </w:r>
          </w:p>
        </w:tc>
        <w:tc>
          <w:tcPr>
            <w:tcW w:w="2126" w:type="dxa"/>
            <w:shd w:val="clear" w:color="auto" w:fill="auto"/>
            <w:vAlign w:val="center"/>
          </w:tcPr>
          <w:p w14:paraId="09CED6FB">
            <w:pPr>
              <w:widowControl/>
              <w:spacing w:line="360" w:lineRule="exact"/>
              <w:jc w:val="center"/>
              <w:rPr>
                <w:rFonts w:ascii="Times New Roman" w:hAnsi="Times New Roman"/>
                <w:szCs w:val="21"/>
              </w:rPr>
            </w:pPr>
            <w:r>
              <w:rPr>
                <w:rFonts w:hint="eastAsia" w:ascii="Times New Roman" w:hAnsi="Times New Roman"/>
                <w:szCs w:val="21"/>
              </w:rPr>
              <w:t>设备检修</w:t>
            </w:r>
          </w:p>
        </w:tc>
        <w:tc>
          <w:tcPr>
            <w:tcW w:w="1716" w:type="dxa"/>
            <w:shd w:val="clear" w:color="auto" w:fill="auto"/>
            <w:vAlign w:val="center"/>
          </w:tcPr>
          <w:p w14:paraId="5F1A0092">
            <w:pPr>
              <w:widowControl/>
              <w:spacing w:line="360" w:lineRule="exact"/>
              <w:jc w:val="center"/>
              <w:rPr>
                <w:rFonts w:ascii="Times New Roman" w:hAnsi="Times New Roman"/>
                <w:szCs w:val="21"/>
              </w:rPr>
            </w:pPr>
            <w:r>
              <w:rPr>
                <w:rFonts w:hint="eastAsia" w:ascii="Times New Roman" w:hAnsi="Times New Roman"/>
                <w:szCs w:val="21"/>
              </w:rPr>
              <w:t>废机油</w:t>
            </w:r>
          </w:p>
        </w:tc>
        <w:tc>
          <w:tcPr>
            <w:tcW w:w="2926" w:type="dxa"/>
            <w:shd w:val="clear" w:color="auto" w:fill="auto"/>
            <w:vAlign w:val="center"/>
          </w:tcPr>
          <w:p w14:paraId="0394D362">
            <w:pPr>
              <w:widowControl/>
              <w:spacing w:line="360" w:lineRule="exact"/>
              <w:jc w:val="center"/>
              <w:rPr>
                <w:rFonts w:ascii="Times New Roman" w:hAnsi="Times New Roman"/>
                <w:szCs w:val="21"/>
              </w:rPr>
            </w:pPr>
            <w:r>
              <w:rPr>
                <w:rFonts w:ascii="Times New Roman" w:hAnsi="Times New Roman"/>
                <w:szCs w:val="21"/>
              </w:rPr>
              <w:t>暂存于危废暂存间，定期委托有处理资质单位处置</w:t>
            </w:r>
          </w:p>
        </w:tc>
        <w:tc>
          <w:tcPr>
            <w:tcW w:w="2603" w:type="dxa"/>
            <w:shd w:val="clear" w:color="auto" w:fill="auto"/>
            <w:vAlign w:val="center"/>
          </w:tcPr>
          <w:p w14:paraId="7F7E111E">
            <w:pPr>
              <w:widowControl/>
              <w:spacing w:line="360" w:lineRule="exact"/>
              <w:jc w:val="center"/>
              <w:rPr>
                <w:rFonts w:ascii="Times New Roman" w:hAnsi="Times New Roman"/>
                <w:szCs w:val="21"/>
              </w:rPr>
            </w:pPr>
            <w:r>
              <w:rPr>
                <w:rFonts w:ascii="Times New Roman" w:hAnsi="Times New Roman"/>
                <w:szCs w:val="21"/>
              </w:rPr>
              <w:t>是否已按要求设置危废暂存间，与单位签订处置协议</w:t>
            </w:r>
          </w:p>
        </w:tc>
        <w:tc>
          <w:tcPr>
            <w:tcW w:w="3543" w:type="dxa"/>
            <w:shd w:val="clear" w:color="auto" w:fill="auto"/>
            <w:vAlign w:val="center"/>
          </w:tcPr>
          <w:p w14:paraId="2263A6C8">
            <w:pPr>
              <w:widowControl/>
              <w:spacing w:line="360" w:lineRule="exact"/>
              <w:jc w:val="center"/>
              <w:rPr>
                <w:rFonts w:ascii="Times New Roman" w:hAnsi="Times New Roman"/>
                <w:szCs w:val="21"/>
              </w:rPr>
            </w:pPr>
            <w:r>
              <w:rPr>
                <w:rFonts w:ascii="Times New Roman" w:hAnsi="Times New Roman"/>
                <w:szCs w:val="21"/>
              </w:rPr>
              <w:t>《危险废物贮存污染控制标准》（GB18597—2023）</w:t>
            </w:r>
          </w:p>
        </w:tc>
      </w:tr>
    </w:tbl>
    <w:p w14:paraId="4004810D">
      <w:pPr>
        <w:spacing w:line="360" w:lineRule="auto"/>
        <w:ind w:firstLine="472" w:firstLineChars="200"/>
        <w:rPr>
          <w:rFonts w:ascii="Times New Roman" w:hAnsi="Times New Roman"/>
          <w:spacing w:val="-2"/>
          <w:kern w:val="0"/>
          <w:sz w:val="24"/>
          <w:szCs w:val="24"/>
        </w:rPr>
      </w:pPr>
    </w:p>
    <w:bookmarkEnd w:id="321"/>
    <w:p w14:paraId="07D7A9B7">
      <w:pPr>
        <w:spacing w:before="156" w:beforeLines="50" w:line="360" w:lineRule="auto"/>
        <w:ind w:firstLine="472" w:firstLineChars="200"/>
        <w:rPr>
          <w:rFonts w:ascii="Times New Roman" w:hAnsi="Times New Roman"/>
          <w:spacing w:val="-2"/>
          <w:kern w:val="0"/>
          <w:sz w:val="24"/>
          <w:szCs w:val="20"/>
        </w:rPr>
        <w:sectPr>
          <w:pgSz w:w="16838" w:h="11906" w:orient="landscape"/>
          <w:pgMar w:top="1418" w:right="1418" w:bottom="1418" w:left="1418" w:header="851" w:footer="992" w:gutter="0"/>
          <w:cols w:space="720" w:num="1"/>
          <w:docGrid w:type="lines" w:linePitch="312" w:charSpace="0"/>
        </w:sectPr>
      </w:pPr>
    </w:p>
    <w:p w14:paraId="77968AB9">
      <w:pPr>
        <w:pStyle w:val="4"/>
        <w:numPr>
          <w:ilvl w:val="0"/>
          <w:numId w:val="3"/>
        </w:numPr>
      </w:pPr>
      <w:bookmarkStart w:id="322" w:name="_Toc368170148"/>
      <w:bookmarkStart w:id="323" w:name="_Toc406075718"/>
      <w:bookmarkStart w:id="324" w:name="_Toc13897"/>
      <w:bookmarkStart w:id="325" w:name="_Toc30224"/>
      <w:r>
        <w:t>环境影响评价结论</w:t>
      </w:r>
      <w:bookmarkEnd w:id="322"/>
      <w:bookmarkEnd w:id="323"/>
      <w:bookmarkEnd w:id="324"/>
      <w:bookmarkEnd w:id="325"/>
    </w:p>
    <w:p w14:paraId="6554D2B7">
      <w:pPr>
        <w:pStyle w:val="5"/>
        <w:numPr>
          <w:ilvl w:val="1"/>
          <w:numId w:val="3"/>
        </w:numPr>
      </w:pPr>
      <w:bookmarkStart w:id="326" w:name="_Toc368170149"/>
      <w:bookmarkStart w:id="327" w:name="_Toc18766"/>
      <w:bookmarkStart w:id="328" w:name="_Toc25940"/>
      <w:bookmarkStart w:id="329" w:name="_Toc406075719"/>
      <w:r>
        <w:t>项目概况</w:t>
      </w:r>
      <w:bookmarkEnd w:id="326"/>
      <w:bookmarkEnd w:id="327"/>
      <w:bookmarkEnd w:id="328"/>
      <w:bookmarkEnd w:id="329"/>
    </w:p>
    <w:p w14:paraId="0224ABE6">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广西瑞腾贸易有限公司拟建的锆钛矿石分选加工项目，租用广西钦州保税区创大冷链物流公司进口汽车仓储物流园内的3号仓库（中心坐标：</w:t>
      </w:r>
      <w:r>
        <w:rPr>
          <w:rFonts w:ascii="Times New Roman" w:hAnsi="Times New Roman"/>
          <w:sz w:val="24"/>
          <w:szCs w:val="24"/>
        </w:rPr>
        <w:t>东经108.66786629°，北纬21.67253665°</w:t>
      </w:r>
      <w:r>
        <w:rPr>
          <w:rFonts w:hint="eastAsia" w:ascii="Times New Roman" w:hAnsi="Times New Roman"/>
          <w:spacing w:val="-2"/>
          <w:kern w:val="0"/>
          <w:sz w:val="24"/>
          <w:szCs w:val="24"/>
        </w:rPr>
        <w:t>），</w:t>
      </w:r>
      <w:r>
        <w:rPr>
          <w:rFonts w:ascii="Times New Roman" w:hAnsi="Times New Roman"/>
          <w:spacing w:val="-2"/>
          <w:kern w:val="0"/>
          <w:sz w:val="24"/>
          <w:szCs w:val="24"/>
        </w:rPr>
        <w:t>利用毛矿为原料（大部分来</w:t>
      </w:r>
      <w:r>
        <w:rPr>
          <w:rFonts w:hint="eastAsia" w:ascii="Times New Roman" w:hAnsi="Times New Roman"/>
          <w:spacing w:val="-2"/>
          <w:kern w:val="0"/>
          <w:sz w:val="24"/>
          <w:szCs w:val="24"/>
        </w:rPr>
        <w:t>非洲、东南亚</w:t>
      </w:r>
      <w:r>
        <w:rPr>
          <w:rFonts w:ascii="Times New Roman" w:hAnsi="Times New Roman"/>
          <w:spacing w:val="-2"/>
          <w:kern w:val="0"/>
          <w:sz w:val="24"/>
          <w:szCs w:val="24"/>
        </w:rPr>
        <w:t>国家）</w:t>
      </w:r>
      <w:r>
        <w:rPr>
          <w:rFonts w:hint="eastAsia" w:ascii="Times New Roman" w:hAnsi="Times New Roman"/>
          <w:spacing w:val="-2"/>
          <w:kern w:val="0"/>
          <w:sz w:val="24"/>
          <w:szCs w:val="24"/>
        </w:rPr>
        <w:t>，采用干式磁选工艺</w:t>
      </w:r>
      <w:r>
        <w:rPr>
          <w:rFonts w:ascii="Times New Roman" w:hAnsi="Times New Roman"/>
          <w:spacing w:val="-2"/>
          <w:kern w:val="0"/>
          <w:sz w:val="24"/>
          <w:szCs w:val="24"/>
        </w:rPr>
        <w:t>分选</w:t>
      </w:r>
      <w:r>
        <w:rPr>
          <w:rFonts w:hint="eastAsia" w:ascii="Times New Roman" w:hAnsi="Times New Roman"/>
          <w:spacing w:val="-2"/>
          <w:kern w:val="0"/>
          <w:sz w:val="24"/>
          <w:szCs w:val="24"/>
        </w:rPr>
        <w:t>出</w:t>
      </w:r>
      <w:r>
        <w:rPr>
          <w:rFonts w:ascii="Times New Roman" w:hAnsi="Times New Roman"/>
          <w:spacing w:val="-2"/>
          <w:kern w:val="0"/>
          <w:sz w:val="24"/>
          <w:szCs w:val="24"/>
        </w:rPr>
        <w:t>钛铁精矿。</w:t>
      </w:r>
      <w:r>
        <w:rPr>
          <w:rFonts w:hint="eastAsia" w:ascii="Times New Roman" w:hAnsi="Times New Roman"/>
          <w:spacing w:val="-2"/>
          <w:kern w:val="0"/>
          <w:sz w:val="24"/>
          <w:szCs w:val="24"/>
        </w:rPr>
        <w:t>项目总用地面积约2500m</w:t>
      </w:r>
      <w:r>
        <w:rPr>
          <w:rFonts w:hint="eastAsia" w:ascii="Times New Roman" w:hAnsi="Times New Roman"/>
          <w:spacing w:val="-2"/>
          <w:kern w:val="0"/>
          <w:sz w:val="24"/>
          <w:szCs w:val="24"/>
          <w:vertAlign w:val="superscript"/>
        </w:rPr>
        <w:t>2</w:t>
      </w:r>
      <w:r>
        <w:rPr>
          <w:rFonts w:hint="eastAsia" w:ascii="Times New Roman" w:hAnsi="Times New Roman"/>
          <w:spacing w:val="-2"/>
          <w:kern w:val="0"/>
          <w:sz w:val="24"/>
          <w:szCs w:val="24"/>
        </w:rPr>
        <w:t>，</w:t>
      </w:r>
      <w:r>
        <w:rPr>
          <w:rFonts w:ascii="Times New Roman" w:hAnsi="Times New Roman"/>
          <w:spacing w:val="-2"/>
          <w:kern w:val="0"/>
          <w:sz w:val="24"/>
          <w:szCs w:val="24"/>
        </w:rPr>
        <w:t>设计建设2条产能为2万吨/月生产线，</w:t>
      </w:r>
      <w:r>
        <w:rPr>
          <w:rFonts w:ascii="Times New Roman" w:hAnsi="Times New Roman"/>
          <w:spacing w:val="-2"/>
          <w:kern w:val="0"/>
          <w:sz w:val="24"/>
          <w:szCs w:val="24"/>
          <w:u w:val="single"/>
        </w:rPr>
        <w:t>设计产能为</w:t>
      </w:r>
      <w:r>
        <w:rPr>
          <w:rFonts w:hint="eastAsia" w:ascii="Times New Roman" w:hAnsi="Times New Roman"/>
          <w:spacing w:val="-2"/>
          <w:kern w:val="0"/>
          <w:sz w:val="24"/>
          <w:szCs w:val="24"/>
          <w:u w:val="single"/>
        </w:rPr>
        <w:t>年分选加工</w:t>
      </w:r>
      <w:r>
        <w:rPr>
          <w:rFonts w:ascii="Times New Roman" w:hAnsi="Times New Roman"/>
          <w:spacing w:val="-2"/>
          <w:kern w:val="0"/>
          <w:sz w:val="24"/>
          <w:szCs w:val="24"/>
          <w:u w:val="single"/>
        </w:rPr>
        <w:t>24万吨</w:t>
      </w:r>
      <w:r>
        <w:rPr>
          <w:rFonts w:hint="eastAsia" w:ascii="Times New Roman" w:hAnsi="Times New Roman"/>
          <w:spacing w:val="-2"/>
          <w:kern w:val="0"/>
          <w:sz w:val="24"/>
          <w:szCs w:val="24"/>
          <w:u w:val="single"/>
        </w:rPr>
        <w:t>锆钛矿石</w:t>
      </w:r>
      <w:r>
        <w:rPr>
          <w:rFonts w:ascii="Times New Roman" w:hAnsi="Times New Roman"/>
          <w:spacing w:val="-2"/>
          <w:kern w:val="0"/>
          <w:sz w:val="24"/>
          <w:szCs w:val="24"/>
        </w:rPr>
        <w:t>。</w:t>
      </w:r>
      <w:r>
        <w:rPr>
          <w:rFonts w:hint="eastAsia" w:ascii="Times New Roman" w:hAnsi="Times New Roman"/>
          <w:spacing w:val="-2"/>
          <w:kern w:val="0"/>
          <w:sz w:val="24"/>
          <w:szCs w:val="24"/>
        </w:rPr>
        <w:t>项目在已建成的车间厂房内进行厂房简易装修及设备安装后便可投入生产运营，无需进行土方开挖、基础工程、主体工程等施工。</w:t>
      </w:r>
    </w:p>
    <w:p w14:paraId="53E33BDE">
      <w:pPr>
        <w:spacing w:line="360" w:lineRule="auto"/>
        <w:ind w:firstLine="472" w:firstLineChars="200"/>
        <w:rPr>
          <w:rFonts w:ascii="Times New Roman" w:hAnsi="Times New Roman"/>
          <w:spacing w:val="-2"/>
          <w:kern w:val="0"/>
          <w:sz w:val="24"/>
          <w:szCs w:val="24"/>
          <w:u w:val="single"/>
        </w:rPr>
      </w:pPr>
      <w:r>
        <w:rPr>
          <w:rFonts w:hint="eastAsia" w:ascii="Times New Roman" w:hAnsi="Times New Roman"/>
          <w:spacing w:val="-2"/>
          <w:kern w:val="0"/>
          <w:sz w:val="24"/>
          <w:szCs w:val="24"/>
          <w:u w:val="single"/>
        </w:rPr>
        <w:t>项目总投资300万元，其中环保投资57万元，占总投资19%。</w:t>
      </w:r>
    </w:p>
    <w:p w14:paraId="4F7C9F06">
      <w:pPr>
        <w:pStyle w:val="5"/>
        <w:numPr>
          <w:ilvl w:val="1"/>
          <w:numId w:val="3"/>
        </w:numPr>
      </w:pPr>
      <w:bookmarkStart w:id="330" w:name="_Toc14272"/>
      <w:r>
        <w:rPr>
          <w:rFonts w:hint="eastAsia"/>
        </w:rPr>
        <w:t>产业政策、项目选址分析结论</w:t>
      </w:r>
      <w:bookmarkEnd w:id="330"/>
    </w:p>
    <w:p w14:paraId="7AED7ED2">
      <w:pPr>
        <w:spacing w:line="360" w:lineRule="auto"/>
        <w:ind w:firstLine="472" w:firstLineChars="200"/>
        <w:rPr>
          <w:rFonts w:ascii="Times New Roman" w:hAnsi="Times New Roman"/>
          <w:spacing w:val="-2"/>
          <w:kern w:val="0"/>
          <w:sz w:val="24"/>
          <w:szCs w:val="24"/>
        </w:rPr>
      </w:pPr>
      <w:r>
        <w:rPr>
          <w:rFonts w:ascii="Times New Roman" w:hAnsi="Times New Roman"/>
          <w:spacing w:val="-2"/>
          <w:kern w:val="24"/>
          <w:sz w:val="24"/>
          <w:szCs w:val="24"/>
        </w:rPr>
        <w:t>项目由广西自贸区钦州港片区行政审批局备案</w:t>
      </w:r>
      <w:r>
        <w:rPr>
          <w:rFonts w:hint="eastAsia" w:ascii="Times New Roman" w:hAnsi="Times New Roman"/>
          <w:spacing w:val="-2"/>
          <w:kern w:val="24"/>
          <w:sz w:val="24"/>
          <w:szCs w:val="24"/>
        </w:rPr>
        <w:t>，</w:t>
      </w:r>
      <w:r>
        <w:rPr>
          <w:rFonts w:ascii="Times New Roman" w:hAnsi="Times New Roman"/>
          <w:spacing w:val="-2"/>
          <w:kern w:val="24"/>
          <w:sz w:val="24"/>
          <w:szCs w:val="24"/>
        </w:rPr>
        <w:t>项目代码为：2407-450704-04-01-568667，属于《产业结构调整指导目录（2024年本）》中</w:t>
      </w:r>
      <w:r>
        <w:rPr>
          <w:rFonts w:ascii="宋体" w:hAnsi="宋体"/>
          <w:spacing w:val="-2"/>
          <w:kern w:val="24"/>
          <w:sz w:val="24"/>
          <w:szCs w:val="24"/>
        </w:rPr>
        <w:t>“四</w:t>
      </w:r>
      <w:r>
        <w:rPr>
          <w:rFonts w:ascii="Times New Roman" w:hAnsi="Times New Roman"/>
          <w:spacing w:val="-2"/>
          <w:kern w:val="24"/>
          <w:sz w:val="24"/>
          <w:szCs w:val="24"/>
        </w:rPr>
        <w:t>十二、环境保护与资源节约综合利用—12、共生、伴生矿产提取有价元素及资源综合利用</w:t>
      </w:r>
      <w:r>
        <w:rPr>
          <w:rFonts w:ascii="宋体" w:hAnsi="宋体"/>
          <w:spacing w:val="-2"/>
          <w:kern w:val="24"/>
          <w:sz w:val="24"/>
          <w:szCs w:val="24"/>
        </w:rPr>
        <w:t>技术”，</w:t>
      </w:r>
      <w:r>
        <w:rPr>
          <w:rFonts w:ascii="Times New Roman" w:hAnsi="Times New Roman"/>
          <w:spacing w:val="-2"/>
          <w:kern w:val="24"/>
          <w:sz w:val="24"/>
          <w:szCs w:val="24"/>
        </w:rPr>
        <w:t>属于鼓励类项目，项目建设符合产业政策。</w:t>
      </w:r>
    </w:p>
    <w:p w14:paraId="04272FBC">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项目建设符合《广西钦州保税港区总体规划》、《钦州市人民政府关于印发钦州市“三线一单”生态环境分区管控实施意见的通知》（钦政发〔2021〕13号）、《钦州市“三线一单”生态环境分区管控》、《钦州市生态环境分区管控动态更新成果（2023版）》等相关规划及政策要求。</w:t>
      </w:r>
    </w:p>
    <w:p w14:paraId="4B9FE715">
      <w:pPr>
        <w:spacing w:line="360" w:lineRule="auto"/>
        <w:ind w:firstLine="472" w:firstLineChars="200"/>
        <w:rPr>
          <w:rFonts w:ascii="Times New Roman" w:hAnsi="Times New Roman"/>
          <w:spacing w:val="-2"/>
          <w:kern w:val="0"/>
          <w:sz w:val="24"/>
          <w:szCs w:val="24"/>
          <w:u w:val="single"/>
        </w:rPr>
      </w:pPr>
      <w:r>
        <w:rPr>
          <w:rFonts w:hint="eastAsia" w:ascii="Times New Roman" w:hAnsi="Times New Roman"/>
          <w:spacing w:val="-2"/>
          <w:kern w:val="24"/>
          <w:sz w:val="24"/>
          <w:szCs w:val="24"/>
          <w:u w:val="single"/>
        </w:rPr>
        <w:t>项目位于</w:t>
      </w:r>
      <w:r>
        <w:rPr>
          <w:rFonts w:ascii="Times New Roman" w:hAnsi="Times New Roman"/>
          <w:spacing w:val="-2"/>
          <w:kern w:val="24"/>
          <w:sz w:val="24"/>
          <w:szCs w:val="24"/>
          <w:u w:val="single"/>
        </w:rPr>
        <w:t>广西钦州保税港区</w:t>
      </w:r>
      <w:r>
        <w:rPr>
          <w:rFonts w:hint="eastAsia" w:ascii="Times New Roman" w:hAnsi="Times New Roman"/>
          <w:spacing w:val="-2"/>
          <w:kern w:val="24"/>
          <w:sz w:val="24"/>
          <w:szCs w:val="24"/>
          <w:u w:val="single"/>
        </w:rPr>
        <w:t>的出口加工区，并已获得</w:t>
      </w:r>
      <w:r>
        <w:rPr>
          <w:rFonts w:ascii="Times New Roman" w:hAnsi="Times New Roman"/>
          <w:spacing w:val="-2"/>
          <w:kern w:val="24"/>
          <w:sz w:val="24"/>
          <w:szCs w:val="24"/>
          <w:u w:val="single"/>
        </w:rPr>
        <w:t>中国（广西）自由贸易试验区钦州港片区贸易与物流发展局出具的《关于同意广西瑞腾贸易有限公司开展锆钛矿保税加工业务的函》，原则同意项目选址。</w:t>
      </w:r>
      <w:r>
        <w:rPr>
          <w:rFonts w:hint="eastAsia" w:ascii="Times New Roman" w:hAnsi="Times New Roman"/>
          <w:spacing w:val="-2"/>
          <w:kern w:val="24"/>
          <w:sz w:val="24"/>
          <w:szCs w:val="24"/>
          <w:u w:val="single"/>
        </w:rPr>
        <w:t>项目选址符合规划用地要求。</w:t>
      </w:r>
    </w:p>
    <w:p w14:paraId="5071000C">
      <w:pPr>
        <w:pStyle w:val="5"/>
        <w:numPr>
          <w:ilvl w:val="1"/>
          <w:numId w:val="3"/>
        </w:numPr>
      </w:pPr>
      <w:bookmarkStart w:id="331" w:name="_Toc19713"/>
      <w:r>
        <w:rPr>
          <w:rFonts w:hint="eastAsia"/>
        </w:rPr>
        <w:t>环境质量现状评价</w:t>
      </w:r>
      <w:bookmarkEnd w:id="331"/>
    </w:p>
    <w:p w14:paraId="1A1BAA06">
      <w:pPr>
        <w:pStyle w:val="6"/>
        <w:numPr>
          <w:ilvl w:val="2"/>
          <w:numId w:val="3"/>
        </w:numPr>
      </w:pPr>
      <w:r>
        <w:rPr>
          <w:rFonts w:hint="eastAsia"/>
        </w:rPr>
        <w:t>环境空气质量现状</w:t>
      </w:r>
    </w:p>
    <w:p w14:paraId="32565D9B">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根据《自治区生态环境厅关于通报2023年设区城市及各县（市、区）环境空气质量的函》（桂环函〔2024〕58号），项目所在区域环境空气质量为达标区。项目所在区域其他污染物TSP达到《环境空气质量标准》（GB3095-2012）二级标准，评价区域内环境空气质量现状良好。</w:t>
      </w:r>
    </w:p>
    <w:p w14:paraId="3651CA57">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本次在项目生产车间</w:t>
      </w:r>
      <w:r>
        <w:rPr>
          <w:rFonts w:hint="eastAsia" w:ascii="Times New Roman" w:hAnsi="Times New Roman"/>
          <w:spacing w:val="-2"/>
          <w:kern w:val="0"/>
          <w:sz w:val="24"/>
          <w:szCs w:val="24"/>
        </w:rPr>
        <w:t>北面</w:t>
      </w:r>
      <w:r>
        <w:rPr>
          <w:rFonts w:ascii="Times New Roman" w:hAnsi="Times New Roman"/>
          <w:spacing w:val="-2"/>
          <w:kern w:val="0"/>
          <w:sz w:val="24"/>
          <w:szCs w:val="24"/>
        </w:rPr>
        <w:t>设1个大气环境质量现状监测点，监测因子为TSP。监测结果表明，各测点TSP 24小时平均浓度值均满足《环境空气质量标准》（GB3095-2012）二级标准要求。</w:t>
      </w:r>
    </w:p>
    <w:p w14:paraId="7ACC4CEF">
      <w:pPr>
        <w:pStyle w:val="6"/>
        <w:numPr>
          <w:ilvl w:val="2"/>
          <w:numId w:val="3"/>
        </w:numPr>
        <w:rPr>
          <w:spacing w:val="-2"/>
          <w:kern w:val="0"/>
          <w:szCs w:val="24"/>
        </w:rPr>
      </w:pPr>
      <w:r>
        <w:rPr>
          <w:rFonts w:hint="eastAsia"/>
          <w:spacing w:val="-2"/>
          <w:kern w:val="0"/>
          <w:szCs w:val="24"/>
        </w:rPr>
        <w:t>海洋环境质量现状</w:t>
      </w:r>
    </w:p>
    <w:p w14:paraId="0AB06B28">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项目污水依托大榄坪污水处理厂进一步处理，大榄坪污水处理厂深海排放点所在海域为海域水质自动监测站GX06号站位。2023年10相比，钦州市GX06站位（茅尾海中部海域）水质由劣四类上升为第三类；2024年9月相比，钦州市GX06站位（茅尾海中部海域）水质由第四类上升为第三类。2024年大榄坪污水处理厂深海排放点区域海水枯平丰水期各监测因子均达到《海水水质标准》（GB3097-1997）第四类标准。</w:t>
      </w:r>
    </w:p>
    <w:p w14:paraId="2D0B9A99">
      <w:pPr>
        <w:pStyle w:val="6"/>
        <w:numPr>
          <w:ilvl w:val="2"/>
          <w:numId w:val="3"/>
        </w:numPr>
      </w:pPr>
      <w:r>
        <w:rPr>
          <w:rFonts w:hint="eastAsia"/>
        </w:rPr>
        <w:t>地下水环境质量现状</w:t>
      </w:r>
    </w:p>
    <w:p w14:paraId="3136BAD9">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本次评价设置6个地下水监测点，对区域地下水环境质量现状进行了现状监测，地下水各监测点各因子的监测浓度达到《地下水环境质量标准》（GB/T14848-2017）中的III类标准，区域地下水环境质量较好。</w:t>
      </w:r>
    </w:p>
    <w:p w14:paraId="1BAAD374">
      <w:pPr>
        <w:pStyle w:val="6"/>
        <w:numPr>
          <w:ilvl w:val="2"/>
          <w:numId w:val="3"/>
        </w:numPr>
      </w:pPr>
      <w:r>
        <w:rPr>
          <w:rFonts w:hint="eastAsia"/>
        </w:rPr>
        <w:t>声环境质量现状</w:t>
      </w:r>
    </w:p>
    <w:p w14:paraId="037EBA99">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项目东、南、西、北面厂界噪声均满足《声环境质量标准》（GB3096-2008）3类标准，项目所在区域声环境质量现状较好。</w:t>
      </w:r>
    </w:p>
    <w:p w14:paraId="2FC92E90">
      <w:pPr>
        <w:pStyle w:val="6"/>
        <w:numPr>
          <w:ilvl w:val="2"/>
          <w:numId w:val="3"/>
        </w:numPr>
      </w:pPr>
      <w:r>
        <w:rPr>
          <w:rFonts w:hint="eastAsia"/>
        </w:rPr>
        <w:t>生态环境质量现状</w:t>
      </w:r>
    </w:p>
    <w:p w14:paraId="540C1FE1">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项目位于广西钦州保税港区，原地貌为浅海地貌，陆域用地为人工吹砂成陆区域，无原生陆生动植物资源，区域内的植物主要以城市景观绿化植物为主，植被覆盖率较低，动物以迁徙而来的啮齿类、爬行类、鸟类等为主，生物多样性较低，由于区域人类工业、物流活动频繁，未发现国家保护的珍稀濒危动物种类迁徙至此区域，项目所在区域生态环境一般。</w:t>
      </w:r>
    </w:p>
    <w:p w14:paraId="702FE535">
      <w:pPr>
        <w:pStyle w:val="6"/>
        <w:numPr>
          <w:ilvl w:val="2"/>
          <w:numId w:val="3"/>
        </w:numPr>
      </w:pPr>
      <w:r>
        <w:rPr>
          <w:rFonts w:hint="eastAsia"/>
        </w:rPr>
        <w:t>辐射环境现状</w:t>
      </w:r>
    </w:p>
    <w:p w14:paraId="787926B9">
      <w:pPr>
        <w:spacing w:line="360" w:lineRule="auto"/>
        <w:ind w:firstLine="480" w:firstLineChars="200"/>
        <w:rPr>
          <w:rFonts w:ascii="Times New Roman" w:hAnsi="Times New Roman"/>
          <w:sz w:val="24"/>
          <w:szCs w:val="24"/>
        </w:rPr>
      </w:pPr>
      <w:r>
        <w:rPr>
          <w:rFonts w:hint="eastAsia" w:ascii="Times New Roman" w:hAnsi="Times New Roman"/>
          <w:sz w:val="24"/>
          <w:szCs w:val="24"/>
        </w:rPr>
        <w:t>（1）项目周边环境中γ辐射剂量率与</w:t>
      </w:r>
      <w:r>
        <w:rPr>
          <w:rFonts w:hint="eastAsia" w:ascii="Times New Roman" w:hAnsi="Times New Roman"/>
          <w:sz w:val="24"/>
          <w:szCs w:val="24"/>
          <w:lang w:eastAsia="zh-CN"/>
        </w:rPr>
        <w:t>广西壮族自治区</w:t>
      </w:r>
      <w:r>
        <w:rPr>
          <w:rFonts w:hint="eastAsia" w:ascii="Times New Roman" w:hAnsi="Times New Roman"/>
          <w:sz w:val="24"/>
          <w:szCs w:val="24"/>
        </w:rPr>
        <w:t>钦州地区γ辐射剂量率处于同一水平。</w:t>
      </w:r>
    </w:p>
    <w:p w14:paraId="5ACF8CCE">
      <w:pPr>
        <w:spacing w:line="360" w:lineRule="auto"/>
        <w:ind w:firstLine="480" w:firstLineChars="200"/>
        <w:rPr>
          <w:rFonts w:ascii="Times New Roman" w:hAnsi="Times New Roman"/>
          <w:sz w:val="24"/>
          <w:szCs w:val="24"/>
        </w:rPr>
      </w:pPr>
      <w:r>
        <w:rPr>
          <w:rFonts w:hint="eastAsia" w:ascii="Times New Roman" w:hAnsi="Times New Roman"/>
          <w:sz w:val="24"/>
          <w:szCs w:val="24"/>
        </w:rPr>
        <w:t>（2）项目西面、南面空气中</w:t>
      </w:r>
      <w:r>
        <w:rPr>
          <w:rFonts w:hint="eastAsia" w:ascii="Times New Roman" w:hAnsi="Times New Roman"/>
          <w:sz w:val="24"/>
          <w:szCs w:val="24"/>
          <w:vertAlign w:val="superscript"/>
        </w:rPr>
        <w:t>222</w:t>
      </w:r>
      <w:r>
        <w:rPr>
          <w:rFonts w:hint="eastAsia" w:ascii="Times New Roman" w:hAnsi="Times New Roman"/>
          <w:sz w:val="24"/>
          <w:szCs w:val="24"/>
        </w:rPr>
        <w:t>Rn浓度出现高于《中国环境天然放射性水平》中全国城市空气中氡平均浓度的情况，</w:t>
      </w:r>
      <w:bookmarkStart w:id="332" w:name="_Hlk193712400"/>
      <w:r>
        <w:rPr>
          <w:rFonts w:hint="eastAsia" w:ascii="Times New Roman" w:hAnsi="Times New Roman"/>
          <w:sz w:val="24"/>
          <w:szCs w:val="24"/>
        </w:rPr>
        <w:t>可能是</w:t>
      </w:r>
      <w:r>
        <w:rPr>
          <w:rFonts w:hint="eastAsia" w:ascii="Times New Roman" w:hAnsi="Times New Roman"/>
          <w:sz w:val="24"/>
          <w:szCs w:val="24"/>
          <w:u w:val="single"/>
        </w:rPr>
        <w:t>受填海区域吹填土土质背景值</w:t>
      </w:r>
      <w:r>
        <w:rPr>
          <w:rFonts w:hint="eastAsia" w:ascii="Times New Roman" w:hAnsi="Times New Roman"/>
          <w:sz w:val="24"/>
          <w:szCs w:val="24"/>
        </w:rPr>
        <w:t>的影</w:t>
      </w:r>
      <w:bookmarkEnd w:id="332"/>
      <w:r>
        <w:rPr>
          <w:rFonts w:hint="eastAsia" w:ascii="Times New Roman" w:hAnsi="Times New Roman"/>
          <w:sz w:val="24"/>
          <w:szCs w:val="24"/>
        </w:rPr>
        <w:t>响。</w:t>
      </w:r>
    </w:p>
    <w:p w14:paraId="67598F94">
      <w:pPr>
        <w:spacing w:line="360" w:lineRule="auto"/>
        <w:ind w:firstLine="480" w:firstLineChars="200"/>
        <w:rPr>
          <w:rFonts w:ascii="Times New Roman" w:hAnsi="Times New Roman"/>
          <w:spacing w:val="-2"/>
          <w:kern w:val="0"/>
          <w:sz w:val="24"/>
          <w:szCs w:val="24"/>
        </w:rPr>
      </w:pPr>
      <w:r>
        <w:rPr>
          <w:rFonts w:hint="eastAsia" w:ascii="Times New Roman" w:hAnsi="Times New Roman"/>
          <w:sz w:val="24"/>
          <w:szCs w:val="24"/>
        </w:rPr>
        <w:t>（3）气溶胶</w:t>
      </w:r>
      <w:r>
        <w:rPr>
          <w:rFonts w:ascii="Times New Roman" w:hAnsi="Times New Roman"/>
          <w:sz w:val="24"/>
          <w:szCs w:val="24"/>
        </w:rPr>
        <w:t>中核素总α、总β、</w:t>
      </w:r>
      <w:r>
        <w:rPr>
          <w:rFonts w:ascii="Times New Roman" w:hAnsi="Times New Roman"/>
          <w:sz w:val="24"/>
          <w:szCs w:val="24"/>
          <w:vertAlign w:val="superscript"/>
        </w:rPr>
        <w:t>210</w:t>
      </w:r>
      <w:r>
        <w:rPr>
          <w:rFonts w:ascii="Times New Roman" w:hAnsi="Times New Roman"/>
          <w:sz w:val="24"/>
          <w:szCs w:val="24"/>
        </w:rPr>
        <w:t>Po和</w:t>
      </w:r>
      <w:r>
        <w:rPr>
          <w:rFonts w:ascii="Times New Roman" w:hAnsi="Times New Roman"/>
          <w:sz w:val="24"/>
          <w:szCs w:val="24"/>
          <w:vertAlign w:val="superscript"/>
        </w:rPr>
        <w:t>210</w:t>
      </w:r>
      <w:r>
        <w:rPr>
          <w:rFonts w:ascii="Times New Roman" w:hAnsi="Times New Roman"/>
          <w:sz w:val="24"/>
          <w:szCs w:val="24"/>
        </w:rPr>
        <w:t>Pb的含量较低。</w:t>
      </w:r>
    </w:p>
    <w:p w14:paraId="71E60B50">
      <w:pPr>
        <w:pStyle w:val="5"/>
        <w:numPr>
          <w:ilvl w:val="1"/>
          <w:numId w:val="3"/>
        </w:numPr>
      </w:pPr>
      <w:bookmarkStart w:id="333" w:name="_Toc24610"/>
      <w:r>
        <w:rPr>
          <w:rFonts w:hint="eastAsia"/>
        </w:rPr>
        <w:t>污染物排放情况</w:t>
      </w:r>
      <w:bookmarkEnd w:id="333"/>
    </w:p>
    <w:p w14:paraId="214CE125">
      <w:pPr>
        <w:pStyle w:val="6"/>
        <w:numPr>
          <w:ilvl w:val="2"/>
          <w:numId w:val="3"/>
        </w:numPr>
      </w:pPr>
      <w:r>
        <w:rPr>
          <w:rFonts w:hint="eastAsia"/>
        </w:rPr>
        <w:t>施工期污染物排放情况</w:t>
      </w:r>
    </w:p>
    <w:p w14:paraId="1D65FD45">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本项目租用广西钦州保税区创大冷链物流公司进口汽车仓储物流园内3号仓库进行生产，项目生产线及原料、产品等物料的存放均设置在室内，无新增室外建筑物。项目施工期主要在已建成的车间厂房内进行设备安装及厂房简易装修等，施工期不涉及土方开挖、基础工程、主体工程等施工。</w:t>
      </w:r>
    </w:p>
    <w:p w14:paraId="6CB1F5B6">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施工期产生少量设备安装废气、施工人员生活污水、设备安装间断偶发性敲打声、少量装修及设备装配包装废料等，施工周期较短，施工期污染物排放量很小，对环境影响较小。</w:t>
      </w:r>
    </w:p>
    <w:p w14:paraId="022C496C">
      <w:pPr>
        <w:pStyle w:val="6"/>
        <w:numPr>
          <w:ilvl w:val="2"/>
          <w:numId w:val="3"/>
        </w:numPr>
      </w:pPr>
      <w:r>
        <w:rPr>
          <w:rFonts w:hint="eastAsia"/>
        </w:rPr>
        <w:t>大气污染物排放情况</w:t>
      </w:r>
    </w:p>
    <w:p w14:paraId="780962E9">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项目产生的废气主要是烘干炉燃生物质燃料烟气、生产车间内产生的含矿粉尘、原料及产品等物料运输的扬尘。烘干炉烟气采用袋式除尘系统处理达标后引至19m高的排气筒（DA001）排放；1#原料处理</w:t>
      </w:r>
      <w:r>
        <w:rPr>
          <w:rFonts w:ascii="Times New Roman" w:hAnsi="Times New Roman"/>
          <w:spacing w:val="-2"/>
          <w:kern w:val="0"/>
          <w:sz w:val="24"/>
          <w:szCs w:val="24"/>
        </w:rPr>
        <w:t>车间粉尘采取在烘干机进出料口配置集气罩收集后，采用袋式除尘系统处理达标后引至1</w:t>
      </w:r>
      <w:r>
        <w:rPr>
          <w:rFonts w:hint="eastAsia" w:ascii="Times New Roman" w:hAnsi="Times New Roman"/>
          <w:spacing w:val="-2"/>
          <w:kern w:val="0"/>
          <w:sz w:val="24"/>
          <w:szCs w:val="24"/>
        </w:rPr>
        <w:t>9</w:t>
      </w:r>
      <w:r>
        <w:rPr>
          <w:rFonts w:ascii="Times New Roman" w:hAnsi="Times New Roman"/>
          <w:spacing w:val="-2"/>
          <w:kern w:val="0"/>
          <w:sz w:val="24"/>
          <w:szCs w:val="24"/>
        </w:rPr>
        <w:t>m高的排气筒（DA002）排放</w:t>
      </w:r>
      <w:r>
        <w:rPr>
          <w:rFonts w:hint="eastAsia" w:ascii="Times New Roman" w:hAnsi="Times New Roman"/>
          <w:spacing w:val="-2"/>
          <w:kern w:val="0"/>
          <w:sz w:val="24"/>
          <w:szCs w:val="24"/>
        </w:rPr>
        <w:t>；2#分选</w:t>
      </w:r>
      <w:r>
        <w:rPr>
          <w:rFonts w:ascii="Times New Roman" w:hAnsi="Times New Roman"/>
          <w:spacing w:val="-2"/>
          <w:kern w:val="0"/>
          <w:sz w:val="24"/>
          <w:szCs w:val="24"/>
        </w:rPr>
        <w:t>车间粉尘采取在磁选机进出料口配置集气罩收集后，采用袋式除尘系统处理达标后引至1</w:t>
      </w:r>
      <w:r>
        <w:rPr>
          <w:rFonts w:hint="eastAsia" w:ascii="Times New Roman" w:hAnsi="Times New Roman"/>
          <w:spacing w:val="-2"/>
          <w:kern w:val="0"/>
          <w:sz w:val="24"/>
          <w:szCs w:val="24"/>
        </w:rPr>
        <w:t>9</w:t>
      </w:r>
      <w:r>
        <w:rPr>
          <w:rFonts w:ascii="Times New Roman" w:hAnsi="Times New Roman"/>
          <w:spacing w:val="-2"/>
          <w:kern w:val="0"/>
          <w:sz w:val="24"/>
          <w:szCs w:val="24"/>
        </w:rPr>
        <w:t>m高的排气筒（DA00</w:t>
      </w:r>
      <w:r>
        <w:rPr>
          <w:rFonts w:hint="eastAsia" w:ascii="Times New Roman" w:hAnsi="Times New Roman"/>
          <w:spacing w:val="-2"/>
          <w:kern w:val="0"/>
          <w:sz w:val="24"/>
          <w:szCs w:val="24"/>
        </w:rPr>
        <w:t>3</w:t>
      </w:r>
      <w:r>
        <w:rPr>
          <w:rFonts w:ascii="Times New Roman" w:hAnsi="Times New Roman"/>
          <w:spacing w:val="-2"/>
          <w:kern w:val="0"/>
          <w:sz w:val="24"/>
          <w:szCs w:val="24"/>
        </w:rPr>
        <w:t>）排放</w:t>
      </w:r>
      <w:r>
        <w:rPr>
          <w:rFonts w:hint="eastAsia" w:ascii="Times New Roman" w:hAnsi="Times New Roman"/>
          <w:spacing w:val="-2"/>
          <w:kern w:val="0"/>
          <w:sz w:val="24"/>
          <w:szCs w:val="24"/>
        </w:rPr>
        <w:t>；车间内集气罩为铺集的粉尘，在封闭式车间环境下大部分沉降到车间地面，少量粉尘在车间顶部换风口以无组织排放的方式排放至周边环境。物料运输扬尘采取装载车辆篷布覆盖、运输期间定期道路洒水方式降尘，运输扬尘以无组织排放的方式排放至周边环境。</w:t>
      </w:r>
    </w:p>
    <w:p w14:paraId="1B248B12">
      <w:pPr>
        <w:pStyle w:val="6"/>
        <w:numPr>
          <w:ilvl w:val="2"/>
          <w:numId w:val="3"/>
        </w:numPr>
      </w:pPr>
      <w:r>
        <w:rPr>
          <w:rFonts w:hint="eastAsia"/>
        </w:rPr>
        <w:t>水污染物排放情况</w:t>
      </w:r>
    </w:p>
    <w:p w14:paraId="63F7F6D9">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本项目采用干式磁选工艺对原料进行分选加工，原料毛矿无需进行清洗，生产过程中无需用水，毛矿中的水分烘干后蒸发到空气中，并且原料均存放于厂房内，在堆存过程中也不产生渗滤液。项目运营期的用水主要是工作人员工作期间的生活用水。生活污水采用化粪池处理后排入市政污水管网送钦州港大榄坪污水处理厂进一步处理。</w:t>
      </w:r>
    </w:p>
    <w:p w14:paraId="3AC5BD59">
      <w:pPr>
        <w:pStyle w:val="6"/>
        <w:numPr>
          <w:ilvl w:val="2"/>
          <w:numId w:val="3"/>
        </w:numPr>
      </w:pPr>
      <w:r>
        <w:rPr>
          <w:rFonts w:hint="eastAsia"/>
        </w:rPr>
        <w:t>噪声排放情况</w:t>
      </w:r>
    </w:p>
    <w:p w14:paraId="4EFDC2FE">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项目主要高噪声设备有磁选机、烘干炉及引风机、除尘器配套风机等，项目设备噪声源强在70～85dB（A）之间。项目选用低噪声设备，生产设备采取基础减震、厂房隔声、风机独立隔声间等方式降低噪声源强，噪声源强经治理措施后的源强在65～75dB（A）之间。</w:t>
      </w:r>
    </w:p>
    <w:p w14:paraId="782E64EF">
      <w:pPr>
        <w:pStyle w:val="6"/>
        <w:numPr>
          <w:ilvl w:val="2"/>
          <w:numId w:val="3"/>
        </w:numPr>
      </w:pPr>
      <w:r>
        <w:rPr>
          <w:rFonts w:hint="eastAsia"/>
        </w:rPr>
        <w:t>固体废物排放情况</w:t>
      </w:r>
    </w:p>
    <w:p w14:paraId="26E31CC9">
      <w:pPr>
        <w:spacing w:line="360" w:lineRule="auto"/>
        <w:ind w:firstLine="472" w:firstLineChars="200"/>
        <w:rPr>
          <w:rFonts w:ascii="Times New Roman" w:hAnsi="Times New Roman"/>
          <w:spacing w:val="-2"/>
          <w:kern w:val="0"/>
          <w:sz w:val="24"/>
          <w:szCs w:val="24"/>
          <w:u w:val="single"/>
        </w:rPr>
      </w:pPr>
      <w:r>
        <w:rPr>
          <w:rFonts w:hint="eastAsia" w:ascii="Times New Roman" w:hAnsi="Times New Roman"/>
          <w:spacing w:val="-2"/>
          <w:kern w:val="0"/>
          <w:sz w:val="24"/>
          <w:szCs w:val="24"/>
          <w:u w:val="single"/>
        </w:rPr>
        <w:t>项目产生的一般工业固废主要为烘干炉炉渣，可出售给有机肥生产企业综合利用；烘干炉除尘器粉尘、车间粉尘除尘器收集粉尘，收集后均掺入副产品锆中矿一并堆存出售；生产车间地面的粉尘收集后作为原料进行分选；项目废除尘袋定期外售综合利用或处置。</w:t>
      </w:r>
    </w:p>
    <w:p w14:paraId="71D41D83">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项目产生的危险废物主要为废机油，采用密封桶盛装，暂存于危险废物暂存库，定期委托有资质的单位处置。</w:t>
      </w:r>
    </w:p>
    <w:p w14:paraId="717D2A44">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员工生活垃圾定期由环卫部门统一清运处理。</w:t>
      </w:r>
    </w:p>
    <w:p w14:paraId="69CB6052">
      <w:pPr>
        <w:pStyle w:val="6"/>
        <w:numPr>
          <w:ilvl w:val="2"/>
          <w:numId w:val="3"/>
        </w:numPr>
      </w:pPr>
      <w:r>
        <w:rPr>
          <w:rFonts w:hint="eastAsia"/>
        </w:rPr>
        <w:t>放射性排放情况</w:t>
      </w:r>
    </w:p>
    <w:p w14:paraId="3A3B201A">
      <w:pPr>
        <w:spacing w:line="360" w:lineRule="auto"/>
        <w:ind w:firstLine="480" w:firstLineChars="200"/>
        <w:rPr>
          <w:rFonts w:ascii="Times New Roman" w:hAnsi="Times New Roman"/>
          <w:spacing w:val="-2"/>
          <w:kern w:val="0"/>
          <w:sz w:val="24"/>
          <w:szCs w:val="24"/>
        </w:rPr>
      </w:pPr>
      <w:r>
        <w:rPr>
          <w:rFonts w:hint="eastAsia" w:ascii="Times New Roman" w:hAnsi="Times New Roman"/>
          <w:sz w:val="24"/>
          <w:szCs w:val="24"/>
        </w:rPr>
        <w:t>项目排放源项主要有气载流出</w:t>
      </w:r>
      <w:r>
        <w:rPr>
          <w:rFonts w:ascii="Times New Roman" w:hAnsi="Times New Roman"/>
          <w:sz w:val="24"/>
          <w:szCs w:val="24"/>
        </w:rPr>
        <w:t>物的氡排放、γ辐射、含铀、钍核</w:t>
      </w:r>
      <w:r>
        <w:rPr>
          <w:rFonts w:hint="eastAsia" w:ascii="Times New Roman" w:hAnsi="Times New Roman"/>
          <w:sz w:val="24"/>
          <w:szCs w:val="24"/>
        </w:rPr>
        <w:t>素粉尘放射性，以及含放射性的</w:t>
      </w:r>
      <w:r>
        <w:rPr>
          <w:rFonts w:hint="eastAsia" w:ascii="Times New Roman" w:hAnsi="Times New Roman"/>
          <w:spacing w:val="-2"/>
          <w:sz w:val="24"/>
          <w:szCs w:val="20"/>
        </w:rPr>
        <w:t>生产车间除尘器粉尘、生产车间地面粉尘。</w:t>
      </w:r>
    </w:p>
    <w:p w14:paraId="094B5805">
      <w:pPr>
        <w:pStyle w:val="5"/>
        <w:numPr>
          <w:ilvl w:val="1"/>
          <w:numId w:val="3"/>
        </w:numPr>
      </w:pPr>
      <w:bookmarkStart w:id="334" w:name="_Toc1215"/>
      <w:r>
        <w:rPr>
          <w:rFonts w:hint="eastAsia"/>
        </w:rPr>
        <w:t>环境影响分析结论</w:t>
      </w:r>
      <w:bookmarkEnd w:id="334"/>
    </w:p>
    <w:p w14:paraId="2A7C71BD">
      <w:pPr>
        <w:pStyle w:val="6"/>
        <w:numPr>
          <w:ilvl w:val="2"/>
          <w:numId w:val="3"/>
        </w:numPr>
      </w:pPr>
      <w:r>
        <w:rPr>
          <w:rFonts w:hint="eastAsia"/>
        </w:rPr>
        <w:t>大气环境影响分析</w:t>
      </w:r>
    </w:p>
    <w:p w14:paraId="032422CD">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项目主要大气污染源为烘干炉烟气、生产车间粉尘、物料运输扬尘等。</w:t>
      </w:r>
      <w:r>
        <w:rPr>
          <w:rFonts w:ascii="Times New Roman" w:hAnsi="Times New Roman"/>
          <w:spacing w:val="-2"/>
          <w:kern w:val="0"/>
          <w:sz w:val="24"/>
          <w:szCs w:val="24"/>
        </w:rPr>
        <w:t>项目烘干炉</w:t>
      </w:r>
      <w:r>
        <w:rPr>
          <w:rFonts w:hint="eastAsia" w:ascii="Times New Roman" w:hAnsi="Times New Roman"/>
          <w:spacing w:val="-2"/>
          <w:kern w:val="0"/>
          <w:sz w:val="24"/>
          <w:szCs w:val="24"/>
        </w:rPr>
        <w:t>采用1套</w:t>
      </w:r>
      <w:r>
        <w:rPr>
          <w:rFonts w:ascii="Times New Roman" w:hAnsi="Times New Roman"/>
          <w:spacing w:val="-2"/>
          <w:kern w:val="0"/>
          <w:sz w:val="24"/>
          <w:szCs w:val="24"/>
        </w:rPr>
        <w:t>袋式除尘器处理后通过</w:t>
      </w:r>
      <w:r>
        <w:rPr>
          <w:rFonts w:hint="eastAsia" w:ascii="Times New Roman" w:hAnsi="Times New Roman"/>
          <w:spacing w:val="-2"/>
          <w:kern w:val="0"/>
          <w:sz w:val="24"/>
          <w:szCs w:val="24"/>
        </w:rPr>
        <w:t>1</w:t>
      </w:r>
      <w:r>
        <w:rPr>
          <w:rFonts w:ascii="Times New Roman" w:hAnsi="Times New Roman"/>
          <w:spacing w:val="-2"/>
          <w:kern w:val="0"/>
          <w:sz w:val="24"/>
          <w:szCs w:val="24"/>
        </w:rPr>
        <w:t>根1</w:t>
      </w:r>
      <w:r>
        <w:rPr>
          <w:rFonts w:hint="eastAsia" w:ascii="Times New Roman" w:hAnsi="Times New Roman"/>
          <w:spacing w:val="-2"/>
          <w:kern w:val="0"/>
          <w:sz w:val="24"/>
          <w:szCs w:val="24"/>
        </w:rPr>
        <w:t>9</w:t>
      </w:r>
      <w:r>
        <w:rPr>
          <w:rFonts w:ascii="Times New Roman" w:hAnsi="Times New Roman"/>
          <w:spacing w:val="-2"/>
          <w:kern w:val="0"/>
          <w:sz w:val="24"/>
          <w:szCs w:val="24"/>
        </w:rPr>
        <w:t>m排气筒排放，</w:t>
      </w:r>
      <w:r>
        <w:rPr>
          <w:rFonts w:hint="eastAsia" w:ascii="Times New Roman" w:hAnsi="Times New Roman"/>
          <w:spacing w:val="-2"/>
          <w:kern w:val="0"/>
          <w:sz w:val="24"/>
          <w:szCs w:val="24"/>
        </w:rPr>
        <w:t>项目生产车间粉尘采用2套</w:t>
      </w:r>
      <w:r>
        <w:rPr>
          <w:rFonts w:ascii="Times New Roman" w:hAnsi="Times New Roman"/>
          <w:spacing w:val="-2"/>
          <w:kern w:val="0"/>
          <w:sz w:val="24"/>
          <w:szCs w:val="24"/>
        </w:rPr>
        <w:t>袋式除尘器处理后通过</w:t>
      </w:r>
      <w:r>
        <w:rPr>
          <w:rFonts w:hint="eastAsia" w:ascii="Times New Roman" w:hAnsi="Times New Roman"/>
          <w:spacing w:val="-2"/>
          <w:kern w:val="0"/>
          <w:sz w:val="24"/>
          <w:szCs w:val="24"/>
        </w:rPr>
        <w:t>2</w:t>
      </w:r>
      <w:r>
        <w:rPr>
          <w:rFonts w:ascii="Times New Roman" w:hAnsi="Times New Roman"/>
          <w:spacing w:val="-2"/>
          <w:kern w:val="0"/>
          <w:sz w:val="24"/>
          <w:szCs w:val="24"/>
        </w:rPr>
        <w:t>根1</w:t>
      </w:r>
      <w:r>
        <w:rPr>
          <w:rFonts w:hint="eastAsia" w:ascii="Times New Roman" w:hAnsi="Times New Roman"/>
          <w:spacing w:val="-2"/>
          <w:kern w:val="0"/>
          <w:sz w:val="24"/>
          <w:szCs w:val="24"/>
        </w:rPr>
        <w:t>9</w:t>
      </w:r>
      <w:r>
        <w:rPr>
          <w:rFonts w:ascii="Times New Roman" w:hAnsi="Times New Roman"/>
          <w:spacing w:val="-2"/>
          <w:kern w:val="0"/>
          <w:sz w:val="24"/>
          <w:szCs w:val="24"/>
        </w:rPr>
        <w:t>m排气筒排放，</w:t>
      </w:r>
      <w:r>
        <w:rPr>
          <w:rFonts w:hint="eastAsia" w:ascii="Times New Roman" w:hAnsi="Times New Roman"/>
          <w:spacing w:val="-2"/>
          <w:kern w:val="0"/>
          <w:sz w:val="24"/>
          <w:szCs w:val="24"/>
        </w:rPr>
        <w:t>物料运输时期采取洒水降尘。经采取相应的环保措施后，经采用估算模型预测，项目排放的各大气污染物最大落地浓度均未达到标准值的10%，</w:t>
      </w:r>
      <w:r>
        <w:rPr>
          <w:rFonts w:ascii="Times New Roman" w:hAnsi="Times New Roman"/>
          <w:sz w:val="24"/>
          <w:szCs w:val="24"/>
          <w:u w:val="single"/>
        </w:rPr>
        <w:t>本项目P</w:t>
      </w:r>
      <w:r>
        <w:rPr>
          <w:rFonts w:ascii="Times New Roman" w:hAnsi="Times New Roman"/>
          <w:sz w:val="24"/>
          <w:szCs w:val="24"/>
          <w:u w:val="single"/>
          <w:vertAlign w:val="subscript"/>
        </w:rPr>
        <w:t>max</w:t>
      </w:r>
      <w:r>
        <w:rPr>
          <w:rFonts w:ascii="Times New Roman" w:hAnsi="Times New Roman"/>
          <w:sz w:val="24"/>
          <w:szCs w:val="24"/>
          <w:u w:val="single"/>
        </w:rPr>
        <w:t>最大值出现在</w:t>
      </w:r>
      <w:r>
        <w:rPr>
          <w:rFonts w:hint="eastAsia" w:ascii="Times New Roman" w:hAnsi="Times New Roman"/>
          <w:sz w:val="24"/>
          <w:szCs w:val="24"/>
          <w:u w:val="single"/>
        </w:rPr>
        <w:t>车间粉尘无组织排放</w:t>
      </w:r>
      <w:r>
        <w:rPr>
          <w:rFonts w:ascii="Times New Roman" w:hAnsi="Times New Roman"/>
          <w:sz w:val="24"/>
          <w:szCs w:val="24"/>
          <w:u w:val="single"/>
        </w:rPr>
        <w:t>的</w:t>
      </w:r>
      <w:r>
        <w:rPr>
          <w:rFonts w:hint="eastAsia" w:ascii="Times New Roman" w:hAnsi="Times New Roman"/>
          <w:sz w:val="24"/>
          <w:szCs w:val="24"/>
          <w:u w:val="single"/>
        </w:rPr>
        <w:t>TSP</w:t>
      </w:r>
      <w:r>
        <w:rPr>
          <w:rFonts w:ascii="Times New Roman" w:hAnsi="Times New Roman"/>
          <w:sz w:val="24"/>
          <w:szCs w:val="24"/>
          <w:u w:val="single"/>
        </w:rPr>
        <w:t>。</w:t>
      </w:r>
      <w:r>
        <w:rPr>
          <w:rFonts w:ascii="Times New Roman" w:hAnsi="Times New Roman"/>
          <w:spacing w:val="-2"/>
          <w:kern w:val="0"/>
          <w:sz w:val="24"/>
          <w:szCs w:val="24"/>
          <w:u w:val="single"/>
        </w:rPr>
        <w:t>占标率P</w:t>
      </w:r>
      <w:r>
        <w:rPr>
          <w:rFonts w:ascii="Times New Roman" w:hAnsi="Times New Roman"/>
          <w:spacing w:val="-2"/>
          <w:kern w:val="0"/>
          <w:sz w:val="24"/>
          <w:szCs w:val="24"/>
          <w:u w:val="single"/>
          <w:vertAlign w:val="subscript"/>
        </w:rPr>
        <w:t>max</w:t>
      </w:r>
      <w:r>
        <w:rPr>
          <w:rFonts w:ascii="Times New Roman" w:hAnsi="Times New Roman"/>
          <w:spacing w:val="-2"/>
          <w:kern w:val="0"/>
          <w:sz w:val="24"/>
          <w:szCs w:val="24"/>
          <w:u w:val="single"/>
        </w:rPr>
        <w:t>为</w:t>
      </w:r>
      <w:r>
        <w:rPr>
          <w:rFonts w:hint="eastAsia" w:ascii="Times New Roman" w:hAnsi="Times New Roman"/>
          <w:spacing w:val="-2"/>
          <w:kern w:val="0"/>
          <w:sz w:val="24"/>
          <w:szCs w:val="24"/>
          <w:u w:val="single"/>
        </w:rPr>
        <w:t>9.2804</w:t>
      </w:r>
      <w:r>
        <w:rPr>
          <w:rFonts w:ascii="Times New Roman" w:hAnsi="Times New Roman"/>
          <w:spacing w:val="-2"/>
          <w:kern w:val="0"/>
          <w:sz w:val="24"/>
          <w:szCs w:val="24"/>
          <w:u w:val="single"/>
        </w:rPr>
        <w:t>%，</w:t>
      </w:r>
      <w:r>
        <w:rPr>
          <w:rFonts w:hint="eastAsia" w:ascii="Times New Roman" w:hAnsi="Times New Roman"/>
          <w:spacing w:val="-2"/>
          <w:kern w:val="0"/>
          <w:sz w:val="24"/>
          <w:szCs w:val="24"/>
        </w:rPr>
        <w:t>对周围环境的影响不大。</w:t>
      </w:r>
    </w:p>
    <w:p w14:paraId="1C57BC5C">
      <w:pPr>
        <w:spacing w:line="360" w:lineRule="auto"/>
        <w:ind w:firstLine="480" w:firstLineChars="200"/>
        <w:rPr>
          <w:rFonts w:ascii="Times New Roman" w:hAnsi="Times New Roman"/>
          <w:spacing w:val="-2"/>
          <w:kern w:val="0"/>
          <w:sz w:val="24"/>
          <w:szCs w:val="24"/>
        </w:rPr>
      </w:pPr>
      <w:r>
        <w:rPr>
          <w:rFonts w:ascii="Times New Roman" w:hAnsi="Times New Roman"/>
          <w:sz w:val="24"/>
          <w:szCs w:val="24"/>
        </w:rPr>
        <w:t>根据区域周边环境保护目标的调查，项目周边以工业、物流仓储用地为主，最近的居住区距项目约2.1km，并位于项目的上风向方向，项目对周边居民影响较小。</w:t>
      </w:r>
    </w:p>
    <w:p w14:paraId="6CE1DD81">
      <w:pPr>
        <w:pStyle w:val="6"/>
        <w:numPr>
          <w:ilvl w:val="2"/>
          <w:numId w:val="3"/>
        </w:numPr>
      </w:pPr>
      <w:r>
        <w:rPr>
          <w:rFonts w:hint="eastAsia"/>
        </w:rPr>
        <w:t>地表水环境影响分析</w:t>
      </w:r>
    </w:p>
    <w:p w14:paraId="2FFB84AB">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项目不产生生产废水，生活污水排入钦州大榄坪污水处理厂处理后达标深海排放，对周边地表水体影响不大，建设项目地表水环境影响可接受。</w:t>
      </w:r>
    </w:p>
    <w:p w14:paraId="5F1D4FB0">
      <w:pPr>
        <w:pStyle w:val="6"/>
        <w:numPr>
          <w:ilvl w:val="2"/>
          <w:numId w:val="3"/>
        </w:numPr>
      </w:pPr>
      <w:r>
        <w:rPr>
          <w:rFonts w:hint="eastAsia"/>
        </w:rPr>
        <w:t>地下水环境影响分析</w:t>
      </w:r>
    </w:p>
    <w:p w14:paraId="0286FC4A">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项目生产过程中无需用水，厂房采用封闭式设计，地面均进行了硬化及防渗处理，物料堆存均在车间内无雨水淋溶情况，仅产生少量的工作人员生活污水。生活污水可依托创大冷链物流公司进口汽车仓储物流园内完善的室外排水设施，接入市政给排水系统，基本无废水下渗的污染途径；项目所在的填海成陆区地下水下游区域无用水单位及居民区，正常情况下不会对地下水环境产生负面影响。</w:t>
      </w:r>
    </w:p>
    <w:p w14:paraId="0F896533">
      <w:pPr>
        <w:pStyle w:val="6"/>
        <w:numPr>
          <w:ilvl w:val="2"/>
          <w:numId w:val="3"/>
        </w:numPr>
      </w:pPr>
      <w:r>
        <w:rPr>
          <w:rFonts w:hint="eastAsia"/>
        </w:rPr>
        <w:t>声环境影响分析</w:t>
      </w:r>
    </w:p>
    <w:p w14:paraId="24FBFF7E">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项目噪声污染源主要为磁选机、烘干炉及引风机、除尘器配套风机等。项目选用低噪声设备，生产设备采取基础减震、厂房隔声、风机独立隔声间等方式降低噪声源强。本项目保守将本项目厂界定位3号仓库边界进行控制，在落实降噪措施的情况下，各厂房边界噪声贡献值均满足《工业企业厂界环境噪声排放标准》（GB12348-2008）3类标准要求</w:t>
      </w:r>
      <w:r>
        <w:rPr>
          <w:rFonts w:hint="eastAsia" w:ascii="Times New Roman" w:hAnsi="Times New Roman"/>
          <w:kern w:val="0"/>
          <w:sz w:val="24"/>
          <w:szCs w:val="24"/>
        </w:rPr>
        <w:t>。</w:t>
      </w:r>
      <w:r>
        <w:rPr>
          <w:rFonts w:hint="eastAsia" w:ascii="Times New Roman" w:hAnsi="Times New Roman"/>
          <w:spacing w:val="-2"/>
          <w:sz w:val="24"/>
          <w:szCs w:val="24"/>
        </w:rPr>
        <w:t>项目声环境评价范围内无声环境保护目标，项目生产噪声不会影响区域内的居民。</w:t>
      </w:r>
    </w:p>
    <w:p w14:paraId="72854476">
      <w:pPr>
        <w:pStyle w:val="6"/>
        <w:numPr>
          <w:ilvl w:val="2"/>
          <w:numId w:val="3"/>
        </w:numPr>
      </w:pPr>
      <w:r>
        <w:rPr>
          <w:rFonts w:hint="eastAsia"/>
        </w:rPr>
        <w:t>固体废物环境影响分析</w:t>
      </w:r>
    </w:p>
    <w:p w14:paraId="7DA04BD7">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本项目产生的一般工业固体废物均得到综合利用；生活垃圾定期由环卫部门统一清运处理；废机油委托有资质单位处置。通过对固体废物产生、处置过程中加强管理，项目固体废物对环境的影响不大。</w:t>
      </w:r>
    </w:p>
    <w:p w14:paraId="098A6361">
      <w:pPr>
        <w:pStyle w:val="6"/>
        <w:numPr>
          <w:ilvl w:val="2"/>
          <w:numId w:val="3"/>
        </w:numPr>
      </w:pPr>
      <w:r>
        <w:rPr>
          <w:rFonts w:hint="eastAsia"/>
        </w:rPr>
        <w:t>生态环境影响分析</w:t>
      </w:r>
    </w:p>
    <w:p w14:paraId="1D1345D9">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项目选址于用地为填海成陆的广西钦州保税港区内，无原生的陆生动植物资源，区域以工业、物流仓储等人类生产活动为主，植被覆盖率和生物多样性较低，区域无合适野生动物的生境，区域的陆生植物以绿化景观植物为主，项目的建设对现有的生态环境影响较小。</w:t>
      </w:r>
    </w:p>
    <w:p w14:paraId="076B65DC">
      <w:pPr>
        <w:pStyle w:val="6"/>
        <w:numPr>
          <w:ilvl w:val="2"/>
          <w:numId w:val="3"/>
        </w:numPr>
      </w:pPr>
      <w:r>
        <w:rPr>
          <w:rFonts w:hint="eastAsia"/>
        </w:rPr>
        <w:t>辐射环境影响分析</w:t>
      </w:r>
    </w:p>
    <w:p w14:paraId="3E2F5C19">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（1）气载流出物辐射环境影响分析</w:t>
      </w:r>
    </w:p>
    <w:p w14:paraId="39ED073F">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项目厂房采用封闭式设计，生产线及物料堆放用地均布置在车间内，含矿粉尘绝大多数沉降到车间地面，仅有少量粉尘经过袋式除尘系统处理后排放至厂外，根据项目环境影响报告书分析，生产车间排放的粉尘的地面浓度较小，项目评价范围内无居民区，项目产生气载流出物对周边公众产生辐射影响较小。</w:t>
      </w:r>
    </w:p>
    <w:p w14:paraId="553BBF65">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（2）地表水水环境辐射影响分析结论</w:t>
      </w:r>
    </w:p>
    <w:p w14:paraId="702A78C7">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项目采用干式磁选工艺对原料进行分选加工，原料毛矿无需进行清洗，生产过程中无需用水，不产生生产废水；项目周边无地表水体，项目不会对周围地表水环境造成影响。</w:t>
      </w:r>
    </w:p>
    <w:p w14:paraId="28686A7F">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（3）地下水辐射环境影响分析结论</w:t>
      </w:r>
    </w:p>
    <w:p w14:paraId="48CA5BE2">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项目建成后生产区均在厂房内，厂房采用封闭式设计，地面均进行了硬化及防渗处理，物料堆存不设置露天堆场，物料堆存均在车间内无雨水淋溶情况，并且项目生产过程中无需用水，仅有少量的工作人员的生活污水产生。项目涉及放射性物料的整个厂房作为1个防渗分区，按一般防渗区及《伴生放射性物料贮存及固体废物填埋辐射环境保护技术规范（试行）》（HJ1114-2020）相关要求建设，对地下水环境影响较小。</w:t>
      </w:r>
    </w:p>
    <w:p w14:paraId="1633CD76">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（4）固体废物辐射环境影响分析结论</w:t>
      </w:r>
    </w:p>
    <w:p w14:paraId="5C5DF1F8">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项目含矿粉尘收集后均掺入副产品锆中矿堆放区，与锆中矿一并出售，根据《伴生放射性物料贮存及固体废物填埋辐射环境保护技术规范（试行）》（HJ1114-2020）中伴生放射性物料贮存的要求进行严格管理。</w:t>
      </w:r>
    </w:p>
    <w:p w14:paraId="1B18A996">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（5）涉及辐射工作人员剂量分析结论</w:t>
      </w:r>
    </w:p>
    <w:p w14:paraId="1C2EA7F3">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项目工作人员个人辐射剂量最大值出现在2#分选车间操作工位工作人员，个人有效剂量为2.6782mSv/a，小于本项目的管理限值5mSv/a，关键核素为钍，关键照射途径为吸入钍所致内照射。</w:t>
      </w:r>
    </w:p>
    <w:p w14:paraId="44EDE18E">
      <w:pPr>
        <w:pStyle w:val="6"/>
        <w:numPr>
          <w:ilvl w:val="2"/>
          <w:numId w:val="3"/>
        </w:numPr>
      </w:pPr>
      <w:r>
        <w:rPr>
          <w:rFonts w:hint="eastAsia"/>
        </w:rPr>
        <w:t>环境风险影响分析</w:t>
      </w:r>
    </w:p>
    <w:p w14:paraId="74F2DAFA">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项目主要环境风险为废机油泄漏、除尘器事故排放环境风险。通过制定严格风险防范措施和管理规定，落实岗位责任制，加强职工的安全生产教育，</w:t>
      </w:r>
      <w:r>
        <w:rPr>
          <w:rFonts w:hint="eastAsia" w:ascii="Times New Roman" w:hAnsi="Times New Roman"/>
          <w:spacing w:val="-2"/>
          <w:kern w:val="0"/>
          <w:sz w:val="24"/>
          <w:szCs w:val="24"/>
          <w:lang w:eastAsia="zh-CN"/>
        </w:rPr>
        <w:t>增强风险意识</w:t>
      </w:r>
      <w:r>
        <w:rPr>
          <w:rFonts w:hint="eastAsia" w:ascii="Times New Roman" w:hAnsi="Times New Roman"/>
          <w:spacing w:val="-2"/>
          <w:kern w:val="0"/>
          <w:sz w:val="24"/>
          <w:szCs w:val="24"/>
        </w:rPr>
        <w:t>，能够最大限度地减少可能发生的环境风险，在发生环境风险事故时，要及时启动风险应急预案。在认真贯彻落实报告提出的各项环境风险防范措施和加强管理的前提下，本项目的环境风险是可控的，环境是可以接受的。</w:t>
      </w:r>
    </w:p>
    <w:p w14:paraId="23C79338">
      <w:pPr>
        <w:pStyle w:val="5"/>
        <w:numPr>
          <w:ilvl w:val="1"/>
          <w:numId w:val="3"/>
        </w:numPr>
      </w:pPr>
      <w:bookmarkStart w:id="335" w:name="_Toc14558"/>
      <w:r>
        <w:rPr>
          <w:rFonts w:hint="eastAsia"/>
        </w:rPr>
        <w:t>环境保护措施结论</w:t>
      </w:r>
      <w:bookmarkEnd w:id="335"/>
    </w:p>
    <w:p w14:paraId="3A67A27C">
      <w:pPr>
        <w:pStyle w:val="6"/>
        <w:numPr>
          <w:ilvl w:val="2"/>
          <w:numId w:val="3"/>
        </w:numPr>
      </w:pPr>
      <w:r>
        <w:rPr>
          <w:rFonts w:hint="eastAsia"/>
        </w:rPr>
        <w:t>大气污染防治措施</w:t>
      </w:r>
    </w:p>
    <w:p w14:paraId="34D15267">
      <w:pPr>
        <w:spacing w:line="360" w:lineRule="auto"/>
        <w:ind w:firstLine="474" w:firstLineChars="200"/>
        <w:rPr>
          <w:rFonts w:ascii="Times New Roman" w:hAnsi="Times New Roman"/>
          <w:b/>
          <w:bCs/>
          <w:spacing w:val="-2"/>
          <w:kern w:val="0"/>
          <w:sz w:val="24"/>
          <w:szCs w:val="24"/>
        </w:rPr>
      </w:pPr>
      <w:r>
        <w:rPr>
          <w:rFonts w:hint="eastAsia" w:ascii="Times New Roman" w:hAnsi="Times New Roman"/>
          <w:b/>
          <w:bCs/>
          <w:spacing w:val="-2"/>
          <w:kern w:val="0"/>
          <w:sz w:val="24"/>
          <w:szCs w:val="24"/>
        </w:rPr>
        <w:t>（1）有组织废气防治措施</w:t>
      </w:r>
    </w:p>
    <w:p w14:paraId="5D530DB6">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本项目烘干炉烟气、生产车间粉尘均采用袋式除尘器对废气进行治理，袋式除尘器除尘效率一般在99%以上，袋式除尘器具有净化效率高，性能稳定，操作简便，适应性强，回收的粉尘便于利用等特点。</w:t>
      </w:r>
    </w:p>
    <w:p w14:paraId="5641E638">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结合本项目有组织排放废气的特点进行分析，项目烘干炉烟气中的灰尘属于非纤维性、非粘结性的干燥粉尘，炉烟气含尘浓度较高，湿度较低，适合采用袋式除尘器进行治理，不容易因粉尘湿度或者纤维结构特征造成滤袋堵塞、阻力增高，而导致除尘系统效率和寿命的下降。项目生产车间粉尘同样属于非纤维性、非粘结性的干燥粉尘，并且车间含矿粉尘具有回收利用价值，采用袋式除尘器处理有利于回收的粉尘的利用。袋式除尘工艺属于《排污许可申请与核发技术规范 工业窑炉》（HJ1121-2020）推荐的可行治理技术。</w:t>
      </w:r>
    </w:p>
    <w:p w14:paraId="3929C9C9">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综上所述，本项目烘干炉烟气、生产车间粉尘等废气除尘采用袋式除尘器，在相对经济的环保投入下，可获得较好的除尘效果，且有利于含矿粉尘的回收利用，项目采取的废气污染防治措施可行。</w:t>
      </w:r>
    </w:p>
    <w:p w14:paraId="132EFCE3">
      <w:pPr>
        <w:spacing w:line="360" w:lineRule="auto"/>
        <w:ind w:firstLine="474" w:firstLineChars="200"/>
        <w:rPr>
          <w:rFonts w:ascii="Times New Roman" w:hAnsi="Times New Roman"/>
          <w:b/>
          <w:bCs/>
          <w:spacing w:val="-2"/>
          <w:kern w:val="0"/>
          <w:sz w:val="24"/>
          <w:szCs w:val="24"/>
        </w:rPr>
      </w:pPr>
      <w:r>
        <w:rPr>
          <w:rFonts w:hint="eastAsia" w:ascii="Times New Roman" w:hAnsi="Times New Roman"/>
          <w:b/>
          <w:bCs/>
          <w:spacing w:val="-2"/>
          <w:kern w:val="0"/>
          <w:sz w:val="24"/>
          <w:szCs w:val="24"/>
        </w:rPr>
        <w:t>（2）无组织废气防治措施</w:t>
      </w:r>
    </w:p>
    <w:p w14:paraId="0CA85447">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u w:val="single"/>
        </w:rPr>
        <w:t>项目原料毛矿进厂集装箱拆箱卸货、精矿及中矿产品装车出厂均在车间内进行，装卸过程中关闭车间门防止装卸粉尘外溢；</w:t>
      </w:r>
      <w:r>
        <w:rPr>
          <w:rFonts w:hint="eastAsia" w:ascii="Times New Roman" w:hAnsi="Times New Roman"/>
          <w:spacing w:val="-2"/>
          <w:kern w:val="0"/>
          <w:sz w:val="24"/>
          <w:szCs w:val="24"/>
        </w:rPr>
        <w:t>项目生产车间采用封闭设计并在主要产尘口安装集气罩收尘；</w:t>
      </w:r>
      <w:r>
        <w:rPr>
          <w:rFonts w:hint="eastAsia" w:ascii="Times New Roman" w:hAnsi="Times New Roman"/>
          <w:spacing w:val="-2"/>
          <w:kern w:val="0"/>
          <w:sz w:val="24"/>
          <w:szCs w:val="24"/>
          <w:u w:val="single"/>
        </w:rPr>
        <w:t>项目车间的内物料装卸区域、车间出入口及磁选机组两侧配置水雾喷淋系统降尘；封闭车间作业，除尘设施未处理的粉尘在无风扰动的车间环境下，大部分沉降到车间地面，可以有效地降低粉尘无组织的产生量和排放量。</w:t>
      </w:r>
    </w:p>
    <w:p w14:paraId="30B5EA08">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项目物料运输进出场时，严格执行篷布覆盖运输物料，在物料运输期间定期道路洒水降尘，可有效减少道路扬尘的产生。</w:t>
      </w:r>
    </w:p>
    <w:p w14:paraId="4DDFFE43">
      <w:pPr>
        <w:pStyle w:val="6"/>
        <w:numPr>
          <w:ilvl w:val="2"/>
          <w:numId w:val="3"/>
        </w:numPr>
      </w:pPr>
      <w:r>
        <w:rPr>
          <w:rFonts w:hint="eastAsia"/>
        </w:rPr>
        <w:t>地表水污染防治措施</w:t>
      </w:r>
    </w:p>
    <w:p w14:paraId="3AF0E9CF">
      <w:pPr>
        <w:spacing w:line="360" w:lineRule="auto"/>
        <w:ind w:firstLine="480" w:firstLineChars="200"/>
        <w:rPr>
          <w:rFonts w:ascii="Times New Roman" w:hAnsi="Times New Roman"/>
          <w:spacing w:val="-2"/>
          <w:kern w:val="0"/>
          <w:sz w:val="24"/>
          <w:szCs w:val="24"/>
        </w:rPr>
      </w:pPr>
      <w:r>
        <w:rPr>
          <w:rFonts w:ascii="Times New Roman" w:hAnsi="Times New Roman"/>
          <w:kern w:val="0"/>
          <w:sz w:val="24"/>
          <w:szCs w:val="24"/>
        </w:rPr>
        <w:t>项目运营期生活污水经化粪池处理后，接入</w:t>
      </w:r>
      <w:r>
        <w:rPr>
          <w:rFonts w:ascii="Times New Roman" w:hAnsi="Times New Roman"/>
          <w:spacing w:val="-2"/>
          <w:kern w:val="0"/>
          <w:sz w:val="24"/>
          <w:szCs w:val="24"/>
        </w:rPr>
        <w:t>创大冷链物流公司进口汽车仓储物流园区室外排水系统，</w:t>
      </w:r>
      <w:r>
        <w:rPr>
          <w:rFonts w:ascii="Times New Roman" w:hAnsi="Times New Roman"/>
          <w:kern w:val="0"/>
          <w:sz w:val="24"/>
          <w:szCs w:val="24"/>
        </w:rPr>
        <w:t>排入市政污水管网送钦州港大榄坪污水处理厂处理。</w:t>
      </w:r>
      <w:r>
        <w:rPr>
          <w:rFonts w:ascii="Times New Roman" w:hAnsi="Times New Roman"/>
          <w:sz w:val="24"/>
        </w:rPr>
        <w:t>项目废水仅占污水处理厂一期处理规模的</w:t>
      </w:r>
      <w:r>
        <w:rPr>
          <w:rFonts w:ascii="Times New Roman" w:hAnsi="Times New Roman" w:eastAsia="Times New Roman"/>
          <w:sz w:val="24"/>
        </w:rPr>
        <w:t>0.</w:t>
      </w:r>
      <w:r>
        <w:rPr>
          <w:rFonts w:ascii="Times New Roman" w:hAnsi="Times New Roman" w:eastAsiaTheme="minorEastAsia"/>
          <w:sz w:val="24"/>
        </w:rPr>
        <w:t>0008</w:t>
      </w:r>
      <w:r>
        <w:rPr>
          <w:rFonts w:ascii="Times New Roman" w:hAnsi="Times New Roman" w:eastAsia="Times New Roman"/>
          <w:sz w:val="24"/>
        </w:rPr>
        <w:t>%</w:t>
      </w:r>
      <w:r>
        <w:rPr>
          <w:rFonts w:ascii="Times New Roman" w:hAnsi="Times New Roman"/>
          <w:sz w:val="24"/>
        </w:rPr>
        <w:t>、占污水处理厂二期处理规模的</w:t>
      </w:r>
      <w:r>
        <w:rPr>
          <w:rFonts w:ascii="Times New Roman" w:hAnsi="Times New Roman" w:eastAsia="Times New Roman"/>
          <w:sz w:val="24"/>
        </w:rPr>
        <w:t>0.0</w:t>
      </w:r>
      <w:r>
        <w:rPr>
          <w:rFonts w:ascii="Times New Roman" w:hAnsi="Times New Roman" w:eastAsiaTheme="minorEastAsia"/>
          <w:sz w:val="24"/>
        </w:rPr>
        <w:t>002</w:t>
      </w:r>
      <w:r>
        <w:rPr>
          <w:rFonts w:ascii="Times New Roman" w:hAnsi="Times New Roman" w:eastAsia="Times New Roman"/>
          <w:sz w:val="24"/>
        </w:rPr>
        <w:t>%</w:t>
      </w:r>
      <w:r>
        <w:rPr>
          <w:rFonts w:ascii="Times New Roman" w:hAnsi="Times New Roman"/>
          <w:sz w:val="24"/>
        </w:rPr>
        <w:t>，占比很小，大榄坪污水处理厂剩余容量可接纳本项目生活污水排放量，所以本项目废水不会在水量上对污水处理厂造成冲击</w:t>
      </w:r>
      <w:r>
        <w:rPr>
          <w:rFonts w:hint="eastAsia" w:ascii="Times New Roman" w:hAnsi="Times New Roman"/>
          <w:sz w:val="24"/>
        </w:rPr>
        <w:t>，项目生活污水可依托</w:t>
      </w:r>
      <w:r>
        <w:rPr>
          <w:rFonts w:ascii="Times New Roman" w:hAnsi="Times New Roman"/>
          <w:spacing w:val="-2"/>
          <w:kern w:val="0"/>
          <w:sz w:val="24"/>
          <w:szCs w:val="24"/>
        </w:rPr>
        <w:t>钦州大榄坪污水处理厂</w:t>
      </w:r>
      <w:r>
        <w:rPr>
          <w:rFonts w:hint="eastAsia" w:ascii="Times New Roman" w:hAnsi="Times New Roman"/>
          <w:spacing w:val="-2"/>
          <w:kern w:val="0"/>
          <w:sz w:val="24"/>
          <w:szCs w:val="24"/>
        </w:rPr>
        <w:t>处置</w:t>
      </w:r>
      <w:r>
        <w:rPr>
          <w:rFonts w:ascii="Times New Roman" w:hAnsi="Times New Roman"/>
          <w:spacing w:val="-2"/>
          <w:kern w:val="0"/>
          <w:sz w:val="24"/>
          <w:szCs w:val="24"/>
        </w:rPr>
        <w:t>。</w:t>
      </w:r>
    </w:p>
    <w:p w14:paraId="252A2383">
      <w:pPr>
        <w:spacing w:line="360" w:lineRule="auto"/>
        <w:ind w:firstLine="480" w:firstLineChars="200"/>
        <w:rPr>
          <w:rFonts w:ascii="Times New Roman" w:hAnsi="Times New Roman"/>
          <w:spacing w:val="-2"/>
          <w:kern w:val="0"/>
          <w:sz w:val="24"/>
          <w:szCs w:val="24"/>
        </w:rPr>
      </w:pPr>
      <w:r>
        <w:rPr>
          <w:rFonts w:hint="eastAsia" w:ascii="Times New Roman" w:hAnsi="Times New Roman"/>
          <w:sz w:val="24"/>
          <w:szCs w:val="24"/>
          <w:u w:val="single"/>
        </w:rPr>
        <w:t>在创大进口汽车仓储物流园东大门附近设置一个150m</w:t>
      </w:r>
      <w:r>
        <w:rPr>
          <w:rFonts w:hint="eastAsia" w:ascii="Times New Roman" w:hAnsi="Times New Roman"/>
          <w:sz w:val="24"/>
          <w:szCs w:val="24"/>
          <w:u w:val="single"/>
          <w:vertAlign w:val="superscript"/>
        </w:rPr>
        <w:t>3</w:t>
      </w:r>
      <w:r>
        <w:rPr>
          <w:rFonts w:hint="eastAsia" w:ascii="Times New Roman" w:hAnsi="Times New Roman"/>
          <w:sz w:val="24"/>
          <w:szCs w:val="24"/>
          <w:u w:val="single"/>
        </w:rPr>
        <w:t>的初期雨水池兼应急池，收集后的初期雨水经沉淀后回用于项目水雾喷淋降尘系统使用。</w:t>
      </w:r>
    </w:p>
    <w:p w14:paraId="5CA123E4">
      <w:pPr>
        <w:pStyle w:val="6"/>
        <w:numPr>
          <w:ilvl w:val="2"/>
          <w:numId w:val="3"/>
        </w:numPr>
      </w:pPr>
      <w:r>
        <w:rPr>
          <w:rFonts w:hint="eastAsia"/>
        </w:rPr>
        <w:t>地下水污染防治措施</w:t>
      </w:r>
    </w:p>
    <w:p w14:paraId="2CEAD0B9">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地下水污染的防治措施与保护对策应按照“源头控制、分区防治、污染监控、应急响应”的原则确定，基本无废水下渗的污染途径，但在保证项目落实对应的防渗设置基础上，还应对项目实际运营过程提出严格的管理措施要求，杜绝产生地下水影响。</w:t>
      </w:r>
    </w:p>
    <w:p w14:paraId="47561C74">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项目</w:t>
      </w:r>
      <w:r>
        <w:rPr>
          <w:rFonts w:hint="eastAsia" w:ascii="Times New Roman" w:hAnsi="Times New Roman"/>
          <w:spacing w:val="-2"/>
          <w:kern w:val="0"/>
          <w:sz w:val="24"/>
          <w:szCs w:val="24"/>
        </w:rPr>
        <w:t>将整个车间（除危废暂存间外）划为</w:t>
      </w:r>
      <w:r>
        <w:rPr>
          <w:rFonts w:ascii="Times New Roman" w:hAnsi="Times New Roman"/>
          <w:spacing w:val="-2"/>
          <w:kern w:val="0"/>
          <w:sz w:val="24"/>
          <w:szCs w:val="24"/>
        </w:rPr>
        <w:t>一般防渗区</w:t>
      </w:r>
      <w:r>
        <w:rPr>
          <w:rFonts w:hint="eastAsia" w:ascii="Times New Roman" w:hAnsi="Times New Roman"/>
          <w:spacing w:val="-2"/>
          <w:kern w:val="0"/>
          <w:sz w:val="24"/>
          <w:szCs w:val="24"/>
        </w:rPr>
        <w:t>，按照</w:t>
      </w:r>
      <w:r>
        <w:rPr>
          <w:rFonts w:ascii="Times New Roman" w:hAnsi="Times New Roman"/>
          <w:spacing w:val="-2"/>
          <w:kern w:val="0"/>
          <w:sz w:val="24"/>
          <w:szCs w:val="24"/>
        </w:rPr>
        <w:t>一般防渗区</w:t>
      </w:r>
      <w:r>
        <w:rPr>
          <w:rFonts w:hint="eastAsia" w:ascii="Times New Roman" w:hAnsi="Times New Roman"/>
          <w:spacing w:val="-2"/>
          <w:kern w:val="0"/>
          <w:sz w:val="24"/>
          <w:szCs w:val="24"/>
        </w:rPr>
        <w:t>及《伴生放射性物料贮存及固体废物填埋辐射环境保护技术规范（试行）》（HJ1114-2020）相关要求进行建设，危废暂存间划为重点防渗区，按照重点防渗区的相关要求进行建设。</w:t>
      </w:r>
    </w:p>
    <w:p w14:paraId="4D8E6069">
      <w:pPr>
        <w:pStyle w:val="6"/>
        <w:numPr>
          <w:ilvl w:val="2"/>
          <w:numId w:val="3"/>
        </w:numPr>
      </w:pPr>
      <w:r>
        <w:rPr>
          <w:rFonts w:hint="eastAsia"/>
        </w:rPr>
        <w:t>噪声污染防治措施</w:t>
      </w:r>
    </w:p>
    <w:p w14:paraId="6A1586EA">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（1）项目在平面布置上优化设计。采用“闹静分开”和合理布局的设施原则，尽量将高噪声源远离噪声敏感区域和厂界，将噪声控制在一定范围内，保证项目厂界达标。</w:t>
      </w:r>
    </w:p>
    <w:p w14:paraId="56E5B8FD">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（2）采取声学控制措施，将磁选机、电选机设置在车间内，避免露天布置，并视条件进行减震和隔声处理。</w:t>
      </w:r>
    </w:p>
    <w:p w14:paraId="45F6B706">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（3）选择低噪声设备，在设备基座与地基之间设橡胶隔振垫。可在风机上安装高效消声器，排烟风机出口管加装波形补偿器防止噪声传播。其它设备采用减振、隔声、消声等有效措施。</w:t>
      </w:r>
    </w:p>
    <w:p w14:paraId="24D83759">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4）针对噪声源较大的烘干炉引风机、除尘器引风机等，设置独立的隔声间，隔声间内墙面采用吸声材料进行吸声降噪，在降低了高噪声设备对厂界的噪声影响贡献的同时，也对厂房内劳动人员的劳动环境有保护作用，有利于工作人员的职业健康。</w:t>
      </w:r>
    </w:p>
    <w:p w14:paraId="15D026D4">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（5）加强设备维护，确保设备处于良好的运转状态，杜绝因设备不正常运转时产生的高噪声现象。</w:t>
      </w:r>
    </w:p>
    <w:p w14:paraId="6D6E5028">
      <w:pPr>
        <w:pStyle w:val="6"/>
        <w:numPr>
          <w:ilvl w:val="2"/>
          <w:numId w:val="3"/>
        </w:numPr>
      </w:pPr>
      <w:r>
        <w:rPr>
          <w:rFonts w:hint="eastAsia"/>
        </w:rPr>
        <w:t>固体废物污染防治措施</w:t>
      </w:r>
    </w:p>
    <w:p w14:paraId="3C05F0C3">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（1）一般固体废物防治措施</w:t>
      </w:r>
    </w:p>
    <w:p w14:paraId="0129797D">
      <w:pPr>
        <w:spacing w:line="360" w:lineRule="auto"/>
        <w:ind w:firstLine="472" w:firstLineChars="200"/>
        <w:rPr>
          <w:rFonts w:ascii="Times New Roman" w:hAnsi="Times New Roman"/>
          <w:spacing w:val="-2"/>
          <w:kern w:val="0"/>
          <w:sz w:val="24"/>
          <w:szCs w:val="24"/>
          <w:u w:val="single"/>
        </w:rPr>
      </w:pPr>
      <w:r>
        <w:rPr>
          <w:rFonts w:hint="eastAsia" w:ascii="Times New Roman" w:hAnsi="Times New Roman"/>
          <w:spacing w:val="-2"/>
          <w:kern w:val="0"/>
          <w:sz w:val="24"/>
          <w:szCs w:val="24"/>
          <w:u w:val="single"/>
        </w:rPr>
        <w:t>项目产生的烘干炉炉渣，采用编织袋袋装收集后，暂存于1#原料处理车间东北角，定期出售给有机肥生产企业。</w:t>
      </w:r>
    </w:p>
    <w:p w14:paraId="2F265DD1">
      <w:pPr>
        <w:spacing w:line="360" w:lineRule="auto"/>
        <w:ind w:firstLine="472" w:firstLineChars="200"/>
        <w:rPr>
          <w:rFonts w:ascii="Times New Roman" w:hAnsi="Times New Roman"/>
          <w:spacing w:val="-2"/>
          <w:kern w:val="0"/>
          <w:sz w:val="24"/>
          <w:szCs w:val="24"/>
          <w:u w:val="single"/>
        </w:rPr>
      </w:pPr>
      <w:r>
        <w:rPr>
          <w:rFonts w:hint="eastAsia" w:ascii="Times New Roman" w:hAnsi="Times New Roman"/>
          <w:spacing w:val="-2"/>
          <w:kern w:val="0"/>
          <w:sz w:val="24"/>
          <w:szCs w:val="24"/>
          <w:u w:val="single"/>
        </w:rPr>
        <w:t>项目产生的烘干炉除尘器粉尘、生产车间除尘器收集的粉尘均掺入锆中矿一并存放在锆中矿堆放区，项目2#分选车间内部设置2处锆中矿堆放区，作为原料出售给深度分选加工企业。</w:t>
      </w:r>
    </w:p>
    <w:p w14:paraId="6DE9F79C">
      <w:pPr>
        <w:spacing w:line="360" w:lineRule="auto"/>
        <w:ind w:firstLine="472" w:firstLineChars="200"/>
        <w:rPr>
          <w:rFonts w:ascii="Times New Roman" w:hAnsi="Times New Roman"/>
          <w:spacing w:val="-2"/>
          <w:kern w:val="0"/>
          <w:sz w:val="24"/>
          <w:szCs w:val="24"/>
          <w:u w:val="single"/>
        </w:rPr>
      </w:pPr>
      <w:r>
        <w:rPr>
          <w:rFonts w:hint="eastAsia" w:ascii="Times New Roman" w:hAnsi="Times New Roman"/>
          <w:spacing w:val="-2"/>
          <w:kern w:val="0"/>
          <w:sz w:val="24"/>
          <w:szCs w:val="24"/>
          <w:u w:val="single"/>
        </w:rPr>
        <w:t>车间地面沉降粉尘收集后放置到原料堆放区，作为原料重新投入到生产线进行分选，项目在1#原料处理车间内部设置原料堆放区2处。</w:t>
      </w:r>
    </w:p>
    <w:p w14:paraId="0FD72E95">
      <w:pPr>
        <w:spacing w:line="360" w:lineRule="auto"/>
        <w:ind w:firstLine="472" w:firstLineChars="200"/>
        <w:rPr>
          <w:rFonts w:ascii="Times New Roman" w:hAnsi="Times New Roman"/>
          <w:spacing w:val="-2"/>
          <w:kern w:val="0"/>
          <w:sz w:val="24"/>
          <w:szCs w:val="24"/>
          <w:u w:val="single"/>
        </w:rPr>
      </w:pPr>
      <w:r>
        <w:rPr>
          <w:rFonts w:hint="eastAsia" w:ascii="Times New Roman" w:hAnsi="Times New Roman"/>
          <w:spacing w:val="-2"/>
          <w:kern w:val="0"/>
          <w:sz w:val="24"/>
          <w:szCs w:val="24"/>
          <w:u w:val="single"/>
        </w:rPr>
        <w:t>项目除尘系统废除尘袋含少量放射性物质，天然放射性核素的比活度远小于1 Bq/g，根据《可免于辐射防护监管的物料中放射性核素活度浓度》（GB27742-2011）无需进行辐射监管，在2#分选车间内部东北角规划一处专用暂存库进行存放，，定期外售综合利用或处置。</w:t>
      </w:r>
    </w:p>
    <w:p w14:paraId="0EAFC6CA">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（2）危险废物防治措施</w:t>
      </w:r>
    </w:p>
    <w:p w14:paraId="0869F5D9">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项目在2#分选车间内部东北角规划一处危废暂存库，主要贮存项目设备检修过程产生的废机油，危险废物暂存间的危险废物最大暂存量可以满足生产要求。</w:t>
      </w:r>
      <w:r>
        <w:rPr>
          <w:rFonts w:hint="eastAsia" w:ascii="Times New Roman" w:hAnsi="Times New Roman"/>
          <w:spacing w:val="-2"/>
          <w:kern w:val="0"/>
          <w:sz w:val="24"/>
          <w:szCs w:val="24"/>
        </w:rPr>
        <w:t>废机油定期委托有资质的单位处置。</w:t>
      </w:r>
    </w:p>
    <w:p w14:paraId="64093DBA">
      <w:pPr>
        <w:pStyle w:val="6"/>
        <w:numPr>
          <w:ilvl w:val="2"/>
          <w:numId w:val="3"/>
        </w:numPr>
      </w:pPr>
      <w:r>
        <w:rPr>
          <w:rFonts w:hint="eastAsia"/>
        </w:rPr>
        <w:t>辐射防护管理措施</w:t>
      </w:r>
    </w:p>
    <w:p w14:paraId="5191F5BD">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（1）生产物料贮存管理防护措施</w:t>
      </w:r>
    </w:p>
    <w:p w14:paraId="678D4673">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项目含放射性的物料均严格根据《伴生放射性物料贮存及固体废物填埋辐射环境保护技术规范（试行）》（HJ1114-2020）相关要求进行管理和贮存。</w:t>
      </w:r>
    </w:p>
    <w:p w14:paraId="31D48E1C">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（2）运输风险防护措施</w:t>
      </w:r>
    </w:p>
    <w:p w14:paraId="425C83F7">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项目含放射性物料运输按《放射性物品运输安全管理条例》（国务院令 562 号）、《放射性物品安全运输规程》（GB 11806-2019）等相关要求严格管理。</w:t>
      </w:r>
    </w:p>
    <w:p w14:paraId="723F729E">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（3）辐射防护管理措施</w:t>
      </w:r>
    </w:p>
    <w:p w14:paraId="071D1A14">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建设单位应做好成立辐射安全与环境保护管理机构；制定《辐射事故应急预案》、《辐射防护和安全管理制度》、《放射性物料暂存管理制度》、《辐射环境监测计划》等辐射规章制度、制定放射性物料进出台账；做好职工的健康防护、制定专人巡检制度，组织</w:t>
      </w:r>
      <w:r>
        <w:rPr>
          <w:rFonts w:hint="eastAsia" w:ascii="Times New Roman" w:hAnsi="Times New Roman"/>
          <w:spacing w:val="-2"/>
          <w:sz w:val="24"/>
          <w:szCs w:val="20"/>
        </w:rPr>
        <w:t>辐射安全培训、严格生产管理等</w:t>
      </w:r>
      <w:r>
        <w:rPr>
          <w:rFonts w:hint="eastAsia" w:ascii="Times New Roman" w:hAnsi="Times New Roman"/>
          <w:spacing w:val="-2"/>
          <w:kern w:val="0"/>
          <w:sz w:val="24"/>
          <w:szCs w:val="24"/>
        </w:rPr>
        <w:t>辐射防护管理制度和措施。</w:t>
      </w:r>
    </w:p>
    <w:p w14:paraId="027E1C5A">
      <w:pPr>
        <w:pStyle w:val="5"/>
        <w:numPr>
          <w:ilvl w:val="1"/>
          <w:numId w:val="3"/>
        </w:numPr>
      </w:pPr>
      <w:bookmarkStart w:id="336" w:name="_Toc17103"/>
      <w:r>
        <w:rPr>
          <w:rFonts w:hint="eastAsia"/>
        </w:rPr>
        <w:t>环境影响经济损益分析</w:t>
      </w:r>
      <w:bookmarkEnd w:id="336"/>
    </w:p>
    <w:p w14:paraId="3B126D2E">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本项目的建设具有良好的社会经济效益，将会在人口就业以及区域经济发展等方面产生正面效益，而导致的环境方面的负面影响，只要认真、切实做好环境保护工作，投入一定的资金用于污染防治和环境管理，本项目造成的环境方面的负面效应是可以控制在可接受范围内的，项目从环境经济损益分析是可行的。</w:t>
      </w:r>
    </w:p>
    <w:p w14:paraId="4CF3584D">
      <w:pPr>
        <w:pStyle w:val="5"/>
        <w:numPr>
          <w:ilvl w:val="1"/>
          <w:numId w:val="3"/>
        </w:numPr>
      </w:pPr>
      <w:bookmarkStart w:id="337" w:name="_Toc19836"/>
      <w:r>
        <w:rPr>
          <w:rFonts w:hint="eastAsia"/>
        </w:rPr>
        <w:t>环境管理与监测计划</w:t>
      </w:r>
      <w:bookmarkEnd w:id="337"/>
    </w:p>
    <w:p w14:paraId="2E8F639B">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建设单位应根据本次评价提出的环境管理措施对项目的事中/事后进行监督管理。同时按相关规定对废水、废气和固废排污口进行规范化设置。</w:t>
      </w:r>
    </w:p>
    <w:p w14:paraId="4DECFEC9">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根据</w:t>
      </w:r>
      <w:r>
        <w:rPr>
          <w:rFonts w:ascii="Times New Roman" w:hAnsi="Times New Roman"/>
          <w:spacing w:val="-2"/>
          <w:kern w:val="0"/>
          <w:sz w:val="24"/>
          <w:szCs w:val="24"/>
        </w:rPr>
        <w:t>《排污单位自行监测技术指南 总则》（HJ819-2017）、《排污许可证申请与核发技术规范 总则》（HJ942—2018）和《排污许可申请与核发技术规范 工业窑炉》（HJ1121-2020）的要求制定环境监测计划。</w:t>
      </w:r>
    </w:p>
    <w:p w14:paraId="17F737D1">
      <w:pPr>
        <w:pStyle w:val="5"/>
        <w:numPr>
          <w:ilvl w:val="1"/>
          <w:numId w:val="3"/>
        </w:numPr>
      </w:pPr>
      <w:bookmarkStart w:id="338" w:name="_Toc8614"/>
      <w:r>
        <w:rPr>
          <w:rFonts w:hint="eastAsia"/>
        </w:rPr>
        <w:t>公众参与结论</w:t>
      </w:r>
      <w:bookmarkEnd w:id="338"/>
    </w:p>
    <w:p w14:paraId="02251BC1">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建设单位于2024年9月12日在“全国建设项目环境信息公示平台”公布项目概况及委托的环境影响评价机构等基本信息；环评报告书初稿形成后，于2024年12月27日在“全国建设项目环境信息公示平台”进行项目环境影响评价信息的第二次公示，同时于2025年1月7日、8日在《广西日报》登报公示（刊登报纸2次），公示期间未收到公众反对意见。建设单位通过建立环境管理制度、落实各项环保措施和做好污染防治工作，保护周围的环境，可把环境污染的影响降到最低程度。</w:t>
      </w:r>
    </w:p>
    <w:p w14:paraId="64A671E2">
      <w:pPr>
        <w:pStyle w:val="5"/>
        <w:numPr>
          <w:ilvl w:val="1"/>
          <w:numId w:val="3"/>
        </w:numPr>
      </w:pPr>
      <w:bookmarkStart w:id="339" w:name="_Toc16261"/>
      <w:r>
        <w:rPr>
          <w:rFonts w:hint="eastAsia"/>
        </w:rPr>
        <w:t>综合评价结论</w:t>
      </w:r>
      <w:bookmarkEnd w:id="339"/>
    </w:p>
    <w:p w14:paraId="606BE2D6">
      <w:pPr>
        <w:spacing w:line="360" w:lineRule="auto"/>
        <w:ind w:firstLine="472" w:firstLineChars="200"/>
        <w:rPr>
          <w:rFonts w:ascii="Times New Roman" w:hAnsi="Times New Roman"/>
        </w:rPr>
      </w:pPr>
      <w:r>
        <w:rPr>
          <w:rFonts w:hint="eastAsia" w:ascii="Times New Roman" w:hAnsi="Times New Roman"/>
          <w:spacing w:val="-2"/>
          <w:kern w:val="0"/>
          <w:sz w:val="24"/>
          <w:szCs w:val="24"/>
        </w:rPr>
        <w:t>广西瑞腾贸易有限公司拟建的锆钛矿石分选加工项目符合国家及广西产业政策，符合广西钦州保税港区规划及规划环评、审查意见要求，符合园区、广西以及钦州市“三线一单”及钦州市生态环境分区管控动态更新成果（2023版）要求，不属于环境准入负面清单项目。项目拟采取的污染防治措施和环境风险防范措施技术成熟、可靠，可实现各污染物达标排放，对环境影响在可接受范围。在严格遵守项目“三同时”以及切实落实本环评报告提出的各项污染防治措施、环境风险防范措施以及环境管理制度下，项目的大气、地表水、地下水、环境风险是可防可控的。从生态环境保护角度分析，项目建设可行。</w:t>
      </w:r>
      <w:bookmarkEnd w:id="296"/>
    </w:p>
    <w:sectPr>
      <w:footerReference r:id="rId17" w:type="default"/>
      <w:pgSz w:w="11906" w:h="16838"/>
      <w:pgMar w:top="1418" w:right="1418" w:bottom="1418" w:left="141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ourier New">
    <w:panose1 w:val="02070309020205020404"/>
    <w:charset w:val="00"/>
    <w:family w:val="modern"/>
    <w:pitch w:val="default"/>
    <w:sig w:usb0="E0002AFF" w:usb1="C0007843" w:usb2="00000009" w:usb3="00000000" w:csb0="400001FF" w:csb1="FFFF0000"/>
  </w:font>
  <w:font w:name="Arial">
    <w:panose1 w:val="020B0604020202020204"/>
    <w:charset w:val="00"/>
    <w:family w:val="swiss"/>
    <w:pitch w:val="default"/>
    <w:sig w:usb0="E0002AFF" w:usb1="C0007843" w:usb2="00000009" w:usb3="00000000" w:csb0="400001FF" w:csb1="FFFF0000"/>
  </w:font>
  <w:font w:name="MS Sans Serif">
    <w:altName w:val="微软雅黑"/>
    <w:panose1 w:val="00000000000000000000"/>
    <w:charset w:val="00"/>
    <w:family w:val="auto"/>
    <w:pitch w:val="default"/>
    <w:sig w:usb0="00000000" w:usb1="00000000" w:usb2="00000000" w:usb3="00000000" w:csb0="00040001" w:csb1="00000000"/>
  </w:font>
  <w:font w:name="Sitka Text">
    <w:altName w:val="Segoe Print"/>
    <w:panose1 w:val="00000000000000000000"/>
    <w:charset w:val="00"/>
    <w:family w:val="auto"/>
    <w:pitch w:val="default"/>
    <w:sig w:usb0="00000000" w:usb1="00000000" w:usb2="00000000" w:usb3="00000000" w:csb0="00000000" w:csb1="00000000"/>
  </w:font>
  <w:font w:name="Times NewRoman">
    <w:altName w:val="Times New Roman"/>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Arial Narrow">
    <w:altName w:val="Arial"/>
    <w:panose1 w:val="020B0606020202030204"/>
    <w:charset w:val="00"/>
    <w:family w:val="swiss"/>
    <w:pitch w:val="default"/>
    <w:sig w:usb0="00000000" w:usb1="00000000" w:usb2="00000000" w:usb3="00000000" w:csb0="0000009F" w:csb1="00000000"/>
  </w:font>
  <w:font w:name="汉鼎简书宋">
    <w:altName w:val="宋体"/>
    <w:panose1 w:val="00000000000000000000"/>
    <w:charset w:val="86"/>
    <w:family w:val="modern"/>
    <w:pitch w:val="default"/>
    <w:sig w:usb0="00000000" w:usb1="00000000" w:usb2="00000010" w:usb3="00000000" w:csb0="00040000" w:csb1="00000000"/>
  </w:font>
  <w:font w:name="Cambria">
    <w:panose1 w:val="02040503050406030204"/>
    <w:charset w:val="00"/>
    <w:family w:val="roman"/>
    <w:pitch w:val="default"/>
    <w:sig w:usb0="E00002FF" w:usb1="400004FF" w:usb2="00000000" w:usb3="00000000" w:csb0="2000019F" w:csb1="00000000"/>
  </w:font>
  <w:font w:name="Arial Unicode MS">
    <w:altName w:val="宋体"/>
    <w:panose1 w:val="020B0604020202020204"/>
    <w:charset w:val="86"/>
    <w:family w:val="swiss"/>
    <w:pitch w:val="default"/>
    <w:sig w:usb0="00000000" w:usb1="00000000" w:usb2="0000007F" w:usb3="00000000" w:csb0="003F01FF" w:csb1="00000000"/>
  </w:font>
  <w:font w:name="仿宋体">
    <w:altName w:val="宋体"/>
    <w:panose1 w:val="00000000000000000000"/>
    <w:charset w:val="86"/>
    <w:family w:val="roman"/>
    <w:pitch w:val="default"/>
    <w:sig w:usb0="00000000" w:usb1="00000000" w:usb2="0000001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Verdana">
    <w:panose1 w:val="020B0604030504040204"/>
    <w:charset w:val="00"/>
    <w:family w:val="swiss"/>
    <w:pitch w:val="default"/>
    <w:sig w:usb0="A10006FF" w:usb1="4000205B" w:usb2="00000010" w:usb3="00000000" w:csb0="2000019F" w:csb1="00000000"/>
  </w:font>
  <w:font w:name="Times">
    <w:altName w:val="Times New Roman"/>
    <w:panose1 w:val="02020603050405020304"/>
    <w:charset w:val="00"/>
    <w:family w:val="roman"/>
    <w:pitch w:val="default"/>
    <w:sig w:usb0="00000000" w:usb1="00000000" w:usb2="00000009" w:usb3="00000000" w:csb0="000001FF" w:csb1="00000000"/>
  </w:font>
  <w:font w:name="TimesNewRomanPSMT">
    <w:altName w:val="Times New Roman"/>
    <w:panose1 w:val="00000000000000000000"/>
    <w:charset w:val="00"/>
    <w:family w:val="roman"/>
    <w:pitch w:val="default"/>
    <w:sig w:usb0="00000000" w:usb1="00000000" w:usb2="00000000" w:usb3="00000000" w:csb0="00040001" w:csb1="00000000"/>
  </w:font>
  <w:font w:name="等线">
    <w:altName w:val="微软雅黑"/>
    <w:panose1 w:val="02010600030101010101"/>
    <w:charset w:val="86"/>
    <w:family w:val="auto"/>
    <w:pitch w:val="default"/>
    <w:sig w:usb0="00000000" w:usb1="00000000" w:usb2="00000016" w:usb3="00000000" w:csb0="0004000F" w:csb1="00000000"/>
  </w:font>
  <w:font w:name="DengXian">
    <w:altName w:val="Segoe Print"/>
    <w:panose1 w:val="00000000000000000000"/>
    <w:charset w:val="00"/>
    <w:family w:val="auto"/>
    <w:pitch w:val="default"/>
    <w:sig w:usb0="00000000" w:usb1="00000000" w:usb2="00000000" w:usb3="00000000" w:csb0="00000000" w:csb1="00000000"/>
  </w:font>
  <w:font w:name="Arial Black">
    <w:panose1 w:val="020B0A04020102020204"/>
    <w:charset w:val="00"/>
    <w:family w:val="swiss"/>
    <w:pitch w:val="default"/>
    <w:sig w:usb0="00000287" w:usb1="00000000" w:usb2="00000000" w:usb3="00000000" w:csb0="2000009F" w:csb1="DFD70000"/>
  </w:font>
  <w:font w:name="Tahoma">
    <w:panose1 w:val="020B0604030504040204"/>
    <w:charset w:val="00"/>
    <w:family w:val="swiss"/>
    <w:pitch w:val="default"/>
    <w:sig w:usb0="E1002EFF" w:usb1="C000605B" w:usb2="00000029" w:usb3="00000000" w:csb0="200101FF" w:csb1="20280000"/>
  </w:font>
  <w:font w:name="BatangChe">
    <w:panose1 w:val="02030609000101010101"/>
    <w:charset w:val="81"/>
    <w:family w:val="modern"/>
    <w:pitch w:val="default"/>
    <w:sig w:usb0="B00002AF" w:usb1="69D77CFB" w:usb2="00000030" w:usb3="00000000" w:csb0="4008009F" w:csb1="DFD70000"/>
  </w:font>
  <w:font w:name="方正仿宋_GBK">
    <w:panose1 w:val="03000509000000000000"/>
    <w:charset w:val="86"/>
    <w:family w:val="script"/>
    <w:pitch w:val="default"/>
    <w:sig w:usb0="00000001" w:usb1="080E0000" w:usb2="00000000" w:usb3="00000000" w:csb0="00040000" w:csb1="00000000"/>
  </w:font>
  <w:font w:name="华文楷体">
    <w:altName w:val="宋体"/>
    <w:panose1 w:val="02010600040101010101"/>
    <w:charset w:val="86"/>
    <w:family w:val="auto"/>
    <w:pitch w:val="default"/>
    <w:sig w:usb0="00000000" w:usb1="00000000" w:usb2="00000010" w:usb3="00000000" w:csb0="000400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Plotter">
    <w:altName w:val="Segoe Print"/>
    <w:panose1 w:val="00000000000000000000"/>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隶书">
    <w:altName w:val="微软雅黑"/>
    <w:panose1 w:val="02010509060101010101"/>
    <w:charset w:val="86"/>
    <w:family w:val="modern"/>
    <w:pitch w:val="default"/>
    <w:sig w:usb0="00000000" w:usb1="00000000" w:usb2="00000010" w:usb3="00000000" w:csb0="00040000" w:csb1="00000000"/>
  </w:font>
  <w:font w:name="新宋体">
    <w:panose1 w:val="02010609030101010101"/>
    <w:charset w:val="86"/>
    <w:family w:val="modern"/>
    <w:pitch w:val="default"/>
    <w:sig w:usb0="00000003" w:usb1="288F0000" w:usb2="00000006" w:usb3="00000000" w:csb0="00040001" w:csb1="00000000"/>
  </w:font>
  <w:font w:name="创艺简魏碑">
    <w:altName w:val="黑体"/>
    <w:panose1 w:val="00000000000000000000"/>
    <w:charset w:val="86"/>
    <w:family w:val="auto"/>
    <w:pitch w:val="default"/>
    <w:sig w:usb0="00000000" w:usb1="00000000" w:usb2="00000010" w:usb3="00000000" w:csb0="00040000" w:csb1="00000000"/>
  </w:font>
  <w:font w:name="MS Mincho">
    <w:panose1 w:val="02020609040205080304"/>
    <w:charset w:val="80"/>
    <w:family w:val="modern"/>
    <w:pitch w:val="default"/>
    <w:sig w:usb0="E00002FF" w:usb1="6AC7FDFB" w:usb2="00000012" w:usb3="00000000" w:csb0="4002009F" w:csb1="DFD70000"/>
  </w:font>
  <w:font w:name="TimesNewRoman">
    <w:altName w:val="Times New Roman"/>
    <w:panose1 w:val="00000000000000000000"/>
    <w:charset w:val="00"/>
    <w:family w:val="roman"/>
    <w:pitch w:val="default"/>
    <w:sig w:usb0="00000000" w:usb1="00000000" w:usb2="00000000" w:usb3="00000000" w:csb0="00000001" w:csb1="00000000"/>
  </w:font>
  <w:font w:name="Tms Rmn">
    <w:altName w:val="Segoe Print"/>
    <w:panose1 w:val="02020603040505020304"/>
    <w:charset w:val="00"/>
    <w:family w:val="roman"/>
    <w:pitch w:val="default"/>
    <w:sig w:usb0="00000000" w:usb1="00000000" w:usb2="00000000" w:usb3="00000000" w:csb0="00000001" w:csb1="00000000"/>
  </w:font>
  <w:font w:name="”“Times New Roman”“">
    <w:altName w:val="宋体"/>
    <w:panose1 w:val="00000000000000000000"/>
    <w:charset w:val="86"/>
    <w:family w:val="roman"/>
    <w:pitch w:val="default"/>
    <w:sig w:usb0="00000000" w:usb1="00000000" w:usb2="00000010" w:usb3="00000000" w:csb0="00040000" w:csb1="00000000"/>
  </w:font>
  <w:font w:name="Batang">
    <w:panose1 w:val="02030600000101010101"/>
    <w:charset w:val="81"/>
    <w:family w:val="roman"/>
    <w:pitch w:val="default"/>
    <w:sig w:usb0="B00002AF" w:usb1="69D77CFB" w:usb2="00000030" w:usb3="00000000" w:csb0="4008009F" w:csb1="DFD70000"/>
  </w:font>
  <w:font w:name="宋体-方正超大字符集">
    <w:altName w:val="宋体"/>
    <w:panose1 w:val="00000000000000000000"/>
    <w:charset w:val="86"/>
    <w:family w:val="script"/>
    <w:pitch w:val="default"/>
    <w:sig w:usb0="00000000" w:usb1="00000000" w:usb2="00000000" w:usb3="00000000" w:csb0="00040000" w:csb1="00000000"/>
  </w:font>
  <w:font w:name="Cambria Math">
    <w:panose1 w:val="02040503050406030204"/>
    <w:charset w:val="00"/>
    <w:family w:val="roman"/>
    <w:pitch w:val="default"/>
    <w:sig w:usb0="E00002FF" w:usb1="420024FF" w:usb2="00000000" w:usb3="00000000" w:csb0="2000019F" w:csb1="00000000"/>
  </w:font>
  <w:font w:name="MS Gothic">
    <w:panose1 w:val="020B0609070205080204"/>
    <w:charset w:val="80"/>
    <w:family w:val="modern"/>
    <w:pitch w:val="default"/>
    <w:sig w:usb0="E00002FF" w:usb1="6AC7FDFB" w:usb2="00000012" w:usb3="00000000" w:csb0="4002009F" w:csb1="DFD70000"/>
  </w:font>
  <w:font w:name="Wingdings 2">
    <w:altName w:val="Wingdings"/>
    <w:panose1 w:val="050201020105070707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等线">
    <w:altName w:val="微软雅黑"/>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60AE3">
    <w:pPr>
      <w:pStyle w:val="55"/>
      <w:framePr w:wrap="around" w:vAnchor="text" w:hAnchor="margin" w:xAlign="center" w:y="1"/>
      <w:rPr>
        <w:rStyle w:val="100"/>
      </w:rPr>
    </w:pPr>
    <w:r>
      <w:fldChar w:fldCharType="begin"/>
    </w:r>
    <w:r>
      <w:rPr>
        <w:rStyle w:val="100"/>
      </w:rPr>
      <w:instrText xml:space="preserve">PAGE  </w:instrText>
    </w:r>
    <w:r>
      <w:fldChar w:fldCharType="separate"/>
    </w:r>
    <w:r>
      <w:rPr>
        <w:rStyle w:val="100"/>
      </w:rPr>
      <w:t>II</w:t>
    </w:r>
    <w:r>
      <w:fldChar w:fldCharType="end"/>
    </w:r>
  </w:p>
  <w:p w14:paraId="5EFC7045">
    <w:pPr>
      <w:pStyle w:val="55"/>
      <w:jc w:val="right"/>
      <w:rPr>
        <w:rStyle w:val="1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CB8A76">
    <w:pPr>
      <w:pStyle w:val="55"/>
      <w:framePr w:wrap="around" w:vAnchor="text" w:hAnchor="margin" w:xAlign="center" w:y="1"/>
      <w:rPr>
        <w:rStyle w:val="100"/>
      </w:rPr>
    </w:pPr>
    <w:r>
      <w:fldChar w:fldCharType="begin"/>
    </w:r>
    <w:r>
      <w:rPr>
        <w:rStyle w:val="100"/>
      </w:rPr>
      <w:instrText xml:space="preserve">PAGE  </w:instrText>
    </w:r>
    <w:r>
      <w:fldChar w:fldCharType="end"/>
    </w:r>
  </w:p>
  <w:p w14:paraId="598BB92B">
    <w:pPr>
      <w:pStyle w:val="5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B45D1A">
    <w:pPr>
      <w:pStyle w:val="55"/>
      <w:framePr w:wrap="around" w:vAnchor="text" w:hAnchor="margin" w:xAlign="center" w:y="1"/>
      <w:rPr>
        <w:rStyle w:val="100"/>
      </w:rPr>
    </w:pPr>
    <w:r>
      <w:fldChar w:fldCharType="begin"/>
    </w:r>
    <w:r>
      <w:rPr>
        <w:rStyle w:val="100"/>
      </w:rPr>
      <w:instrText xml:space="preserve">PAGE  </w:instrText>
    </w:r>
    <w:r>
      <w:fldChar w:fldCharType="separate"/>
    </w:r>
    <w:r>
      <w:rPr>
        <w:rStyle w:val="100"/>
      </w:rPr>
      <w:t>3</w:t>
    </w:r>
    <w:r>
      <w:fldChar w:fldCharType="end"/>
    </w:r>
  </w:p>
  <w:p w14:paraId="2B646D63">
    <w:pPr>
      <w:pStyle w:val="55"/>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E84ED0">
    <w:pPr>
      <w:pStyle w:val="55"/>
      <w:framePr w:wrap="around" w:vAnchor="text" w:hAnchor="margin" w:xAlign="center" w:y="1"/>
      <w:rPr>
        <w:rStyle w:val="100"/>
      </w:rPr>
    </w:pPr>
    <w:r>
      <w:fldChar w:fldCharType="begin"/>
    </w:r>
    <w:r>
      <w:rPr>
        <w:rStyle w:val="100"/>
      </w:rPr>
      <w:instrText xml:space="preserve">PAGE  </w:instrText>
    </w:r>
    <w:r>
      <w:fldChar w:fldCharType="end"/>
    </w:r>
  </w:p>
  <w:p w14:paraId="76243842">
    <w:pPr>
      <w:pStyle w:val="5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4EEBD4">
    <w:pPr>
      <w:pStyle w:val="5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332FEC">
    <w:pPr>
      <w:pStyle w:val="55"/>
      <w:framePr w:wrap="around" w:vAnchor="text" w:hAnchor="margin" w:xAlign="center" w:y="1"/>
      <w:jc w:val="center"/>
      <w:rPr>
        <w:rStyle w:val="100"/>
      </w:rPr>
    </w:pPr>
    <w:r>
      <w:fldChar w:fldCharType="begin"/>
    </w:r>
    <w:r>
      <w:rPr>
        <w:rStyle w:val="100"/>
      </w:rPr>
      <w:instrText xml:space="preserve">PAGE  </w:instrText>
    </w:r>
    <w:r>
      <w:fldChar w:fldCharType="separate"/>
    </w:r>
    <w:r>
      <w:rPr>
        <w:rStyle w:val="100"/>
      </w:rPr>
      <w:t>40</w:t>
    </w:r>
    <w:r>
      <w:fldChar w:fldCharType="end"/>
    </w:r>
  </w:p>
  <w:p w14:paraId="01C26301">
    <w:pPr>
      <w:pStyle w:val="55"/>
      <w:jc w:val="right"/>
      <w:rPr>
        <w:rStyle w:val="10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4D9FBB">
    <w:pPr>
      <w:pStyle w:val="55"/>
      <w:framePr w:wrap="around" w:vAnchor="text" w:hAnchor="margin" w:xAlign="center" w:y="1"/>
      <w:rPr>
        <w:rStyle w:val="100"/>
      </w:rPr>
    </w:pPr>
    <w:r>
      <w:fldChar w:fldCharType="begin"/>
    </w:r>
    <w:r>
      <w:rPr>
        <w:rStyle w:val="100"/>
      </w:rPr>
      <w:instrText xml:space="preserve">PAGE  </w:instrText>
    </w:r>
    <w:r>
      <w:fldChar w:fldCharType="end"/>
    </w:r>
  </w:p>
  <w:p w14:paraId="23F5894D">
    <w:pPr>
      <w:pStyle w:val="55"/>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DD2E3">
    <w:pPr>
      <w:pStyle w:val="55"/>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5FA488">
    <w:pPr>
      <w:pStyle w:val="55"/>
      <w:framePr w:wrap="around" w:vAnchor="text" w:hAnchor="margin" w:xAlign="center" w:y="1"/>
      <w:jc w:val="center"/>
      <w:rPr>
        <w:rStyle w:val="100"/>
        <w:rFonts w:ascii="Times New Roman" w:hAnsi="Times New Roman"/>
      </w:rPr>
    </w:pPr>
    <w:r>
      <w:rPr>
        <w:rFonts w:ascii="Times New Roman" w:hAnsi="Times New Roman"/>
      </w:rPr>
      <w:fldChar w:fldCharType="begin"/>
    </w:r>
    <w:r>
      <w:rPr>
        <w:rStyle w:val="100"/>
        <w:rFonts w:ascii="Times New Roman" w:hAnsi="Times New Roman"/>
      </w:rPr>
      <w:instrText xml:space="preserve">PAGE  </w:instrText>
    </w:r>
    <w:r>
      <w:rPr>
        <w:rFonts w:ascii="Times New Roman" w:hAnsi="Times New Roman"/>
      </w:rPr>
      <w:fldChar w:fldCharType="separate"/>
    </w:r>
    <w:r>
      <w:rPr>
        <w:rStyle w:val="100"/>
        <w:rFonts w:ascii="Times New Roman" w:hAnsi="Times New Roman"/>
      </w:rPr>
      <w:t>154</w:t>
    </w:r>
    <w:r>
      <w:rPr>
        <w:rFonts w:ascii="Times New Roman" w:hAnsi="Times New Roman"/>
      </w:rPr>
      <w:fldChar w:fldCharType="end"/>
    </w:r>
  </w:p>
  <w:p w14:paraId="0437C403">
    <w:pPr>
      <w:pStyle w:val="55"/>
      <w:jc w:val="right"/>
      <w:rPr>
        <w:rStyle w:val="100"/>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1470A0">
    <w:pPr>
      <w:pStyle w:val="5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64676A">
    <w:pPr>
      <w:pStyle w:val="57"/>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245B83">
    <w:pPr>
      <w:pStyle w:val="5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19F472">
    <w:pPr>
      <w:pStyle w:val="5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85059C">
    <w:pPr>
      <w:pStyle w:val="57"/>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12E582">
    <w:pPr>
      <w:pStyle w:val="5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EC67575"/>
    <w:multiLevelType w:val="multilevel"/>
    <w:tmpl w:val="0EC67575"/>
    <w:lvl w:ilvl="0" w:tentative="0">
      <w:start w:val="1"/>
      <w:numFmt w:val="decimal"/>
      <w:pStyle w:val="4"/>
      <w:suff w:val="space"/>
      <w:lvlText w:val="%1"/>
      <w:lvlJc w:val="left"/>
      <w:pPr>
        <w:ind w:left="0" w:firstLine="0"/>
      </w:pPr>
      <w:rPr>
        <w:rFonts w:hint="eastAsia"/>
      </w:rPr>
    </w:lvl>
    <w:lvl w:ilvl="1" w:tentative="0">
      <w:start w:val="1"/>
      <w:numFmt w:val="decimal"/>
      <w:pStyle w:val="5"/>
      <w:suff w:val="space"/>
      <w:lvlText w:val="%1.%2"/>
      <w:lvlJc w:val="left"/>
      <w:pPr>
        <w:ind w:left="0" w:firstLine="0"/>
      </w:pPr>
      <w:rPr>
        <w:rFonts w:hint="eastAsia"/>
      </w:rPr>
    </w:lvl>
    <w:lvl w:ilvl="2" w:tentative="0">
      <w:start w:val="1"/>
      <w:numFmt w:val="decimal"/>
      <w:pStyle w:val="6"/>
      <w:suff w:val="space"/>
      <w:lvlText w:val="%1.%2.%3"/>
      <w:lvlJc w:val="left"/>
      <w:pPr>
        <w:ind w:left="0" w:firstLine="0"/>
      </w:pPr>
      <w:rPr>
        <w:rFonts w:hint="eastAsia"/>
      </w:rPr>
    </w:lvl>
    <w:lvl w:ilvl="3" w:tentative="0">
      <w:start w:val="1"/>
      <w:numFmt w:val="decimal"/>
      <w:pStyle w:val="7"/>
      <w:suff w:val="space"/>
      <w:lvlText w:val="%1.%2.%3.%4"/>
      <w:lvlJc w:val="left"/>
      <w:pPr>
        <w:ind w:left="0" w:firstLine="0"/>
      </w:pPr>
      <w:rPr>
        <w:rFonts w:hint="eastAsia"/>
      </w:rPr>
    </w:lvl>
    <w:lvl w:ilvl="4" w:tentative="0">
      <w:start w:val="1"/>
      <w:numFmt w:val="decimal"/>
      <w:lvlRestart w:val="2"/>
      <w:pStyle w:val="8"/>
      <w:suff w:val="space"/>
      <w:lvlText w:val="表%1.%2-%5"/>
      <w:lvlJc w:val="left"/>
      <w:pPr>
        <w:ind w:left="0" w:firstLine="0"/>
      </w:pPr>
      <w:rPr>
        <w:rFonts w:hint="eastAsia"/>
        <w:sz w:val="24"/>
        <w:szCs w:val="24"/>
        <w:vertAlign w:val="baseline"/>
        <w:lang w:val="en-US"/>
      </w:rPr>
    </w:lvl>
    <w:lvl w:ilvl="5" w:tentative="0">
      <w:start w:val="1"/>
      <w:numFmt w:val="decimal"/>
      <w:lvlRestart w:val="2"/>
      <w:pStyle w:val="9"/>
      <w:suff w:val="space"/>
      <w:lvlText w:val="图%1.%2-%6"/>
      <w:lvlJc w:val="left"/>
      <w:pPr>
        <w:ind w:left="0" w:firstLine="0"/>
      </w:pPr>
      <w:rPr>
        <w:rFonts w:hint="eastAsia"/>
        <w:sz w:val="24"/>
        <w:szCs w:val="24"/>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
    <w:nsid w:val="2DB3652A"/>
    <w:multiLevelType w:val="multilevel"/>
    <w:tmpl w:val="2DB3652A"/>
    <w:lvl w:ilvl="0" w:tentative="0">
      <w:start w:val="1"/>
      <w:numFmt w:val="decimalEnclosedCircle"/>
      <w:lvlText w:val="%1"/>
      <w:lvlJc w:val="left"/>
      <w:pPr>
        <w:ind w:left="840" w:hanging="360"/>
      </w:pPr>
      <w:rPr>
        <w:rFonts w:hint="default" w:ascii="宋体" w:hAnsi="宋体" w:cs="宋体"/>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pStyle w:val="4068"/>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0"/>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I2NDYyZjM3YjdmZTFkYzA1NGE5M2I3MzYxMjdlNzMifQ=="/>
    <w:docVar w:name="KSO_WPS_MARK_KEY" w:val="47c3e923-50a9-4232-b52a-ada7d71a2f0f"/>
  </w:docVars>
  <w:rsids>
    <w:rsidRoot w:val="00F04299"/>
    <w:rsid w:val="00001773"/>
    <w:rsid w:val="00001F89"/>
    <w:rsid w:val="0000287D"/>
    <w:rsid w:val="000031E5"/>
    <w:rsid w:val="00003F7D"/>
    <w:rsid w:val="00004185"/>
    <w:rsid w:val="00004412"/>
    <w:rsid w:val="0000468E"/>
    <w:rsid w:val="00004885"/>
    <w:rsid w:val="00004F27"/>
    <w:rsid w:val="00004F6A"/>
    <w:rsid w:val="0000520D"/>
    <w:rsid w:val="0000555B"/>
    <w:rsid w:val="00005743"/>
    <w:rsid w:val="0000574D"/>
    <w:rsid w:val="00005AB9"/>
    <w:rsid w:val="00005DC9"/>
    <w:rsid w:val="00005DE9"/>
    <w:rsid w:val="00005DFC"/>
    <w:rsid w:val="000066E9"/>
    <w:rsid w:val="000067F7"/>
    <w:rsid w:val="000068D2"/>
    <w:rsid w:val="00006910"/>
    <w:rsid w:val="00007182"/>
    <w:rsid w:val="00007436"/>
    <w:rsid w:val="0000743E"/>
    <w:rsid w:val="0000756D"/>
    <w:rsid w:val="000077DD"/>
    <w:rsid w:val="000079F0"/>
    <w:rsid w:val="00007F80"/>
    <w:rsid w:val="00007FD7"/>
    <w:rsid w:val="00010651"/>
    <w:rsid w:val="000116E7"/>
    <w:rsid w:val="00011838"/>
    <w:rsid w:val="00011A96"/>
    <w:rsid w:val="000146AA"/>
    <w:rsid w:val="000148C4"/>
    <w:rsid w:val="00014911"/>
    <w:rsid w:val="00014B5D"/>
    <w:rsid w:val="000153A8"/>
    <w:rsid w:val="000159A5"/>
    <w:rsid w:val="00015AF5"/>
    <w:rsid w:val="00015C77"/>
    <w:rsid w:val="00016678"/>
    <w:rsid w:val="00016990"/>
    <w:rsid w:val="00017052"/>
    <w:rsid w:val="000172FD"/>
    <w:rsid w:val="00017470"/>
    <w:rsid w:val="000176C4"/>
    <w:rsid w:val="00017811"/>
    <w:rsid w:val="000200C2"/>
    <w:rsid w:val="0002029F"/>
    <w:rsid w:val="00020521"/>
    <w:rsid w:val="00021327"/>
    <w:rsid w:val="000213C2"/>
    <w:rsid w:val="0002189A"/>
    <w:rsid w:val="00021CF6"/>
    <w:rsid w:val="0002209D"/>
    <w:rsid w:val="000220FE"/>
    <w:rsid w:val="0002269F"/>
    <w:rsid w:val="00022B5D"/>
    <w:rsid w:val="00022FD3"/>
    <w:rsid w:val="0002301B"/>
    <w:rsid w:val="000237CB"/>
    <w:rsid w:val="00023891"/>
    <w:rsid w:val="000242F5"/>
    <w:rsid w:val="000244DC"/>
    <w:rsid w:val="00024580"/>
    <w:rsid w:val="00024EE0"/>
    <w:rsid w:val="000255E6"/>
    <w:rsid w:val="00025792"/>
    <w:rsid w:val="00025CB8"/>
    <w:rsid w:val="00025D27"/>
    <w:rsid w:val="00025EFE"/>
    <w:rsid w:val="000261E2"/>
    <w:rsid w:val="000263F9"/>
    <w:rsid w:val="0002660C"/>
    <w:rsid w:val="00026C3B"/>
    <w:rsid w:val="00026E1E"/>
    <w:rsid w:val="000276BC"/>
    <w:rsid w:val="00030578"/>
    <w:rsid w:val="00030AAB"/>
    <w:rsid w:val="00030B1D"/>
    <w:rsid w:val="000311A8"/>
    <w:rsid w:val="000313DD"/>
    <w:rsid w:val="00031B34"/>
    <w:rsid w:val="00031F57"/>
    <w:rsid w:val="0003234E"/>
    <w:rsid w:val="00032721"/>
    <w:rsid w:val="00032B34"/>
    <w:rsid w:val="000335BF"/>
    <w:rsid w:val="00033607"/>
    <w:rsid w:val="00033943"/>
    <w:rsid w:val="00033AE2"/>
    <w:rsid w:val="00033DDD"/>
    <w:rsid w:val="00033FF0"/>
    <w:rsid w:val="00035BB2"/>
    <w:rsid w:val="000363B8"/>
    <w:rsid w:val="000366FA"/>
    <w:rsid w:val="000367EF"/>
    <w:rsid w:val="00036A5E"/>
    <w:rsid w:val="00036DD7"/>
    <w:rsid w:val="00036F82"/>
    <w:rsid w:val="00037BD8"/>
    <w:rsid w:val="00040A33"/>
    <w:rsid w:val="000413DE"/>
    <w:rsid w:val="00041A88"/>
    <w:rsid w:val="00042144"/>
    <w:rsid w:val="0004238C"/>
    <w:rsid w:val="00042A70"/>
    <w:rsid w:val="00042D10"/>
    <w:rsid w:val="000430B8"/>
    <w:rsid w:val="0004384C"/>
    <w:rsid w:val="00043928"/>
    <w:rsid w:val="00043CF4"/>
    <w:rsid w:val="000440F1"/>
    <w:rsid w:val="000441B5"/>
    <w:rsid w:val="00044384"/>
    <w:rsid w:val="00044AB9"/>
    <w:rsid w:val="00044CF7"/>
    <w:rsid w:val="00044E07"/>
    <w:rsid w:val="00044E6E"/>
    <w:rsid w:val="00044FB7"/>
    <w:rsid w:val="000450B4"/>
    <w:rsid w:val="00045422"/>
    <w:rsid w:val="0004566D"/>
    <w:rsid w:val="00045684"/>
    <w:rsid w:val="00045CA8"/>
    <w:rsid w:val="000460DD"/>
    <w:rsid w:val="00046199"/>
    <w:rsid w:val="000463C1"/>
    <w:rsid w:val="000467A5"/>
    <w:rsid w:val="0004692D"/>
    <w:rsid w:val="00046EF8"/>
    <w:rsid w:val="00047116"/>
    <w:rsid w:val="0004713A"/>
    <w:rsid w:val="00047367"/>
    <w:rsid w:val="00047DC3"/>
    <w:rsid w:val="000500EB"/>
    <w:rsid w:val="00050116"/>
    <w:rsid w:val="00050885"/>
    <w:rsid w:val="00050978"/>
    <w:rsid w:val="00050CC9"/>
    <w:rsid w:val="00050D72"/>
    <w:rsid w:val="000518C5"/>
    <w:rsid w:val="00051D59"/>
    <w:rsid w:val="000521BD"/>
    <w:rsid w:val="00052266"/>
    <w:rsid w:val="0005236C"/>
    <w:rsid w:val="000523D4"/>
    <w:rsid w:val="00052D59"/>
    <w:rsid w:val="00052E79"/>
    <w:rsid w:val="00052F5A"/>
    <w:rsid w:val="00052F8B"/>
    <w:rsid w:val="0005363D"/>
    <w:rsid w:val="00053882"/>
    <w:rsid w:val="00053B05"/>
    <w:rsid w:val="00054365"/>
    <w:rsid w:val="00054AB9"/>
    <w:rsid w:val="00054B5D"/>
    <w:rsid w:val="0005505B"/>
    <w:rsid w:val="00055420"/>
    <w:rsid w:val="000557A3"/>
    <w:rsid w:val="00055F1B"/>
    <w:rsid w:val="00056A53"/>
    <w:rsid w:val="00057398"/>
    <w:rsid w:val="000578A0"/>
    <w:rsid w:val="00057D4C"/>
    <w:rsid w:val="00057D75"/>
    <w:rsid w:val="0006010B"/>
    <w:rsid w:val="000602A8"/>
    <w:rsid w:val="000615EF"/>
    <w:rsid w:val="00061605"/>
    <w:rsid w:val="00061A34"/>
    <w:rsid w:val="000621B0"/>
    <w:rsid w:val="000624EA"/>
    <w:rsid w:val="00062A75"/>
    <w:rsid w:val="00063322"/>
    <w:rsid w:val="00063407"/>
    <w:rsid w:val="000637C9"/>
    <w:rsid w:val="00063C3C"/>
    <w:rsid w:val="00064726"/>
    <w:rsid w:val="0006528A"/>
    <w:rsid w:val="000652CA"/>
    <w:rsid w:val="000652DC"/>
    <w:rsid w:val="000654DC"/>
    <w:rsid w:val="000655DF"/>
    <w:rsid w:val="000656B7"/>
    <w:rsid w:val="0006579B"/>
    <w:rsid w:val="00065A4A"/>
    <w:rsid w:val="00065AB7"/>
    <w:rsid w:val="000665A3"/>
    <w:rsid w:val="0006774B"/>
    <w:rsid w:val="0006788F"/>
    <w:rsid w:val="00067B2C"/>
    <w:rsid w:val="0007019C"/>
    <w:rsid w:val="00070441"/>
    <w:rsid w:val="000704E2"/>
    <w:rsid w:val="00070BEE"/>
    <w:rsid w:val="000710DA"/>
    <w:rsid w:val="0007132B"/>
    <w:rsid w:val="0007162A"/>
    <w:rsid w:val="00071718"/>
    <w:rsid w:val="0007197B"/>
    <w:rsid w:val="000719E3"/>
    <w:rsid w:val="00071B2F"/>
    <w:rsid w:val="00071BDA"/>
    <w:rsid w:val="0007223C"/>
    <w:rsid w:val="00072541"/>
    <w:rsid w:val="00072DB7"/>
    <w:rsid w:val="000731D3"/>
    <w:rsid w:val="00073490"/>
    <w:rsid w:val="000734C6"/>
    <w:rsid w:val="00073978"/>
    <w:rsid w:val="00073B5B"/>
    <w:rsid w:val="00073BD7"/>
    <w:rsid w:val="00074102"/>
    <w:rsid w:val="000745EC"/>
    <w:rsid w:val="00074995"/>
    <w:rsid w:val="0007551E"/>
    <w:rsid w:val="00075CB6"/>
    <w:rsid w:val="00075D5D"/>
    <w:rsid w:val="00075E45"/>
    <w:rsid w:val="00075F76"/>
    <w:rsid w:val="0007663C"/>
    <w:rsid w:val="00076647"/>
    <w:rsid w:val="00076697"/>
    <w:rsid w:val="000767BF"/>
    <w:rsid w:val="000767FC"/>
    <w:rsid w:val="00076E96"/>
    <w:rsid w:val="00076F60"/>
    <w:rsid w:val="00076F75"/>
    <w:rsid w:val="000777D0"/>
    <w:rsid w:val="00077E3B"/>
    <w:rsid w:val="00077F32"/>
    <w:rsid w:val="000806EB"/>
    <w:rsid w:val="00080D87"/>
    <w:rsid w:val="00080F69"/>
    <w:rsid w:val="000815BE"/>
    <w:rsid w:val="0008181A"/>
    <w:rsid w:val="0008191D"/>
    <w:rsid w:val="00081A12"/>
    <w:rsid w:val="00081C36"/>
    <w:rsid w:val="00082342"/>
    <w:rsid w:val="00082399"/>
    <w:rsid w:val="000828F9"/>
    <w:rsid w:val="000829FB"/>
    <w:rsid w:val="00082AC7"/>
    <w:rsid w:val="00082FA7"/>
    <w:rsid w:val="00083565"/>
    <w:rsid w:val="00083616"/>
    <w:rsid w:val="00083A90"/>
    <w:rsid w:val="00083DB5"/>
    <w:rsid w:val="00084684"/>
    <w:rsid w:val="00084EC1"/>
    <w:rsid w:val="000855CE"/>
    <w:rsid w:val="00085BF1"/>
    <w:rsid w:val="00086016"/>
    <w:rsid w:val="0008605F"/>
    <w:rsid w:val="00087ABE"/>
    <w:rsid w:val="00090085"/>
    <w:rsid w:val="000907C4"/>
    <w:rsid w:val="00090BE9"/>
    <w:rsid w:val="00090FDB"/>
    <w:rsid w:val="0009162B"/>
    <w:rsid w:val="000919E9"/>
    <w:rsid w:val="00091AB1"/>
    <w:rsid w:val="00091DF9"/>
    <w:rsid w:val="000925EF"/>
    <w:rsid w:val="000926E7"/>
    <w:rsid w:val="00092DF5"/>
    <w:rsid w:val="00093F39"/>
    <w:rsid w:val="000940C0"/>
    <w:rsid w:val="0009453D"/>
    <w:rsid w:val="000956B0"/>
    <w:rsid w:val="00095719"/>
    <w:rsid w:val="00095B08"/>
    <w:rsid w:val="00095D1A"/>
    <w:rsid w:val="00096874"/>
    <w:rsid w:val="00096E79"/>
    <w:rsid w:val="00096EC7"/>
    <w:rsid w:val="000974C5"/>
    <w:rsid w:val="00097753"/>
    <w:rsid w:val="00097D09"/>
    <w:rsid w:val="000A007D"/>
    <w:rsid w:val="000A051D"/>
    <w:rsid w:val="000A0D15"/>
    <w:rsid w:val="000A0F74"/>
    <w:rsid w:val="000A1336"/>
    <w:rsid w:val="000A1390"/>
    <w:rsid w:val="000A1E12"/>
    <w:rsid w:val="000A1E37"/>
    <w:rsid w:val="000A2935"/>
    <w:rsid w:val="000A2C45"/>
    <w:rsid w:val="000A2DA8"/>
    <w:rsid w:val="000A2F8F"/>
    <w:rsid w:val="000A3106"/>
    <w:rsid w:val="000A31F6"/>
    <w:rsid w:val="000A321A"/>
    <w:rsid w:val="000A327A"/>
    <w:rsid w:val="000A3735"/>
    <w:rsid w:val="000A3DD4"/>
    <w:rsid w:val="000A480D"/>
    <w:rsid w:val="000A4E5F"/>
    <w:rsid w:val="000A58FF"/>
    <w:rsid w:val="000A65F9"/>
    <w:rsid w:val="000A6A6F"/>
    <w:rsid w:val="000A6F39"/>
    <w:rsid w:val="000A6F93"/>
    <w:rsid w:val="000B031B"/>
    <w:rsid w:val="000B07A9"/>
    <w:rsid w:val="000B09E2"/>
    <w:rsid w:val="000B0A15"/>
    <w:rsid w:val="000B0BF2"/>
    <w:rsid w:val="000B0E8F"/>
    <w:rsid w:val="000B0EC0"/>
    <w:rsid w:val="000B1B8D"/>
    <w:rsid w:val="000B1BA3"/>
    <w:rsid w:val="000B1D5A"/>
    <w:rsid w:val="000B1F67"/>
    <w:rsid w:val="000B2151"/>
    <w:rsid w:val="000B262E"/>
    <w:rsid w:val="000B270C"/>
    <w:rsid w:val="000B2842"/>
    <w:rsid w:val="000B2F02"/>
    <w:rsid w:val="000B34A7"/>
    <w:rsid w:val="000B3F6D"/>
    <w:rsid w:val="000B43FE"/>
    <w:rsid w:val="000B46EC"/>
    <w:rsid w:val="000B4C9F"/>
    <w:rsid w:val="000B4E9E"/>
    <w:rsid w:val="000B5A2B"/>
    <w:rsid w:val="000B5A67"/>
    <w:rsid w:val="000B5EFF"/>
    <w:rsid w:val="000B60F9"/>
    <w:rsid w:val="000B628C"/>
    <w:rsid w:val="000B62AA"/>
    <w:rsid w:val="000B68A9"/>
    <w:rsid w:val="000B6AE0"/>
    <w:rsid w:val="000B6CB7"/>
    <w:rsid w:val="000B71C4"/>
    <w:rsid w:val="000B7BEE"/>
    <w:rsid w:val="000B7E86"/>
    <w:rsid w:val="000C0002"/>
    <w:rsid w:val="000C128E"/>
    <w:rsid w:val="000C13FB"/>
    <w:rsid w:val="000C15E5"/>
    <w:rsid w:val="000C173F"/>
    <w:rsid w:val="000C1B6E"/>
    <w:rsid w:val="000C1D22"/>
    <w:rsid w:val="000C20F0"/>
    <w:rsid w:val="000C23B7"/>
    <w:rsid w:val="000C2D2A"/>
    <w:rsid w:val="000C32BD"/>
    <w:rsid w:val="000C3403"/>
    <w:rsid w:val="000C3494"/>
    <w:rsid w:val="000C37AE"/>
    <w:rsid w:val="000C38A6"/>
    <w:rsid w:val="000C3EFD"/>
    <w:rsid w:val="000C4079"/>
    <w:rsid w:val="000C4127"/>
    <w:rsid w:val="000C4762"/>
    <w:rsid w:val="000C4929"/>
    <w:rsid w:val="000C4BB1"/>
    <w:rsid w:val="000C4C96"/>
    <w:rsid w:val="000C4D24"/>
    <w:rsid w:val="000C5155"/>
    <w:rsid w:val="000C5500"/>
    <w:rsid w:val="000C56DB"/>
    <w:rsid w:val="000C57AB"/>
    <w:rsid w:val="000C5B92"/>
    <w:rsid w:val="000C64DE"/>
    <w:rsid w:val="000C6834"/>
    <w:rsid w:val="000C68F1"/>
    <w:rsid w:val="000C697F"/>
    <w:rsid w:val="000C6C14"/>
    <w:rsid w:val="000C6F27"/>
    <w:rsid w:val="000C736E"/>
    <w:rsid w:val="000C7380"/>
    <w:rsid w:val="000C74A5"/>
    <w:rsid w:val="000C789B"/>
    <w:rsid w:val="000C7CAF"/>
    <w:rsid w:val="000C7DF9"/>
    <w:rsid w:val="000C7E1F"/>
    <w:rsid w:val="000D0801"/>
    <w:rsid w:val="000D0B5A"/>
    <w:rsid w:val="000D0DEC"/>
    <w:rsid w:val="000D12A5"/>
    <w:rsid w:val="000D148F"/>
    <w:rsid w:val="000D1858"/>
    <w:rsid w:val="000D1892"/>
    <w:rsid w:val="000D1F11"/>
    <w:rsid w:val="000D2832"/>
    <w:rsid w:val="000D29CF"/>
    <w:rsid w:val="000D2F03"/>
    <w:rsid w:val="000D2F70"/>
    <w:rsid w:val="000D3006"/>
    <w:rsid w:val="000D325D"/>
    <w:rsid w:val="000D338D"/>
    <w:rsid w:val="000D34D5"/>
    <w:rsid w:val="000D3C3C"/>
    <w:rsid w:val="000D3E58"/>
    <w:rsid w:val="000D4207"/>
    <w:rsid w:val="000D4608"/>
    <w:rsid w:val="000D47F6"/>
    <w:rsid w:val="000D5019"/>
    <w:rsid w:val="000D5BBA"/>
    <w:rsid w:val="000D619C"/>
    <w:rsid w:val="000D635C"/>
    <w:rsid w:val="000D6684"/>
    <w:rsid w:val="000D671A"/>
    <w:rsid w:val="000D6A54"/>
    <w:rsid w:val="000D6D7F"/>
    <w:rsid w:val="000D6D92"/>
    <w:rsid w:val="000D6FF4"/>
    <w:rsid w:val="000D7D03"/>
    <w:rsid w:val="000E013F"/>
    <w:rsid w:val="000E0D33"/>
    <w:rsid w:val="000E0D6B"/>
    <w:rsid w:val="000E15D9"/>
    <w:rsid w:val="000E16A7"/>
    <w:rsid w:val="000E1887"/>
    <w:rsid w:val="000E18FC"/>
    <w:rsid w:val="000E1DB3"/>
    <w:rsid w:val="000E22C2"/>
    <w:rsid w:val="000E23B9"/>
    <w:rsid w:val="000E2506"/>
    <w:rsid w:val="000E2539"/>
    <w:rsid w:val="000E260A"/>
    <w:rsid w:val="000E297E"/>
    <w:rsid w:val="000E3126"/>
    <w:rsid w:val="000E33F1"/>
    <w:rsid w:val="000E3A8F"/>
    <w:rsid w:val="000E403A"/>
    <w:rsid w:val="000E43C2"/>
    <w:rsid w:val="000E43D4"/>
    <w:rsid w:val="000E4427"/>
    <w:rsid w:val="000E4464"/>
    <w:rsid w:val="000E45C8"/>
    <w:rsid w:val="000E47F2"/>
    <w:rsid w:val="000E49AF"/>
    <w:rsid w:val="000E557B"/>
    <w:rsid w:val="000E5A14"/>
    <w:rsid w:val="000E5AF3"/>
    <w:rsid w:val="000E5C86"/>
    <w:rsid w:val="000E5C8A"/>
    <w:rsid w:val="000E6040"/>
    <w:rsid w:val="000E62D6"/>
    <w:rsid w:val="000E648B"/>
    <w:rsid w:val="000E7837"/>
    <w:rsid w:val="000E7B4D"/>
    <w:rsid w:val="000E7BAB"/>
    <w:rsid w:val="000F0017"/>
    <w:rsid w:val="000F001E"/>
    <w:rsid w:val="000F01CD"/>
    <w:rsid w:val="000F04A4"/>
    <w:rsid w:val="000F064C"/>
    <w:rsid w:val="000F0961"/>
    <w:rsid w:val="000F14E6"/>
    <w:rsid w:val="000F2090"/>
    <w:rsid w:val="000F22C0"/>
    <w:rsid w:val="000F26F6"/>
    <w:rsid w:val="000F2C5D"/>
    <w:rsid w:val="000F43C5"/>
    <w:rsid w:val="000F4FC5"/>
    <w:rsid w:val="000F508C"/>
    <w:rsid w:val="000F5268"/>
    <w:rsid w:val="000F5D57"/>
    <w:rsid w:val="000F5D8A"/>
    <w:rsid w:val="000F6991"/>
    <w:rsid w:val="000F6F82"/>
    <w:rsid w:val="000F71DB"/>
    <w:rsid w:val="000F724C"/>
    <w:rsid w:val="000F7B95"/>
    <w:rsid w:val="00100198"/>
    <w:rsid w:val="00100306"/>
    <w:rsid w:val="00100484"/>
    <w:rsid w:val="00100731"/>
    <w:rsid w:val="00101101"/>
    <w:rsid w:val="00101441"/>
    <w:rsid w:val="0010181A"/>
    <w:rsid w:val="001019B1"/>
    <w:rsid w:val="001019FF"/>
    <w:rsid w:val="00101E67"/>
    <w:rsid w:val="0010286C"/>
    <w:rsid w:val="00102B4C"/>
    <w:rsid w:val="00102E0A"/>
    <w:rsid w:val="00102E0B"/>
    <w:rsid w:val="00103FB3"/>
    <w:rsid w:val="001041FD"/>
    <w:rsid w:val="00104B3C"/>
    <w:rsid w:val="00104E59"/>
    <w:rsid w:val="00104F03"/>
    <w:rsid w:val="001050CF"/>
    <w:rsid w:val="00105389"/>
    <w:rsid w:val="00105924"/>
    <w:rsid w:val="001064ED"/>
    <w:rsid w:val="001067C8"/>
    <w:rsid w:val="00107478"/>
    <w:rsid w:val="00107DFD"/>
    <w:rsid w:val="00107F99"/>
    <w:rsid w:val="00110616"/>
    <w:rsid w:val="00110A22"/>
    <w:rsid w:val="00110B6D"/>
    <w:rsid w:val="001111AB"/>
    <w:rsid w:val="001112D3"/>
    <w:rsid w:val="0011197E"/>
    <w:rsid w:val="00111A80"/>
    <w:rsid w:val="00111D8A"/>
    <w:rsid w:val="00111F26"/>
    <w:rsid w:val="001121D5"/>
    <w:rsid w:val="00112B56"/>
    <w:rsid w:val="00112D49"/>
    <w:rsid w:val="00112D5F"/>
    <w:rsid w:val="00112DC6"/>
    <w:rsid w:val="0011351F"/>
    <w:rsid w:val="00113A37"/>
    <w:rsid w:val="00113ADD"/>
    <w:rsid w:val="00113C3A"/>
    <w:rsid w:val="00113C75"/>
    <w:rsid w:val="00113D6C"/>
    <w:rsid w:val="00113EED"/>
    <w:rsid w:val="00113FE0"/>
    <w:rsid w:val="00114A02"/>
    <w:rsid w:val="00114BE3"/>
    <w:rsid w:val="00114D0C"/>
    <w:rsid w:val="001152D7"/>
    <w:rsid w:val="001154AF"/>
    <w:rsid w:val="00115823"/>
    <w:rsid w:val="00115860"/>
    <w:rsid w:val="0011612A"/>
    <w:rsid w:val="0011617F"/>
    <w:rsid w:val="001162E4"/>
    <w:rsid w:val="001165F2"/>
    <w:rsid w:val="00116938"/>
    <w:rsid w:val="00116CB8"/>
    <w:rsid w:val="00116E80"/>
    <w:rsid w:val="00116F94"/>
    <w:rsid w:val="00117141"/>
    <w:rsid w:val="00117382"/>
    <w:rsid w:val="00117A9F"/>
    <w:rsid w:val="00117D65"/>
    <w:rsid w:val="00117E6D"/>
    <w:rsid w:val="00120289"/>
    <w:rsid w:val="00120554"/>
    <w:rsid w:val="00120C37"/>
    <w:rsid w:val="001218EC"/>
    <w:rsid w:val="001219AE"/>
    <w:rsid w:val="00121C7A"/>
    <w:rsid w:val="00121F5A"/>
    <w:rsid w:val="00122272"/>
    <w:rsid w:val="00122879"/>
    <w:rsid w:val="001229CB"/>
    <w:rsid w:val="001231FA"/>
    <w:rsid w:val="001235EA"/>
    <w:rsid w:val="0012386C"/>
    <w:rsid w:val="00123923"/>
    <w:rsid w:val="00123F98"/>
    <w:rsid w:val="001242F3"/>
    <w:rsid w:val="00124697"/>
    <w:rsid w:val="00124817"/>
    <w:rsid w:val="00124F0E"/>
    <w:rsid w:val="0012533C"/>
    <w:rsid w:val="001254A9"/>
    <w:rsid w:val="001256CC"/>
    <w:rsid w:val="00125B87"/>
    <w:rsid w:val="00125C9E"/>
    <w:rsid w:val="00125E01"/>
    <w:rsid w:val="001261B1"/>
    <w:rsid w:val="0012637E"/>
    <w:rsid w:val="0012650B"/>
    <w:rsid w:val="001265BF"/>
    <w:rsid w:val="0012665F"/>
    <w:rsid w:val="001266DE"/>
    <w:rsid w:val="00126723"/>
    <w:rsid w:val="00126B49"/>
    <w:rsid w:val="00126F51"/>
    <w:rsid w:val="00127342"/>
    <w:rsid w:val="00127487"/>
    <w:rsid w:val="00127737"/>
    <w:rsid w:val="00127AE9"/>
    <w:rsid w:val="0013051B"/>
    <w:rsid w:val="001310C2"/>
    <w:rsid w:val="0013132D"/>
    <w:rsid w:val="00132089"/>
    <w:rsid w:val="001328B3"/>
    <w:rsid w:val="00132900"/>
    <w:rsid w:val="00133124"/>
    <w:rsid w:val="00133ED6"/>
    <w:rsid w:val="0013446D"/>
    <w:rsid w:val="00134527"/>
    <w:rsid w:val="00134930"/>
    <w:rsid w:val="0013496D"/>
    <w:rsid w:val="00134A0E"/>
    <w:rsid w:val="00134F0A"/>
    <w:rsid w:val="00135048"/>
    <w:rsid w:val="00135408"/>
    <w:rsid w:val="0013558E"/>
    <w:rsid w:val="0013625B"/>
    <w:rsid w:val="001365C9"/>
    <w:rsid w:val="0013693F"/>
    <w:rsid w:val="001369E2"/>
    <w:rsid w:val="00136C8D"/>
    <w:rsid w:val="00136CDD"/>
    <w:rsid w:val="00137DDC"/>
    <w:rsid w:val="00137E66"/>
    <w:rsid w:val="00140F3E"/>
    <w:rsid w:val="00141B07"/>
    <w:rsid w:val="00141CBE"/>
    <w:rsid w:val="00141EAB"/>
    <w:rsid w:val="001427F2"/>
    <w:rsid w:val="0014295C"/>
    <w:rsid w:val="00143420"/>
    <w:rsid w:val="00143433"/>
    <w:rsid w:val="00143E37"/>
    <w:rsid w:val="00144510"/>
    <w:rsid w:val="00144649"/>
    <w:rsid w:val="00144FF9"/>
    <w:rsid w:val="00145254"/>
    <w:rsid w:val="001456E4"/>
    <w:rsid w:val="00146037"/>
    <w:rsid w:val="001464C2"/>
    <w:rsid w:val="00146504"/>
    <w:rsid w:val="00146B23"/>
    <w:rsid w:val="00146C1B"/>
    <w:rsid w:val="00146C56"/>
    <w:rsid w:val="00147AD5"/>
    <w:rsid w:val="00147F52"/>
    <w:rsid w:val="0015092D"/>
    <w:rsid w:val="001510D2"/>
    <w:rsid w:val="0015111D"/>
    <w:rsid w:val="001513B8"/>
    <w:rsid w:val="0015180D"/>
    <w:rsid w:val="001524F2"/>
    <w:rsid w:val="00152528"/>
    <w:rsid w:val="00152803"/>
    <w:rsid w:val="001528A9"/>
    <w:rsid w:val="001529A4"/>
    <w:rsid w:val="001531E5"/>
    <w:rsid w:val="001536AC"/>
    <w:rsid w:val="00153BED"/>
    <w:rsid w:val="001546D3"/>
    <w:rsid w:val="0015484B"/>
    <w:rsid w:val="00154C38"/>
    <w:rsid w:val="00154CDF"/>
    <w:rsid w:val="00154D5F"/>
    <w:rsid w:val="00154E42"/>
    <w:rsid w:val="00154F6E"/>
    <w:rsid w:val="00155408"/>
    <w:rsid w:val="00155803"/>
    <w:rsid w:val="00155867"/>
    <w:rsid w:val="00155FE3"/>
    <w:rsid w:val="0015731D"/>
    <w:rsid w:val="001576C6"/>
    <w:rsid w:val="00157A4A"/>
    <w:rsid w:val="00157AF4"/>
    <w:rsid w:val="00157BEE"/>
    <w:rsid w:val="00157CA3"/>
    <w:rsid w:val="00160702"/>
    <w:rsid w:val="001607E0"/>
    <w:rsid w:val="00160916"/>
    <w:rsid w:val="00160A14"/>
    <w:rsid w:val="0016128C"/>
    <w:rsid w:val="001613BB"/>
    <w:rsid w:val="0016195C"/>
    <w:rsid w:val="00161FAF"/>
    <w:rsid w:val="0016213E"/>
    <w:rsid w:val="00162244"/>
    <w:rsid w:val="0016261D"/>
    <w:rsid w:val="00162A4F"/>
    <w:rsid w:val="00162DA7"/>
    <w:rsid w:val="001636AC"/>
    <w:rsid w:val="0016379C"/>
    <w:rsid w:val="001639A8"/>
    <w:rsid w:val="00163CCE"/>
    <w:rsid w:val="00163E17"/>
    <w:rsid w:val="001642FA"/>
    <w:rsid w:val="0016488A"/>
    <w:rsid w:val="00164B26"/>
    <w:rsid w:val="00164B8F"/>
    <w:rsid w:val="00165C15"/>
    <w:rsid w:val="00165E5B"/>
    <w:rsid w:val="0016606C"/>
    <w:rsid w:val="00166FDA"/>
    <w:rsid w:val="001670F3"/>
    <w:rsid w:val="0016736E"/>
    <w:rsid w:val="00167987"/>
    <w:rsid w:val="00170203"/>
    <w:rsid w:val="00170304"/>
    <w:rsid w:val="001705B1"/>
    <w:rsid w:val="00170E91"/>
    <w:rsid w:val="001716C2"/>
    <w:rsid w:val="00171934"/>
    <w:rsid w:val="00171B06"/>
    <w:rsid w:val="00172030"/>
    <w:rsid w:val="001722D3"/>
    <w:rsid w:val="00172B61"/>
    <w:rsid w:val="00172C99"/>
    <w:rsid w:val="00172CB1"/>
    <w:rsid w:val="0017326B"/>
    <w:rsid w:val="00173424"/>
    <w:rsid w:val="001734B4"/>
    <w:rsid w:val="001739C3"/>
    <w:rsid w:val="00173F8A"/>
    <w:rsid w:val="00173FA5"/>
    <w:rsid w:val="001742E0"/>
    <w:rsid w:val="00174521"/>
    <w:rsid w:val="00174CBC"/>
    <w:rsid w:val="00174D87"/>
    <w:rsid w:val="00175054"/>
    <w:rsid w:val="00175B6F"/>
    <w:rsid w:val="001761DD"/>
    <w:rsid w:val="001762DA"/>
    <w:rsid w:val="00176590"/>
    <w:rsid w:val="00176C40"/>
    <w:rsid w:val="001770F6"/>
    <w:rsid w:val="00177178"/>
    <w:rsid w:val="00177590"/>
    <w:rsid w:val="001802FB"/>
    <w:rsid w:val="00180A85"/>
    <w:rsid w:val="00181621"/>
    <w:rsid w:val="0018162F"/>
    <w:rsid w:val="00181B4E"/>
    <w:rsid w:val="0018232A"/>
    <w:rsid w:val="001823BC"/>
    <w:rsid w:val="0018259D"/>
    <w:rsid w:val="00182D81"/>
    <w:rsid w:val="00182F42"/>
    <w:rsid w:val="0018313D"/>
    <w:rsid w:val="0018330F"/>
    <w:rsid w:val="001834C6"/>
    <w:rsid w:val="0018356E"/>
    <w:rsid w:val="001837AD"/>
    <w:rsid w:val="00183CB8"/>
    <w:rsid w:val="00183D43"/>
    <w:rsid w:val="00184143"/>
    <w:rsid w:val="00184647"/>
    <w:rsid w:val="00184A38"/>
    <w:rsid w:val="00184D78"/>
    <w:rsid w:val="001852B8"/>
    <w:rsid w:val="0018558F"/>
    <w:rsid w:val="001855BF"/>
    <w:rsid w:val="0018572C"/>
    <w:rsid w:val="00185B73"/>
    <w:rsid w:val="00185F08"/>
    <w:rsid w:val="001861D7"/>
    <w:rsid w:val="001862C6"/>
    <w:rsid w:val="001872ED"/>
    <w:rsid w:val="0018744A"/>
    <w:rsid w:val="00187B6D"/>
    <w:rsid w:val="001901BC"/>
    <w:rsid w:val="001903FC"/>
    <w:rsid w:val="001908B9"/>
    <w:rsid w:val="001909B7"/>
    <w:rsid w:val="00190B7C"/>
    <w:rsid w:val="00191818"/>
    <w:rsid w:val="00191B0F"/>
    <w:rsid w:val="00191BE6"/>
    <w:rsid w:val="00191CA5"/>
    <w:rsid w:val="00191DD9"/>
    <w:rsid w:val="00191F8B"/>
    <w:rsid w:val="00191F98"/>
    <w:rsid w:val="001920C0"/>
    <w:rsid w:val="001926D0"/>
    <w:rsid w:val="00192CEE"/>
    <w:rsid w:val="001933C5"/>
    <w:rsid w:val="00193411"/>
    <w:rsid w:val="00193494"/>
    <w:rsid w:val="001935BA"/>
    <w:rsid w:val="00193675"/>
    <w:rsid w:val="00194030"/>
    <w:rsid w:val="0019403F"/>
    <w:rsid w:val="0019414B"/>
    <w:rsid w:val="001941B6"/>
    <w:rsid w:val="00194E25"/>
    <w:rsid w:val="00194ECB"/>
    <w:rsid w:val="00195C73"/>
    <w:rsid w:val="00196234"/>
    <w:rsid w:val="00196299"/>
    <w:rsid w:val="001968FC"/>
    <w:rsid w:val="00197301"/>
    <w:rsid w:val="0019766C"/>
    <w:rsid w:val="00197B9E"/>
    <w:rsid w:val="001A0923"/>
    <w:rsid w:val="001A0CED"/>
    <w:rsid w:val="001A0DEE"/>
    <w:rsid w:val="001A17A8"/>
    <w:rsid w:val="001A1FC0"/>
    <w:rsid w:val="001A260F"/>
    <w:rsid w:val="001A2ABF"/>
    <w:rsid w:val="001A2B6F"/>
    <w:rsid w:val="001A3803"/>
    <w:rsid w:val="001A39DB"/>
    <w:rsid w:val="001A3AAB"/>
    <w:rsid w:val="001A3D6A"/>
    <w:rsid w:val="001A3E51"/>
    <w:rsid w:val="001A416B"/>
    <w:rsid w:val="001A46FC"/>
    <w:rsid w:val="001A4A83"/>
    <w:rsid w:val="001A4DE5"/>
    <w:rsid w:val="001A50FD"/>
    <w:rsid w:val="001A53BB"/>
    <w:rsid w:val="001A5578"/>
    <w:rsid w:val="001A5620"/>
    <w:rsid w:val="001A5961"/>
    <w:rsid w:val="001A5EF9"/>
    <w:rsid w:val="001A603F"/>
    <w:rsid w:val="001A69F1"/>
    <w:rsid w:val="001A6B8B"/>
    <w:rsid w:val="001A6F1E"/>
    <w:rsid w:val="001A71DB"/>
    <w:rsid w:val="001A7266"/>
    <w:rsid w:val="001A7278"/>
    <w:rsid w:val="001A7483"/>
    <w:rsid w:val="001A7510"/>
    <w:rsid w:val="001A7738"/>
    <w:rsid w:val="001A78C2"/>
    <w:rsid w:val="001B029E"/>
    <w:rsid w:val="001B0EC4"/>
    <w:rsid w:val="001B13C2"/>
    <w:rsid w:val="001B168B"/>
    <w:rsid w:val="001B190B"/>
    <w:rsid w:val="001B1B1C"/>
    <w:rsid w:val="001B244C"/>
    <w:rsid w:val="001B3B5E"/>
    <w:rsid w:val="001B3D98"/>
    <w:rsid w:val="001B40C8"/>
    <w:rsid w:val="001B4267"/>
    <w:rsid w:val="001B46A4"/>
    <w:rsid w:val="001B495C"/>
    <w:rsid w:val="001B4A1D"/>
    <w:rsid w:val="001B4DDC"/>
    <w:rsid w:val="001B4E29"/>
    <w:rsid w:val="001B57BA"/>
    <w:rsid w:val="001B57BB"/>
    <w:rsid w:val="001B646A"/>
    <w:rsid w:val="001B6E1A"/>
    <w:rsid w:val="001B6F51"/>
    <w:rsid w:val="001B785D"/>
    <w:rsid w:val="001C0170"/>
    <w:rsid w:val="001C046D"/>
    <w:rsid w:val="001C067C"/>
    <w:rsid w:val="001C0EFB"/>
    <w:rsid w:val="001C0F8E"/>
    <w:rsid w:val="001C17B3"/>
    <w:rsid w:val="001C1D93"/>
    <w:rsid w:val="001C1E61"/>
    <w:rsid w:val="001C1ECE"/>
    <w:rsid w:val="001C2369"/>
    <w:rsid w:val="001C2604"/>
    <w:rsid w:val="001C2B43"/>
    <w:rsid w:val="001C2DB5"/>
    <w:rsid w:val="001C3051"/>
    <w:rsid w:val="001C31AA"/>
    <w:rsid w:val="001C365C"/>
    <w:rsid w:val="001C3752"/>
    <w:rsid w:val="001C4475"/>
    <w:rsid w:val="001C44F3"/>
    <w:rsid w:val="001C4B92"/>
    <w:rsid w:val="001C51DF"/>
    <w:rsid w:val="001C5599"/>
    <w:rsid w:val="001C5662"/>
    <w:rsid w:val="001C57A4"/>
    <w:rsid w:val="001C58FA"/>
    <w:rsid w:val="001C5BC2"/>
    <w:rsid w:val="001C5E6F"/>
    <w:rsid w:val="001C611E"/>
    <w:rsid w:val="001C66B0"/>
    <w:rsid w:val="001C692C"/>
    <w:rsid w:val="001C6A12"/>
    <w:rsid w:val="001C6A53"/>
    <w:rsid w:val="001C705A"/>
    <w:rsid w:val="001C7838"/>
    <w:rsid w:val="001C7888"/>
    <w:rsid w:val="001D0A56"/>
    <w:rsid w:val="001D0B41"/>
    <w:rsid w:val="001D0E5D"/>
    <w:rsid w:val="001D139A"/>
    <w:rsid w:val="001D1C8D"/>
    <w:rsid w:val="001D1EBA"/>
    <w:rsid w:val="001D2403"/>
    <w:rsid w:val="001D2407"/>
    <w:rsid w:val="001D24FF"/>
    <w:rsid w:val="001D260F"/>
    <w:rsid w:val="001D3121"/>
    <w:rsid w:val="001D3144"/>
    <w:rsid w:val="001D34B2"/>
    <w:rsid w:val="001D35EF"/>
    <w:rsid w:val="001D3705"/>
    <w:rsid w:val="001D3874"/>
    <w:rsid w:val="001D3DB5"/>
    <w:rsid w:val="001D4377"/>
    <w:rsid w:val="001D4590"/>
    <w:rsid w:val="001D4C7B"/>
    <w:rsid w:val="001D52D2"/>
    <w:rsid w:val="001D54E5"/>
    <w:rsid w:val="001D5A7D"/>
    <w:rsid w:val="001D5CAA"/>
    <w:rsid w:val="001D5F5D"/>
    <w:rsid w:val="001D6145"/>
    <w:rsid w:val="001D6280"/>
    <w:rsid w:val="001D6674"/>
    <w:rsid w:val="001D6678"/>
    <w:rsid w:val="001D66DB"/>
    <w:rsid w:val="001D6C44"/>
    <w:rsid w:val="001D6C52"/>
    <w:rsid w:val="001D6F99"/>
    <w:rsid w:val="001D765A"/>
    <w:rsid w:val="001E022B"/>
    <w:rsid w:val="001E03A3"/>
    <w:rsid w:val="001E0460"/>
    <w:rsid w:val="001E0B09"/>
    <w:rsid w:val="001E1021"/>
    <w:rsid w:val="001E1661"/>
    <w:rsid w:val="001E1757"/>
    <w:rsid w:val="001E1C59"/>
    <w:rsid w:val="001E1D01"/>
    <w:rsid w:val="001E24A3"/>
    <w:rsid w:val="001E2886"/>
    <w:rsid w:val="001E2AA1"/>
    <w:rsid w:val="001E2D23"/>
    <w:rsid w:val="001E2D73"/>
    <w:rsid w:val="001E2DEF"/>
    <w:rsid w:val="001E2EC4"/>
    <w:rsid w:val="001E31D7"/>
    <w:rsid w:val="001E334A"/>
    <w:rsid w:val="001E3542"/>
    <w:rsid w:val="001E3A49"/>
    <w:rsid w:val="001E40C2"/>
    <w:rsid w:val="001E4744"/>
    <w:rsid w:val="001E480D"/>
    <w:rsid w:val="001E4FC1"/>
    <w:rsid w:val="001E50A8"/>
    <w:rsid w:val="001E564C"/>
    <w:rsid w:val="001E5733"/>
    <w:rsid w:val="001E581A"/>
    <w:rsid w:val="001E59B6"/>
    <w:rsid w:val="001E5B17"/>
    <w:rsid w:val="001E71D2"/>
    <w:rsid w:val="001E7A3A"/>
    <w:rsid w:val="001E7F4E"/>
    <w:rsid w:val="001F0025"/>
    <w:rsid w:val="001F0474"/>
    <w:rsid w:val="001F067F"/>
    <w:rsid w:val="001F15D6"/>
    <w:rsid w:val="001F1DEE"/>
    <w:rsid w:val="001F27EB"/>
    <w:rsid w:val="001F2CE6"/>
    <w:rsid w:val="001F3DF8"/>
    <w:rsid w:val="001F40E0"/>
    <w:rsid w:val="001F4A45"/>
    <w:rsid w:val="001F4F09"/>
    <w:rsid w:val="001F508B"/>
    <w:rsid w:val="001F5465"/>
    <w:rsid w:val="001F5AF1"/>
    <w:rsid w:val="001F5E0A"/>
    <w:rsid w:val="001F5FE3"/>
    <w:rsid w:val="001F6342"/>
    <w:rsid w:val="001F7091"/>
    <w:rsid w:val="001F76CF"/>
    <w:rsid w:val="001F7C94"/>
    <w:rsid w:val="00200406"/>
    <w:rsid w:val="00200445"/>
    <w:rsid w:val="00200677"/>
    <w:rsid w:val="002007A2"/>
    <w:rsid w:val="00200D1A"/>
    <w:rsid w:val="002010BC"/>
    <w:rsid w:val="002013A0"/>
    <w:rsid w:val="00201694"/>
    <w:rsid w:val="00201B5C"/>
    <w:rsid w:val="00201CB8"/>
    <w:rsid w:val="002021F0"/>
    <w:rsid w:val="002024E0"/>
    <w:rsid w:val="002031F9"/>
    <w:rsid w:val="00203CF8"/>
    <w:rsid w:val="0020478C"/>
    <w:rsid w:val="00204E4B"/>
    <w:rsid w:val="00205F9A"/>
    <w:rsid w:val="002061D3"/>
    <w:rsid w:val="00206541"/>
    <w:rsid w:val="002065F2"/>
    <w:rsid w:val="00206AD3"/>
    <w:rsid w:val="00206D0B"/>
    <w:rsid w:val="00206FE6"/>
    <w:rsid w:val="002070E5"/>
    <w:rsid w:val="00207197"/>
    <w:rsid w:val="00207509"/>
    <w:rsid w:val="00207D22"/>
    <w:rsid w:val="00207F1E"/>
    <w:rsid w:val="00207FFD"/>
    <w:rsid w:val="00210311"/>
    <w:rsid w:val="00210578"/>
    <w:rsid w:val="00210A8A"/>
    <w:rsid w:val="00211773"/>
    <w:rsid w:val="00211887"/>
    <w:rsid w:val="002119E4"/>
    <w:rsid w:val="00211D76"/>
    <w:rsid w:val="00212584"/>
    <w:rsid w:val="0021278D"/>
    <w:rsid w:val="00212AB2"/>
    <w:rsid w:val="00212D8D"/>
    <w:rsid w:val="00212DFF"/>
    <w:rsid w:val="00212F1D"/>
    <w:rsid w:val="00213180"/>
    <w:rsid w:val="002134C2"/>
    <w:rsid w:val="00213813"/>
    <w:rsid w:val="00213901"/>
    <w:rsid w:val="00213F9A"/>
    <w:rsid w:val="00214333"/>
    <w:rsid w:val="00214C91"/>
    <w:rsid w:val="00215305"/>
    <w:rsid w:val="00215441"/>
    <w:rsid w:val="002159BA"/>
    <w:rsid w:val="00216069"/>
    <w:rsid w:val="002164A7"/>
    <w:rsid w:val="0021655B"/>
    <w:rsid w:val="002165C6"/>
    <w:rsid w:val="00216B94"/>
    <w:rsid w:val="00217839"/>
    <w:rsid w:val="00217C62"/>
    <w:rsid w:val="002202BE"/>
    <w:rsid w:val="00220D30"/>
    <w:rsid w:val="00221263"/>
    <w:rsid w:val="002218F9"/>
    <w:rsid w:val="00221CBD"/>
    <w:rsid w:val="00221D46"/>
    <w:rsid w:val="00221FDB"/>
    <w:rsid w:val="002223F4"/>
    <w:rsid w:val="00222773"/>
    <w:rsid w:val="00222882"/>
    <w:rsid w:val="002228CD"/>
    <w:rsid w:val="00222C9A"/>
    <w:rsid w:val="00222E38"/>
    <w:rsid w:val="00222E99"/>
    <w:rsid w:val="0022323D"/>
    <w:rsid w:val="002234AF"/>
    <w:rsid w:val="00223600"/>
    <w:rsid w:val="00223F62"/>
    <w:rsid w:val="00224BC2"/>
    <w:rsid w:val="00224F41"/>
    <w:rsid w:val="00225121"/>
    <w:rsid w:val="0022512B"/>
    <w:rsid w:val="0022538D"/>
    <w:rsid w:val="002254B0"/>
    <w:rsid w:val="0022569C"/>
    <w:rsid w:val="002258B6"/>
    <w:rsid w:val="00225F4C"/>
    <w:rsid w:val="002262DD"/>
    <w:rsid w:val="00226D12"/>
    <w:rsid w:val="00226DA0"/>
    <w:rsid w:val="002272E9"/>
    <w:rsid w:val="00227782"/>
    <w:rsid w:val="002278B8"/>
    <w:rsid w:val="00227A07"/>
    <w:rsid w:val="0023006E"/>
    <w:rsid w:val="002301D7"/>
    <w:rsid w:val="00230287"/>
    <w:rsid w:val="00230507"/>
    <w:rsid w:val="00230845"/>
    <w:rsid w:val="00230865"/>
    <w:rsid w:val="002308DB"/>
    <w:rsid w:val="00230992"/>
    <w:rsid w:val="0023099B"/>
    <w:rsid w:val="00231105"/>
    <w:rsid w:val="002311DF"/>
    <w:rsid w:val="00231235"/>
    <w:rsid w:val="00231F84"/>
    <w:rsid w:val="0023293C"/>
    <w:rsid w:val="00233111"/>
    <w:rsid w:val="00233865"/>
    <w:rsid w:val="00233D90"/>
    <w:rsid w:val="002343AB"/>
    <w:rsid w:val="002343CC"/>
    <w:rsid w:val="0023461E"/>
    <w:rsid w:val="00234D96"/>
    <w:rsid w:val="00235128"/>
    <w:rsid w:val="002352D2"/>
    <w:rsid w:val="002352F7"/>
    <w:rsid w:val="00235DEC"/>
    <w:rsid w:val="00236166"/>
    <w:rsid w:val="0023676C"/>
    <w:rsid w:val="00236821"/>
    <w:rsid w:val="00236D53"/>
    <w:rsid w:val="00236F1F"/>
    <w:rsid w:val="0023742F"/>
    <w:rsid w:val="0023748D"/>
    <w:rsid w:val="0023765E"/>
    <w:rsid w:val="00237CE2"/>
    <w:rsid w:val="00240106"/>
    <w:rsid w:val="002405C2"/>
    <w:rsid w:val="00240767"/>
    <w:rsid w:val="00240C6B"/>
    <w:rsid w:val="00241239"/>
    <w:rsid w:val="0024137C"/>
    <w:rsid w:val="002413B5"/>
    <w:rsid w:val="00241778"/>
    <w:rsid w:val="00241DBA"/>
    <w:rsid w:val="00241DBE"/>
    <w:rsid w:val="00241F84"/>
    <w:rsid w:val="0024217C"/>
    <w:rsid w:val="00242F5B"/>
    <w:rsid w:val="00242F87"/>
    <w:rsid w:val="00243147"/>
    <w:rsid w:val="00243308"/>
    <w:rsid w:val="002433F4"/>
    <w:rsid w:val="002433F8"/>
    <w:rsid w:val="00243574"/>
    <w:rsid w:val="00243615"/>
    <w:rsid w:val="00243926"/>
    <w:rsid w:val="00243C40"/>
    <w:rsid w:val="002443D8"/>
    <w:rsid w:val="002448A5"/>
    <w:rsid w:val="00244A07"/>
    <w:rsid w:val="00244C19"/>
    <w:rsid w:val="00244E26"/>
    <w:rsid w:val="00244EBB"/>
    <w:rsid w:val="0024536B"/>
    <w:rsid w:val="0024552A"/>
    <w:rsid w:val="0024569F"/>
    <w:rsid w:val="00245CB2"/>
    <w:rsid w:val="00245CDB"/>
    <w:rsid w:val="002462C6"/>
    <w:rsid w:val="0024758F"/>
    <w:rsid w:val="002475AE"/>
    <w:rsid w:val="00247B35"/>
    <w:rsid w:val="00247F13"/>
    <w:rsid w:val="0025084A"/>
    <w:rsid w:val="00250C03"/>
    <w:rsid w:val="00250CBC"/>
    <w:rsid w:val="002510E0"/>
    <w:rsid w:val="00251223"/>
    <w:rsid w:val="002521C5"/>
    <w:rsid w:val="002524F5"/>
    <w:rsid w:val="00252611"/>
    <w:rsid w:val="002536FE"/>
    <w:rsid w:val="00253CB3"/>
    <w:rsid w:val="00253E91"/>
    <w:rsid w:val="0025405D"/>
    <w:rsid w:val="002544A1"/>
    <w:rsid w:val="00254654"/>
    <w:rsid w:val="00254783"/>
    <w:rsid w:val="00254B86"/>
    <w:rsid w:val="00254BB5"/>
    <w:rsid w:val="00254EBC"/>
    <w:rsid w:val="00254F1A"/>
    <w:rsid w:val="00254F89"/>
    <w:rsid w:val="00255765"/>
    <w:rsid w:val="0025606A"/>
    <w:rsid w:val="00256DA1"/>
    <w:rsid w:val="0025758B"/>
    <w:rsid w:val="002575CA"/>
    <w:rsid w:val="002578BD"/>
    <w:rsid w:val="00257B12"/>
    <w:rsid w:val="00257DE7"/>
    <w:rsid w:val="00257F10"/>
    <w:rsid w:val="002602D8"/>
    <w:rsid w:val="00260758"/>
    <w:rsid w:val="00260814"/>
    <w:rsid w:val="002608A5"/>
    <w:rsid w:val="00260AEC"/>
    <w:rsid w:val="00260D52"/>
    <w:rsid w:val="00260F8E"/>
    <w:rsid w:val="0026132B"/>
    <w:rsid w:val="0026170B"/>
    <w:rsid w:val="0026175B"/>
    <w:rsid w:val="00261C75"/>
    <w:rsid w:val="002620BA"/>
    <w:rsid w:val="00262361"/>
    <w:rsid w:val="002626D5"/>
    <w:rsid w:val="00262A47"/>
    <w:rsid w:val="00262C1D"/>
    <w:rsid w:val="00262D48"/>
    <w:rsid w:val="00265085"/>
    <w:rsid w:val="00265814"/>
    <w:rsid w:val="00265C45"/>
    <w:rsid w:val="00265E4C"/>
    <w:rsid w:val="00265F12"/>
    <w:rsid w:val="00265FF8"/>
    <w:rsid w:val="00266319"/>
    <w:rsid w:val="00266A59"/>
    <w:rsid w:val="00266C14"/>
    <w:rsid w:val="002670BC"/>
    <w:rsid w:val="00267181"/>
    <w:rsid w:val="002674C4"/>
    <w:rsid w:val="002676D4"/>
    <w:rsid w:val="002679F3"/>
    <w:rsid w:val="002679F5"/>
    <w:rsid w:val="00267B14"/>
    <w:rsid w:val="00267C38"/>
    <w:rsid w:val="00267D4D"/>
    <w:rsid w:val="00267FB5"/>
    <w:rsid w:val="00267FB6"/>
    <w:rsid w:val="00270087"/>
    <w:rsid w:val="0027024F"/>
    <w:rsid w:val="002708EB"/>
    <w:rsid w:val="00270BC1"/>
    <w:rsid w:val="00270ED9"/>
    <w:rsid w:val="0027116A"/>
    <w:rsid w:val="00271324"/>
    <w:rsid w:val="002716DC"/>
    <w:rsid w:val="00271B0E"/>
    <w:rsid w:val="00271DDC"/>
    <w:rsid w:val="002720A8"/>
    <w:rsid w:val="002725D0"/>
    <w:rsid w:val="00272928"/>
    <w:rsid w:val="00272B93"/>
    <w:rsid w:val="0027311B"/>
    <w:rsid w:val="0027354A"/>
    <w:rsid w:val="0027365B"/>
    <w:rsid w:val="00273758"/>
    <w:rsid w:val="002738CC"/>
    <w:rsid w:val="002741CE"/>
    <w:rsid w:val="002743E7"/>
    <w:rsid w:val="00274415"/>
    <w:rsid w:val="002748CB"/>
    <w:rsid w:val="00274F18"/>
    <w:rsid w:val="002755D8"/>
    <w:rsid w:val="00275741"/>
    <w:rsid w:val="00275E5C"/>
    <w:rsid w:val="00275F1F"/>
    <w:rsid w:val="00276153"/>
    <w:rsid w:val="0027618F"/>
    <w:rsid w:val="0027652E"/>
    <w:rsid w:val="002765A7"/>
    <w:rsid w:val="00277108"/>
    <w:rsid w:val="0027719D"/>
    <w:rsid w:val="00277342"/>
    <w:rsid w:val="00277E82"/>
    <w:rsid w:val="00277F4D"/>
    <w:rsid w:val="002804AB"/>
    <w:rsid w:val="002805E2"/>
    <w:rsid w:val="002808F5"/>
    <w:rsid w:val="002812D1"/>
    <w:rsid w:val="002818F0"/>
    <w:rsid w:val="0028299C"/>
    <w:rsid w:val="00282C76"/>
    <w:rsid w:val="00282C96"/>
    <w:rsid w:val="00283031"/>
    <w:rsid w:val="002833E2"/>
    <w:rsid w:val="00283430"/>
    <w:rsid w:val="00283EA7"/>
    <w:rsid w:val="00284239"/>
    <w:rsid w:val="00284509"/>
    <w:rsid w:val="00284B2F"/>
    <w:rsid w:val="00284C0B"/>
    <w:rsid w:val="00284DBB"/>
    <w:rsid w:val="002863D4"/>
    <w:rsid w:val="00286C5B"/>
    <w:rsid w:val="00286E17"/>
    <w:rsid w:val="00287272"/>
    <w:rsid w:val="00287306"/>
    <w:rsid w:val="00287D1C"/>
    <w:rsid w:val="00287DD2"/>
    <w:rsid w:val="00287F06"/>
    <w:rsid w:val="002905F8"/>
    <w:rsid w:val="00290639"/>
    <w:rsid w:val="00290646"/>
    <w:rsid w:val="002906F9"/>
    <w:rsid w:val="0029088C"/>
    <w:rsid w:val="00290908"/>
    <w:rsid w:val="00290BDC"/>
    <w:rsid w:val="002912FC"/>
    <w:rsid w:val="00291319"/>
    <w:rsid w:val="002916B4"/>
    <w:rsid w:val="00291F38"/>
    <w:rsid w:val="00291FF7"/>
    <w:rsid w:val="002922B0"/>
    <w:rsid w:val="00292680"/>
    <w:rsid w:val="00292B52"/>
    <w:rsid w:val="00292C40"/>
    <w:rsid w:val="00293015"/>
    <w:rsid w:val="002930AA"/>
    <w:rsid w:val="00293139"/>
    <w:rsid w:val="00293BAF"/>
    <w:rsid w:val="00293C64"/>
    <w:rsid w:val="00293CC4"/>
    <w:rsid w:val="002942BF"/>
    <w:rsid w:val="00294519"/>
    <w:rsid w:val="00294573"/>
    <w:rsid w:val="00294804"/>
    <w:rsid w:val="00294B03"/>
    <w:rsid w:val="00294DFA"/>
    <w:rsid w:val="00294F6F"/>
    <w:rsid w:val="00295072"/>
    <w:rsid w:val="0029514E"/>
    <w:rsid w:val="002955ED"/>
    <w:rsid w:val="0029565D"/>
    <w:rsid w:val="00295722"/>
    <w:rsid w:val="0029674A"/>
    <w:rsid w:val="002968C5"/>
    <w:rsid w:val="002969F6"/>
    <w:rsid w:val="00296BF8"/>
    <w:rsid w:val="002A0A27"/>
    <w:rsid w:val="002A0C2A"/>
    <w:rsid w:val="002A0E6B"/>
    <w:rsid w:val="002A0FA4"/>
    <w:rsid w:val="002A0FE9"/>
    <w:rsid w:val="002A1A3C"/>
    <w:rsid w:val="002A1E0F"/>
    <w:rsid w:val="002A28B6"/>
    <w:rsid w:val="002A3255"/>
    <w:rsid w:val="002A33AB"/>
    <w:rsid w:val="002A35D3"/>
    <w:rsid w:val="002A36BF"/>
    <w:rsid w:val="002A3944"/>
    <w:rsid w:val="002A3C40"/>
    <w:rsid w:val="002A3EA9"/>
    <w:rsid w:val="002A407E"/>
    <w:rsid w:val="002A4113"/>
    <w:rsid w:val="002A417F"/>
    <w:rsid w:val="002A4499"/>
    <w:rsid w:val="002A458F"/>
    <w:rsid w:val="002A4E16"/>
    <w:rsid w:val="002A57F3"/>
    <w:rsid w:val="002A62BB"/>
    <w:rsid w:val="002A659A"/>
    <w:rsid w:val="002A66FD"/>
    <w:rsid w:val="002A6BB5"/>
    <w:rsid w:val="002A6FAA"/>
    <w:rsid w:val="002A728C"/>
    <w:rsid w:val="002A7F19"/>
    <w:rsid w:val="002B0116"/>
    <w:rsid w:val="002B025D"/>
    <w:rsid w:val="002B07AA"/>
    <w:rsid w:val="002B07AF"/>
    <w:rsid w:val="002B0D6F"/>
    <w:rsid w:val="002B0E3E"/>
    <w:rsid w:val="002B0ED9"/>
    <w:rsid w:val="002B0EDB"/>
    <w:rsid w:val="002B171C"/>
    <w:rsid w:val="002B172A"/>
    <w:rsid w:val="002B1EBC"/>
    <w:rsid w:val="002B204E"/>
    <w:rsid w:val="002B2439"/>
    <w:rsid w:val="002B251E"/>
    <w:rsid w:val="002B2B6B"/>
    <w:rsid w:val="002B30C8"/>
    <w:rsid w:val="002B348F"/>
    <w:rsid w:val="002B412C"/>
    <w:rsid w:val="002B4133"/>
    <w:rsid w:val="002B430E"/>
    <w:rsid w:val="002B4378"/>
    <w:rsid w:val="002B472E"/>
    <w:rsid w:val="002B4F8F"/>
    <w:rsid w:val="002B4FF4"/>
    <w:rsid w:val="002B5460"/>
    <w:rsid w:val="002B6CBD"/>
    <w:rsid w:val="002B6D35"/>
    <w:rsid w:val="002B6EDE"/>
    <w:rsid w:val="002B7486"/>
    <w:rsid w:val="002B7C13"/>
    <w:rsid w:val="002B7D87"/>
    <w:rsid w:val="002C0705"/>
    <w:rsid w:val="002C0AA4"/>
    <w:rsid w:val="002C0AE5"/>
    <w:rsid w:val="002C0C2A"/>
    <w:rsid w:val="002C0DC0"/>
    <w:rsid w:val="002C1073"/>
    <w:rsid w:val="002C135C"/>
    <w:rsid w:val="002C1477"/>
    <w:rsid w:val="002C1716"/>
    <w:rsid w:val="002C1A52"/>
    <w:rsid w:val="002C1BB4"/>
    <w:rsid w:val="002C1CEA"/>
    <w:rsid w:val="002C1EDA"/>
    <w:rsid w:val="002C21E6"/>
    <w:rsid w:val="002C277A"/>
    <w:rsid w:val="002C2818"/>
    <w:rsid w:val="002C2901"/>
    <w:rsid w:val="002C3639"/>
    <w:rsid w:val="002C3AD9"/>
    <w:rsid w:val="002C3DB2"/>
    <w:rsid w:val="002C40D3"/>
    <w:rsid w:val="002C44D3"/>
    <w:rsid w:val="002C46CF"/>
    <w:rsid w:val="002C4F30"/>
    <w:rsid w:val="002C548B"/>
    <w:rsid w:val="002C5745"/>
    <w:rsid w:val="002C578C"/>
    <w:rsid w:val="002C5AE9"/>
    <w:rsid w:val="002C5B16"/>
    <w:rsid w:val="002C66CE"/>
    <w:rsid w:val="002C68A0"/>
    <w:rsid w:val="002C71E9"/>
    <w:rsid w:val="002C7544"/>
    <w:rsid w:val="002C7FB5"/>
    <w:rsid w:val="002D01B7"/>
    <w:rsid w:val="002D0398"/>
    <w:rsid w:val="002D0733"/>
    <w:rsid w:val="002D0B85"/>
    <w:rsid w:val="002D0D53"/>
    <w:rsid w:val="002D0D5B"/>
    <w:rsid w:val="002D147C"/>
    <w:rsid w:val="002D14FE"/>
    <w:rsid w:val="002D1AA2"/>
    <w:rsid w:val="002D1BFE"/>
    <w:rsid w:val="002D1F2C"/>
    <w:rsid w:val="002D2036"/>
    <w:rsid w:val="002D247A"/>
    <w:rsid w:val="002D25F2"/>
    <w:rsid w:val="002D26BA"/>
    <w:rsid w:val="002D287F"/>
    <w:rsid w:val="002D2A5E"/>
    <w:rsid w:val="002D2D30"/>
    <w:rsid w:val="002D2D6E"/>
    <w:rsid w:val="002D2D73"/>
    <w:rsid w:val="002D33E0"/>
    <w:rsid w:val="002D373B"/>
    <w:rsid w:val="002D374A"/>
    <w:rsid w:val="002D3C8C"/>
    <w:rsid w:val="002D3FE8"/>
    <w:rsid w:val="002D4807"/>
    <w:rsid w:val="002D5373"/>
    <w:rsid w:val="002D5A48"/>
    <w:rsid w:val="002D5B5C"/>
    <w:rsid w:val="002D5B76"/>
    <w:rsid w:val="002D5FB1"/>
    <w:rsid w:val="002D681D"/>
    <w:rsid w:val="002D73E6"/>
    <w:rsid w:val="002D74DC"/>
    <w:rsid w:val="002D765F"/>
    <w:rsid w:val="002D7739"/>
    <w:rsid w:val="002E0233"/>
    <w:rsid w:val="002E08C4"/>
    <w:rsid w:val="002E0A58"/>
    <w:rsid w:val="002E0C64"/>
    <w:rsid w:val="002E0CFC"/>
    <w:rsid w:val="002E10C0"/>
    <w:rsid w:val="002E117C"/>
    <w:rsid w:val="002E120F"/>
    <w:rsid w:val="002E154D"/>
    <w:rsid w:val="002E1F28"/>
    <w:rsid w:val="002E20A6"/>
    <w:rsid w:val="002E213D"/>
    <w:rsid w:val="002E239E"/>
    <w:rsid w:val="002E26F4"/>
    <w:rsid w:val="002E2DEC"/>
    <w:rsid w:val="002E34F2"/>
    <w:rsid w:val="002E369F"/>
    <w:rsid w:val="002E3AFB"/>
    <w:rsid w:val="002E3D60"/>
    <w:rsid w:val="002E4698"/>
    <w:rsid w:val="002E4929"/>
    <w:rsid w:val="002E5202"/>
    <w:rsid w:val="002E5ADF"/>
    <w:rsid w:val="002E5F06"/>
    <w:rsid w:val="002E6167"/>
    <w:rsid w:val="002E63E9"/>
    <w:rsid w:val="002E72E0"/>
    <w:rsid w:val="002E7672"/>
    <w:rsid w:val="002E767D"/>
    <w:rsid w:val="002E7970"/>
    <w:rsid w:val="002F045E"/>
    <w:rsid w:val="002F0B56"/>
    <w:rsid w:val="002F0B88"/>
    <w:rsid w:val="002F0BD5"/>
    <w:rsid w:val="002F0CCF"/>
    <w:rsid w:val="002F0D55"/>
    <w:rsid w:val="002F0E26"/>
    <w:rsid w:val="002F13D3"/>
    <w:rsid w:val="002F1450"/>
    <w:rsid w:val="002F154E"/>
    <w:rsid w:val="002F1812"/>
    <w:rsid w:val="002F18FF"/>
    <w:rsid w:val="002F201B"/>
    <w:rsid w:val="002F20AE"/>
    <w:rsid w:val="002F2377"/>
    <w:rsid w:val="002F2701"/>
    <w:rsid w:val="002F29E9"/>
    <w:rsid w:val="002F2CAA"/>
    <w:rsid w:val="002F2F6A"/>
    <w:rsid w:val="002F2F9A"/>
    <w:rsid w:val="002F3297"/>
    <w:rsid w:val="002F35D2"/>
    <w:rsid w:val="002F35EA"/>
    <w:rsid w:val="002F38DB"/>
    <w:rsid w:val="002F3D9A"/>
    <w:rsid w:val="002F3E5A"/>
    <w:rsid w:val="002F41AD"/>
    <w:rsid w:val="002F4396"/>
    <w:rsid w:val="002F46BD"/>
    <w:rsid w:val="002F49FA"/>
    <w:rsid w:val="002F4F08"/>
    <w:rsid w:val="002F5185"/>
    <w:rsid w:val="002F5293"/>
    <w:rsid w:val="002F55FC"/>
    <w:rsid w:val="002F5B0E"/>
    <w:rsid w:val="002F6600"/>
    <w:rsid w:val="002F6EF3"/>
    <w:rsid w:val="002F763F"/>
    <w:rsid w:val="002F770E"/>
    <w:rsid w:val="00300462"/>
    <w:rsid w:val="00300638"/>
    <w:rsid w:val="00300872"/>
    <w:rsid w:val="00300B5D"/>
    <w:rsid w:val="00300F3D"/>
    <w:rsid w:val="00301AD7"/>
    <w:rsid w:val="00301D2F"/>
    <w:rsid w:val="00302867"/>
    <w:rsid w:val="00303151"/>
    <w:rsid w:val="003031E3"/>
    <w:rsid w:val="003033B8"/>
    <w:rsid w:val="0030395A"/>
    <w:rsid w:val="00303BAE"/>
    <w:rsid w:val="00303C5E"/>
    <w:rsid w:val="00303CF3"/>
    <w:rsid w:val="00303D26"/>
    <w:rsid w:val="003042AC"/>
    <w:rsid w:val="00304349"/>
    <w:rsid w:val="003050DB"/>
    <w:rsid w:val="00305502"/>
    <w:rsid w:val="003055F8"/>
    <w:rsid w:val="00305694"/>
    <w:rsid w:val="003058BB"/>
    <w:rsid w:val="00305BFA"/>
    <w:rsid w:val="003063A8"/>
    <w:rsid w:val="003068A3"/>
    <w:rsid w:val="00306CBF"/>
    <w:rsid w:val="00307201"/>
    <w:rsid w:val="0030771C"/>
    <w:rsid w:val="003102F3"/>
    <w:rsid w:val="00310588"/>
    <w:rsid w:val="0031079C"/>
    <w:rsid w:val="00310FE6"/>
    <w:rsid w:val="00311823"/>
    <w:rsid w:val="00311BE1"/>
    <w:rsid w:val="00311E6B"/>
    <w:rsid w:val="00312EE0"/>
    <w:rsid w:val="00312F5A"/>
    <w:rsid w:val="00313044"/>
    <w:rsid w:val="00313048"/>
    <w:rsid w:val="003132F2"/>
    <w:rsid w:val="003135C0"/>
    <w:rsid w:val="00313723"/>
    <w:rsid w:val="003139B2"/>
    <w:rsid w:val="00313DE2"/>
    <w:rsid w:val="00314010"/>
    <w:rsid w:val="0031548F"/>
    <w:rsid w:val="00315AC5"/>
    <w:rsid w:val="00316E97"/>
    <w:rsid w:val="00317606"/>
    <w:rsid w:val="00317619"/>
    <w:rsid w:val="00317A3C"/>
    <w:rsid w:val="00317DAA"/>
    <w:rsid w:val="003203C4"/>
    <w:rsid w:val="003203F2"/>
    <w:rsid w:val="00320662"/>
    <w:rsid w:val="00320783"/>
    <w:rsid w:val="00320F0C"/>
    <w:rsid w:val="00321186"/>
    <w:rsid w:val="00321240"/>
    <w:rsid w:val="00321C3F"/>
    <w:rsid w:val="00322397"/>
    <w:rsid w:val="003225B0"/>
    <w:rsid w:val="003225BF"/>
    <w:rsid w:val="00322ABE"/>
    <w:rsid w:val="00322C58"/>
    <w:rsid w:val="00322CE2"/>
    <w:rsid w:val="00322FA6"/>
    <w:rsid w:val="00323008"/>
    <w:rsid w:val="003232F4"/>
    <w:rsid w:val="0032360A"/>
    <w:rsid w:val="0032393F"/>
    <w:rsid w:val="003241B8"/>
    <w:rsid w:val="0032470F"/>
    <w:rsid w:val="00324C74"/>
    <w:rsid w:val="00324E42"/>
    <w:rsid w:val="003261FE"/>
    <w:rsid w:val="003268B8"/>
    <w:rsid w:val="003268C9"/>
    <w:rsid w:val="003269C4"/>
    <w:rsid w:val="00326CEC"/>
    <w:rsid w:val="003272E4"/>
    <w:rsid w:val="0032730E"/>
    <w:rsid w:val="003275A8"/>
    <w:rsid w:val="0032777E"/>
    <w:rsid w:val="00330415"/>
    <w:rsid w:val="0033085D"/>
    <w:rsid w:val="00330AE8"/>
    <w:rsid w:val="00330C6D"/>
    <w:rsid w:val="003317A6"/>
    <w:rsid w:val="00331B8D"/>
    <w:rsid w:val="00331E63"/>
    <w:rsid w:val="00331FBA"/>
    <w:rsid w:val="0033259C"/>
    <w:rsid w:val="00332652"/>
    <w:rsid w:val="00332BCD"/>
    <w:rsid w:val="00332EF9"/>
    <w:rsid w:val="003331C2"/>
    <w:rsid w:val="0033324D"/>
    <w:rsid w:val="00333322"/>
    <w:rsid w:val="00333544"/>
    <w:rsid w:val="00333D19"/>
    <w:rsid w:val="00333F03"/>
    <w:rsid w:val="00334146"/>
    <w:rsid w:val="003343FB"/>
    <w:rsid w:val="00334409"/>
    <w:rsid w:val="00334536"/>
    <w:rsid w:val="00334A3D"/>
    <w:rsid w:val="00334BE2"/>
    <w:rsid w:val="00335558"/>
    <w:rsid w:val="00335A5E"/>
    <w:rsid w:val="00335F24"/>
    <w:rsid w:val="003360DA"/>
    <w:rsid w:val="003364AB"/>
    <w:rsid w:val="00336BDE"/>
    <w:rsid w:val="00336DE6"/>
    <w:rsid w:val="0033721D"/>
    <w:rsid w:val="00337411"/>
    <w:rsid w:val="00337C12"/>
    <w:rsid w:val="003401DB"/>
    <w:rsid w:val="003402C1"/>
    <w:rsid w:val="00341170"/>
    <w:rsid w:val="00341465"/>
    <w:rsid w:val="00341646"/>
    <w:rsid w:val="00341CC2"/>
    <w:rsid w:val="0034203C"/>
    <w:rsid w:val="003421E0"/>
    <w:rsid w:val="003423B9"/>
    <w:rsid w:val="00342472"/>
    <w:rsid w:val="003429D8"/>
    <w:rsid w:val="003432EA"/>
    <w:rsid w:val="003435DE"/>
    <w:rsid w:val="00343671"/>
    <w:rsid w:val="00343813"/>
    <w:rsid w:val="00343885"/>
    <w:rsid w:val="00343EF1"/>
    <w:rsid w:val="00344515"/>
    <w:rsid w:val="003447F8"/>
    <w:rsid w:val="00344E44"/>
    <w:rsid w:val="00345818"/>
    <w:rsid w:val="003460D8"/>
    <w:rsid w:val="00346605"/>
    <w:rsid w:val="00346832"/>
    <w:rsid w:val="00346D10"/>
    <w:rsid w:val="00346D1A"/>
    <w:rsid w:val="00346DFF"/>
    <w:rsid w:val="00347418"/>
    <w:rsid w:val="00347428"/>
    <w:rsid w:val="003474D8"/>
    <w:rsid w:val="0034755A"/>
    <w:rsid w:val="00347804"/>
    <w:rsid w:val="00347BA9"/>
    <w:rsid w:val="003500FF"/>
    <w:rsid w:val="003507C3"/>
    <w:rsid w:val="003508D2"/>
    <w:rsid w:val="003514F1"/>
    <w:rsid w:val="0035188B"/>
    <w:rsid w:val="00351993"/>
    <w:rsid w:val="00351F44"/>
    <w:rsid w:val="0035242A"/>
    <w:rsid w:val="003526D4"/>
    <w:rsid w:val="00352831"/>
    <w:rsid w:val="00352947"/>
    <w:rsid w:val="00352B66"/>
    <w:rsid w:val="003531C5"/>
    <w:rsid w:val="0035336E"/>
    <w:rsid w:val="00353B4F"/>
    <w:rsid w:val="00353B5F"/>
    <w:rsid w:val="00353CD0"/>
    <w:rsid w:val="00354111"/>
    <w:rsid w:val="003545CE"/>
    <w:rsid w:val="00354EEE"/>
    <w:rsid w:val="00355110"/>
    <w:rsid w:val="00355538"/>
    <w:rsid w:val="003562F0"/>
    <w:rsid w:val="00356957"/>
    <w:rsid w:val="00356A34"/>
    <w:rsid w:val="00356C71"/>
    <w:rsid w:val="00356E38"/>
    <w:rsid w:val="0035747A"/>
    <w:rsid w:val="00357CD3"/>
    <w:rsid w:val="00357F8F"/>
    <w:rsid w:val="0036003D"/>
    <w:rsid w:val="00360E93"/>
    <w:rsid w:val="0036168C"/>
    <w:rsid w:val="0036171F"/>
    <w:rsid w:val="0036189A"/>
    <w:rsid w:val="00362FF3"/>
    <w:rsid w:val="0036312D"/>
    <w:rsid w:val="00363160"/>
    <w:rsid w:val="00363F09"/>
    <w:rsid w:val="00364438"/>
    <w:rsid w:val="0036486D"/>
    <w:rsid w:val="00364BAC"/>
    <w:rsid w:val="00365459"/>
    <w:rsid w:val="0036580C"/>
    <w:rsid w:val="00365D86"/>
    <w:rsid w:val="00365EC1"/>
    <w:rsid w:val="00365F2C"/>
    <w:rsid w:val="0036627E"/>
    <w:rsid w:val="00366989"/>
    <w:rsid w:val="00366AB0"/>
    <w:rsid w:val="003673FB"/>
    <w:rsid w:val="0036743B"/>
    <w:rsid w:val="00367803"/>
    <w:rsid w:val="00370061"/>
    <w:rsid w:val="00370192"/>
    <w:rsid w:val="00370208"/>
    <w:rsid w:val="0037077F"/>
    <w:rsid w:val="00370882"/>
    <w:rsid w:val="00370B6F"/>
    <w:rsid w:val="00371093"/>
    <w:rsid w:val="003713AE"/>
    <w:rsid w:val="00371880"/>
    <w:rsid w:val="003718FE"/>
    <w:rsid w:val="00371FDF"/>
    <w:rsid w:val="00372293"/>
    <w:rsid w:val="003727FA"/>
    <w:rsid w:val="003728A9"/>
    <w:rsid w:val="003728AF"/>
    <w:rsid w:val="00372949"/>
    <w:rsid w:val="00372CB2"/>
    <w:rsid w:val="003733B5"/>
    <w:rsid w:val="003733F2"/>
    <w:rsid w:val="00373649"/>
    <w:rsid w:val="0037366E"/>
    <w:rsid w:val="003738FF"/>
    <w:rsid w:val="003741A0"/>
    <w:rsid w:val="0037425F"/>
    <w:rsid w:val="0037426C"/>
    <w:rsid w:val="0037460B"/>
    <w:rsid w:val="00374620"/>
    <w:rsid w:val="003746C6"/>
    <w:rsid w:val="00374B5C"/>
    <w:rsid w:val="00374D38"/>
    <w:rsid w:val="00374DB7"/>
    <w:rsid w:val="00374F0F"/>
    <w:rsid w:val="00374FC0"/>
    <w:rsid w:val="003750D0"/>
    <w:rsid w:val="00375264"/>
    <w:rsid w:val="0037528A"/>
    <w:rsid w:val="00375A38"/>
    <w:rsid w:val="00375AFF"/>
    <w:rsid w:val="00376346"/>
    <w:rsid w:val="0037642E"/>
    <w:rsid w:val="003765AB"/>
    <w:rsid w:val="0037674B"/>
    <w:rsid w:val="00376A44"/>
    <w:rsid w:val="00376C11"/>
    <w:rsid w:val="00376D4D"/>
    <w:rsid w:val="00376E96"/>
    <w:rsid w:val="00376EA0"/>
    <w:rsid w:val="00377505"/>
    <w:rsid w:val="00377BC7"/>
    <w:rsid w:val="003806DA"/>
    <w:rsid w:val="003807DA"/>
    <w:rsid w:val="00380AAE"/>
    <w:rsid w:val="0038168F"/>
    <w:rsid w:val="00381CC1"/>
    <w:rsid w:val="003821A3"/>
    <w:rsid w:val="00382202"/>
    <w:rsid w:val="00382639"/>
    <w:rsid w:val="00382EBB"/>
    <w:rsid w:val="0038392E"/>
    <w:rsid w:val="00383DB3"/>
    <w:rsid w:val="00384D27"/>
    <w:rsid w:val="00385088"/>
    <w:rsid w:val="003852F2"/>
    <w:rsid w:val="00385540"/>
    <w:rsid w:val="00385C47"/>
    <w:rsid w:val="00385C5A"/>
    <w:rsid w:val="00385C65"/>
    <w:rsid w:val="00385FC5"/>
    <w:rsid w:val="00386455"/>
    <w:rsid w:val="003868A4"/>
    <w:rsid w:val="00386EDD"/>
    <w:rsid w:val="00387244"/>
    <w:rsid w:val="00387388"/>
    <w:rsid w:val="00387814"/>
    <w:rsid w:val="00387AD1"/>
    <w:rsid w:val="00390122"/>
    <w:rsid w:val="0039030C"/>
    <w:rsid w:val="00390520"/>
    <w:rsid w:val="00390632"/>
    <w:rsid w:val="00390716"/>
    <w:rsid w:val="003908BB"/>
    <w:rsid w:val="00390985"/>
    <w:rsid w:val="003913FF"/>
    <w:rsid w:val="003914B0"/>
    <w:rsid w:val="00391A22"/>
    <w:rsid w:val="003924C3"/>
    <w:rsid w:val="003928A0"/>
    <w:rsid w:val="00392A41"/>
    <w:rsid w:val="00392AB0"/>
    <w:rsid w:val="00393C67"/>
    <w:rsid w:val="00394710"/>
    <w:rsid w:val="00394A45"/>
    <w:rsid w:val="00394E2B"/>
    <w:rsid w:val="003956D8"/>
    <w:rsid w:val="00395F4C"/>
    <w:rsid w:val="00396011"/>
    <w:rsid w:val="00396DA1"/>
    <w:rsid w:val="00396FE9"/>
    <w:rsid w:val="003976CA"/>
    <w:rsid w:val="003A07C8"/>
    <w:rsid w:val="003A0958"/>
    <w:rsid w:val="003A24D9"/>
    <w:rsid w:val="003A25DF"/>
    <w:rsid w:val="003A29A4"/>
    <w:rsid w:val="003A2DDD"/>
    <w:rsid w:val="003A2F03"/>
    <w:rsid w:val="003A30BE"/>
    <w:rsid w:val="003A31CD"/>
    <w:rsid w:val="003A3427"/>
    <w:rsid w:val="003A3E92"/>
    <w:rsid w:val="003A3F4A"/>
    <w:rsid w:val="003A3F9B"/>
    <w:rsid w:val="003A42FE"/>
    <w:rsid w:val="003A47C4"/>
    <w:rsid w:val="003A4C49"/>
    <w:rsid w:val="003A4F5C"/>
    <w:rsid w:val="003A52EA"/>
    <w:rsid w:val="003A53F8"/>
    <w:rsid w:val="003A5BB9"/>
    <w:rsid w:val="003A5CF6"/>
    <w:rsid w:val="003A6136"/>
    <w:rsid w:val="003A691A"/>
    <w:rsid w:val="003A6EC2"/>
    <w:rsid w:val="003A6F77"/>
    <w:rsid w:val="003A7366"/>
    <w:rsid w:val="003A7F09"/>
    <w:rsid w:val="003A7F38"/>
    <w:rsid w:val="003B0402"/>
    <w:rsid w:val="003B0F26"/>
    <w:rsid w:val="003B0F3A"/>
    <w:rsid w:val="003B1E0D"/>
    <w:rsid w:val="003B1E57"/>
    <w:rsid w:val="003B1F36"/>
    <w:rsid w:val="003B234D"/>
    <w:rsid w:val="003B26F1"/>
    <w:rsid w:val="003B2B09"/>
    <w:rsid w:val="003B2C45"/>
    <w:rsid w:val="003B32AA"/>
    <w:rsid w:val="003B351B"/>
    <w:rsid w:val="003B3643"/>
    <w:rsid w:val="003B3676"/>
    <w:rsid w:val="003B36E4"/>
    <w:rsid w:val="003B3F7A"/>
    <w:rsid w:val="003B405C"/>
    <w:rsid w:val="003B4328"/>
    <w:rsid w:val="003B44EC"/>
    <w:rsid w:val="003B4659"/>
    <w:rsid w:val="003B4D5C"/>
    <w:rsid w:val="003B4F05"/>
    <w:rsid w:val="003B5558"/>
    <w:rsid w:val="003B597C"/>
    <w:rsid w:val="003B612C"/>
    <w:rsid w:val="003B62A1"/>
    <w:rsid w:val="003B65B3"/>
    <w:rsid w:val="003B6657"/>
    <w:rsid w:val="003B677F"/>
    <w:rsid w:val="003B6786"/>
    <w:rsid w:val="003B6972"/>
    <w:rsid w:val="003B6977"/>
    <w:rsid w:val="003B6C70"/>
    <w:rsid w:val="003B6FD8"/>
    <w:rsid w:val="003B709B"/>
    <w:rsid w:val="003B7746"/>
    <w:rsid w:val="003B79AC"/>
    <w:rsid w:val="003B7DDA"/>
    <w:rsid w:val="003B7F73"/>
    <w:rsid w:val="003C0870"/>
    <w:rsid w:val="003C0D14"/>
    <w:rsid w:val="003C0F8C"/>
    <w:rsid w:val="003C141F"/>
    <w:rsid w:val="003C1E7A"/>
    <w:rsid w:val="003C2651"/>
    <w:rsid w:val="003C2890"/>
    <w:rsid w:val="003C3192"/>
    <w:rsid w:val="003C342E"/>
    <w:rsid w:val="003C3524"/>
    <w:rsid w:val="003C3574"/>
    <w:rsid w:val="003C3894"/>
    <w:rsid w:val="003C50C4"/>
    <w:rsid w:val="003C55B8"/>
    <w:rsid w:val="003C5A51"/>
    <w:rsid w:val="003C5A7B"/>
    <w:rsid w:val="003C5CC1"/>
    <w:rsid w:val="003C5E96"/>
    <w:rsid w:val="003C630D"/>
    <w:rsid w:val="003C648E"/>
    <w:rsid w:val="003C69BE"/>
    <w:rsid w:val="003C7503"/>
    <w:rsid w:val="003C7B65"/>
    <w:rsid w:val="003D03CA"/>
    <w:rsid w:val="003D0867"/>
    <w:rsid w:val="003D0CDC"/>
    <w:rsid w:val="003D115F"/>
    <w:rsid w:val="003D1387"/>
    <w:rsid w:val="003D14B4"/>
    <w:rsid w:val="003D1F5D"/>
    <w:rsid w:val="003D2063"/>
    <w:rsid w:val="003D22D9"/>
    <w:rsid w:val="003D2CD6"/>
    <w:rsid w:val="003D2EFC"/>
    <w:rsid w:val="003D2F32"/>
    <w:rsid w:val="003D2FB4"/>
    <w:rsid w:val="003D34C3"/>
    <w:rsid w:val="003D3752"/>
    <w:rsid w:val="003D3839"/>
    <w:rsid w:val="003D3BE5"/>
    <w:rsid w:val="003D3C31"/>
    <w:rsid w:val="003D3E8A"/>
    <w:rsid w:val="003D42C7"/>
    <w:rsid w:val="003D42F6"/>
    <w:rsid w:val="003D46D1"/>
    <w:rsid w:val="003D4BDF"/>
    <w:rsid w:val="003D52F0"/>
    <w:rsid w:val="003D5F8B"/>
    <w:rsid w:val="003D62F7"/>
    <w:rsid w:val="003D6654"/>
    <w:rsid w:val="003D6746"/>
    <w:rsid w:val="003D675C"/>
    <w:rsid w:val="003D6FA5"/>
    <w:rsid w:val="003D7364"/>
    <w:rsid w:val="003D780B"/>
    <w:rsid w:val="003D7C0F"/>
    <w:rsid w:val="003E01B9"/>
    <w:rsid w:val="003E0AF9"/>
    <w:rsid w:val="003E0DF4"/>
    <w:rsid w:val="003E13D0"/>
    <w:rsid w:val="003E1622"/>
    <w:rsid w:val="003E195F"/>
    <w:rsid w:val="003E1C77"/>
    <w:rsid w:val="003E1E0E"/>
    <w:rsid w:val="003E1E49"/>
    <w:rsid w:val="003E2631"/>
    <w:rsid w:val="003E284E"/>
    <w:rsid w:val="003E2AD0"/>
    <w:rsid w:val="003E2EC9"/>
    <w:rsid w:val="003E2EEB"/>
    <w:rsid w:val="003E2F68"/>
    <w:rsid w:val="003E31FC"/>
    <w:rsid w:val="003E36A9"/>
    <w:rsid w:val="003E37C0"/>
    <w:rsid w:val="003E39C6"/>
    <w:rsid w:val="003E3C63"/>
    <w:rsid w:val="003E3D61"/>
    <w:rsid w:val="003E3F16"/>
    <w:rsid w:val="003E4056"/>
    <w:rsid w:val="003E49B9"/>
    <w:rsid w:val="003E4A01"/>
    <w:rsid w:val="003E59DF"/>
    <w:rsid w:val="003E6465"/>
    <w:rsid w:val="003E6515"/>
    <w:rsid w:val="003E677C"/>
    <w:rsid w:val="003E6815"/>
    <w:rsid w:val="003E6B56"/>
    <w:rsid w:val="003E6C76"/>
    <w:rsid w:val="003E6E35"/>
    <w:rsid w:val="003E6E37"/>
    <w:rsid w:val="003E76E8"/>
    <w:rsid w:val="003E7B35"/>
    <w:rsid w:val="003E7BC0"/>
    <w:rsid w:val="003F011F"/>
    <w:rsid w:val="003F023E"/>
    <w:rsid w:val="003F03AB"/>
    <w:rsid w:val="003F08BD"/>
    <w:rsid w:val="003F10C8"/>
    <w:rsid w:val="003F115B"/>
    <w:rsid w:val="003F120E"/>
    <w:rsid w:val="003F13FC"/>
    <w:rsid w:val="003F19B7"/>
    <w:rsid w:val="003F1C53"/>
    <w:rsid w:val="003F23D0"/>
    <w:rsid w:val="003F256C"/>
    <w:rsid w:val="003F25E0"/>
    <w:rsid w:val="003F2DFF"/>
    <w:rsid w:val="003F37DB"/>
    <w:rsid w:val="003F39F4"/>
    <w:rsid w:val="003F4272"/>
    <w:rsid w:val="003F42D9"/>
    <w:rsid w:val="003F4851"/>
    <w:rsid w:val="003F4A2A"/>
    <w:rsid w:val="003F4B43"/>
    <w:rsid w:val="003F4D2F"/>
    <w:rsid w:val="003F4ED4"/>
    <w:rsid w:val="003F5016"/>
    <w:rsid w:val="003F509D"/>
    <w:rsid w:val="003F517B"/>
    <w:rsid w:val="003F5C23"/>
    <w:rsid w:val="003F620A"/>
    <w:rsid w:val="003F6368"/>
    <w:rsid w:val="003F642C"/>
    <w:rsid w:val="003F6552"/>
    <w:rsid w:val="003F6E39"/>
    <w:rsid w:val="003F6F1B"/>
    <w:rsid w:val="003F71A9"/>
    <w:rsid w:val="003F7289"/>
    <w:rsid w:val="003F72D0"/>
    <w:rsid w:val="003F7506"/>
    <w:rsid w:val="00400202"/>
    <w:rsid w:val="00400320"/>
    <w:rsid w:val="00400636"/>
    <w:rsid w:val="00400A9D"/>
    <w:rsid w:val="00400AAA"/>
    <w:rsid w:val="00400EF9"/>
    <w:rsid w:val="0040166E"/>
    <w:rsid w:val="00401E71"/>
    <w:rsid w:val="00401EA2"/>
    <w:rsid w:val="0040208C"/>
    <w:rsid w:val="0040222A"/>
    <w:rsid w:val="00402341"/>
    <w:rsid w:val="00402AE1"/>
    <w:rsid w:val="00402F5B"/>
    <w:rsid w:val="0040344D"/>
    <w:rsid w:val="00403C19"/>
    <w:rsid w:val="004046A8"/>
    <w:rsid w:val="00404700"/>
    <w:rsid w:val="00404CE5"/>
    <w:rsid w:val="00404E7F"/>
    <w:rsid w:val="00405122"/>
    <w:rsid w:val="0040519A"/>
    <w:rsid w:val="004052EA"/>
    <w:rsid w:val="0040541F"/>
    <w:rsid w:val="00405574"/>
    <w:rsid w:val="004055C0"/>
    <w:rsid w:val="0040570E"/>
    <w:rsid w:val="00405B92"/>
    <w:rsid w:val="00406DA8"/>
    <w:rsid w:val="0040732C"/>
    <w:rsid w:val="00407B90"/>
    <w:rsid w:val="00407FB6"/>
    <w:rsid w:val="0041033C"/>
    <w:rsid w:val="00410E50"/>
    <w:rsid w:val="0041174B"/>
    <w:rsid w:val="00411848"/>
    <w:rsid w:val="00411F7A"/>
    <w:rsid w:val="0041206F"/>
    <w:rsid w:val="004120E5"/>
    <w:rsid w:val="00412150"/>
    <w:rsid w:val="004125F7"/>
    <w:rsid w:val="004128C0"/>
    <w:rsid w:val="00412A6B"/>
    <w:rsid w:val="00413133"/>
    <w:rsid w:val="00413448"/>
    <w:rsid w:val="004136E7"/>
    <w:rsid w:val="00414198"/>
    <w:rsid w:val="0041430B"/>
    <w:rsid w:val="00414658"/>
    <w:rsid w:val="0041470C"/>
    <w:rsid w:val="00414AAF"/>
    <w:rsid w:val="00414C95"/>
    <w:rsid w:val="00415A9F"/>
    <w:rsid w:val="00415F0C"/>
    <w:rsid w:val="00415FB8"/>
    <w:rsid w:val="004167E0"/>
    <w:rsid w:val="004168A9"/>
    <w:rsid w:val="0041731F"/>
    <w:rsid w:val="0041772E"/>
    <w:rsid w:val="0041774D"/>
    <w:rsid w:val="004179D3"/>
    <w:rsid w:val="00417D9A"/>
    <w:rsid w:val="00420C14"/>
    <w:rsid w:val="00420F8D"/>
    <w:rsid w:val="00420FA6"/>
    <w:rsid w:val="004217EE"/>
    <w:rsid w:val="004218A9"/>
    <w:rsid w:val="00421D98"/>
    <w:rsid w:val="00421E6A"/>
    <w:rsid w:val="004222C6"/>
    <w:rsid w:val="0042231C"/>
    <w:rsid w:val="004225AE"/>
    <w:rsid w:val="004230D7"/>
    <w:rsid w:val="0042344F"/>
    <w:rsid w:val="004239F4"/>
    <w:rsid w:val="00423C2D"/>
    <w:rsid w:val="004241BC"/>
    <w:rsid w:val="0042468D"/>
    <w:rsid w:val="0042495B"/>
    <w:rsid w:val="00424C5B"/>
    <w:rsid w:val="00424CC4"/>
    <w:rsid w:val="00424EFA"/>
    <w:rsid w:val="00425CEA"/>
    <w:rsid w:val="00426093"/>
    <w:rsid w:val="00426C01"/>
    <w:rsid w:val="00426F69"/>
    <w:rsid w:val="00427314"/>
    <w:rsid w:val="004273A3"/>
    <w:rsid w:val="00427466"/>
    <w:rsid w:val="0043011E"/>
    <w:rsid w:val="00430494"/>
    <w:rsid w:val="004309E4"/>
    <w:rsid w:val="00431116"/>
    <w:rsid w:val="004311FE"/>
    <w:rsid w:val="0043193F"/>
    <w:rsid w:val="00431AC5"/>
    <w:rsid w:val="00431E73"/>
    <w:rsid w:val="00431F97"/>
    <w:rsid w:val="004326EA"/>
    <w:rsid w:val="00432AA0"/>
    <w:rsid w:val="00433031"/>
    <w:rsid w:val="004336AD"/>
    <w:rsid w:val="00433910"/>
    <w:rsid w:val="00433CEF"/>
    <w:rsid w:val="00433E9A"/>
    <w:rsid w:val="00434081"/>
    <w:rsid w:val="00434261"/>
    <w:rsid w:val="004346BD"/>
    <w:rsid w:val="004354F9"/>
    <w:rsid w:val="0043565D"/>
    <w:rsid w:val="00435889"/>
    <w:rsid w:val="004359CD"/>
    <w:rsid w:val="0043635F"/>
    <w:rsid w:val="00436FAE"/>
    <w:rsid w:val="00437273"/>
    <w:rsid w:val="00437FF1"/>
    <w:rsid w:val="004408B1"/>
    <w:rsid w:val="004408B7"/>
    <w:rsid w:val="004409CE"/>
    <w:rsid w:val="00440AEF"/>
    <w:rsid w:val="00440B36"/>
    <w:rsid w:val="00441205"/>
    <w:rsid w:val="00441510"/>
    <w:rsid w:val="004417CD"/>
    <w:rsid w:val="004418E0"/>
    <w:rsid w:val="004419E4"/>
    <w:rsid w:val="00441AEB"/>
    <w:rsid w:val="00441B23"/>
    <w:rsid w:val="00441B8E"/>
    <w:rsid w:val="00441D69"/>
    <w:rsid w:val="00441ED5"/>
    <w:rsid w:val="00441FCA"/>
    <w:rsid w:val="004421C1"/>
    <w:rsid w:val="0044251C"/>
    <w:rsid w:val="0044295C"/>
    <w:rsid w:val="00442A2D"/>
    <w:rsid w:val="00442BF0"/>
    <w:rsid w:val="00442EAA"/>
    <w:rsid w:val="004432C1"/>
    <w:rsid w:val="00443826"/>
    <w:rsid w:val="00443A64"/>
    <w:rsid w:val="00443C38"/>
    <w:rsid w:val="00444582"/>
    <w:rsid w:val="00444951"/>
    <w:rsid w:val="004449AC"/>
    <w:rsid w:val="00444BC7"/>
    <w:rsid w:val="00444D1C"/>
    <w:rsid w:val="00444EF5"/>
    <w:rsid w:val="0044554B"/>
    <w:rsid w:val="00445616"/>
    <w:rsid w:val="004463C4"/>
    <w:rsid w:val="004464B8"/>
    <w:rsid w:val="00447403"/>
    <w:rsid w:val="00447A3B"/>
    <w:rsid w:val="00447AA4"/>
    <w:rsid w:val="00447EB1"/>
    <w:rsid w:val="00447EB6"/>
    <w:rsid w:val="004503C4"/>
    <w:rsid w:val="0045044D"/>
    <w:rsid w:val="0045067D"/>
    <w:rsid w:val="00451214"/>
    <w:rsid w:val="004513DE"/>
    <w:rsid w:val="004519D3"/>
    <w:rsid w:val="004522E3"/>
    <w:rsid w:val="00452502"/>
    <w:rsid w:val="0045279D"/>
    <w:rsid w:val="00452FD0"/>
    <w:rsid w:val="00453054"/>
    <w:rsid w:val="0045345F"/>
    <w:rsid w:val="004535C3"/>
    <w:rsid w:val="004548D3"/>
    <w:rsid w:val="00454DEE"/>
    <w:rsid w:val="00455062"/>
    <w:rsid w:val="0045526A"/>
    <w:rsid w:val="00455442"/>
    <w:rsid w:val="0045545B"/>
    <w:rsid w:val="00455899"/>
    <w:rsid w:val="00455DFC"/>
    <w:rsid w:val="00457006"/>
    <w:rsid w:val="00457652"/>
    <w:rsid w:val="004577C1"/>
    <w:rsid w:val="0045785C"/>
    <w:rsid w:val="00460005"/>
    <w:rsid w:val="00460427"/>
    <w:rsid w:val="00460466"/>
    <w:rsid w:val="00460A21"/>
    <w:rsid w:val="00460F72"/>
    <w:rsid w:val="004612C3"/>
    <w:rsid w:val="00461479"/>
    <w:rsid w:val="0046157F"/>
    <w:rsid w:val="004621EF"/>
    <w:rsid w:val="0046252F"/>
    <w:rsid w:val="004626D9"/>
    <w:rsid w:val="00462A63"/>
    <w:rsid w:val="00462D8D"/>
    <w:rsid w:val="0046328E"/>
    <w:rsid w:val="00463867"/>
    <w:rsid w:val="00463CDD"/>
    <w:rsid w:val="0046405A"/>
    <w:rsid w:val="004640C7"/>
    <w:rsid w:val="0046435C"/>
    <w:rsid w:val="00464796"/>
    <w:rsid w:val="004647F5"/>
    <w:rsid w:val="00464D03"/>
    <w:rsid w:val="00465840"/>
    <w:rsid w:val="0046587C"/>
    <w:rsid w:val="00465922"/>
    <w:rsid w:val="00465B30"/>
    <w:rsid w:val="00465F18"/>
    <w:rsid w:val="0046636F"/>
    <w:rsid w:val="00466899"/>
    <w:rsid w:val="00466FE4"/>
    <w:rsid w:val="004672DE"/>
    <w:rsid w:val="00467533"/>
    <w:rsid w:val="00467B1F"/>
    <w:rsid w:val="00467B78"/>
    <w:rsid w:val="004707C9"/>
    <w:rsid w:val="00470977"/>
    <w:rsid w:val="004709A7"/>
    <w:rsid w:val="00470DF9"/>
    <w:rsid w:val="00472CB2"/>
    <w:rsid w:val="004733D9"/>
    <w:rsid w:val="004734D0"/>
    <w:rsid w:val="00473538"/>
    <w:rsid w:val="00473997"/>
    <w:rsid w:val="004743E7"/>
    <w:rsid w:val="00474435"/>
    <w:rsid w:val="00474CAF"/>
    <w:rsid w:val="00474E3B"/>
    <w:rsid w:val="00474E9C"/>
    <w:rsid w:val="00475552"/>
    <w:rsid w:val="004757EF"/>
    <w:rsid w:val="00475C17"/>
    <w:rsid w:val="0047621E"/>
    <w:rsid w:val="0047642D"/>
    <w:rsid w:val="004766AD"/>
    <w:rsid w:val="00476951"/>
    <w:rsid w:val="00477643"/>
    <w:rsid w:val="00477A8A"/>
    <w:rsid w:val="00477CFB"/>
    <w:rsid w:val="00480FD7"/>
    <w:rsid w:val="00481170"/>
    <w:rsid w:val="004812B2"/>
    <w:rsid w:val="004814EC"/>
    <w:rsid w:val="00481527"/>
    <w:rsid w:val="00481797"/>
    <w:rsid w:val="0048188D"/>
    <w:rsid w:val="004819F6"/>
    <w:rsid w:val="00481A4E"/>
    <w:rsid w:val="00481AED"/>
    <w:rsid w:val="00481B1F"/>
    <w:rsid w:val="00481E06"/>
    <w:rsid w:val="00481E10"/>
    <w:rsid w:val="00482018"/>
    <w:rsid w:val="00482401"/>
    <w:rsid w:val="004826B2"/>
    <w:rsid w:val="00482AA2"/>
    <w:rsid w:val="004832D0"/>
    <w:rsid w:val="004833A7"/>
    <w:rsid w:val="004833DC"/>
    <w:rsid w:val="00483413"/>
    <w:rsid w:val="004839BB"/>
    <w:rsid w:val="00483C35"/>
    <w:rsid w:val="00484005"/>
    <w:rsid w:val="0048493D"/>
    <w:rsid w:val="004849D3"/>
    <w:rsid w:val="00484DC3"/>
    <w:rsid w:val="00484EBF"/>
    <w:rsid w:val="00484FE8"/>
    <w:rsid w:val="0048526D"/>
    <w:rsid w:val="00485D46"/>
    <w:rsid w:val="004866BD"/>
    <w:rsid w:val="004866F2"/>
    <w:rsid w:val="00486B0D"/>
    <w:rsid w:val="00486E68"/>
    <w:rsid w:val="00487465"/>
    <w:rsid w:val="004877FB"/>
    <w:rsid w:val="00487937"/>
    <w:rsid w:val="004879D3"/>
    <w:rsid w:val="00487FDC"/>
    <w:rsid w:val="00490116"/>
    <w:rsid w:val="00490499"/>
    <w:rsid w:val="004907C2"/>
    <w:rsid w:val="00490F7A"/>
    <w:rsid w:val="004917B1"/>
    <w:rsid w:val="00491C65"/>
    <w:rsid w:val="00492065"/>
    <w:rsid w:val="00492372"/>
    <w:rsid w:val="0049283B"/>
    <w:rsid w:val="00492891"/>
    <w:rsid w:val="00492C9F"/>
    <w:rsid w:val="00492D13"/>
    <w:rsid w:val="00492D1A"/>
    <w:rsid w:val="00492D97"/>
    <w:rsid w:val="00492F33"/>
    <w:rsid w:val="0049389A"/>
    <w:rsid w:val="00493D8C"/>
    <w:rsid w:val="00493E42"/>
    <w:rsid w:val="00494465"/>
    <w:rsid w:val="004946B4"/>
    <w:rsid w:val="00494757"/>
    <w:rsid w:val="004948F0"/>
    <w:rsid w:val="00494B0C"/>
    <w:rsid w:val="00494BFA"/>
    <w:rsid w:val="00494DF0"/>
    <w:rsid w:val="004959FE"/>
    <w:rsid w:val="004967A9"/>
    <w:rsid w:val="004967BD"/>
    <w:rsid w:val="00496B57"/>
    <w:rsid w:val="004971B8"/>
    <w:rsid w:val="00497532"/>
    <w:rsid w:val="004A0233"/>
    <w:rsid w:val="004A02A4"/>
    <w:rsid w:val="004A0856"/>
    <w:rsid w:val="004A0C6C"/>
    <w:rsid w:val="004A0CAA"/>
    <w:rsid w:val="004A0E45"/>
    <w:rsid w:val="004A140F"/>
    <w:rsid w:val="004A1670"/>
    <w:rsid w:val="004A1A3D"/>
    <w:rsid w:val="004A1A8A"/>
    <w:rsid w:val="004A1AA2"/>
    <w:rsid w:val="004A1B1E"/>
    <w:rsid w:val="004A2185"/>
    <w:rsid w:val="004A27E5"/>
    <w:rsid w:val="004A3A51"/>
    <w:rsid w:val="004A415E"/>
    <w:rsid w:val="004A41CC"/>
    <w:rsid w:val="004A4B99"/>
    <w:rsid w:val="004A4BDC"/>
    <w:rsid w:val="004A5556"/>
    <w:rsid w:val="004A5724"/>
    <w:rsid w:val="004A596A"/>
    <w:rsid w:val="004A5BF4"/>
    <w:rsid w:val="004A5E45"/>
    <w:rsid w:val="004A65CF"/>
    <w:rsid w:val="004A663E"/>
    <w:rsid w:val="004A6AFD"/>
    <w:rsid w:val="004A77F6"/>
    <w:rsid w:val="004A7FB7"/>
    <w:rsid w:val="004B012B"/>
    <w:rsid w:val="004B02A0"/>
    <w:rsid w:val="004B0360"/>
    <w:rsid w:val="004B0D5C"/>
    <w:rsid w:val="004B1567"/>
    <w:rsid w:val="004B1601"/>
    <w:rsid w:val="004B1685"/>
    <w:rsid w:val="004B1C37"/>
    <w:rsid w:val="004B1CDB"/>
    <w:rsid w:val="004B24A7"/>
    <w:rsid w:val="004B2C68"/>
    <w:rsid w:val="004B2F9A"/>
    <w:rsid w:val="004B32AF"/>
    <w:rsid w:val="004B34D9"/>
    <w:rsid w:val="004B380E"/>
    <w:rsid w:val="004B38E7"/>
    <w:rsid w:val="004B39A0"/>
    <w:rsid w:val="004B3D2B"/>
    <w:rsid w:val="004B3D4D"/>
    <w:rsid w:val="004B3DDF"/>
    <w:rsid w:val="004B3ED6"/>
    <w:rsid w:val="004B458E"/>
    <w:rsid w:val="004B4765"/>
    <w:rsid w:val="004B4B46"/>
    <w:rsid w:val="004B4BE6"/>
    <w:rsid w:val="004B4D75"/>
    <w:rsid w:val="004B4E72"/>
    <w:rsid w:val="004B5A14"/>
    <w:rsid w:val="004B5E03"/>
    <w:rsid w:val="004B644B"/>
    <w:rsid w:val="004B66BF"/>
    <w:rsid w:val="004B6744"/>
    <w:rsid w:val="004B7038"/>
    <w:rsid w:val="004B7294"/>
    <w:rsid w:val="004B74C0"/>
    <w:rsid w:val="004B7571"/>
    <w:rsid w:val="004B7643"/>
    <w:rsid w:val="004B7B48"/>
    <w:rsid w:val="004B7EC9"/>
    <w:rsid w:val="004C05D5"/>
    <w:rsid w:val="004C0862"/>
    <w:rsid w:val="004C0954"/>
    <w:rsid w:val="004C0A14"/>
    <w:rsid w:val="004C0C26"/>
    <w:rsid w:val="004C171E"/>
    <w:rsid w:val="004C1E8A"/>
    <w:rsid w:val="004C2234"/>
    <w:rsid w:val="004C2789"/>
    <w:rsid w:val="004C2B32"/>
    <w:rsid w:val="004C2DF9"/>
    <w:rsid w:val="004C3047"/>
    <w:rsid w:val="004C32CC"/>
    <w:rsid w:val="004C38D8"/>
    <w:rsid w:val="004C3C95"/>
    <w:rsid w:val="004C43A7"/>
    <w:rsid w:val="004C4B41"/>
    <w:rsid w:val="004C4B5C"/>
    <w:rsid w:val="004C5143"/>
    <w:rsid w:val="004C5D01"/>
    <w:rsid w:val="004C5D91"/>
    <w:rsid w:val="004C6069"/>
    <w:rsid w:val="004C6695"/>
    <w:rsid w:val="004C69F3"/>
    <w:rsid w:val="004C6A47"/>
    <w:rsid w:val="004C6AA1"/>
    <w:rsid w:val="004C6CC1"/>
    <w:rsid w:val="004C6F37"/>
    <w:rsid w:val="004C6F3B"/>
    <w:rsid w:val="004C71A7"/>
    <w:rsid w:val="004C75A1"/>
    <w:rsid w:val="004C7603"/>
    <w:rsid w:val="004C7862"/>
    <w:rsid w:val="004C7974"/>
    <w:rsid w:val="004C79B5"/>
    <w:rsid w:val="004C7A20"/>
    <w:rsid w:val="004D01BC"/>
    <w:rsid w:val="004D02C8"/>
    <w:rsid w:val="004D0517"/>
    <w:rsid w:val="004D05BE"/>
    <w:rsid w:val="004D0F0D"/>
    <w:rsid w:val="004D13F2"/>
    <w:rsid w:val="004D202B"/>
    <w:rsid w:val="004D204A"/>
    <w:rsid w:val="004D293A"/>
    <w:rsid w:val="004D2E87"/>
    <w:rsid w:val="004D2F42"/>
    <w:rsid w:val="004D3567"/>
    <w:rsid w:val="004D3B9D"/>
    <w:rsid w:val="004D3C71"/>
    <w:rsid w:val="004D4367"/>
    <w:rsid w:val="004D48A4"/>
    <w:rsid w:val="004D493D"/>
    <w:rsid w:val="004D4BE6"/>
    <w:rsid w:val="004D4C24"/>
    <w:rsid w:val="004D4E9D"/>
    <w:rsid w:val="004D55C1"/>
    <w:rsid w:val="004D5E6E"/>
    <w:rsid w:val="004D5FCD"/>
    <w:rsid w:val="004D6338"/>
    <w:rsid w:val="004D64A7"/>
    <w:rsid w:val="004D6C76"/>
    <w:rsid w:val="004D738D"/>
    <w:rsid w:val="004D794F"/>
    <w:rsid w:val="004D7AD6"/>
    <w:rsid w:val="004E07FD"/>
    <w:rsid w:val="004E0F4C"/>
    <w:rsid w:val="004E11CB"/>
    <w:rsid w:val="004E12FD"/>
    <w:rsid w:val="004E14A3"/>
    <w:rsid w:val="004E152D"/>
    <w:rsid w:val="004E169A"/>
    <w:rsid w:val="004E18A6"/>
    <w:rsid w:val="004E25AD"/>
    <w:rsid w:val="004E3885"/>
    <w:rsid w:val="004E3DA0"/>
    <w:rsid w:val="004E3E7F"/>
    <w:rsid w:val="004E3EDD"/>
    <w:rsid w:val="004E4146"/>
    <w:rsid w:val="004E41B0"/>
    <w:rsid w:val="004E41EB"/>
    <w:rsid w:val="004E477C"/>
    <w:rsid w:val="004E4C94"/>
    <w:rsid w:val="004E5082"/>
    <w:rsid w:val="004E549A"/>
    <w:rsid w:val="004E5ADE"/>
    <w:rsid w:val="004E630C"/>
    <w:rsid w:val="004E640B"/>
    <w:rsid w:val="004E675D"/>
    <w:rsid w:val="004E6DFE"/>
    <w:rsid w:val="004E7318"/>
    <w:rsid w:val="004E737C"/>
    <w:rsid w:val="004E783D"/>
    <w:rsid w:val="004E7F8C"/>
    <w:rsid w:val="004F0537"/>
    <w:rsid w:val="004F05B3"/>
    <w:rsid w:val="004F0632"/>
    <w:rsid w:val="004F07F3"/>
    <w:rsid w:val="004F0A89"/>
    <w:rsid w:val="004F0BE7"/>
    <w:rsid w:val="004F0CFF"/>
    <w:rsid w:val="004F1064"/>
    <w:rsid w:val="004F1397"/>
    <w:rsid w:val="004F1D63"/>
    <w:rsid w:val="004F3925"/>
    <w:rsid w:val="004F3F64"/>
    <w:rsid w:val="004F3FB2"/>
    <w:rsid w:val="004F412A"/>
    <w:rsid w:val="004F44F3"/>
    <w:rsid w:val="004F4DA8"/>
    <w:rsid w:val="004F4DB1"/>
    <w:rsid w:val="004F517A"/>
    <w:rsid w:val="004F554A"/>
    <w:rsid w:val="004F57D3"/>
    <w:rsid w:val="004F58A6"/>
    <w:rsid w:val="004F5911"/>
    <w:rsid w:val="004F6692"/>
    <w:rsid w:val="004F67C7"/>
    <w:rsid w:val="004F6E5A"/>
    <w:rsid w:val="004F7058"/>
    <w:rsid w:val="004F75D3"/>
    <w:rsid w:val="004F7CED"/>
    <w:rsid w:val="0050014B"/>
    <w:rsid w:val="005002C5"/>
    <w:rsid w:val="005004DB"/>
    <w:rsid w:val="00500A33"/>
    <w:rsid w:val="00500AAD"/>
    <w:rsid w:val="00500FE7"/>
    <w:rsid w:val="00501109"/>
    <w:rsid w:val="005012F5"/>
    <w:rsid w:val="0050141C"/>
    <w:rsid w:val="00501478"/>
    <w:rsid w:val="00501752"/>
    <w:rsid w:val="00501FF4"/>
    <w:rsid w:val="00503520"/>
    <w:rsid w:val="00503523"/>
    <w:rsid w:val="005035BB"/>
    <w:rsid w:val="00503606"/>
    <w:rsid w:val="00503B14"/>
    <w:rsid w:val="00503BDF"/>
    <w:rsid w:val="005043FD"/>
    <w:rsid w:val="00504A5B"/>
    <w:rsid w:val="00505B17"/>
    <w:rsid w:val="005060E1"/>
    <w:rsid w:val="005062B7"/>
    <w:rsid w:val="005063B5"/>
    <w:rsid w:val="005064E8"/>
    <w:rsid w:val="00506A06"/>
    <w:rsid w:val="00506DBA"/>
    <w:rsid w:val="00507528"/>
    <w:rsid w:val="00507535"/>
    <w:rsid w:val="005075FF"/>
    <w:rsid w:val="0050790E"/>
    <w:rsid w:val="005100DC"/>
    <w:rsid w:val="00510347"/>
    <w:rsid w:val="005103BF"/>
    <w:rsid w:val="00510895"/>
    <w:rsid w:val="00510AEC"/>
    <w:rsid w:val="00510FEE"/>
    <w:rsid w:val="00511006"/>
    <w:rsid w:val="0051121E"/>
    <w:rsid w:val="005112E9"/>
    <w:rsid w:val="0051134F"/>
    <w:rsid w:val="0051177E"/>
    <w:rsid w:val="0051198A"/>
    <w:rsid w:val="00511FEC"/>
    <w:rsid w:val="0051210A"/>
    <w:rsid w:val="005122E6"/>
    <w:rsid w:val="00512492"/>
    <w:rsid w:val="0051286F"/>
    <w:rsid w:val="005128AF"/>
    <w:rsid w:val="00512B97"/>
    <w:rsid w:val="00512BB5"/>
    <w:rsid w:val="005133D0"/>
    <w:rsid w:val="005146E4"/>
    <w:rsid w:val="00514EE5"/>
    <w:rsid w:val="0051563C"/>
    <w:rsid w:val="00516970"/>
    <w:rsid w:val="00516BD0"/>
    <w:rsid w:val="00516D1B"/>
    <w:rsid w:val="00517240"/>
    <w:rsid w:val="0051771C"/>
    <w:rsid w:val="00517820"/>
    <w:rsid w:val="00517FAF"/>
    <w:rsid w:val="00520838"/>
    <w:rsid w:val="00520D41"/>
    <w:rsid w:val="00520F05"/>
    <w:rsid w:val="00520FB2"/>
    <w:rsid w:val="00521476"/>
    <w:rsid w:val="0052171E"/>
    <w:rsid w:val="00521B76"/>
    <w:rsid w:val="00521CDF"/>
    <w:rsid w:val="005220C0"/>
    <w:rsid w:val="0052220C"/>
    <w:rsid w:val="0052224B"/>
    <w:rsid w:val="005226CC"/>
    <w:rsid w:val="0052295E"/>
    <w:rsid w:val="00522ABA"/>
    <w:rsid w:val="00522BAD"/>
    <w:rsid w:val="00522C97"/>
    <w:rsid w:val="005232F5"/>
    <w:rsid w:val="00523A58"/>
    <w:rsid w:val="005240C6"/>
    <w:rsid w:val="00524911"/>
    <w:rsid w:val="00524B1A"/>
    <w:rsid w:val="00524D2D"/>
    <w:rsid w:val="00525215"/>
    <w:rsid w:val="0052525F"/>
    <w:rsid w:val="005256ED"/>
    <w:rsid w:val="0052576E"/>
    <w:rsid w:val="00525A98"/>
    <w:rsid w:val="00525C06"/>
    <w:rsid w:val="00525D81"/>
    <w:rsid w:val="0052669C"/>
    <w:rsid w:val="00526DF8"/>
    <w:rsid w:val="00526E11"/>
    <w:rsid w:val="00526F05"/>
    <w:rsid w:val="00526FF2"/>
    <w:rsid w:val="005271F5"/>
    <w:rsid w:val="00527317"/>
    <w:rsid w:val="00527A4B"/>
    <w:rsid w:val="00527AC9"/>
    <w:rsid w:val="00527D5E"/>
    <w:rsid w:val="005300F6"/>
    <w:rsid w:val="00530101"/>
    <w:rsid w:val="00530185"/>
    <w:rsid w:val="005301D9"/>
    <w:rsid w:val="00530A14"/>
    <w:rsid w:val="00530C3C"/>
    <w:rsid w:val="00530D5E"/>
    <w:rsid w:val="00530D72"/>
    <w:rsid w:val="005312BA"/>
    <w:rsid w:val="005318A9"/>
    <w:rsid w:val="00531A84"/>
    <w:rsid w:val="00531B31"/>
    <w:rsid w:val="005320FC"/>
    <w:rsid w:val="005321BF"/>
    <w:rsid w:val="005328C2"/>
    <w:rsid w:val="00533342"/>
    <w:rsid w:val="005333AA"/>
    <w:rsid w:val="00533A31"/>
    <w:rsid w:val="005343A4"/>
    <w:rsid w:val="00534594"/>
    <w:rsid w:val="0053474E"/>
    <w:rsid w:val="00534A58"/>
    <w:rsid w:val="00535192"/>
    <w:rsid w:val="005360D6"/>
    <w:rsid w:val="00536626"/>
    <w:rsid w:val="005400CE"/>
    <w:rsid w:val="00540AA3"/>
    <w:rsid w:val="0054122C"/>
    <w:rsid w:val="00541F44"/>
    <w:rsid w:val="00541FAF"/>
    <w:rsid w:val="00542085"/>
    <w:rsid w:val="0054241F"/>
    <w:rsid w:val="00542A6D"/>
    <w:rsid w:val="00542D67"/>
    <w:rsid w:val="00542ED0"/>
    <w:rsid w:val="005437D8"/>
    <w:rsid w:val="00543AF4"/>
    <w:rsid w:val="00544209"/>
    <w:rsid w:val="00544DB9"/>
    <w:rsid w:val="005456DD"/>
    <w:rsid w:val="00545D2A"/>
    <w:rsid w:val="005463C4"/>
    <w:rsid w:val="005464F3"/>
    <w:rsid w:val="00546665"/>
    <w:rsid w:val="005466AA"/>
    <w:rsid w:val="00547EEB"/>
    <w:rsid w:val="005502F6"/>
    <w:rsid w:val="00550935"/>
    <w:rsid w:val="005518D6"/>
    <w:rsid w:val="00551E64"/>
    <w:rsid w:val="00552183"/>
    <w:rsid w:val="005522C9"/>
    <w:rsid w:val="005527D9"/>
    <w:rsid w:val="00553148"/>
    <w:rsid w:val="00553EA9"/>
    <w:rsid w:val="00554241"/>
    <w:rsid w:val="0055461C"/>
    <w:rsid w:val="00554842"/>
    <w:rsid w:val="00554C9C"/>
    <w:rsid w:val="00554DDE"/>
    <w:rsid w:val="00555528"/>
    <w:rsid w:val="00555566"/>
    <w:rsid w:val="005557E4"/>
    <w:rsid w:val="00555BE2"/>
    <w:rsid w:val="00555D8D"/>
    <w:rsid w:val="00557262"/>
    <w:rsid w:val="00557356"/>
    <w:rsid w:val="0055748F"/>
    <w:rsid w:val="0055755C"/>
    <w:rsid w:val="0055797B"/>
    <w:rsid w:val="00557C8F"/>
    <w:rsid w:val="00557EBD"/>
    <w:rsid w:val="0056025E"/>
    <w:rsid w:val="00560401"/>
    <w:rsid w:val="00560609"/>
    <w:rsid w:val="005609F5"/>
    <w:rsid w:val="00560EE7"/>
    <w:rsid w:val="00561385"/>
    <w:rsid w:val="005615D3"/>
    <w:rsid w:val="005617D4"/>
    <w:rsid w:val="00562167"/>
    <w:rsid w:val="00562F16"/>
    <w:rsid w:val="00563307"/>
    <w:rsid w:val="0056371B"/>
    <w:rsid w:val="00563847"/>
    <w:rsid w:val="00563EBA"/>
    <w:rsid w:val="005645DF"/>
    <w:rsid w:val="005650E1"/>
    <w:rsid w:val="005650FB"/>
    <w:rsid w:val="005651B6"/>
    <w:rsid w:val="005652A6"/>
    <w:rsid w:val="00565478"/>
    <w:rsid w:val="005655AB"/>
    <w:rsid w:val="0056563A"/>
    <w:rsid w:val="005657EA"/>
    <w:rsid w:val="00566011"/>
    <w:rsid w:val="005661A3"/>
    <w:rsid w:val="0056692B"/>
    <w:rsid w:val="00567040"/>
    <w:rsid w:val="00567072"/>
    <w:rsid w:val="005672D0"/>
    <w:rsid w:val="0056777A"/>
    <w:rsid w:val="0056783A"/>
    <w:rsid w:val="00567B38"/>
    <w:rsid w:val="00567E96"/>
    <w:rsid w:val="005700EB"/>
    <w:rsid w:val="0057092D"/>
    <w:rsid w:val="005709E0"/>
    <w:rsid w:val="00570C31"/>
    <w:rsid w:val="005710EE"/>
    <w:rsid w:val="00571606"/>
    <w:rsid w:val="00571690"/>
    <w:rsid w:val="00571DCE"/>
    <w:rsid w:val="005726BE"/>
    <w:rsid w:val="0057291B"/>
    <w:rsid w:val="00572B78"/>
    <w:rsid w:val="00572EB3"/>
    <w:rsid w:val="00573688"/>
    <w:rsid w:val="00574129"/>
    <w:rsid w:val="005743C0"/>
    <w:rsid w:val="00574616"/>
    <w:rsid w:val="005746D5"/>
    <w:rsid w:val="00575296"/>
    <w:rsid w:val="00575529"/>
    <w:rsid w:val="005762A1"/>
    <w:rsid w:val="005766AC"/>
    <w:rsid w:val="00576798"/>
    <w:rsid w:val="00576C5B"/>
    <w:rsid w:val="00576DE9"/>
    <w:rsid w:val="0057747F"/>
    <w:rsid w:val="005775B3"/>
    <w:rsid w:val="0057761F"/>
    <w:rsid w:val="005776B5"/>
    <w:rsid w:val="005777D3"/>
    <w:rsid w:val="005778CC"/>
    <w:rsid w:val="00577DA7"/>
    <w:rsid w:val="00577F07"/>
    <w:rsid w:val="005800DF"/>
    <w:rsid w:val="00580823"/>
    <w:rsid w:val="0058090A"/>
    <w:rsid w:val="00580CAF"/>
    <w:rsid w:val="00581203"/>
    <w:rsid w:val="00581795"/>
    <w:rsid w:val="00581C56"/>
    <w:rsid w:val="00582050"/>
    <w:rsid w:val="00582098"/>
    <w:rsid w:val="00582951"/>
    <w:rsid w:val="00582FF4"/>
    <w:rsid w:val="00583000"/>
    <w:rsid w:val="005832AA"/>
    <w:rsid w:val="00583402"/>
    <w:rsid w:val="0058349E"/>
    <w:rsid w:val="00583B28"/>
    <w:rsid w:val="00584D03"/>
    <w:rsid w:val="00584F6F"/>
    <w:rsid w:val="0058504F"/>
    <w:rsid w:val="00586075"/>
    <w:rsid w:val="005861F8"/>
    <w:rsid w:val="00586546"/>
    <w:rsid w:val="00586679"/>
    <w:rsid w:val="00586768"/>
    <w:rsid w:val="00586873"/>
    <w:rsid w:val="00586924"/>
    <w:rsid w:val="005869E5"/>
    <w:rsid w:val="00586AF3"/>
    <w:rsid w:val="00586B20"/>
    <w:rsid w:val="00587388"/>
    <w:rsid w:val="00587398"/>
    <w:rsid w:val="0058786B"/>
    <w:rsid w:val="00587D9F"/>
    <w:rsid w:val="0059037D"/>
    <w:rsid w:val="00590F58"/>
    <w:rsid w:val="00590F9D"/>
    <w:rsid w:val="005918CE"/>
    <w:rsid w:val="00591C24"/>
    <w:rsid w:val="00591CDD"/>
    <w:rsid w:val="00591D56"/>
    <w:rsid w:val="00592633"/>
    <w:rsid w:val="005927FB"/>
    <w:rsid w:val="00592EC5"/>
    <w:rsid w:val="005931D6"/>
    <w:rsid w:val="0059351F"/>
    <w:rsid w:val="00593C47"/>
    <w:rsid w:val="0059445D"/>
    <w:rsid w:val="00594B2C"/>
    <w:rsid w:val="00594BE7"/>
    <w:rsid w:val="00595397"/>
    <w:rsid w:val="00595874"/>
    <w:rsid w:val="005958BE"/>
    <w:rsid w:val="0059594A"/>
    <w:rsid w:val="00596158"/>
    <w:rsid w:val="00596C36"/>
    <w:rsid w:val="005970D4"/>
    <w:rsid w:val="00597189"/>
    <w:rsid w:val="0059724A"/>
    <w:rsid w:val="00597423"/>
    <w:rsid w:val="00597982"/>
    <w:rsid w:val="00597D0B"/>
    <w:rsid w:val="00597D18"/>
    <w:rsid w:val="005A0180"/>
    <w:rsid w:val="005A01BC"/>
    <w:rsid w:val="005A02CE"/>
    <w:rsid w:val="005A0901"/>
    <w:rsid w:val="005A0D78"/>
    <w:rsid w:val="005A1202"/>
    <w:rsid w:val="005A147C"/>
    <w:rsid w:val="005A16AA"/>
    <w:rsid w:val="005A18E3"/>
    <w:rsid w:val="005A198D"/>
    <w:rsid w:val="005A1C54"/>
    <w:rsid w:val="005A1D9E"/>
    <w:rsid w:val="005A1DA4"/>
    <w:rsid w:val="005A1EFD"/>
    <w:rsid w:val="005A20BE"/>
    <w:rsid w:val="005A22F3"/>
    <w:rsid w:val="005A279B"/>
    <w:rsid w:val="005A2B55"/>
    <w:rsid w:val="005A2BC8"/>
    <w:rsid w:val="005A2E1C"/>
    <w:rsid w:val="005A3D98"/>
    <w:rsid w:val="005A3FAA"/>
    <w:rsid w:val="005A40D5"/>
    <w:rsid w:val="005A41A2"/>
    <w:rsid w:val="005A4756"/>
    <w:rsid w:val="005A4B36"/>
    <w:rsid w:val="005A4B7B"/>
    <w:rsid w:val="005A5405"/>
    <w:rsid w:val="005A5AE5"/>
    <w:rsid w:val="005A62BD"/>
    <w:rsid w:val="005A6405"/>
    <w:rsid w:val="005A6DB6"/>
    <w:rsid w:val="005A79F5"/>
    <w:rsid w:val="005A7D10"/>
    <w:rsid w:val="005A7DCF"/>
    <w:rsid w:val="005B038E"/>
    <w:rsid w:val="005B051A"/>
    <w:rsid w:val="005B05DB"/>
    <w:rsid w:val="005B090B"/>
    <w:rsid w:val="005B0976"/>
    <w:rsid w:val="005B0DEB"/>
    <w:rsid w:val="005B11D9"/>
    <w:rsid w:val="005B16D9"/>
    <w:rsid w:val="005B17A0"/>
    <w:rsid w:val="005B1E4D"/>
    <w:rsid w:val="005B1E99"/>
    <w:rsid w:val="005B2533"/>
    <w:rsid w:val="005B2AAA"/>
    <w:rsid w:val="005B2D72"/>
    <w:rsid w:val="005B37C3"/>
    <w:rsid w:val="005B3A7F"/>
    <w:rsid w:val="005B431E"/>
    <w:rsid w:val="005B4D79"/>
    <w:rsid w:val="005B51A8"/>
    <w:rsid w:val="005B5D16"/>
    <w:rsid w:val="005B6097"/>
    <w:rsid w:val="005B65C6"/>
    <w:rsid w:val="005B67A4"/>
    <w:rsid w:val="005B6CF2"/>
    <w:rsid w:val="005B7096"/>
    <w:rsid w:val="005B7FE9"/>
    <w:rsid w:val="005C05FB"/>
    <w:rsid w:val="005C06A3"/>
    <w:rsid w:val="005C0BA6"/>
    <w:rsid w:val="005C17EA"/>
    <w:rsid w:val="005C1A00"/>
    <w:rsid w:val="005C1C27"/>
    <w:rsid w:val="005C1EC4"/>
    <w:rsid w:val="005C2214"/>
    <w:rsid w:val="005C241B"/>
    <w:rsid w:val="005C29FE"/>
    <w:rsid w:val="005C36F5"/>
    <w:rsid w:val="005C377F"/>
    <w:rsid w:val="005C4051"/>
    <w:rsid w:val="005C4600"/>
    <w:rsid w:val="005C4863"/>
    <w:rsid w:val="005C4ABF"/>
    <w:rsid w:val="005C4C37"/>
    <w:rsid w:val="005C529A"/>
    <w:rsid w:val="005C560E"/>
    <w:rsid w:val="005C5701"/>
    <w:rsid w:val="005C5889"/>
    <w:rsid w:val="005C5A7B"/>
    <w:rsid w:val="005C5B33"/>
    <w:rsid w:val="005C5E26"/>
    <w:rsid w:val="005C622B"/>
    <w:rsid w:val="005C63A1"/>
    <w:rsid w:val="005C6C96"/>
    <w:rsid w:val="005C7218"/>
    <w:rsid w:val="005C7304"/>
    <w:rsid w:val="005C743C"/>
    <w:rsid w:val="005C78D5"/>
    <w:rsid w:val="005C7D66"/>
    <w:rsid w:val="005C7E8A"/>
    <w:rsid w:val="005D004C"/>
    <w:rsid w:val="005D07C2"/>
    <w:rsid w:val="005D116C"/>
    <w:rsid w:val="005D152B"/>
    <w:rsid w:val="005D17F2"/>
    <w:rsid w:val="005D1948"/>
    <w:rsid w:val="005D1A60"/>
    <w:rsid w:val="005D1B04"/>
    <w:rsid w:val="005D1BB0"/>
    <w:rsid w:val="005D2727"/>
    <w:rsid w:val="005D2D0D"/>
    <w:rsid w:val="005D2D22"/>
    <w:rsid w:val="005D3086"/>
    <w:rsid w:val="005D3C26"/>
    <w:rsid w:val="005D42C3"/>
    <w:rsid w:val="005D4437"/>
    <w:rsid w:val="005D51F8"/>
    <w:rsid w:val="005D52F6"/>
    <w:rsid w:val="005D54BF"/>
    <w:rsid w:val="005D57BF"/>
    <w:rsid w:val="005D5B7C"/>
    <w:rsid w:val="005D5B95"/>
    <w:rsid w:val="005D5BFD"/>
    <w:rsid w:val="005D5CE7"/>
    <w:rsid w:val="005D60BF"/>
    <w:rsid w:val="005D62ED"/>
    <w:rsid w:val="005D65C4"/>
    <w:rsid w:val="005D728E"/>
    <w:rsid w:val="005D7B86"/>
    <w:rsid w:val="005D7D78"/>
    <w:rsid w:val="005D7E2A"/>
    <w:rsid w:val="005E0028"/>
    <w:rsid w:val="005E00A1"/>
    <w:rsid w:val="005E01F7"/>
    <w:rsid w:val="005E07C3"/>
    <w:rsid w:val="005E07FF"/>
    <w:rsid w:val="005E1009"/>
    <w:rsid w:val="005E12AA"/>
    <w:rsid w:val="005E1429"/>
    <w:rsid w:val="005E1440"/>
    <w:rsid w:val="005E1464"/>
    <w:rsid w:val="005E168E"/>
    <w:rsid w:val="005E19CF"/>
    <w:rsid w:val="005E1BB7"/>
    <w:rsid w:val="005E1C5E"/>
    <w:rsid w:val="005E232F"/>
    <w:rsid w:val="005E25C8"/>
    <w:rsid w:val="005E2AC2"/>
    <w:rsid w:val="005E37AB"/>
    <w:rsid w:val="005E3AF9"/>
    <w:rsid w:val="005E3D5B"/>
    <w:rsid w:val="005E41F1"/>
    <w:rsid w:val="005E5535"/>
    <w:rsid w:val="005E561F"/>
    <w:rsid w:val="005E5C88"/>
    <w:rsid w:val="005E5F89"/>
    <w:rsid w:val="005E61AB"/>
    <w:rsid w:val="005E6763"/>
    <w:rsid w:val="005E682A"/>
    <w:rsid w:val="005E6E78"/>
    <w:rsid w:val="005E6F27"/>
    <w:rsid w:val="005E7000"/>
    <w:rsid w:val="005E70B0"/>
    <w:rsid w:val="005E75B5"/>
    <w:rsid w:val="005F0187"/>
    <w:rsid w:val="005F07F1"/>
    <w:rsid w:val="005F1033"/>
    <w:rsid w:val="005F1A8C"/>
    <w:rsid w:val="005F1D02"/>
    <w:rsid w:val="005F1DBB"/>
    <w:rsid w:val="005F1ED0"/>
    <w:rsid w:val="005F2087"/>
    <w:rsid w:val="005F2AEA"/>
    <w:rsid w:val="005F2DA5"/>
    <w:rsid w:val="005F32A0"/>
    <w:rsid w:val="005F3EC3"/>
    <w:rsid w:val="005F4151"/>
    <w:rsid w:val="005F4503"/>
    <w:rsid w:val="005F4E95"/>
    <w:rsid w:val="005F55F1"/>
    <w:rsid w:val="005F58C1"/>
    <w:rsid w:val="005F59A7"/>
    <w:rsid w:val="005F5D1E"/>
    <w:rsid w:val="005F5D92"/>
    <w:rsid w:val="005F633E"/>
    <w:rsid w:val="005F6427"/>
    <w:rsid w:val="005F647F"/>
    <w:rsid w:val="005F6884"/>
    <w:rsid w:val="005F68C5"/>
    <w:rsid w:val="005F69D1"/>
    <w:rsid w:val="005F6CAD"/>
    <w:rsid w:val="005F73C7"/>
    <w:rsid w:val="0060010D"/>
    <w:rsid w:val="0060055C"/>
    <w:rsid w:val="00600741"/>
    <w:rsid w:val="00600D4D"/>
    <w:rsid w:val="00600ED9"/>
    <w:rsid w:val="0060139D"/>
    <w:rsid w:val="006019EE"/>
    <w:rsid w:val="00602237"/>
    <w:rsid w:val="00602532"/>
    <w:rsid w:val="0060259E"/>
    <w:rsid w:val="0060373E"/>
    <w:rsid w:val="0060397A"/>
    <w:rsid w:val="00603D09"/>
    <w:rsid w:val="00603F5A"/>
    <w:rsid w:val="0060402D"/>
    <w:rsid w:val="00604764"/>
    <w:rsid w:val="00604A89"/>
    <w:rsid w:val="00604CFE"/>
    <w:rsid w:val="00604DE6"/>
    <w:rsid w:val="00604E6A"/>
    <w:rsid w:val="00605E04"/>
    <w:rsid w:val="00605FC3"/>
    <w:rsid w:val="006060DE"/>
    <w:rsid w:val="00606A1E"/>
    <w:rsid w:val="00607B8C"/>
    <w:rsid w:val="00607B92"/>
    <w:rsid w:val="00607CCC"/>
    <w:rsid w:val="00610B58"/>
    <w:rsid w:val="00610D53"/>
    <w:rsid w:val="00610E1A"/>
    <w:rsid w:val="00611087"/>
    <w:rsid w:val="006116B8"/>
    <w:rsid w:val="00611CCC"/>
    <w:rsid w:val="00611D1E"/>
    <w:rsid w:val="00611DA3"/>
    <w:rsid w:val="00612A83"/>
    <w:rsid w:val="00613833"/>
    <w:rsid w:val="00613D8B"/>
    <w:rsid w:val="00614333"/>
    <w:rsid w:val="006152C1"/>
    <w:rsid w:val="00615322"/>
    <w:rsid w:val="006156D0"/>
    <w:rsid w:val="00615983"/>
    <w:rsid w:val="00615A7E"/>
    <w:rsid w:val="00615C0C"/>
    <w:rsid w:val="00615E07"/>
    <w:rsid w:val="00615EBB"/>
    <w:rsid w:val="0061651E"/>
    <w:rsid w:val="006166B4"/>
    <w:rsid w:val="00616812"/>
    <w:rsid w:val="0061755A"/>
    <w:rsid w:val="006175E7"/>
    <w:rsid w:val="00617A46"/>
    <w:rsid w:val="00617A60"/>
    <w:rsid w:val="00617C30"/>
    <w:rsid w:val="0062025C"/>
    <w:rsid w:val="0062033D"/>
    <w:rsid w:val="006206E6"/>
    <w:rsid w:val="00620D16"/>
    <w:rsid w:val="00620DAD"/>
    <w:rsid w:val="00620EB2"/>
    <w:rsid w:val="0062109D"/>
    <w:rsid w:val="0062123C"/>
    <w:rsid w:val="0062135D"/>
    <w:rsid w:val="006218BA"/>
    <w:rsid w:val="0062288F"/>
    <w:rsid w:val="00622E06"/>
    <w:rsid w:val="00623221"/>
    <w:rsid w:val="00623244"/>
    <w:rsid w:val="0062331F"/>
    <w:rsid w:val="00623598"/>
    <w:rsid w:val="006236C1"/>
    <w:rsid w:val="006239A2"/>
    <w:rsid w:val="00623B0D"/>
    <w:rsid w:val="00624300"/>
    <w:rsid w:val="006248FB"/>
    <w:rsid w:val="006249C7"/>
    <w:rsid w:val="0062571A"/>
    <w:rsid w:val="00625A28"/>
    <w:rsid w:val="00626987"/>
    <w:rsid w:val="00627339"/>
    <w:rsid w:val="00627F91"/>
    <w:rsid w:val="00630091"/>
    <w:rsid w:val="006307F9"/>
    <w:rsid w:val="00630965"/>
    <w:rsid w:val="00630AA6"/>
    <w:rsid w:val="00630AE9"/>
    <w:rsid w:val="00630EC8"/>
    <w:rsid w:val="0063149A"/>
    <w:rsid w:val="006317D7"/>
    <w:rsid w:val="006324F8"/>
    <w:rsid w:val="00632A64"/>
    <w:rsid w:val="00632E12"/>
    <w:rsid w:val="00633201"/>
    <w:rsid w:val="006333C6"/>
    <w:rsid w:val="00633DAA"/>
    <w:rsid w:val="00634016"/>
    <w:rsid w:val="0063459D"/>
    <w:rsid w:val="00634792"/>
    <w:rsid w:val="00634BBC"/>
    <w:rsid w:val="00635404"/>
    <w:rsid w:val="00635AD9"/>
    <w:rsid w:val="00635E98"/>
    <w:rsid w:val="00635F16"/>
    <w:rsid w:val="00636062"/>
    <w:rsid w:val="00636CA2"/>
    <w:rsid w:val="00636E8A"/>
    <w:rsid w:val="0063702F"/>
    <w:rsid w:val="00637359"/>
    <w:rsid w:val="00637390"/>
    <w:rsid w:val="00637421"/>
    <w:rsid w:val="006378D9"/>
    <w:rsid w:val="00637F3D"/>
    <w:rsid w:val="0064032E"/>
    <w:rsid w:val="00640483"/>
    <w:rsid w:val="00640A22"/>
    <w:rsid w:val="0064186D"/>
    <w:rsid w:val="00641BA4"/>
    <w:rsid w:val="00641E3C"/>
    <w:rsid w:val="00641E99"/>
    <w:rsid w:val="0064214E"/>
    <w:rsid w:val="0064273D"/>
    <w:rsid w:val="0064294D"/>
    <w:rsid w:val="00642DDB"/>
    <w:rsid w:val="00642F70"/>
    <w:rsid w:val="0064389C"/>
    <w:rsid w:val="00643FD8"/>
    <w:rsid w:val="00644558"/>
    <w:rsid w:val="00644747"/>
    <w:rsid w:val="006448E3"/>
    <w:rsid w:val="00644946"/>
    <w:rsid w:val="0064495C"/>
    <w:rsid w:val="00644B43"/>
    <w:rsid w:val="0064635E"/>
    <w:rsid w:val="00646373"/>
    <w:rsid w:val="0064687B"/>
    <w:rsid w:val="00646900"/>
    <w:rsid w:val="00646ADE"/>
    <w:rsid w:val="0065039E"/>
    <w:rsid w:val="00650912"/>
    <w:rsid w:val="00650C41"/>
    <w:rsid w:val="0065109C"/>
    <w:rsid w:val="00651620"/>
    <w:rsid w:val="00651D8C"/>
    <w:rsid w:val="0065271D"/>
    <w:rsid w:val="00652B40"/>
    <w:rsid w:val="00652E7A"/>
    <w:rsid w:val="00652EFC"/>
    <w:rsid w:val="006537B0"/>
    <w:rsid w:val="0065390F"/>
    <w:rsid w:val="00653EBC"/>
    <w:rsid w:val="0065468B"/>
    <w:rsid w:val="00654A25"/>
    <w:rsid w:val="00654AE1"/>
    <w:rsid w:val="00654B9B"/>
    <w:rsid w:val="00654CD9"/>
    <w:rsid w:val="006556E0"/>
    <w:rsid w:val="00655AFC"/>
    <w:rsid w:val="00655C50"/>
    <w:rsid w:val="00655E8C"/>
    <w:rsid w:val="00656023"/>
    <w:rsid w:val="00656853"/>
    <w:rsid w:val="00656946"/>
    <w:rsid w:val="00656B46"/>
    <w:rsid w:val="006571B5"/>
    <w:rsid w:val="00657958"/>
    <w:rsid w:val="00657A43"/>
    <w:rsid w:val="00660295"/>
    <w:rsid w:val="006602F4"/>
    <w:rsid w:val="00660459"/>
    <w:rsid w:val="006606BD"/>
    <w:rsid w:val="00660A97"/>
    <w:rsid w:val="00661640"/>
    <w:rsid w:val="00661903"/>
    <w:rsid w:val="00661D1E"/>
    <w:rsid w:val="00661DAD"/>
    <w:rsid w:val="00662467"/>
    <w:rsid w:val="00662834"/>
    <w:rsid w:val="006630DE"/>
    <w:rsid w:val="00663657"/>
    <w:rsid w:val="00663724"/>
    <w:rsid w:val="006638AA"/>
    <w:rsid w:val="006639F0"/>
    <w:rsid w:val="00663AEB"/>
    <w:rsid w:val="00663AF3"/>
    <w:rsid w:val="0066400B"/>
    <w:rsid w:val="006640DB"/>
    <w:rsid w:val="00664539"/>
    <w:rsid w:val="0066477D"/>
    <w:rsid w:val="006648E2"/>
    <w:rsid w:val="00664C0E"/>
    <w:rsid w:val="00664DCA"/>
    <w:rsid w:val="00664E16"/>
    <w:rsid w:val="00665522"/>
    <w:rsid w:val="0066563F"/>
    <w:rsid w:val="006656BD"/>
    <w:rsid w:val="006657F0"/>
    <w:rsid w:val="00665CD1"/>
    <w:rsid w:val="00666281"/>
    <w:rsid w:val="00666579"/>
    <w:rsid w:val="00667D1D"/>
    <w:rsid w:val="00670845"/>
    <w:rsid w:val="00670BD9"/>
    <w:rsid w:val="00670CA3"/>
    <w:rsid w:val="006719D6"/>
    <w:rsid w:val="00671BBB"/>
    <w:rsid w:val="00671BDF"/>
    <w:rsid w:val="00671D03"/>
    <w:rsid w:val="00671D38"/>
    <w:rsid w:val="00671E97"/>
    <w:rsid w:val="00671FD4"/>
    <w:rsid w:val="00671FE0"/>
    <w:rsid w:val="0067201A"/>
    <w:rsid w:val="0067235F"/>
    <w:rsid w:val="00672406"/>
    <w:rsid w:val="006728EA"/>
    <w:rsid w:val="00672907"/>
    <w:rsid w:val="00672916"/>
    <w:rsid w:val="00672B00"/>
    <w:rsid w:val="00672C78"/>
    <w:rsid w:val="00672DB0"/>
    <w:rsid w:val="0067315F"/>
    <w:rsid w:val="0067327C"/>
    <w:rsid w:val="00673316"/>
    <w:rsid w:val="00673327"/>
    <w:rsid w:val="0067340B"/>
    <w:rsid w:val="00673588"/>
    <w:rsid w:val="0067384D"/>
    <w:rsid w:val="00673B73"/>
    <w:rsid w:val="00673E6A"/>
    <w:rsid w:val="00674429"/>
    <w:rsid w:val="00674973"/>
    <w:rsid w:val="00674CC7"/>
    <w:rsid w:val="00674F08"/>
    <w:rsid w:val="006759F5"/>
    <w:rsid w:val="00675B1D"/>
    <w:rsid w:val="00675E44"/>
    <w:rsid w:val="00676037"/>
    <w:rsid w:val="00676373"/>
    <w:rsid w:val="00676724"/>
    <w:rsid w:val="0067673E"/>
    <w:rsid w:val="006767B9"/>
    <w:rsid w:val="00676864"/>
    <w:rsid w:val="00677C93"/>
    <w:rsid w:val="00680308"/>
    <w:rsid w:val="00680558"/>
    <w:rsid w:val="006807A3"/>
    <w:rsid w:val="00680EA0"/>
    <w:rsid w:val="0068109B"/>
    <w:rsid w:val="00681227"/>
    <w:rsid w:val="00681528"/>
    <w:rsid w:val="00681668"/>
    <w:rsid w:val="006818C2"/>
    <w:rsid w:val="00681FE9"/>
    <w:rsid w:val="00682013"/>
    <w:rsid w:val="00682063"/>
    <w:rsid w:val="00682A5F"/>
    <w:rsid w:val="00682C55"/>
    <w:rsid w:val="00683763"/>
    <w:rsid w:val="00683787"/>
    <w:rsid w:val="006837B7"/>
    <w:rsid w:val="00683B4A"/>
    <w:rsid w:val="00684084"/>
    <w:rsid w:val="006840AA"/>
    <w:rsid w:val="00684141"/>
    <w:rsid w:val="00684ED3"/>
    <w:rsid w:val="006850C5"/>
    <w:rsid w:val="006853A4"/>
    <w:rsid w:val="006859AF"/>
    <w:rsid w:val="00685ABC"/>
    <w:rsid w:val="00685BF8"/>
    <w:rsid w:val="00685C76"/>
    <w:rsid w:val="00685E4A"/>
    <w:rsid w:val="00686C54"/>
    <w:rsid w:val="00690E64"/>
    <w:rsid w:val="00690EF7"/>
    <w:rsid w:val="00690F49"/>
    <w:rsid w:val="006911BF"/>
    <w:rsid w:val="006911E2"/>
    <w:rsid w:val="00691209"/>
    <w:rsid w:val="006913D6"/>
    <w:rsid w:val="00691529"/>
    <w:rsid w:val="00691728"/>
    <w:rsid w:val="00691BC2"/>
    <w:rsid w:val="00691D01"/>
    <w:rsid w:val="00692035"/>
    <w:rsid w:val="00692446"/>
    <w:rsid w:val="006926E4"/>
    <w:rsid w:val="00692A86"/>
    <w:rsid w:val="006934F4"/>
    <w:rsid w:val="00693705"/>
    <w:rsid w:val="006937E3"/>
    <w:rsid w:val="006938DC"/>
    <w:rsid w:val="006939A4"/>
    <w:rsid w:val="00694473"/>
    <w:rsid w:val="00694872"/>
    <w:rsid w:val="00694C34"/>
    <w:rsid w:val="00694C8A"/>
    <w:rsid w:val="00694F44"/>
    <w:rsid w:val="0069502A"/>
    <w:rsid w:val="00695167"/>
    <w:rsid w:val="00695230"/>
    <w:rsid w:val="00695260"/>
    <w:rsid w:val="006957A0"/>
    <w:rsid w:val="006958DF"/>
    <w:rsid w:val="00695CCD"/>
    <w:rsid w:val="006964EB"/>
    <w:rsid w:val="006965FF"/>
    <w:rsid w:val="006969DD"/>
    <w:rsid w:val="00697316"/>
    <w:rsid w:val="006A03A5"/>
    <w:rsid w:val="006A0456"/>
    <w:rsid w:val="006A0CF7"/>
    <w:rsid w:val="006A0CFB"/>
    <w:rsid w:val="006A13DA"/>
    <w:rsid w:val="006A15BE"/>
    <w:rsid w:val="006A1B85"/>
    <w:rsid w:val="006A2111"/>
    <w:rsid w:val="006A2266"/>
    <w:rsid w:val="006A27E7"/>
    <w:rsid w:val="006A2B73"/>
    <w:rsid w:val="006A2CA4"/>
    <w:rsid w:val="006A2E66"/>
    <w:rsid w:val="006A3434"/>
    <w:rsid w:val="006A3840"/>
    <w:rsid w:val="006A3E7E"/>
    <w:rsid w:val="006A4921"/>
    <w:rsid w:val="006A551F"/>
    <w:rsid w:val="006A5714"/>
    <w:rsid w:val="006A612A"/>
    <w:rsid w:val="006A64E6"/>
    <w:rsid w:val="006A65C9"/>
    <w:rsid w:val="006A6E47"/>
    <w:rsid w:val="006A72B3"/>
    <w:rsid w:val="006A74C3"/>
    <w:rsid w:val="006A78DD"/>
    <w:rsid w:val="006A7C5D"/>
    <w:rsid w:val="006A7DC8"/>
    <w:rsid w:val="006B01F1"/>
    <w:rsid w:val="006B041B"/>
    <w:rsid w:val="006B07F3"/>
    <w:rsid w:val="006B0886"/>
    <w:rsid w:val="006B0C35"/>
    <w:rsid w:val="006B0D53"/>
    <w:rsid w:val="006B1338"/>
    <w:rsid w:val="006B18C0"/>
    <w:rsid w:val="006B1DB0"/>
    <w:rsid w:val="006B2293"/>
    <w:rsid w:val="006B22E3"/>
    <w:rsid w:val="006B2A54"/>
    <w:rsid w:val="006B2BB3"/>
    <w:rsid w:val="006B2CA6"/>
    <w:rsid w:val="006B3391"/>
    <w:rsid w:val="006B36B1"/>
    <w:rsid w:val="006B36D4"/>
    <w:rsid w:val="006B3BA8"/>
    <w:rsid w:val="006B3BFD"/>
    <w:rsid w:val="006B3F09"/>
    <w:rsid w:val="006B435B"/>
    <w:rsid w:val="006B48EB"/>
    <w:rsid w:val="006B4AAB"/>
    <w:rsid w:val="006B53BD"/>
    <w:rsid w:val="006B55AD"/>
    <w:rsid w:val="006B57AE"/>
    <w:rsid w:val="006B5929"/>
    <w:rsid w:val="006B5B75"/>
    <w:rsid w:val="006B5EF5"/>
    <w:rsid w:val="006B629B"/>
    <w:rsid w:val="006B69D6"/>
    <w:rsid w:val="006B6A74"/>
    <w:rsid w:val="006B6D12"/>
    <w:rsid w:val="006B75EE"/>
    <w:rsid w:val="006B770C"/>
    <w:rsid w:val="006B7760"/>
    <w:rsid w:val="006B7988"/>
    <w:rsid w:val="006B7D84"/>
    <w:rsid w:val="006C0465"/>
    <w:rsid w:val="006C1655"/>
    <w:rsid w:val="006C1757"/>
    <w:rsid w:val="006C1AF6"/>
    <w:rsid w:val="006C20D2"/>
    <w:rsid w:val="006C2896"/>
    <w:rsid w:val="006C29A2"/>
    <w:rsid w:val="006C2FD4"/>
    <w:rsid w:val="006C3135"/>
    <w:rsid w:val="006C3783"/>
    <w:rsid w:val="006C38B8"/>
    <w:rsid w:val="006C4065"/>
    <w:rsid w:val="006C40AB"/>
    <w:rsid w:val="006C46B4"/>
    <w:rsid w:val="006C4A34"/>
    <w:rsid w:val="006C4D39"/>
    <w:rsid w:val="006C4DAB"/>
    <w:rsid w:val="006C4E4E"/>
    <w:rsid w:val="006C4E65"/>
    <w:rsid w:val="006C567E"/>
    <w:rsid w:val="006C59A9"/>
    <w:rsid w:val="006C5C51"/>
    <w:rsid w:val="006C5ED9"/>
    <w:rsid w:val="006C5EEC"/>
    <w:rsid w:val="006C64C8"/>
    <w:rsid w:val="006C663F"/>
    <w:rsid w:val="006C66BE"/>
    <w:rsid w:val="006C7203"/>
    <w:rsid w:val="006C734E"/>
    <w:rsid w:val="006C7502"/>
    <w:rsid w:val="006C7CFB"/>
    <w:rsid w:val="006C7FDF"/>
    <w:rsid w:val="006D0364"/>
    <w:rsid w:val="006D0A85"/>
    <w:rsid w:val="006D0F99"/>
    <w:rsid w:val="006D11BE"/>
    <w:rsid w:val="006D13B2"/>
    <w:rsid w:val="006D1419"/>
    <w:rsid w:val="006D1AC1"/>
    <w:rsid w:val="006D254D"/>
    <w:rsid w:val="006D2A2E"/>
    <w:rsid w:val="006D35CC"/>
    <w:rsid w:val="006D3690"/>
    <w:rsid w:val="006D3BF1"/>
    <w:rsid w:val="006D3CD6"/>
    <w:rsid w:val="006D408A"/>
    <w:rsid w:val="006D418F"/>
    <w:rsid w:val="006D41A5"/>
    <w:rsid w:val="006D493D"/>
    <w:rsid w:val="006D58F7"/>
    <w:rsid w:val="006D5C1A"/>
    <w:rsid w:val="006D5E4D"/>
    <w:rsid w:val="006D5E89"/>
    <w:rsid w:val="006D604D"/>
    <w:rsid w:val="006D62F2"/>
    <w:rsid w:val="006D6324"/>
    <w:rsid w:val="006D71FA"/>
    <w:rsid w:val="006D74AF"/>
    <w:rsid w:val="006D7C86"/>
    <w:rsid w:val="006D7C90"/>
    <w:rsid w:val="006D7CDA"/>
    <w:rsid w:val="006E010A"/>
    <w:rsid w:val="006E025C"/>
    <w:rsid w:val="006E0514"/>
    <w:rsid w:val="006E0537"/>
    <w:rsid w:val="006E0ACB"/>
    <w:rsid w:val="006E0FB6"/>
    <w:rsid w:val="006E1480"/>
    <w:rsid w:val="006E1D75"/>
    <w:rsid w:val="006E1E57"/>
    <w:rsid w:val="006E2163"/>
    <w:rsid w:val="006E2228"/>
    <w:rsid w:val="006E25C4"/>
    <w:rsid w:val="006E28D1"/>
    <w:rsid w:val="006E2D9C"/>
    <w:rsid w:val="006E2F1A"/>
    <w:rsid w:val="006E3488"/>
    <w:rsid w:val="006E3DE1"/>
    <w:rsid w:val="006E46C9"/>
    <w:rsid w:val="006E484A"/>
    <w:rsid w:val="006E526A"/>
    <w:rsid w:val="006E5311"/>
    <w:rsid w:val="006E53FA"/>
    <w:rsid w:val="006E584F"/>
    <w:rsid w:val="006E5864"/>
    <w:rsid w:val="006E5E58"/>
    <w:rsid w:val="006E63AD"/>
    <w:rsid w:val="006E6409"/>
    <w:rsid w:val="006E6439"/>
    <w:rsid w:val="006E67FA"/>
    <w:rsid w:val="006E6C4D"/>
    <w:rsid w:val="006E7120"/>
    <w:rsid w:val="006E79C9"/>
    <w:rsid w:val="006E7C66"/>
    <w:rsid w:val="006F00C6"/>
    <w:rsid w:val="006F09F1"/>
    <w:rsid w:val="006F0C15"/>
    <w:rsid w:val="006F0DB4"/>
    <w:rsid w:val="006F16F3"/>
    <w:rsid w:val="006F219F"/>
    <w:rsid w:val="006F24DB"/>
    <w:rsid w:val="006F26D3"/>
    <w:rsid w:val="006F27BD"/>
    <w:rsid w:val="006F3213"/>
    <w:rsid w:val="006F364B"/>
    <w:rsid w:val="006F3A79"/>
    <w:rsid w:val="006F3CF1"/>
    <w:rsid w:val="006F420D"/>
    <w:rsid w:val="006F46C2"/>
    <w:rsid w:val="006F4C99"/>
    <w:rsid w:val="006F5ACA"/>
    <w:rsid w:val="006F5E9C"/>
    <w:rsid w:val="006F6025"/>
    <w:rsid w:val="006F64F3"/>
    <w:rsid w:val="006F654D"/>
    <w:rsid w:val="006F7074"/>
    <w:rsid w:val="006F71D6"/>
    <w:rsid w:val="006F724A"/>
    <w:rsid w:val="006F75C1"/>
    <w:rsid w:val="00700709"/>
    <w:rsid w:val="00700A36"/>
    <w:rsid w:val="00700CCE"/>
    <w:rsid w:val="00700EA8"/>
    <w:rsid w:val="00700EF4"/>
    <w:rsid w:val="00701079"/>
    <w:rsid w:val="007010D5"/>
    <w:rsid w:val="0070215F"/>
    <w:rsid w:val="007023D2"/>
    <w:rsid w:val="007028D5"/>
    <w:rsid w:val="00702A8F"/>
    <w:rsid w:val="007037BE"/>
    <w:rsid w:val="007038BE"/>
    <w:rsid w:val="0070487C"/>
    <w:rsid w:val="0070488D"/>
    <w:rsid w:val="00704BEC"/>
    <w:rsid w:val="00704C09"/>
    <w:rsid w:val="00704D4D"/>
    <w:rsid w:val="00704F32"/>
    <w:rsid w:val="00705342"/>
    <w:rsid w:val="007058EC"/>
    <w:rsid w:val="0070658C"/>
    <w:rsid w:val="007067B9"/>
    <w:rsid w:val="007071C5"/>
    <w:rsid w:val="0070765D"/>
    <w:rsid w:val="007077CA"/>
    <w:rsid w:val="00707EFC"/>
    <w:rsid w:val="00710986"/>
    <w:rsid w:val="00710A56"/>
    <w:rsid w:val="00710AF2"/>
    <w:rsid w:val="00711DB7"/>
    <w:rsid w:val="00712108"/>
    <w:rsid w:val="00712132"/>
    <w:rsid w:val="00712438"/>
    <w:rsid w:val="00712604"/>
    <w:rsid w:val="00712796"/>
    <w:rsid w:val="00712D2F"/>
    <w:rsid w:val="00712E47"/>
    <w:rsid w:val="00713005"/>
    <w:rsid w:val="007149BE"/>
    <w:rsid w:val="00714D64"/>
    <w:rsid w:val="00714DE1"/>
    <w:rsid w:val="00714F16"/>
    <w:rsid w:val="007154BA"/>
    <w:rsid w:val="0071555E"/>
    <w:rsid w:val="007157B9"/>
    <w:rsid w:val="007159A6"/>
    <w:rsid w:val="00715B52"/>
    <w:rsid w:val="00715B86"/>
    <w:rsid w:val="00715E66"/>
    <w:rsid w:val="00716631"/>
    <w:rsid w:val="007166EB"/>
    <w:rsid w:val="00716901"/>
    <w:rsid w:val="00716AE8"/>
    <w:rsid w:val="00716DCF"/>
    <w:rsid w:val="00716FBB"/>
    <w:rsid w:val="007172CF"/>
    <w:rsid w:val="00717E37"/>
    <w:rsid w:val="00717EB9"/>
    <w:rsid w:val="007204F0"/>
    <w:rsid w:val="00720686"/>
    <w:rsid w:val="0072089F"/>
    <w:rsid w:val="0072113D"/>
    <w:rsid w:val="0072165A"/>
    <w:rsid w:val="00721CC2"/>
    <w:rsid w:val="00721D0F"/>
    <w:rsid w:val="007223BD"/>
    <w:rsid w:val="00722E4A"/>
    <w:rsid w:val="007234C5"/>
    <w:rsid w:val="00724279"/>
    <w:rsid w:val="0072445C"/>
    <w:rsid w:val="007254E4"/>
    <w:rsid w:val="00725B6E"/>
    <w:rsid w:val="00725F9F"/>
    <w:rsid w:val="007260B6"/>
    <w:rsid w:val="007260DB"/>
    <w:rsid w:val="0072652B"/>
    <w:rsid w:val="0072671E"/>
    <w:rsid w:val="007267C6"/>
    <w:rsid w:val="007272E2"/>
    <w:rsid w:val="0072738B"/>
    <w:rsid w:val="00727704"/>
    <w:rsid w:val="00727DD9"/>
    <w:rsid w:val="0073038B"/>
    <w:rsid w:val="00730D83"/>
    <w:rsid w:val="0073105B"/>
    <w:rsid w:val="00731189"/>
    <w:rsid w:val="00731382"/>
    <w:rsid w:val="0073154F"/>
    <w:rsid w:val="00731806"/>
    <w:rsid w:val="007320E1"/>
    <w:rsid w:val="00732156"/>
    <w:rsid w:val="00732347"/>
    <w:rsid w:val="007325AD"/>
    <w:rsid w:val="007326FE"/>
    <w:rsid w:val="0073272F"/>
    <w:rsid w:val="0073286C"/>
    <w:rsid w:val="00732CFC"/>
    <w:rsid w:val="0073306A"/>
    <w:rsid w:val="00733819"/>
    <w:rsid w:val="00733B94"/>
    <w:rsid w:val="00733E61"/>
    <w:rsid w:val="007346B1"/>
    <w:rsid w:val="00734D8E"/>
    <w:rsid w:val="0073541C"/>
    <w:rsid w:val="007358A7"/>
    <w:rsid w:val="00735B4F"/>
    <w:rsid w:val="00735CEE"/>
    <w:rsid w:val="00735F2F"/>
    <w:rsid w:val="00735FD7"/>
    <w:rsid w:val="00736687"/>
    <w:rsid w:val="00736BF8"/>
    <w:rsid w:val="00736D81"/>
    <w:rsid w:val="00737650"/>
    <w:rsid w:val="00737859"/>
    <w:rsid w:val="00737A47"/>
    <w:rsid w:val="00737A4E"/>
    <w:rsid w:val="00737C18"/>
    <w:rsid w:val="00737E2A"/>
    <w:rsid w:val="0074015A"/>
    <w:rsid w:val="00740257"/>
    <w:rsid w:val="00740258"/>
    <w:rsid w:val="00740450"/>
    <w:rsid w:val="007404A6"/>
    <w:rsid w:val="00740841"/>
    <w:rsid w:val="00740946"/>
    <w:rsid w:val="00740E03"/>
    <w:rsid w:val="00741D02"/>
    <w:rsid w:val="0074214B"/>
    <w:rsid w:val="00742601"/>
    <w:rsid w:val="007428A3"/>
    <w:rsid w:val="00742CEF"/>
    <w:rsid w:val="007430E1"/>
    <w:rsid w:val="007432EE"/>
    <w:rsid w:val="007434B1"/>
    <w:rsid w:val="0074362E"/>
    <w:rsid w:val="00743BF3"/>
    <w:rsid w:val="00745142"/>
    <w:rsid w:val="00745502"/>
    <w:rsid w:val="00745557"/>
    <w:rsid w:val="007460DA"/>
    <w:rsid w:val="00746179"/>
    <w:rsid w:val="0074617F"/>
    <w:rsid w:val="007462A5"/>
    <w:rsid w:val="007465F9"/>
    <w:rsid w:val="00746D53"/>
    <w:rsid w:val="00747634"/>
    <w:rsid w:val="00747CE0"/>
    <w:rsid w:val="007502BA"/>
    <w:rsid w:val="00750F54"/>
    <w:rsid w:val="007514A8"/>
    <w:rsid w:val="0075164C"/>
    <w:rsid w:val="00751996"/>
    <w:rsid w:val="00751EC7"/>
    <w:rsid w:val="007523C0"/>
    <w:rsid w:val="007524D4"/>
    <w:rsid w:val="00752776"/>
    <w:rsid w:val="00752A6A"/>
    <w:rsid w:val="00753324"/>
    <w:rsid w:val="0075373B"/>
    <w:rsid w:val="00753C07"/>
    <w:rsid w:val="00753D52"/>
    <w:rsid w:val="0075424C"/>
    <w:rsid w:val="007542CA"/>
    <w:rsid w:val="00754477"/>
    <w:rsid w:val="00755457"/>
    <w:rsid w:val="0075590E"/>
    <w:rsid w:val="0075592E"/>
    <w:rsid w:val="00755E58"/>
    <w:rsid w:val="00756014"/>
    <w:rsid w:val="00756434"/>
    <w:rsid w:val="0075652C"/>
    <w:rsid w:val="00756BE9"/>
    <w:rsid w:val="007570D8"/>
    <w:rsid w:val="00757760"/>
    <w:rsid w:val="007577DD"/>
    <w:rsid w:val="0075792E"/>
    <w:rsid w:val="00760069"/>
    <w:rsid w:val="00760096"/>
    <w:rsid w:val="00760883"/>
    <w:rsid w:val="00760E6B"/>
    <w:rsid w:val="0076158D"/>
    <w:rsid w:val="0076161A"/>
    <w:rsid w:val="0076194E"/>
    <w:rsid w:val="00762131"/>
    <w:rsid w:val="0076215D"/>
    <w:rsid w:val="0076249B"/>
    <w:rsid w:val="00762855"/>
    <w:rsid w:val="00762DFF"/>
    <w:rsid w:val="00763082"/>
    <w:rsid w:val="007633E4"/>
    <w:rsid w:val="00763E15"/>
    <w:rsid w:val="00763E25"/>
    <w:rsid w:val="00763FF9"/>
    <w:rsid w:val="0076404C"/>
    <w:rsid w:val="0076440C"/>
    <w:rsid w:val="007644DA"/>
    <w:rsid w:val="00764562"/>
    <w:rsid w:val="00764742"/>
    <w:rsid w:val="007648D1"/>
    <w:rsid w:val="00764B64"/>
    <w:rsid w:val="00764CED"/>
    <w:rsid w:val="00766020"/>
    <w:rsid w:val="00766041"/>
    <w:rsid w:val="0076639F"/>
    <w:rsid w:val="00766EE8"/>
    <w:rsid w:val="00766F5A"/>
    <w:rsid w:val="007672AE"/>
    <w:rsid w:val="0076755E"/>
    <w:rsid w:val="00767DB5"/>
    <w:rsid w:val="00770A82"/>
    <w:rsid w:val="007712E8"/>
    <w:rsid w:val="00771453"/>
    <w:rsid w:val="007714DD"/>
    <w:rsid w:val="00771608"/>
    <w:rsid w:val="00771F05"/>
    <w:rsid w:val="007724EC"/>
    <w:rsid w:val="00772808"/>
    <w:rsid w:val="00772B46"/>
    <w:rsid w:val="00772EF9"/>
    <w:rsid w:val="00773368"/>
    <w:rsid w:val="00773581"/>
    <w:rsid w:val="00773F45"/>
    <w:rsid w:val="00774D3D"/>
    <w:rsid w:val="00774EB5"/>
    <w:rsid w:val="00774F6A"/>
    <w:rsid w:val="00775FF3"/>
    <w:rsid w:val="00776416"/>
    <w:rsid w:val="007767E2"/>
    <w:rsid w:val="007768D9"/>
    <w:rsid w:val="00776B96"/>
    <w:rsid w:val="00776BC3"/>
    <w:rsid w:val="007773F3"/>
    <w:rsid w:val="007779E6"/>
    <w:rsid w:val="00777D6D"/>
    <w:rsid w:val="00777D7D"/>
    <w:rsid w:val="00780321"/>
    <w:rsid w:val="007804DF"/>
    <w:rsid w:val="00780DD8"/>
    <w:rsid w:val="007817F6"/>
    <w:rsid w:val="00781C97"/>
    <w:rsid w:val="00781D50"/>
    <w:rsid w:val="0078213A"/>
    <w:rsid w:val="007824A6"/>
    <w:rsid w:val="00782A34"/>
    <w:rsid w:val="00782D5E"/>
    <w:rsid w:val="00782EA4"/>
    <w:rsid w:val="007833B5"/>
    <w:rsid w:val="00783834"/>
    <w:rsid w:val="007839E9"/>
    <w:rsid w:val="00783BFF"/>
    <w:rsid w:val="00783E91"/>
    <w:rsid w:val="0078498C"/>
    <w:rsid w:val="007856F9"/>
    <w:rsid w:val="00785D22"/>
    <w:rsid w:val="00785FBB"/>
    <w:rsid w:val="007860E1"/>
    <w:rsid w:val="007866C6"/>
    <w:rsid w:val="007870AE"/>
    <w:rsid w:val="007875F3"/>
    <w:rsid w:val="007877CB"/>
    <w:rsid w:val="00787E2E"/>
    <w:rsid w:val="007902FE"/>
    <w:rsid w:val="007915A9"/>
    <w:rsid w:val="0079263C"/>
    <w:rsid w:val="00792961"/>
    <w:rsid w:val="00792D73"/>
    <w:rsid w:val="0079339C"/>
    <w:rsid w:val="007933BE"/>
    <w:rsid w:val="0079363D"/>
    <w:rsid w:val="007936BE"/>
    <w:rsid w:val="007936E5"/>
    <w:rsid w:val="00793E84"/>
    <w:rsid w:val="00794772"/>
    <w:rsid w:val="007947D5"/>
    <w:rsid w:val="00794E13"/>
    <w:rsid w:val="00794EB9"/>
    <w:rsid w:val="007968B9"/>
    <w:rsid w:val="00797319"/>
    <w:rsid w:val="00797729"/>
    <w:rsid w:val="00797C75"/>
    <w:rsid w:val="00797ED1"/>
    <w:rsid w:val="007A099A"/>
    <w:rsid w:val="007A19B5"/>
    <w:rsid w:val="007A1D04"/>
    <w:rsid w:val="007A1EDA"/>
    <w:rsid w:val="007A1F37"/>
    <w:rsid w:val="007A200E"/>
    <w:rsid w:val="007A2144"/>
    <w:rsid w:val="007A2761"/>
    <w:rsid w:val="007A27BF"/>
    <w:rsid w:val="007A2B10"/>
    <w:rsid w:val="007A2E31"/>
    <w:rsid w:val="007A2E75"/>
    <w:rsid w:val="007A3286"/>
    <w:rsid w:val="007A3B99"/>
    <w:rsid w:val="007A3F21"/>
    <w:rsid w:val="007A3FCA"/>
    <w:rsid w:val="007A417F"/>
    <w:rsid w:val="007A431C"/>
    <w:rsid w:val="007A4544"/>
    <w:rsid w:val="007A4A47"/>
    <w:rsid w:val="007A4F14"/>
    <w:rsid w:val="007A5901"/>
    <w:rsid w:val="007A626E"/>
    <w:rsid w:val="007A6CC1"/>
    <w:rsid w:val="007A716A"/>
    <w:rsid w:val="007A75E1"/>
    <w:rsid w:val="007A7B13"/>
    <w:rsid w:val="007B01D7"/>
    <w:rsid w:val="007B039B"/>
    <w:rsid w:val="007B058B"/>
    <w:rsid w:val="007B09DF"/>
    <w:rsid w:val="007B13C7"/>
    <w:rsid w:val="007B1B35"/>
    <w:rsid w:val="007B1CB0"/>
    <w:rsid w:val="007B2194"/>
    <w:rsid w:val="007B237F"/>
    <w:rsid w:val="007B248D"/>
    <w:rsid w:val="007B3013"/>
    <w:rsid w:val="007B398C"/>
    <w:rsid w:val="007B3D9C"/>
    <w:rsid w:val="007B45E5"/>
    <w:rsid w:val="007B4799"/>
    <w:rsid w:val="007B47C8"/>
    <w:rsid w:val="007B4CA5"/>
    <w:rsid w:val="007B4D30"/>
    <w:rsid w:val="007B4DD2"/>
    <w:rsid w:val="007B534A"/>
    <w:rsid w:val="007B56E4"/>
    <w:rsid w:val="007B57DD"/>
    <w:rsid w:val="007B59E9"/>
    <w:rsid w:val="007B5CF9"/>
    <w:rsid w:val="007B6147"/>
    <w:rsid w:val="007B63AB"/>
    <w:rsid w:val="007B7673"/>
    <w:rsid w:val="007C0B68"/>
    <w:rsid w:val="007C0D87"/>
    <w:rsid w:val="007C0DCD"/>
    <w:rsid w:val="007C148E"/>
    <w:rsid w:val="007C1B05"/>
    <w:rsid w:val="007C1F2D"/>
    <w:rsid w:val="007C1F71"/>
    <w:rsid w:val="007C2473"/>
    <w:rsid w:val="007C2493"/>
    <w:rsid w:val="007C27EC"/>
    <w:rsid w:val="007C28CD"/>
    <w:rsid w:val="007C28F6"/>
    <w:rsid w:val="007C28FA"/>
    <w:rsid w:val="007C2A67"/>
    <w:rsid w:val="007C2D74"/>
    <w:rsid w:val="007C301C"/>
    <w:rsid w:val="007C344A"/>
    <w:rsid w:val="007C358D"/>
    <w:rsid w:val="007C382A"/>
    <w:rsid w:val="007C3941"/>
    <w:rsid w:val="007C3EE1"/>
    <w:rsid w:val="007C4599"/>
    <w:rsid w:val="007C4F83"/>
    <w:rsid w:val="007C6056"/>
    <w:rsid w:val="007C66AB"/>
    <w:rsid w:val="007C67B8"/>
    <w:rsid w:val="007C6A58"/>
    <w:rsid w:val="007C6C66"/>
    <w:rsid w:val="007C70A0"/>
    <w:rsid w:val="007C799D"/>
    <w:rsid w:val="007C7A69"/>
    <w:rsid w:val="007C7C53"/>
    <w:rsid w:val="007C7F5F"/>
    <w:rsid w:val="007D01C1"/>
    <w:rsid w:val="007D0851"/>
    <w:rsid w:val="007D0967"/>
    <w:rsid w:val="007D0F3C"/>
    <w:rsid w:val="007D11D0"/>
    <w:rsid w:val="007D12AA"/>
    <w:rsid w:val="007D1643"/>
    <w:rsid w:val="007D17D9"/>
    <w:rsid w:val="007D1CBF"/>
    <w:rsid w:val="007D26CC"/>
    <w:rsid w:val="007D27FF"/>
    <w:rsid w:val="007D28CC"/>
    <w:rsid w:val="007D2E77"/>
    <w:rsid w:val="007D3631"/>
    <w:rsid w:val="007D3C34"/>
    <w:rsid w:val="007D3EE6"/>
    <w:rsid w:val="007D40A2"/>
    <w:rsid w:val="007D40FE"/>
    <w:rsid w:val="007D4111"/>
    <w:rsid w:val="007D459A"/>
    <w:rsid w:val="007D4829"/>
    <w:rsid w:val="007D4866"/>
    <w:rsid w:val="007D4A5D"/>
    <w:rsid w:val="007D4B67"/>
    <w:rsid w:val="007D4C05"/>
    <w:rsid w:val="007D552F"/>
    <w:rsid w:val="007D56F6"/>
    <w:rsid w:val="007D576D"/>
    <w:rsid w:val="007D587B"/>
    <w:rsid w:val="007D6210"/>
    <w:rsid w:val="007D6489"/>
    <w:rsid w:val="007D693F"/>
    <w:rsid w:val="007D69A6"/>
    <w:rsid w:val="007D6E4B"/>
    <w:rsid w:val="007D6F88"/>
    <w:rsid w:val="007D75DA"/>
    <w:rsid w:val="007D7799"/>
    <w:rsid w:val="007D7864"/>
    <w:rsid w:val="007E028E"/>
    <w:rsid w:val="007E068D"/>
    <w:rsid w:val="007E11A3"/>
    <w:rsid w:val="007E13E3"/>
    <w:rsid w:val="007E1745"/>
    <w:rsid w:val="007E17A5"/>
    <w:rsid w:val="007E182B"/>
    <w:rsid w:val="007E1876"/>
    <w:rsid w:val="007E2087"/>
    <w:rsid w:val="007E21B9"/>
    <w:rsid w:val="007E22BC"/>
    <w:rsid w:val="007E23D8"/>
    <w:rsid w:val="007E2458"/>
    <w:rsid w:val="007E2BD1"/>
    <w:rsid w:val="007E2D8E"/>
    <w:rsid w:val="007E2F0C"/>
    <w:rsid w:val="007E3286"/>
    <w:rsid w:val="007E43E9"/>
    <w:rsid w:val="007E4641"/>
    <w:rsid w:val="007E46F3"/>
    <w:rsid w:val="007E4899"/>
    <w:rsid w:val="007E4A91"/>
    <w:rsid w:val="007E5774"/>
    <w:rsid w:val="007E5E48"/>
    <w:rsid w:val="007E603E"/>
    <w:rsid w:val="007E60DC"/>
    <w:rsid w:val="007E66AF"/>
    <w:rsid w:val="007E7CFF"/>
    <w:rsid w:val="007E7F7F"/>
    <w:rsid w:val="007F01E2"/>
    <w:rsid w:val="007F03A5"/>
    <w:rsid w:val="007F0822"/>
    <w:rsid w:val="007F0839"/>
    <w:rsid w:val="007F0930"/>
    <w:rsid w:val="007F0E61"/>
    <w:rsid w:val="007F1096"/>
    <w:rsid w:val="007F1A79"/>
    <w:rsid w:val="007F1C6D"/>
    <w:rsid w:val="007F1D0D"/>
    <w:rsid w:val="007F2869"/>
    <w:rsid w:val="007F2ADE"/>
    <w:rsid w:val="007F3086"/>
    <w:rsid w:val="007F3183"/>
    <w:rsid w:val="007F3331"/>
    <w:rsid w:val="007F34A8"/>
    <w:rsid w:val="007F3793"/>
    <w:rsid w:val="007F37FB"/>
    <w:rsid w:val="007F3988"/>
    <w:rsid w:val="007F3990"/>
    <w:rsid w:val="007F3FC3"/>
    <w:rsid w:val="007F494D"/>
    <w:rsid w:val="007F49CB"/>
    <w:rsid w:val="007F4EDA"/>
    <w:rsid w:val="007F5325"/>
    <w:rsid w:val="007F55C0"/>
    <w:rsid w:val="007F57C7"/>
    <w:rsid w:val="007F583E"/>
    <w:rsid w:val="007F5A0E"/>
    <w:rsid w:val="007F6F50"/>
    <w:rsid w:val="007F7183"/>
    <w:rsid w:val="007F7727"/>
    <w:rsid w:val="008002F8"/>
    <w:rsid w:val="00800A76"/>
    <w:rsid w:val="00801099"/>
    <w:rsid w:val="00801202"/>
    <w:rsid w:val="008013B6"/>
    <w:rsid w:val="008014DC"/>
    <w:rsid w:val="00801F32"/>
    <w:rsid w:val="00802573"/>
    <w:rsid w:val="008030CA"/>
    <w:rsid w:val="008030D4"/>
    <w:rsid w:val="0080347C"/>
    <w:rsid w:val="008037BF"/>
    <w:rsid w:val="00803867"/>
    <w:rsid w:val="00803909"/>
    <w:rsid w:val="00803BBA"/>
    <w:rsid w:val="008040C8"/>
    <w:rsid w:val="00804351"/>
    <w:rsid w:val="00804764"/>
    <w:rsid w:val="00804B54"/>
    <w:rsid w:val="008050F2"/>
    <w:rsid w:val="008052F8"/>
    <w:rsid w:val="00805589"/>
    <w:rsid w:val="00805724"/>
    <w:rsid w:val="00805763"/>
    <w:rsid w:val="00805791"/>
    <w:rsid w:val="00805A91"/>
    <w:rsid w:val="00805AF1"/>
    <w:rsid w:val="00805B54"/>
    <w:rsid w:val="00805C63"/>
    <w:rsid w:val="00805E1C"/>
    <w:rsid w:val="008061C4"/>
    <w:rsid w:val="008066D7"/>
    <w:rsid w:val="008067EC"/>
    <w:rsid w:val="0080685A"/>
    <w:rsid w:val="00806A88"/>
    <w:rsid w:val="00806D84"/>
    <w:rsid w:val="00806E1B"/>
    <w:rsid w:val="008070E0"/>
    <w:rsid w:val="00807BA9"/>
    <w:rsid w:val="00807BFE"/>
    <w:rsid w:val="00807E8B"/>
    <w:rsid w:val="008100D8"/>
    <w:rsid w:val="008102FA"/>
    <w:rsid w:val="008103C5"/>
    <w:rsid w:val="00810F46"/>
    <w:rsid w:val="00811748"/>
    <w:rsid w:val="00812922"/>
    <w:rsid w:val="00812AF6"/>
    <w:rsid w:val="00812B6A"/>
    <w:rsid w:val="00812BA1"/>
    <w:rsid w:val="00812E10"/>
    <w:rsid w:val="00812F1B"/>
    <w:rsid w:val="00813091"/>
    <w:rsid w:val="008130AE"/>
    <w:rsid w:val="00813327"/>
    <w:rsid w:val="00813423"/>
    <w:rsid w:val="00813891"/>
    <w:rsid w:val="00814ABC"/>
    <w:rsid w:val="00814B77"/>
    <w:rsid w:val="00815109"/>
    <w:rsid w:val="008153E3"/>
    <w:rsid w:val="008154AF"/>
    <w:rsid w:val="00815CDC"/>
    <w:rsid w:val="008162E5"/>
    <w:rsid w:val="00816BD0"/>
    <w:rsid w:val="00816FB6"/>
    <w:rsid w:val="0081763C"/>
    <w:rsid w:val="00817898"/>
    <w:rsid w:val="0081799D"/>
    <w:rsid w:val="00821D1B"/>
    <w:rsid w:val="0082209A"/>
    <w:rsid w:val="00822536"/>
    <w:rsid w:val="00822C13"/>
    <w:rsid w:val="00823110"/>
    <w:rsid w:val="008232E2"/>
    <w:rsid w:val="00823BE3"/>
    <w:rsid w:val="00823FBD"/>
    <w:rsid w:val="00824511"/>
    <w:rsid w:val="0082495C"/>
    <w:rsid w:val="00824E35"/>
    <w:rsid w:val="00824F0F"/>
    <w:rsid w:val="00824F8D"/>
    <w:rsid w:val="00825139"/>
    <w:rsid w:val="00825826"/>
    <w:rsid w:val="00825EBA"/>
    <w:rsid w:val="008260BA"/>
    <w:rsid w:val="00826246"/>
    <w:rsid w:val="00826311"/>
    <w:rsid w:val="008265B4"/>
    <w:rsid w:val="008266C2"/>
    <w:rsid w:val="008269ED"/>
    <w:rsid w:val="00826B2A"/>
    <w:rsid w:val="00826CB9"/>
    <w:rsid w:val="0082756E"/>
    <w:rsid w:val="00827BB1"/>
    <w:rsid w:val="00827F5C"/>
    <w:rsid w:val="0083079D"/>
    <w:rsid w:val="008307B7"/>
    <w:rsid w:val="00830A2A"/>
    <w:rsid w:val="00830CB4"/>
    <w:rsid w:val="008311B3"/>
    <w:rsid w:val="00831723"/>
    <w:rsid w:val="00831E37"/>
    <w:rsid w:val="00833014"/>
    <w:rsid w:val="0083394C"/>
    <w:rsid w:val="00833A8F"/>
    <w:rsid w:val="00834998"/>
    <w:rsid w:val="00834F9B"/>
    <w:rsid w:val="008352E2"/>
    <w:rsid w:val="008355E6"/>
    <w:rsid w:val="0083565B"/>
    <w:rsid w:val="00835A45"/>
    <w:rsid w:val="00835E2D"/>
    <w:rsid w:val="00836052"/>
    <w:rsid w:val="00836316"/>
    <w:rsid w:val="008369B8"/>
    <w:rsid w:val="00836AE8"/>
    <w:rsid w:val="00836EEC"/>
    <w:rsid w:val="0083716E"/>
    <w:rsid w:val="00837B33"/>
    <w:rsid w:val="00837BA0"/>
    <w:rsid w:val="008400A5"/>
    <w:rsid w:val="00840171"/>
    <w:rsid w:val="008404E7"/>
    <w:rsid w:val="00840725"/>
    <w:rsid w:val="00840E86"/>
    <w:rsid w:val="008410E6"/>
    <w:rsid w:val="0084129C"/>
    <w:rsid w:val="00841441"/>
    <w:rsid w:val="008416B4"/>
    <w:rsid w:val="00841AED"/>
    <w:rsid w:val="00841C59"/>
    <w:rsid w:val="00842116"/>
    <w:rsid w:val="00842674"/>
    <w:rsid w:val="00842FB0"/>
    <w:rsid w:val="00843B09"/>
    <w:rsid w:val="00843BC0"/>
    <w:rsid w:val="00843D5F"/>
    <w:rsid w:val="00844318"/>
    <w:rsid w:val="00844456"/>
    <w:rsid w:val="00844BAC"/>
    <w:rsid w:val="00845052"/>
    <w:rsid w:val="00845090"/>
    <w:rsid w:val="00845519"/>
    <w:rsid w:val="008456A5"/>
    <w:rsid w:val="008457F2"/>
    <w:rsid w:val="00846781"/>
    <w:rsid w:val="0084695B"/>
    <w:rsid w:val="00850283"/>
    <w:rsid w:val="00851046"/>
    <w:rsid w:val="00851504"/>
    <w:rsid w:val="0085183F"/>
    <w:rsid w:val="0085189B"/>
    <w:rsid w:val="0085195A"/>
    <w:rsid w:val="00851ADB"/>
    <w:rsid w:val="00852022"/>
    <w:rsid w:val="0085268F"/>
    <w:rsid w:val="00852B31"/>
    <w:rsid w:val="00852E59"/>
    <w:rsid w:val="008536D5"/>
    <w:rsid w:val="0085371B"/>
    <w:rsid w:val="00853C01"/>
    <w:rsid w:val="00854B5B"/>
    <w:rsid w:val="00854DE5"/>
    <w:rsid w:val="008552C3"/>
    <w:rsid w:val="008555E1"/>
    <w:rsid w:val="00855BCB"/>
    <w:rsid w:val="00855E00"/>
    <w:rsid w:val="0085632B"/>
    <w:rsid w:val="008565DF"/>
    <w:rsid w:val="008569AC"/>
    <w:rsid w:val="00856BDD"/>
    <w:rsid w:val="00857296"/>
    <w:rsid w:val="00857AE3"/>
    <w:rsid w:val="00857D54"/>
    <w:rsid w:val="00857FA7"/>
    <w:rsid w:val="00860958"/>
    <w:rsid w:val="00860B49"/>
    <w:rsid w:val="00860E03"/>
    <w:rsid w:val="00860E19"/>
    <w:rsid w:val="00860F8C"/>
    <w:rsid w:val="00860FAD"/>
    <w:rsid w:val="00860FBE"/>
    <w:rsid w:val="00861048"/>
    <w:rsid w:val="008610BB"/>
    <w:rsid w:val="008611D6"/>
    <w:rsid w:val="0086186B"/>
    <w:rsid w:val="00861918"/>
    <w:rsid w:val="00861ABB"/>
    <w:rsid w:val="00861DBB"/>
    <w:rsid w:val="008623F4"/>
    <w:rsid w:val="00862491"/>
    <w:rsid w:val="00862EEA"/>
    <w:rsid w:val="008631CD"/>
    <w:rsid w:val="008639F4"/>
    <w:rsid w:val="00863E5C"/>
    <w:rsid w:val="00863E6E"/>
    <w:rsid w:val="008645AE"/>
    <w:rsid w:val="0086546C"/>
    <w:rsid w:val="00865D79"/>
    <w:rsid w:val="00865E47"/>
    <w:rsid w:val="008663AB"/>
    <w:rsid w:val="0086682A"/>
    <w:rsid w:val="00866982"/>
    <w:rsid w:val="008669AA"/>
    <w:rsid w:val="008669F0"/>
    <w:rsid w:val="0086724D"/>
    <w:rsid w:val="008673C7"/>
    <w:rsid w:val="008673FC"/>
    <w:rsid w:val="008674CD"/>
    <w:rsid w:val="00867565"/>
    <w:rsid w:val="00867FD4"/>
    <w:rsid w:val="008703B1"/>
    <w:rsid w:val="0087040C"/>
    <w:rsid w:val="00870533"/>
    <w:rsid w:val="0087077C"/>
    <w:rsid w:val="00870F3A"/>
    <w:rsid w:val="00871461"/>
    <w:rsid w:val="008721B9"/>
    <w:rsid w:val="00872426"/>
    <w:rsid w:val="00872434"/>
    <w:rsid w:val="00872AA2"/>
    <w:rsid w:val="00872CE4"/>
    <w:rsid w:val="008731BF"/>
    <w:rsid w:val="00873481"/>
    <w:rsid w:val="00873496"/>
    <w:rsid w:val="0087398F"/>
    <w:rsid w:val="00873A87"/>
    <w:rsid w:val="00873B71"/>
    <w:rsid w:val="00873C19"/>
    <w:rsid w:val="00873CF7"/>
    <w:rsid w:val="008749E3"/>
    <w:rsid w:val="00874AF5"/>
    <w:rsid w:val="0087628C"/>
    <w:rsid w:val="00876422"/>
    <w:rsid w:val="00876CA4"/>
    <w:rsid w:val="00876E43"/>
    <w:rsid w:val="0087795F"/>
    <w:rsid w:val="008800AD"/>
    <w:rsid w:val="00880459"/>
    <w:rsid w:val="00880582"/>
    <w:rsid w:val="008807B2"/>
    <w:rsid w:val="008807B7"/>
    <w:rsid w:val="00880F22"/>
    <w:rsid w:val="00880FF6"/>
    <w:rsid w:val="008812F8"/>
    <w:rsid w:val="008814B7"/>
    <w:rsid w:val="00881750"/>
    <w:rsid w:val="008817E9"/>
    <w:rsid w:val="00882105"/>
    <w:rsid w:val="008821B3"/>
    <w:rsid w:val="0088261F"/>
    <w:rsid w:val="008826C2"/>
    <w:rsid w:val="00882C9F"/>
    <w:rsid w:val="00882D24"/>
    <w:rsid w:val="008830D1"/>
    <w:rsid w:val="00883201"/>
    <w:rsid w:val="00883E71"/>
    <w:rsid w:val="0088491B"/>
    <w:rsid w:val="008849C5"/>
    <w:rsid w:val="00884A3B"/>
    <w:rsid w:val="00884E77"/>
    <w:rsid w:val="00885696"/>
    <w:rsid w:val="00885C91"/>
    <w:rsid w:val="008860B6"/>
    <w:rsid w:val="0088645A"/>
    <w:rsid w:val="00886AA1"/>
    <w:rsid w:val="00886BB8"/>
    <w:rsid w:val="00887340"/>
    <w:rsid w:val="00887362"/>
    <w:rsid w:val="00887431"/>
    <w:rsid w:val="00887818"/>
    <w:rsid w:val="00890017"/>
    <w:rsid w:val="00890156"/>
    <w:rsid w:val="00890A60"/>
    <w:rsid w:val="00890B95"/>
    <w:rsid w:val="008910BE"/>
    <w:rsid w:val="00891C34"/>
    <w:rsid w:val="00891C40"/>
    <w:rsid w:val="00891EB3"/>
    <w:rsid w:val="00892060"/>
    <w:rsid w:val="00892257"/>
    <w:rsid w:val="00892303"/>
    <w:rsid w:val="00892909"/>
    <w:rsid w:val="00894A6D"/>
    <w:rsid w:val="00894D1C"/>
    <w:rsid w:val="00894E83"/>
    <w:rsid w:val="00895AFF"/>
    <w:rsid w:val="0089630D"/>
    <w:rsid w:val="00897026"/>
    <w:rsid w:val="00897FE5"/>
    <w:rsid w:val="008A050C"/>
    <w:rsid w:val="008A06E2"/>
    <w:rsid w:val="008A0EE2"/>
    <w:rsid w:val="008A10E5"/>
    <w:rsid w:val="008A1227"/>
    <w:rsid w:val="008A15B9"/>
    <w:rsid w:val="008A1755"/>
    <w:rsid w:val="008A1A23"/>
    <w:rsid w:val="008A24DB"/>
    <w:rsid w:val="008A2589"/>
    <w:rsid w:val="008A265E"/>
    <w:rsid w:val="008A2860"/>
    <w:rsid w:val="008A2DBE"/>
    <w:rsid w:val="008A3273"/>
    <w:rsid w:val="008A36DF"/>
    <w:rsid w:val="008A3946"/>
    <w:rsid w:val="008A3C96"/>
    <w:rsid w:val="008A3E78"/>
    <w:rsid w:val="008A413C"/>
    <w:rsid w:val="008A4246"/>
    <w:rsid w:val="008A4544"/>
    <w:rsid w:val="008A4866"/>
    <w:rsid w:val="008A4E8F"/>
    <w:rsid w:val="008A520E"/>
    <w:rsid w:val="008A58A2"/>
    <w:rsid w:val="008A63CB"/>
    <w:rsid w:val="008A6695"/>
    <w:rsid w:val="008A6ABE"/>
    <w:rsid w:val="008A6B00"/>
    <w:rsid w:val="008A6B0B"/>
    <w:rsid w:val="008A6D8E"/>
    <w:rsid w:val="008A6F6D"/>
    <w:rsid w:val="008A77C4"/>
    <w:rsid w:val="008A78A1"/>
    <w:rsid w:val="008A7C5D"/>
    <w:rsid w:val="008B003F"/>
    <w:rsid w:val="008B053A"/>
    <w:rsid w:val="008B0C9B"/>
    <w:rsid w:val="008B0DD5"/>
    <w:rsid w:val="008B114E"/>
    <w:rsid w:val="008B14AC"/>
    <w:rsid w:val="008B15A8"/>
    <w:rsid w:val="008B1652"/>
    <w:rsid w:val="008B1AD3"/>
    <w:rsid w:val="008B1DDF"/>
    <w:rsid w:val="008B23C0"/>
    <w:rsid w:val="008B252C"/>
    <w:rsid w:val="008B2750"/>
    <w:rsid w:val="008B2AF5"/>
    <w:rsid w:val="008B3060"/>
    <w:rsid w:val="008B30C7"/>
    <w:rsid w:val="008B3179"/>
    <w:rsid w:val="008B32AE"/>
    <w:rsid w:val="008B356A"/>
    <w:rsid w:val="008B3AAC"/>
    <w:rsid w:val="008B3D5B"/>
    <w:rsid w:val="008B42A3"/>
    <w:rsid w:val="008B45CB"/>
    <w:rsid w:val="008B46EF"/>
    <w:rsid w:val="008B497D"/>
    <w:rsid w:val="008B4E10"/>
    <w:rsid w:val="008B4F9F"/>
    <w:rsid w:val="008B52C8"/>
    <w:rsid w:val="008B52F5"/>
    <w:rsid w:val="008B5449"/>
    <w:rsid w:val="008B547B"/>
    <w:rsid w:val="008B54D7"/>
    <w:rsid w:val="008B5D64"/>
    <w:rsid w:val="008B5DC4"/>
    <w:rsid w:val="008B5F2A"/>
    <w:rsid w:val="008B6252"/>
    <w:rsid w:val="008B629C"/>
    <w:rsid w:val="008B66BA"/>
    <w:rsid w:val="008B704E"/>
    <w:rsid w:val="008B78B6"/>
    <w:rsid w:val="008B78F5"/>
    <w:rsid w:val="008B7ABE"/>
    <w:rsid w:val="008C0176"/>
    <w:rsid w:val="008C08F2"/>
    <w:rsid w:val="008C0968"/>
    <w:rsid w:val="008C117E"/>
    <w:rsid w:val="008C11F2"/>
    <w:rsid w:val="008C15A2"/>
    <w:rsid w:val="008C1A8F"/>
    <w:rsid w:val="008C1F24"/>
    <w:rsid w:val="008C2444"/>
    <w:rsid w:val="008C285E"/>
    <w:rsid w:val="008C2954"/>
    <w:rsid w:val="008C2AE0"/>
    <w:rsid w:val="008C2B3F"/>
    <w:rsid w:val="008C2E62"/>
    <w:rsid w:val="008C321D"/>
    <w:rsid w:val="008C38A3"/>
    <w:rsid w:val="008C3A34"/>
    <w:rsid w:val="008C3DC2"/>
    <w:rsid w:val="008C3E09"/>
    <w:rsid w:val="008C4129"/>
    <w:rsid w:val="008C43AC"/>
    <w:rsid w:val="008C458F"/>
    <w:rsid w:val="008C4609"/>
    <w:rsid w:val="008C492A"/>
    <w:rsid w:val="008C4B36"/>
    <w:rsid w:val="008C4CA9"/>
    <w:rsid w:val="008C54A4"/>
    <w:rsid w:val="008C56DF"/>
    <w:rsid w:val="008C5AAC"/>
    <w:rsid w:val="008C5E11"/>
    <w:rsid w:val="008C6089"/>
    <w:rsid w:val="008C658A"/>
    <w:rsid w:val="008C6E56"/>
    <w:rsid w:val="008C6E74"/>
    <w:rsid w:val="008C73A0"/>
    <w:rsid w:val="008D013D"/>
    <w:rsid w:val="008D0947"/>
    <w:rsid w:val="008D101C"/>
    <w:rsid w:val="008D1EE0"/>
    <w:rsid w:val="008D211D"/>
    <w:rsid w:val="008D2AD8"/>
    <w:rsid w:val="008D2C01"/>
    <w:rsid w:val="008D2DCB"/>
    <w:rsid w:val="008D34A6"/>
    <w:rsid w:val="008D34B0"/>
    <w:rsid w:val="008D3768"/>
    <w:rsid w:val="008D3C71"/>
    <w:rsid w:val="008D3D11"/>
    <w:rsid w:val="008D3FEB"/>
    <w:rsid w:val="008D4698"/>
    <w:rsid w:val="008D4806"/>
    <w:rsid w:val="008D49D7"/>
    <w:rsid w:val="008D4C24"/>
    <w:rsid w:val="008D5631"/>
    <w:rsid w:val="008D578B"/>
    <w:rsid w:val="008D5B2B"/>
    <w:rsid w:val="008D5D39"/>
    <w:rsid w:val="008D6099"/>
    <w:rsid w:val="008D627E"/>
    <w:rsid w:val="008D683F"/>
    <w:rsid w:val="008D6EAA"/>
    <w:rsid w:val="008D7DC8"/>
    <w:rsid w:val="008E08F1"/>
    <w:rsid w:val="008E143A"/>
    <w:rsid w:val="008E1464"/>
    <w:rsid w:val="008E1626"/>
    <w:rsid w:val="008E1849"/>
    <w:rsid w:val="008E214F"/>
    <w:rsid w:val="008E2659"/>
    <w:rsid w:val="008E26B1"/>
    <w:rsid w:val="008E29AF"/>
    <w:rsid w:val="008E29C8"/>
    <w:rsid w:val="008E2C23"/>
    <w:rsid w:val="008E36FC"/>
    <w:rsid w:val="008E444D"/>
    <w:rsid w:val="008E4D31"/>
    <w:rsid w:val="008E4F52"/>
    <w:rsid w:val="008E4F93"/>
    <w:rsid w:val="008E5119"/>
    <w:rsid w:val="008E517D"/>
    <w:rsid w:val="008E53CA"/>
    <w:rsid w:val="008E568C"/>
    <w:rsid w:val="008E5A82"/>
    <w:rsid w:val="008E5B15"/>
    <w:rsid w:val="008E64B0"/>
    <w:rsid w:val="008E6699"/>
    <w:rsid w:val="008E6A99"/>
    <w:rsid w:val="008E6C9D"/>
    <w:rsid w:val="008E7127"/>
    <w:rsid w:val="008E735B"/>
    <w:rsid w:val="008E779C"/>
    <w:rsid w:val="008E780F"/>
    <w:rsid w:val="008F0152"/>
    <w:rsid w:val="008F066E"/>
    <w:rsid w:val="008F0DC2"/>
    <w:rsid w:val="008F204B"/>
    <w:rsid w:val="008F270C"/>
    <w:rsid w:val="008F2903"/>
    <w:rsid w:val="008F29B8"/>
    <w:rsid w:val="008F2CFE"/>
    <w:rsid w:val="008F3332"/>
    <w:rsid w:val="008F3642"/>
    <w:rsid w:val="008F376C"/>
    <w:rsid w:val="008F404E"/>
    <w:rsid w:val="008F4116"/>
    <w:rsid w:val="008F5057"/>
    <w:rsid w:val="008F52D2"/>
    <w:rsid w:val="008F5461"/>
    <w:rsid w:val="008F609A"/>
    <w:rsid w:val="008F6469"/>
    <w:rsid w:val="008F6636"/>
    <w:rsid w:val="008F6709"/>
    <w:rsid w:val="008F6D06"/>
    <w:rsid w:val="008F6DD0"/>
    <w:rsid w:val="008F6E64"/>
    <w:rsid w:val="008F6F71"/>
    <w:rsid w:val="008F7412"/>
    <w:rsid w:val="008F74B4"/>
    <w:rsid w:val="008F79A4"/>
    <w:rsid w:val="008F7BE5"/>
    <w:rsid w:val="008F7C84"/>
    <w:rsid w:val="008F7FA5"/>
    <w:rsid w:val="009003B9"/>
    <w:rsid w:val="009005B3"/>
    <w:rsid w:val="0090082D"/>
    <w:rsid w:val="00900A0F"/>
    <w:rsid w:val="009011B9"/>
    <w:rsid w:val="00901A9C"/>
    <w:rsid w:val="00901D20"/>
    <w:rsid w:val="00901FC3"/>
    <w:rsid w:val="009021FE"/>
    <w:rsid w:val="009026FF"/>
    <w:rsid w:val="00902FCA"/>
    <w:rsid w:val="009030C5"/>
    <w:rsid w:val="009039E8"/>
    <w:rsid w:val="00903EC3"/>
    <w:rsid w:val="00904536"/>
    <w:rsid w:val="009046C0"/>
    <w:rsid w:val="00905548"/>
    <w:rsid w:val="00905A19"/>
    <w:rsid w:val="00906104"/>
    <w:rsid w:val="009061EA"/>
    <w:rsid w:val="0090652C"/>
    <w:rsid w:val="00906987"/>
    <w:rsid w:val="009069A0"/>
    <w:rsid w:val="00906E79"/>
    <w:rsid w:val="009076E2"/>
    <w:rsid w:val="00907E70"/>
    <w:rsid w:val="00907FDE"/>
    <w:rsid w:val="009107CC"/>
    <w:rsid w:val="00910A24"/>
    <w:rsid w:val="00910D1F"/>
    <w:rsid w:val="00910D69"/>
    <w:rsid w:val="00910F6A"/>
    <w:rsid w:val="00910FAC"/>
    <w:rsid w:val="0091158F"/>
    <w:rsid w:val="00911C9E"/>
    <w:rsid w:val="00911FF7"/>
    <w:rsid w:val="00912371"/>
    <w:rsid w:val="00912A48"/>
    <w:rsid w:val="00912C4E"/>
    <w:rsid w:val="00912DB2"/>
    <w:rsid w:val="00912DC1"/>
    <w:rsid w:val="00912DC7"/>
    <w:rsid w:val="00912EF5"/>
    <w:rsid w:val="009132CA"/>
    <w:rsid w:val="00913366"/>
    <w:rsid w:val="0091337C"/>
    <w:rsid w:val="009133FE"/>
    <w:rsid w:val="00913F69"/>
    <w:rsid w:val="009140CC"/>
    <w:rsid w:val="009143CA"/>
    <w:rsid w:val="00914411"/>
    <w:rsid w:val="009148E0"/>
    <w:rsid w:val="00914D56"/>
    <w:rsid w:val="00915110"/>
    <w:rsid w:val="00915734"/>
    <w:rsid w:val="00915781"/>
    <w:rsid w:val="00915A9B"/>
    <w:rsid w:val="00915EF2"/>
    <w:rsid w:val="00915FD0"/>
    <w:rsid w:val="00916288"/>
    <w:rsid w:val="00916776"/>
    <w:rsid w:val="00916883"/>
    <w:rsid w:val="00916D14"/>
    <w:rsid w:val="0091704C"/>
    <w:rsid w:val="00917870"/>
    <w:rsid w:val="00917A36"/>
    <w:rsid w:val="00917A67"/>
    <w:rsid w:val="00917C01"/>
    <w:rsid w:val="00917DDD"/>
    <w:rsid w:val="00917E5D"/>
    <w:rsid w:val="009203B8"/>
    <w:rsid w:val="009208BE"/>
    <w:rsid w:val="00920AED"/>
    <w:rsid w:val="00920D22"/>
    <w:rsid w:val="00920D9C"/>
    <w:rsid w:val="00920DF9"/>
    <w:rsid w:val="00920EEA"/>
    <w:rsid w:val="00921177"/>
    <w:rsid w:val="00921BCC"/>
    <w:rsid w:val="00921E23"/>
    <w:rsid w:val="009223E2"/>
    <w:rsid w:val="0092247C"/>
    <w:rsid w:val="00922E76"/>
    <w:rsid w:val="00922FF2"/>
    <w:rsid w:val="009232C9"/>
    <w:rsid w:val="00923579"/>
    <w:rsid w:val="0092359E"/>
    <w:rsid w:val="009240F3"/>
    <w:rsid w:val="009241C1"/>
    <w:rsid w:val="009243EB"/>
    <w:rsid w:val="00924651"/>
    <w:rsid w:val="00924EE6"/>
    <w:rsid w:val="0092517C"/>
    <w:rsid w:val="0092533E"/>
    <w:rsid w:val="0092559F"/>
    <w:rsid w:val="00925763"/>
    <w:rsid w:val="009257AB"/>
    <w:rsid w:val="009257BB"/>
    <w:rsid w:val="00925AF9"/>
    <w:rsid w:val="00925CB6"/>
    <w:rsid w:val="00925DB7"/>
    <w:rsid w:val="00925E4D"/>
    <w:rsid w:val="00925F0D"/>
    <w:rsid w:val="00925F16"/>
    <w:rsid w:val="00926A60"/>
    <w:rsid w:val="00926DD1"/>
    <w:rsid w:val="00927C95"/>
    <w:rsid w:val="00930867"/>
    <w:rsid w:val="00930AAA"/>
    <w:rsid w:val="00930B29"/>
    <w:rsid w:val="00930ED6"/>
    <w:rsid w:val="00930F2E"/>
    <w:rsid w:val="00931270"/>
    <w:rsid w:val="009316F8"/>
    <w:rsid w:val="0093187B"/>
    <w:rsid w:val="0093246E"/>
    <w:rsid w:val="00932630"/>
    <w:rsid w:val="00932B2B"/>
    <w:rsid w:val="00932C03"/>
    <w:rsid w:val="00932EFC"/>
    <w:rsid w:val="00933CAC"/>
    <w:rsid w:val="00933DCD"/>
    <w:rsid w:val="009340F5"/>
    <w:rsid w:val="00934883"/>
    <w:rsid w:val="00934958"/>
    <w:rsid w:val="00934C3A"/>
    <w:rsid w:val="009357C7"/>
    <w:rsid w:val="009357F5"/>
    <w:rsid w:val="00935D23"/>
    <w:rsid w:val="009365DD"/>
    <w:rsid w:val="009368F7"/>
    <w:rsid w:val="00936929"/>
    <w:rsid w:val="00936A0F"/>
    <w:rsid w:val="00936D68"/>
    <w:rsid w:val="00936DD6"/>
    <w:rsid w:val="00937113"/>
    <w:rsid w:val="0093727F"/>
    <w:rsid w:val="009372E3"/>
    <w:rsid w:val="00937581"/>
    <w:rsid w:val="00937716"/>
    <w:rsid w:val="00937CB0"/>
    <w:rsid w:val="00940A9E"/>
    <w:rsid w:val="00940AD0"/>
    <w:rsid w:val="00940B62"/>
    <w:rsid w:val="00940D46"/>
    <w:rsid w:val="00940E6B"/>
    <w:rsid w:val="009412F0"/>
    <w:rsid w:val="00941B2B"/>
    <w:rsid w:val="00942665"/>
    <w:rsid w:val="0094267A"/>
    <w:rsid w:val="00942E5F"/>
    <w:rsid w:val="00942FEF"/>
    <w:rsid w:val="009430BE"/>
    <w:rsid w:val="009431A2"/>
    <w:rsid w:val="0094370B"/>
    <w:rsid w:val="009439C6"/>
    <w:rsid w:val="0094401D"/>
    <w:rsid w:val="009440A9"/>
    <w:rsid w:val="00944B6A"/>
    <w:rsid w:val="009452AF"/>
    <w:rsid w:val="00945936"/>
    <w:rsid w:val="00945C3E"/>
    <w:rsid w:val="00945E82"/>
    <w:rsid w:val="0094655D"/>
    <w:rsid w:val="00946B69"/>
    <w:rsid w:val="00946DB1"/>
    <w:rsid w:val="00946FD5"/>
    <w:rsid w:val="00947D34"/>
    <w:rsid w:val="00950232"/>
    <w:rsid w:val="0095059C"/>
    <w:rsid w:val="00950844"/>
    <w:rsid w:val="00950C7B"/>
    <w:rsid w:val="009515BC"/>
    <w:rsid w:val="009517F0"/>
    <w:rsid w:val="00951D36"/>
    <w:rsid w:val="00952991"/>
    <w:rsid w:val="00952A17"/>
    <w:rsid w:val="00952B90"/>
    <w:rsid w:val="0095310C"/>
    <w:rsid w:val="00954027"/>
    <w:rsid w:val="00954A11"/>
    <w:rsid w:val="00954E07"/>
    <w:rsid w:val="00954E36"/>
    <w:rsid w:val="00954E96"/>
    <w:rsid w:val="0095551C"/>
    <w:rsid w:val="009558AB"/>
    <w:rsid w:val="0095641F"/>
    <w:rsid w:val="00956AEB"/>
    <w:rsid w:val="00956BE1"/>
    <w:rsid w:val="00956C92"/>
    <w:rsid w:val="00956D43"/>
    <w:rsid w:val="00957038"/>
    <w:rsid w:val="0095717B"/>
    <w:rsid w:val="00957587"/>
    <w:rsid w:val="0095768C"/>
    <w:rsid w:val="0095785C"/>
    <w:rsid w:val="0095788A"/>
    <w:rsid w:val="00957B44"/>
    <w:rsid w:val="00957ED5"/>
    <w:rsid w:val="00957EF3"/>
    <w:rsid w:val="00957F3A"/>
    <w:rsid w:val="009604F3"/>
    <w:rsid w:val="009605EE"/>
    <w:rsid w:val="00960BBA"/>
    <w:rsid w:val="0096125A"/>
    <w:rsid w:val="009614CD"/>
    <w:rsid w:val="009626E6"/>
    <w:rsid w:val="009631A8"/>
    <w:rsid w:val="00963201"/>
    <w:rsid w:val="009634C9"/>
    <w:rsid w:val="00963C8F"/>
    <w:rsid w:val="009642C8"/>
    <w:rsid w:val="0096433B"/>
    <w:rsid w:val="009647C8"/>
    <w:rsid w:val="00965E3D"/>
    <w:rsid w:val="009660B8"/>
    <w:rsid w:val="00966158"/>
    <w:rsid w:val="00966283"/>
    <w:rsid w:val="00966487"/>
    <w:rsid w:val="00966585"/>
    <w:rsid w:val="00966745"/>
    <w:rsid w:val="0096738F"/>
    <w:rsid w:val="00967640"/>
    <w:rsid w:val="009678C2"/>
    <w:rsid w:val="00967A86"/>
    <w:rsid w:val="00967FFB"/>
    <w:rsid w:val="009707AB"/>
    <w:rsid w:val="009708AD"/>
    <w:rsid w:val="00970B66"/>
    <w:rsid w:val="00971045"/>
    <w:rsid w:val="00971188"/>
    <w:rsid w:val="00971261"/>
    <w:rsid w:val="00971FD8"/>
    <w:rsid w:val="0097246B"/>
    <w:rsid w:val="009724A7"/>
    <w:rsid w:val="00972553"/>
    <w:rsid w:val="0097318B"/>
    <w:rsid w:val="009737FD"/>
    <w:rsid w:val="00973CD2"/>
    <w:rsid w:val="00973EE7"/>
    <w:rsid w:val="00974454"/>
    <w:rsid w:val="00974522"/>
    <w:rsid w:val="009748F7"/>
    <w:rsid w:val="00974FFA"/>
    <w:rsid w:val="009754C9"/>
    <w:rsid w:val="009754ED"/>
    <w:rsid w:val="009760AA"/>
    <w:rsid w:val="00976140"/>
    <w:rsid w:val="00976A7C"/>
    <w:rsid w:val="00976A8C"/>
    <w:rsid w:val="00976C0F"/>
    <w:rsid w:val="00976EE7"/>
    <w:rsid w:val="009774C1"/>
    <w:rsid w:val="00977533"/>
    <w:rsid w:val="0097787A"/>
    <w:rsid w:val="009778C1"/>
    <w:rsid w:val="00977A57"/>
    <w:rsid w:val="00977CF1"/>
    <w:rsid w:val="0098003C"/>
    <w:rsid w:val="009802E4"/>
    <w:rsid w:val="00980A74"/>
    <w:rsid w:val="00981060"/>
    <w:rsid w:val="0098125E"/>
    <w:rsid w:val="009812A2"/>
    <w:rsid w:val="00981742"/>
    <w:rsid w:val="009817E6"/>
    <w:rsid w:val="00981E64"/>
    <w:rsid w:val="00981F8D"/>
    <w:rsid w:val="00982550"/>
    <w:rsid w:val="009825DF"/>
    <w:rsid w:val="00982989"/>
    <w:rsid w:val="00983009"/>
    <w:rsid w:val="009836D8"/>
    <w:rsid w:val="00983778"/>
    <w:rsid w:val="009839CD"/>
    <w:rsid w:val="00983B0B"/>
    <w:rsid w:val="00984070"/>
    <w:rsid w:val="00984615"/>
    <w:rsid w:val="00984A08"/>
    <w:rsid w:val="00984F56"/>
    <w:rsid w:val="0098539C"/>
    <w:rsid w:val="0098553B"/>
    <w:rsid w:val="00985A8F"/>
    <w:rsid w:val="00985C83"/>
    <w:rsid w:val="00986213"/>
    <w:rsid w:val="009865B7"/>
    <w:rsid w:val="009879FD"/>
    <w:rsid w:val="00987B87"/>
    <w:rsid w:val="00990110"/>
    <w:rsid w:val="00990982"/>
    <w:rsid w:val="00990CE9"/>
    <w:rsid w:val="00990E2B"/>
    <w:rsid w:val="0099121C"/>
    <w:rsid w:val="00991235"/>
    <w:rsid w:val="009923A1"/>
    <w:rsid w:val="009925E7"/>
    <w:rsid w:val="00992C75"/>
    <w:rsid w:val="0099320B"/>
    <w:rsid w:val="009933D6"/>
    <w:rsid w:val="0099382D"/>
    <w:rsid w:val="00994340"/>
    <w:rsid w:val="00994A46"/>
    <w:rsid w:val="009953C5"/>
    <w:rsid w:val="009956B6"/>
    <w:rsid w:val="00995901"/>
    <w:rsid w:val="00995CBE"/>
    <w:rsid w:val="00995D47"/>
    <w:rsid w:val="009963E2"/>
    <w:rsid w:val="00996573"/>
    <w:rsid w:val="009966BF"/>
    <w:rsid w:val="00996C0A"/>
    <w:rsid w:val="009971B5"/>
    <w:rsid w:val="009974F7"/>
    <w:rsid w:val="009977AB"/>
    <w:rsid w:val="00997B52"/>
    <w:rsid w:val="009A0197"/>
    <w:rsid w:val="009A0313"/>
    <w:rsid w:val="009A06B8"/>
    <w:rsid w:val="009A0B67"/>
    <w:rsid w:val="009A0BA9"/>
    <w:rsid w:val="009A0C44"/>
    <w:rsid w:val="009A1581"/>
    <w:rsid w:val="009A1A96"/>
    <w:rsid w:val="009A1B1D"/>
    <w:rsid w:val="009A26A4"/>
    <w:rsid w:val="009A2BAF"/>
    <w:rsid w:val="009A347F"/>
    <w:rsid w:val="009A34C3"/>
    <w:rsid w:val="009A38BF"/>
    <w:rsid w:val="009A3C79"/>
    <w:rsid w:val="009A3E9D"/>
    <w:rsid w:val="009A42B9"/>
    <w:rsid w:val="009A44D7"/>
    <w:rsid w:val="009A4549"/>
    <w:rsid w:val="009A4EF9"/>
    <w:rsid w:val="009A515A"/>
    <w:rsid w:val="009A51A5"/>
    <w:rsid w:val="009A55FE"/>
    <w:rsid w:val="009A5719"/>
    <w:rsid w:val="009A5727"/>
    <w:rsid w:val="009A5B93"/>
    <w:rsid w:val="009A5BDB"/>
    <w:rsid w:val="009A5F26"/>
    <w:rsid w:val="009A5FAD"/>
    <w:rsid w:val="009A5FEE"/>
    <w:rsid w:val="009A6886"/>
    <w:rsid w:val="009A6A4B"/>
    <w:rsid w:val="009A6B36"/>
    <w:rsid w:val="009A6EE3"/>
    <w:rsid w:val="009A6F41"/>
    <w:rsid w:val="009A71D1"/>
    <w:rsid w:val="009A78E2"/>
    <w:rsid w:val="009B06AD"/>
    <w:rsid w:val="009B078C"/>
    <w:rsid w:val="009B0D21"/>
    <w:rsid w:val="009B0E88"/>
    <w:rsid w:val="009B0FD7"/>
    <w:rsid w:val="009B2248"/>
    <w:rsid w:val="009B2501"/>
    <w:rsid w:val="009B27BA"/>
    <w:rsid w:val="009B44F5"/>
    <w:rsid w:val="009B454C"/>
    <w:rsid w:val="009B5709"/>
    <w:rsid w:val="009B584F"/>
    <w:rsid w:val="009B5E91"/>
    <w:rsid w:val="009B6190"/>
    <w:rsid w:val="009B6351"/>
    <w:rsid w:val="009B656D"/>
    <w:rsid w:val="009B6A37"/>
    <w:rsid w:val="009B70FC"/>
    <w:rsid w:val="009B7498"/>
    <w:rsid w:val="009B75E9"/>
    <w:rsid w:val="009B7ADB"/>
    <w:rsid w:val="009B7EFA"/>
    <w:rsid w:val="009C0227"/>
    <w:rsid w:val="009C0339"/>
    <w:rsid w:val="009C0379"/>
    <w:rsid w:val="009C06AF"/>
    <w:rsid w:val="009C0783"/>
    <w:rsid w:val="009C08F3"/>
    <w:rsid w:val="009C0DB9"/>
    <w:rsid w:val="009C1BFD"/>
    <w:rsid w:val="009C2766"/>
    <w:rsid w:val="009C2913"/>
    <w:rsid w:val="009C29B4"/>
    <w:rsid w:val="009C335F"/>
    <w:rsid w:val="009C362D"/>
    <w:rsid w:val="009C36BB"/>
    <w:rsid w:val="009C3CB1"/>
    <w:rsid w:val="009C3E38"/>
    <w:rsid w:val="009C436E"/>
    <w:rsid w:val="009C4657"/>
    <w:rsid w:val="009C4694"/>
    <w:rsid w:val="009C4CD5"/>
    <w:rsid w:val="009C4F04"/>
    <w:rsid w:val="009C4F6D"/>
    <w:rsid w:val="009C5143"/>
    <w:rsid w:val="009C55EE"/>
    <w:rsid w:val="009C577E"/>
    <w:rsid w:val="009C585F"/>
    <w:rsid w:val="009C59F0"/>
    <w:rsid w:val="009C5B52"/>
    <w:rsid w:val="009C5D22"/>
    <w:rsid w:val="009C5E2D"/>
    <w:rsid w:val="009C6159"/>
    <w:rsid w:val="009C629C"/>
    <w:rsid w:val="009C6349"/>
    <w:rsid w:val="009C641E"/>
    <w:rsid w:val="009C65B1"/>
    <w:rsid w:val="009C694B"/>
    <w:rsid w:val="009C6BF2"/>
    <w:rsid w:val="009C700C"/>
    <w:rsid w:val="009C70B9"/>
    <w:rsid w:val="009C7A32"/>
    <w:rsid w:val="009C7D97"/>
    <w:rsid w:val="009C7FD6"/>
    <w:rsid w:val="009D0060"/>
    <w:rsid w:val="009D03A7"/>
    <w:rsid w:val="009D07D3"/>
    <w:rsid w:val="009D16E5"/>
    <w:rsid w:val="009D176A"/>
    <w:rsid w:val="009D19C0"/>
    <w:rsid w:val="009D2565"/>
    <w:rsid w:val="009D32BA"/>
    <w:rsid w:val="009D38A6"/>
    <w:rsid w:val="009D3C24"/>
    <w:rsid w:val="009D441E"/>
    <w:rsid w:val="009D44E3"/>
    <w:rsid w:val="009D486F"/>
    <w:rsid w:val="009D4BB6"/>
    <w:rsid w:val="009D50F2"/>
    <w:rsid w:val="009D5AA9"/>
    <w:rsid w:val="009D5E5D"/>
    <w:rsid w:val="009D6181"/>
    <w:rsid w:val="009D655D"/>
    <w:rsid w:val="009D6685"/>
    <w:rsid w:val="009D6D87"/>
    <w:rsid w:val="009D6E7E"/>
    <w:rsid w:val="009D6F59"/>
    <w:rsid w:val="009D7127"/>
    <w:rsid w:val="009D7239"/>
    <w:rsid w:val="009D7B71"/>
    <w:rsid w:val="009D7D0B"/>
    <w:rsid w:val="009D7EA8"/>
    <w:rsid w:val="009E03E1"/>
    <w:rsid w:val="009E08B6"/>
    <w:rsid w:val="009E0AD9"/>
    <w:rsid w:val="009E0D86"/>
    <w:rsid w:val="009E0DFC"/>
    <w:rsid w:val="009E0E61"/>
    <w:rsid w:val="009E0E7F"/>
    <w:rsid w:val="009E0EA5"/>
    <w:rsid w:val="009E0F4B"/>
    <w:rsid w:val="009E0FD3"/>
    <w:rsid w:val="009E1283"/>
    <w:rsid w:val="009E1BAA"/>
    <w:rsid w:val="009E1F85"/>
    <w:rsid w:val="009E221A"/>
    <w:rsid w:val="009E2564"/>
    <w:rsid w:val="009E2B3F"/>
    <w:rsid w:val="009E2CA0"/>
    <w:rsid w:val="009E2D89"/>
    <w:rsid w:val="009E2DF1"/>
    <w:rsid w:val="009E33D5"/>
    <w:rsid w:val="009E3A74"/>
    <w:rsid w:val="009E45F5"/>
    <w:rsid w:val="009E4666"/>
    <w:rsid w:val="009E5091"/>
    <w:rsid w:val="009E6B1A"/>
    <w:rsid w:val="009E7533"/>
    <w:rsid w:val="009E782F"/>
    <w:rsid w:val="009E790D"/>
    <w:rsid w:val="009E7FFD"/>
    <w:rsid w:val="009F0272"/>
    <w:rsid w:val="009F0479"/>
    <w:rsid w:val="009F0A82"/>
    <w:rsid w:val="009F0A94"/>
    <w:rsid w:val="009F0DC6"/>
    <w:rsid w:val="009F149D"/>
    <w:rsid w:val="009F168C"/>
    <w:rsid w:val="009F1965"/>
    <w:rsid w:val="009F1ED0"/>
    <w:rsid w:val="009F21AF"/>
    <w:rsid w:val="009F26D8"/>
    <w:rsid w:val="009F27CD"/>
    <w:rsid w:val="009F300E"/>
    <w:rsid w:val="009F30F0"/>
    <w:rsid w:val="009F36D2"/>
    <w:rsid w:val="009F4406"/>
    <w:rsid w:val="009F560C"/>
    <w:rsid w:val="009F5796"/>
    <w:rsid w:val="009F63B4"/>
    <w:rsid w:val="009F63D3"/>
    <w:rsid w:val="009F68BD"/>
    <w:rsid w:val="009F6D0E"/>
    <w:rsid w:val="009F7187"/>
    <w:rsid w:val="009F7332"/>
    <w:rsid w:val="009F791D"/>
    <w:rsid w:val="009F7A6D"/>
    <w:rsid w:val="009F7B35"/>
    <w:rsid w:val="00A00022"/>
    <w:rsid w:val="00A0020A"/>
    <w:rsid w:val="00A00957"/>
    <w:rsid w:val="00A00ADB"/>
    <w:rsid w:val="00A012C7"/>
    <w:rsid w:val="00A02440"/>
    <w:rsid w:val="00A02721"/>
    <w:rsid w:val="00A02E63"/>
    <w:rsid w:val="00A02FFA"/>
    <w:rsid w:val="00A030F1"/>
    <w:rsid w:val="00A031CA"/>
    <w:rsid w:val="00A03801"/>
    <w:rsid w:val="00A03ED5"/>
    <w:rsid w:val="00A044D6"/>
    <w:rsid w:val="00A046A6"/>
    <w:rsid w:val="00A050F2"/>
    <w:rsid w:val="00A053EF"/>
    <w:rsid w:val="00A0569A"/>
    <w:rsid w:val="00A057BC"/>
    <w:rsid w:val="00A05868"/>
    <w:rsid w:val="00A05A16"/>
    <w:rsid w:val="00A06441"/>
    <w:rsid w:val="00A066AC"/>
    <w:rsid w:val="00A06834"/>
    <w:rsid w:val="00A06E3A"/>
    <w:rsid w:val="00A06F19"/>
    <w:rsid w:val="00A06FE6"/>
    <w:rsid w:val="00A07235"/>
    <w:rsid w:val="00A0769B"/>
    <w:rsid w:val="00A07EFD"/>
    <w:rsid w:val="00A07FB9"/>
    <w:rsid w:val="00A104ED"/>
    <w:rsid w:val="00A106B5"/>
    <w:rsid w:val="00A112D8"/>
    <w:rsid w:val="00A1197F"/>
    <w:rsid w:val="00A12131"/>
    <w:rsid w:val="00A122F1"/>
    <w:rsid w:val="00A123EF"/>
    <w:rsid w:val="00A12980"/>
    <w:rsid w:val="00A12A1F"/>
    <w:rsid w:val="00A12B26"/>
    <w:rsid w:val="00A12FA2"/>
    <w:rsid w:val="00A13272"/>
    <w:rsid w:val="00A13BEB"/>
    <w:rsid w:val="00A13C00"/>
    <w:rsid w:val="00A13F14"/>
    <w:rsid w:val="00A141B0"/>
    <w:rsid w:val="00A143AA"/>
    <w:rsid w:val="00A14979"/>
    <w:rsid w:val="00A14BC4"/>
    <w:rsid w:val="00A154A7"/>
    <w:rsid w:val="00A1567C"/>
    <w:rsid w:val="00A15AA4"/>
    <w:rsid w:val="00A15C85"/>
    <w:rsid w:val="00A1605F"/>
    <w:rsid w:val="00A160A0"/>
    <w:rsid w:val="00A160A4"/>
    <w:rsid w:val="00A16440"/>
    <w:rsid w:val="00A16647"/>
    <w:rsid w:val="00A167A6"/>
    <w:rsid w:val="00A16F0C"/>
    <w:rsid w:val="00A176A1"/>
    <w:rsid w:val="00A17B1C"/>
    <w:rsid w:val="00A17F3E"/>
    <w:rsid w:val="00A20103"/>
    <w:rsid w:val="00A201DC"/>
    <w:rsid w:val="00A20C74"/>
    <w:rsid w:val="00A20D34"/>
    <w:rsid w:val="00A20E0E"/>
    <w:rsid w:val="00A20F02"/>
    <w:rsid w:val="00A210C1"/>
    <w:rsid w:val="00A21102"/>
    <w:rsid w:val="00A2131B"/>
    <w:rsid w:val="00A21B8D"/>
    <w:rsid w:val="00A21B9D"/>
    <w:rsid w:val="00A22741"/>
    <w:rsid w:val="00A22AD0"/>
    <w:rsid w:val="00A22E12"/>
    <w:rsid w:val="00A22F93"/>
    <w:rsid w:val="00A23452"/>
    <w:rsid w:val="00A23856"/>
    <w:rsid w:val="00A23F69"/>
    <w:rsid w:val="00A2442A"/>
    <w:rsid w:val="00A2465F"/>
    <w:rsid w:val="00A24C0C"/>
    <w:rsid w:val="00A24D85"/>
    <w:rsid w:val="00A250F4"/>
    <w:rsid w:val="00A25332"/>
    <w:rsid w:val="00A2567F"/>
    <w:rsid w:val="00A257C0"/>
    <w:rsid w:val="00A2597E"/>
    <w:rsid w:val="00A25A12"/>
    <w:rsid w:val="00A26242"/>
    <w:rsid w:val="00A2631B"/>
    <w:rsid w:val="00A264C7"/>
    <w:rsid w:val="00A273AA"/>
    <w:rsid w:val="00A27468"/>
    <w:rsid w:val="00A276C1"/>
    <w:rsid w:val="00A279FE"/>
    <w:rsid w:val="00A27B7B"/>
    <w:rsid w:val="00A27F2C"/>
    <w:rsid w:val="00A30437"/>
    <w:rsid w:val="00A30775"/>
    <w:rsid w:val="00A307E3"/>
    <w:rsid w:val="00A3081B"/>
    <w:rsid w:val="00A3089A"/>
    <w:rsid w:val="00A309EA"/>
    <w:rsid w:val="00A30E5C"/>
    <w:rsid w:val="00A30E5E"/>
    <w:rsid w:val="00A3137F"/>
    <w:rsid w:val="00A317D6"/>
    <w:rsid w:val="00A31BCA"/>
    <w:rsid w:val="00A31DF6"/>
    <w:rsid w:val="00A327F1"/>
    <w:rsid w:val="00A32946"/>
    <w:rsid w:val="00A329B3"/>
    <w:rsid w:val="00A32D58"/>
    <w:rsid w:val="00A32DAF"/>
    <w:rsid w:val="00A32DCF"/>
    <w:rsid w:val="00A334CE"/>
    <w:rsid w:val="00A33D1E"/>
    <w:rsid w:val="00A33E0D"/>
    <w:rsid w:val="00A33F11"/>
    <w:rsid w:val="00A33FAA"/>
    <w:rsid w:val="00A34245"/>
    <w:rsid w:val="00A35170"/>
    <w:rsid w:val="00A35242"/>
    <w:rsid w:val="00A35CCA"/>
    <w:rsid w:val="00A3608D"/>
    <w:rsid w:val="00A365EE"/>
    <w:rsid w:val="00A368F1"/>
    <w:rsid w:val="00A3690F"/>
    <w:rsid w:val="00A36D48"/>
    <w:rsid w:val="00A37259"/>
    <w:rsid w:val="00A37A52"/>
    <w:rsid w:val="00A37E81"/>
    <w:rsid w:val="00A37EB0"/>
    <w:rsid w:val="00A37F63"/>
    <w:rsid w:val="00A40072"/>
    <w:rsid w:val="00A401A8"/>
    <w:rsid w:val="00A4023E"/>
    <w:rsid w:val="00A40757"/>
    <w:rsid w:val="00A40EA7"/>
    <w:rsid w:val="00A41541"/>
    <w:rsid w:val="00A41AF9"/>
    <w:rsid w:val="00A41B99"/>
    <w:rsid w:val="00A42455"/>
    <w:rsid w:val="00A42A4A"/>
    <w:rsid w:val="00A42B3A"/>
    <w:rsid w:val="00A42D5A"/>
    <w:rsid w:val="00A4348F"/>
    <w:rsid w:val="00A435BD"/>
    <w:rsid w:val="00A438AB"/>
    <w:rsid w:val="00A43E5A"/>
    <w:rsid w:val="00A43FF4"/>
    <w:rsid w:val="00A4430E"/>
    <w:rsid w:val="00A4462E"/>
    <w:rsid w:val="00A44CD3"/>
    <w:rsid w:val="00A44F01"/>
    <w:rsid w:val="00A45399"/>
    <w:rsid w:val="00A453F2"/>
    <w:rsid w:val="00A456D1"/>
    <w:rsid w:val="00A458F7"/>
    <w:rsid w:val="00A463A7"/>
    <w:rsid w:val="00A4656F"/>
    <w:rsid w:val="00A465F7"/>
    <w:rsid w:val="00A466BB"/>
    <w:rsid w:val="00A46C38"/>
    <w:rsid w:val="00A46FE5"/>
    <w:rsid w:val="00A4704E"/>
    <w:rsid w:val="00A4725B"/>
    <w:rsid w:val="00A47591"/>
    <w:rsid w:val="00A47E1F"/>
    <w:rsid w:val="00A47EFB"/>
    <w:rsid w:val="00A50404"/>
    <w:rsid w:val="00A50BBE"/>
    <w:rsid w:val="00A50BC7"/>
    <w:rsid w:val="00A50BF7"/>
    <w:rsid w:val="00A50CB4"/>
    <w:rsid w:val="00A50F3D"/>
    <w:rsid w:val="00A51476"/>
    <w:rsid w:val="00A5166A"/>
    <w:rsid w:val="00A51688"/>
    <w:rsid w:val="00A521CB"/>
    <w:rsid w:val="00A524CD"/>
    <w:rsid w:val="00A529BC"/>
    <w:rsid w:val="00A53E9E"/>
    <w:rsid w:val="00A540AA"/>
    <w:rsid w:val="00A546E5"/>
    <w:rsid w:val="00A549D2"/>
    <w:rsid w:val="00A551C6"/>
    <w:rsid w:val="00A55343"/>
    <w:rsid w:val="00A555EE"/>
    <w:rsid w:val="00A556F9"/>
    <w:rsid w:val="00A55AB0"/>
    <w:rsid w:val="00A55D08"/>
    <w:rsid w:val="00A55D99"/>
    <w:rsid w:val="00A56428"/>
    <w:rsid w:val="00A5695D"/>
    <w:rsid w:val="00A56D81"/>
    <w:rsid w:val="00A56F20"/>
    <w:rsid w:val="00A57062"/>
    <w:rsid w:val="00A57266"/>
    <w:rsid w:val="00A572AE"/>
    <w:rsid w:val="00A5754E"/>
    <w:rsid w:val="00A5762C"/>
    <w:rsid w:val="00A57BD2"/>
    <w:rsid w:val="00A57D86"/>
    <w:rsid w:val="00A57EA6"/>
    <w:rsid w:val="00A6009C"/>
    <w:rsid w:val="00A607CB"/>
    <w:rsid w:val="00A6082B"/>
    <w:rsid w:val="00A6094D"/>
    <w:rsid w:val="00A60A13"/>
    <w:rsid w:val="00A60C73"/>
    <w:rsid w:val="00A60F24"/>
    <w:rsid w:val="00A6121A"/>
    <w:rsid w:val="00A61398"/>
    <w:rsid w:val="00A61774"/>
    <w:rsid w:val="00A61C89"/>
    <w:rsid w:val="00A62795"/>
    <w:rsid w:val="00A63697"/>
    <w:rsid w:val="00A646DA"/>
    <w:rsid w:val="00A64D32"/>
    <w:rsid w:val="00A6558C"/>
    <w:rsid w:val="00A6595D"/>
    <w:rsid w:val="00A65FA9"/>
    <w:rsid w:val="00A660DE"/>
    <w:rsid w:val="00A66262"/>
    <w:rsid w:val="00A66781"/>
    <w:rsid w:val="00A66B6C"/>
    <w:rsid w:val="00A674CA"/>
    <w:rsid w:val="00A709E0"/>
    <w:rsid w:val="00A70F70"/>
    <w:rsid w:val="00A71001"/>
    <w:rsid w:val="00A71639"/>
    <w:rsid w:val="00A71EF8"/>
    <w:rsid w:val="00A724D7"/>
    <w:rsid w:val="00A72557"/>
    <w:rsid w:val="00A72EAC"/>
    <w:rsid w:val="00A730AA"/>
    <w:rsid w:val="00A73488"/>
    <w:rsid w:val="00A734F8"/>
    <w:rsid w:val="00A73837"/>
    <w:rsid w:val="00A73B22"/>
    <w:rsid w:val="00A73CBC"/>
    <w:rsid w:val="00A73DA7"/>
    <w:rsid w:val="00A7424F"/>
    <w:rsid w:val="00A74EA7"/>
    <w:rsid w:val="00A74FB8"/>
    <w:rsid w:val="00A75393"/>
    <w:rsid w:val="00A75BED"/>
    <w:rsid w:val="00A75CDC"/>
    <w:rsid w:val="00A761E7"/>
    <w:rsid w:val="00A763A1"/>
    <w:rsid w:val="00A76844"/>
    <w:rsid w:val="00A76908"/>
    <w:rsid w:val="00A76E8B"/>
    <w:rsid w:val="00A7702D"/>
    <w:rsid w:val="00A77265"/>
    <w:rsid w:val="00A77405"/>
    <w:rsid w:val="00A77652"/>
    <w:rsid w:val="00A776FC"/>
    <w:rsid w:val="00A778C1"/>
    <w:rsid w:val="00A778DE"/>
    <w:rsid w:val="00A77DC4"/>
    <w:rsid w:val="00A77EBB"/>
    <w:rsid w:val="00A801A7"/>
    <w:rsid w:val="00A802A8"/>
    <w:rsid w:val="00A80321"/>
    <w:rsid w:val="00A80679"/>
    <w:rsid w:val="00A8089D"/>
    <w:rsid w:val="00A815B6"/>
    <w:rsid w:val="00A8179D"/>
    <w:rsid w:val="00A82302"/>
    <w:rsid w:val="00A825FD"/>
    <w:rsid w:val="00A82795"/>
    <w:rsid w:val="00A833F8"/>
    <w:rsid w:val="00A83628"/>
    <w:rsid w:val="00A839DE"/>
    <w:rsid w:val="00A83C89"/>
    <w:rsid w:val="00A83F8E"/>
    <w:rsid w:val="00A84434"/>
    <w:rsid w:val="00A8452E"/>
    <w:rsid w:val="00A84545"/>
    <w:rsid w:val="00A8460F"/>
    <w:rsid w:val="00A84832"/>
    <w:rsid w:val="00A84BAA"/>
    <w:rsid w:val="00A84C05"/>
    <w:rsid w:val="00A84D32"/>
    <w:rsid w:val="00A85093"/>
    <w:rsid w:val="00A8553A"/>
    <w:rsid w:val="00A85EF0"/>
    <w:rsid w:val="00A86139"/>
    <w:rsid w:val="00A8636E"/>
    <w:rsid w:val="00A864A7"/>
    <w:rsid w:val="00A87090"/>
    <w:rsid w:val="00A87209"/>
    <w:rsid w:val="00A9020D"/>
    <w:rsid w:val="00A909A8"/>
    <w:rsid w:val="00A91246"/>
    <w:rsid w:val="00A91467"/>
    <w:rsid w:val="00A914E8"/>
    <w:rsid w:val="00A916E5"/>
    <w:rsid w:val="00A91726"/>
    <w:rsid w:val="00A91B35"/>
    <w:rsid w:val="00A91E5C"/>
    <w:rsid w:val="00A92046"/>
    <w:rsid w:val="00A92331"/>
    <w:rsid w:val="00A92343"/>
    <w:rsid w:val="00A92627"/>
    <w:rsid w:val="00A926DE"/>
    <w:rsid w:val="00A92BEE"/>
    <w:rsid w:val="00A932EA"/>
    <w:rsid w:val="00A9346D"/>
    <w:rsid w:val="00A93F48"/>
    <w:rsid w:val="00A94381"/>
    <w:rsid w:val="00A944AB"/>
    <w:rsid w:val="00A94A5A"/>
    <w:rsid w:val="00A94FEB"/>
    <w:rsid w:val="00A953A7"/>
    <w:rsid w:val="00A953F6"/>
    <w:rsid w:val="00A95589"/>
    <w:rsid w:val="00A955DD"/>
    <w:rsid w:val="00A95745"/>
    <w:rsid w:val="00A95B8F"/>
    <w:rsid w:val="00A965AD"/>
    <w:rsid w:val="00A96672"/>
    <w:rsid w:val="00A96AFA"/>
    <w:rsid w:val="00A96B3D"/>
    <w:rsid w:val="00A96D8D"/>
    <w:rsid w:val="00A972FD"/>
    <w:rsid w:val="00A973F5"/>
    <w:rsid w:val="00A97781"/>
    <w:rsid w:val="00AA05B3"/>
    <w:rsid w:val="00AA069A"/>
    <w:rsid w:val="00AA06C7"/>
    <w:rsid w:val="00AA0F07"/>
    <w:rsid w:val="00AA1847"/>
    <w:rsid w:val="00AA1961"/>
    <w:rsid w:val="00AA1B23"/>
    <w:rsid w:val="00AA20C5"/>
    <w:rsid w:val="00AA29FD"/>
    <w:rsid w:val="00AA302E"/>
    <w:rsid w:val="00AA34D6"/>
    <w:rsid w:val="00AA3DD1"/>
    <w:rsid w:val="00AA4857"/>
    <w:rsid w:val="00AA4D2F"/>
    <w:rsid w:val="00AA5107"/>
    <w:rsid w:val="00AA5269"/>
    <w:rsid w:val="00AA56EB"/>
    <w:rsid w:val="00AA6001"/>
    <w:rsid w:val="00AA6324"/>
    <w:rsid w:val="00AA68F9"/>
    <w:rsid w:val="00AA6D69"/>
    <w:rsid w:val="00AA7123"/>
    <w:rsid w:val="00AA7131"/>
    <w:rsid w:val="00AA7372"/>
    <w:rsid w:val="00AA7B0B"/>
    <w:rsid w:val="00AB061B"/>
    <w:rsid w:val="00AB0879"/>
    <w:rsid w:val="00AB10EE"/>
    <w:rsid w:val="00AB1543"/>
    <w:rsid w:val="00AB15AD"/>
    <w:rsid w:val="00AB1F39"/>
    <w:rsid w:val="00AB272D"/>
    <w:rsid w:val="00AB2EB7"/>
    <w:rsid w:val="00AB3204"/>
    <w:rsid w:val="00AB35D1"/>
    <w:rsid w:val="00AB3D58"/>
    <w:rsid w:val="00AB479A"/>
    <w:rsid w:val="00AB4C49"/>
    <w:rsid w:val="00AB5092"/>
    <w:rsid w:val="00AB51F6"/>
    <w:rsid w:val="00AB52D7"/>
    <w:rsid w:val="00AB54A4"/>
    <w:rsid w:val="00AB5718"/>
    <w:rsid w:val="00AB5810"/>
    <w:rsid w:val="00AB5FAC"/>
    <w:rsid w:val="00AB6612"/>
    <w:rsid w:val="00AB6C6F"/>
    <w:rsid w:val="00AB6F57"/>
    <w:rsid w:val="00AB76C7"/>
    <w:rsid w:val="00AB78FE"/>
    <w:rsid w:val="00AC0C44"/>
    <w:rsid w:val="00AC0CF3"/>
    <w:rsid w:val="00AC13E1"/>
    <w:rsid w:val="00AC14A6"/>
    <w:rsid w:val="00AC1583"/>
    <w:rsid w:val="00AC15EF"/>
    <w:rsid w:val="00AC1C95"/>
    <w:rsid w:val="00AC2013"/>
    <w:rsid w:val="00AC241F"/>
    <w:rsid w:val="00AC24A4"/>
    <w:rsid w:val="00AC2DA6"/>
    <w:rsid w:val="00AC31AB"/>
    <w:rsid w:val="00AC33CE"/>
    <w:rsid w:val="00AC3671"/>
    <w:rsid w:val="00AC3B96"/>
    <w:rsid w:val="00AC3CCB"/>
    <w:rsid w:val="00AC3CE1"/>
    <w:rsid w:val="00AC3D92"/>
    <w:rsid w:val="00AC3E0F"/>
    <w:rsid w:val="00AC3FC6"/>
    <w:rsid w:val="00AC48FF"/>
    <w:rsid w:val="00AC4D11"/>
    <w:rsid w:val="00AC5C09"/>
    <w:rsid w:val="00AC5E7C"/>
    <w:rsid w:val="00AC6148"/>
    <w:rsid w:val="00AC6152"/>
    <w:rsid w:val="00AC6485"/>
    <w:rsid w:val="00AC64AA"/>
    <w:rsid w:val="00AC677A"/>
    <w:rsid w:val="00AC77B5"/>
    <w:rsid w:val="00AC79DF"/>
    <w:rsid w:val="00AC7A85"/>
    <w:rsid w:val="00AD00BA"/>
    <w:rsid w:val="00AD020A"/>
    <w:rsid w:val="00AD03EA"/>
    <w:rsid w:val="00AD12AB"/>
    <w:rsid w:val="00AD1BBA"/>
    <w:rsid w:val="00AD1BDD"/>
    <w:rsid w:val="00AD2139"/>
    <w:rsid w:val="00AD2166"/>
    <w:rsid w:val="00AD33E8"/>
    <w:rsid w:val="00AD36EE"/>
    <w:rsid w:val="00AD3A11"/>
    <w:rsid w:val="00AD3B8A"/>
    <w:rsid w:val="00AD44BE"/>
    <w:rsid w:val="00AD4557"/>
    <w:rsid w:val="00AD4F6D"/>
    <w:rsid w:val="00AD5158"/>
    <w:rsid w:val="00AD528B"/>
    <w:rsid w:val="00AD560D"/>
    <w:rsid w:val="00AD59E7"/>
    <w:rsid w:val="00AD5F69"/>
    <w:rsid w:val="00AD60DC"/>
    <w:rsid w:val="00AD6147"/>
    <w:rsid w:val="00AD6A00"/>
    <w:rsid w:val="00AD72D3"/>
    <w:rsid w:val="00AD7304"/>
    <w:rsid w:val="00AD7527"/>
    <w:rsid w:val="00AD7CE1"/>
    <w:rsid w:val="00AD7D3D"/>
    <w:rsid w:val="00AD7EF0"/>
    <w:rsid w:val="00AE0041"/>
    <w:rsid w:val="00AE01C1"/>
    <w:rsid w:val="00AE0EB4"/>
    <w:rsid w:val="00AE0F33"/>
    <w:rsid w:val="00AE1170"/>
    <w:rsid w:val="00AE14DF"/>
    <w:rsid w:val="00AE169F"/>
    <w:rsid w:val="00AE199A"/>
    <w:rsid w:val="00AE1B20"/>
    <w:rsid w:val="00AE1D13"/>
    <w:rsid w:val="00AE1FD5"/>
    <w:rsid w:val="00AE2128"/>
    <w:rsid w:val="00AE25A5"/>
    <w:rsid w:val="00AE274F"/>
    <w:rsid w:val="00AE28C4"/>
    <w:rsid w:val="00AE2AFF"/>
    <w:rsid w:val="00AE3371"/>
    <w:rsid w:val="00AE349A"/>
    <w:rsid w:val="00AE34F8"/>
    <w:rsid w:val="00AE3553"/>
    <w:rsid w:val="00AE3F39"/>
    <w:rsid w:val="00AE4B9A"/>
    <w:rsid w:val="00AE4D77"/>
    <w:rsid w:val="00AE4E89"/>
    <w:rsid w:val="00AE517E"/>
    <w:rsid w:val="00AE5BCC"/>
    <w:rsid w:val="00AE5C3D"/>
    <w:rsid w:val="00AE5E99"/>
    <w:rsid w:val="00AE63B2"/>
    <w:rsid w:val="00AE6430"/>
    <w:rsid w:val="00AE6433"/>
    <w:rsid w:val="00AE661E"/>
    <w:rsid w:val="00AE674F"/>
    <w:rsid w:val="00AE68AE"/>
    <w:rsid w:val="00AE6AB6"/>
    <w:rsid w:val="00AE6BA8"/>
    <w:rsid w:val="00AE7539"/>
    <w:rsid w:val="00AE771A"/>
    <w:rsid w:val="00AE783A"/>
    <w:rsid w:val="00AE79EB"/>
    <w:rsid w:val="00AE7C21"/>
    <w:rsid w:val="00AE7C61"/>
    <w:rsid w:val="00AE7DD6"/>
    <w:rsid w:val="00AF005C"/>
    <w:rsid w:val="00AF00BC"/>
    <w:rsid w:val="00AF09A1"/>
    <w:rsid w:val="00AF0B2B"/>
    <w:rsid w:val="00AF2077"/>
    <w:rsid w:val="00AF236D"/>
    <w:rsid w:val="00AF250E"/>
    <w:rsid w:val="00AF27CF"/>
    <w:rsid w:val="00AF2BD3"/>
    <w:rsid w:val="00AF2F47"/>
    <w:rsid w:val="00AF315B"/>
    <w:rsid w:val="00AF327F"/>
    <w:rsid w:val="00AF3402"/>
    <w:rsid w:val="00AF3988"/>
    <w:rsid w:val="00AF3A4E"/>
    <w:rsid w:val="00AF3B68"/>
    <w:rsid w:val="00AF3CCA"/>
    <w:rsid w:val="00AF43FB"/>
    <w:rsid w:val="00AF4793"/>
    <w:rsid w:val="00AF493B"/>
    <w:rsid w:val="00AF4D1F"/>
    <w:rsid w:val="00AF4D3B"/>
    <w:rsid w:val="00AF519F"/>
    <w:rsid w:val="00AF54C1"/>
    <w:rsid w:val="00AF5908"/>
    <w:rsid w:val="00AF5C5D"/>
    <w:rsid w:val="00AF61FA"/>
    <w:rsid w:val="00AF62CA"/>
    <w:rsid w:val="00AF654D"/>
    <w:rsid w:val="00AF677E"/>
    <w:rsid w:val="00AF694D"/>
    <w:rsid w:val="00AF6BDD"/>
    <w:rsid w:val="00AF6D7B"/>
    <w:rsid w:val="00AF7293"/>
    <w:rsid w:val="00AF75B8"/>
    <w:rsid w:val="00AF78B7"/>
    <w:rsid w:val="00AF7995"/>
    <w:rsid w:val="00AF7BEB"/>
    <w:rsid w:val="00B000D5"/>
    <w:rsid w:val="00B005BC"/>
    <w:rsid w:val="00B0061F"/>
    <w:rsid w:val="00B00B4E"/>
    <w:rsid w:val="00B01CD9"/>
    <w:rsid w:val="00B0276F"/>
    <w:rsid w:val="00B028DB"/>
    <w:rsid w:val="00B0348E"/>
    <w:rsid w:val="00B034E3"/>
    <w:rsid w:val="00B039A7"/>
    <w:rsid w:val="00B03DBB"/>
    <w:rsid w:val="00B03F26"/>
    <w:rsid w:val="00B0420F"/>
    <w:rsid w:val="00B0432F"/>
    <w:rsid w:val="00B043E1"/>
    <w:rsid w:val="00B05317"/>
    <w:rsid w:val="00B05429"/>
    <w:rsid w:val="00B054F6"/>
    <w:rsid w:val="00B05A90"/>
    <w:rsid w:val="00B069AE"/>
    <w:rsid w:val="00B07457"/>
    <w:rsid w:val="00B077CB"/>
    <w:rsid w:val="00B07E06"/>
    <w:rsid w:val="00B10252"/>
    <w:rsid w:val="00B103C4"/>
    <w:rsid w:val="00B10729"/>
    <w:rsid w:val="00B10E83"/>
    <w:rsid w:val="00B112B2"/>
    <w:rsid w:val="00B1185F"/>
    <w:rsid w:val="00B11DC6"/>
    <w:rsid w:val="00B11E09"/>
    <w:rsid w:val="00B11FEF"/>
    <w:rsid w:val="00B1238F"/>
    <w:rsid w:val="00B125B1"/>
    <w:rsid w:val="00B126D4"/>
    <w:rsid w:val="00B12830"/>
    <w:rsid w:val="00B12F7B"/>
    <w:rsid w:val="00B130A9"/>
    <w:rsid w:val="00B13282"/>
    <w:rsid w:val="00B13474"/>
    <w:rsid w:val="00B13843"/>
    <w:rsid w:val="00B13A95"/>
    <w:rsid w:val="00B13B9F"/>
    <w:rsid w:val="00B13D04"/>
    <w:rsid w:val="00B13E1A"/>
    <w:rsid w:val="00B13EFC"/>
    <w:rsid w:val="00B144FB"/>
    <w:rsid w:val="00B14520"/>
    <w:rsid w:val="00B1463B"/>
    <w:rsid w:val="00B146A3"/>
    <w:rsid w:val="00B14723"/>
    <w:rsid w:val="00B14C7A"/>
    <w:rsid w:val="00B151A1"/>
    <w:rsid w:val="00B1537C"/>
    <w:rsid w:val="00B158EA"/>
    <w:rsid w:val="00B165EE"/>
    <w:rsid w:val="00B168E8"/>
    <w:rsid w:val="00B171F4"/>
    <w:rsid w:val="00B17466"/>
    <w:rsid w:val="00B1775E"/>
    <w:rsid w:val="00B17D03"/>
    <w:rsid w:val="00B17DBF"/>
    <w:rsid w:val="00B17DDE"/>
    <w:rsid w:val="00B20126"/>
    <w:rsid w:val="00B20503"/>
    <w:rsid w:val="00B2050A"/>
    <w:rsid w:val="00B21015"/>
    <w:rsid w:val="00B212CF"/>
    <w:rsid w:val="00B21622"/>
    <w:rsid w:val="00B21CBD"/>
    <w:rsid w:val="00B21DFE"/>
    <w:rsid w:val="00B2214B"/>
    <w:rsid w:val="00B22755"/>
    <w:rsid w:val="00B22CF5"/>
    <w:rsid w:val="00B232CF"/>
    <w:rsid w:val="00B238C1"/>
    <w:rsid w:val="00B23956"/>
    <w:rsid w:val="00B23E35"/>
    <w:rsid w:val="00B23EE7"/>
    <w:rsid w:val="00B24142"/>
    <w:rsid w:val="00B24B76"/>
    <w:rsid w:val="00B24C2C"/>
    <w:rsid w:val="00B24E67"/>
    <w:rsid w:val="00B24EEA"/>
    <w:rsid w:val="00B25126"/>
    <w:rsid w:val="00B25BE4"/>
    <w:rsid w:val="00B25C47"/>
    <w:rsid w:val="00B260EC"/>
    <w:rsid w:val="00B262CF"/>
    <w:rsid w:val="00B263E9"/>
    <w:rsid w:val="00B26613"/>
    <w:rsid w:val="00B267E3"/>
    <w:rsid w:val="00B26979"/>
    <w:rsid w:val="00B26ACC"/>
    <w:rsid w:val="00B26B90"/>
    <w:rsid w:val="00B26D2F"/>
    <w:rsid w:val="00B271CB"/>
    <w:rsid w:val="00B27E3C"/>
    <w:rsid w:val="00B27F85"/>
    <w:rsid w:val="00B30200"/>
    <w:rsid w:val="00B30BDD"/>
    <w:rsid w:val="00B30BE9"/>
    <w:rsid w:val="00B30C7E"/>
    <w:rsid w:val="00B31EE4"/>
    <w:rsid w:val="00B32AFA"/>
    <w:rsid w:val="00B32B2B"/>
    <w:rsid w:val="00B33234"/>
    <w:rsid w:val="00B33267"/>
    <w:rsid w:val="00B334CD"/>
    <w:rsid w:val="00B3364D"/>
    <w:rsid w:val="00B33B13"/>
    <w:rsid w:val="00B34329"/>
    <w:rsid w:val="00B34925"/>
    <w:rsid w:val="00B351A7"/>
    <w:rsid w:val="00B35302"/>
    <w:rsid w:val="00B35C31"/>
    <w:rsid w:val="00B35DA3"/>
    <w:rsid w:val="00B35F61"/>
    <w:rsid w:val="00B36D44"/>
    <w:rsid w:val="00B36E08"/>
    <w:rsid w:val="00B36FD4"/>
    <w:rsid w:val="00B372BC"/>
    <w:rsid w:val="00B3732E"/>
    <w:rsid w:val="00B37810"/>
    <w:rsid w:val="00B37D9B"/>
    <w:rsid w:val="00B37DB6"/>
    <w:rsid w:val="00B402EC"/>
    <w:rsid w:val="00B404D5"/>
    <w:rsid w:val="00B40AD7"/>
    <w:rsid w:val="00B416F0"/>
    <w:rsid w:val="00B421AB"/>
    <w:rsid w:val="00B42251"/>
    <w:rsid w:val="00B4252F"/>
    <w:rsid w:val="00B426F8"/>
    <w:rsid w:val="00B4272F"/>
    <w:rsid w:val="00B42799"/>
    <w:rsid w:val="00B428D9"/>
    <w:rsid w:val="00B42925"/>
    <w:rsid w:val="00B43019"/>
    <w:rsid w:val="00B43364"/>
    <w:rsid w:val="00B43692"/>
    <w:rsid w:val="00B437B9"/>
    <w:rsid w:val="00B4383A"/>
    <w:rsid w:val="00B43DA4"/>
    <w:rsid w:val="00B4438F"/>
    <w:rsid w:val="00B44463"/>
    <w:rsid w:val="00B449CA"/>
    <w:rsid w:val="00B44D09"/>
    <w:rsid w:val="00B450F7"/>
    <w:rsid w:val="00B45E23"/>
    <w:rsid w:val="00B45EA1"/>
    <w:rsid w:val="00B460D7"/>
    <w:rsid w:val="00B46307"/>
    <w:rsid w:val="00B46C5D"/>
    <w:rsid w:val="00B46C63"/>
    <w:rsid w:val="00B46EE1"/>
    <w:rsid w:val="00B500F9"/>
    <w:rsid w:val="00B50CB8"/>
    <w:rsid w:val="00B5127E"/>
    <w:rsid w:val="00B5175B"/>
    <w:rsid w:val="00B51CCF"/>
    <w:rsid w:val="00B524F8"/>
    <w:rsid w:val="00B5263F"/>
    <w:rsid w:val="00B526FA"/>
    <w:rsid w:val="00B52E4B"/>
    <w:rsid w:val="00B53593"/>
    <w:rsid w:val="00B535A7"/>
    <w:rsid w:val="00B53934"/>
    <w:rsid w:val="00B53D12"/>
    <w:rsid w:val="00B54009"/>
    <w:rsid w:val="00B5436F"/>
    <w:rsid w:val="00B547B8"/>
    <w:rsid w:val="00B54B15"/>
    <w:rsid w:val="00B54C20"/>
    <w:rsid w:val="00B562DC"/>
    <w:rsid w:val="00B56532"/>
    <w:rsid w:val="00B56711"/>
    <w:rsid w:val="00B5674F"/>
    <w:rsid w:val="00B56D33"/>
    <w:rsid w:val="00B56E48"/>
    <w:rsid w:val="00B56EFF"/>
    <w:rsid w:val="00B5726B"/>
    <w:rsid w:val="00B5751D"/>
    <w:rsid w:val="00B57F8B"/>
    <w:rsid w:val="00B602C0"/>
    <w:rsid w:val="00B6036C"/>
    <w:rsid w:val="00B60575"/>
    <w:rsid w:val="00B60699"/>
    <w:rsid w:val="00B607C5"/>
    <w:rsid w:val="00B61013"/>
    <w:rsid w:val="00B611C8"/>
    <w:rsid w:val="00B611E0"/>
    <w:rsid w:val="00B614C0"/>
    <w:rsid w:val="00B6156E"/>
    <w:rsid w:val="00B61B41"/>
    <w:rsid w:val="00B61CD0"/>
    <w:rsid w:val="00B6226B"/>
    <w:rsid w:val="00B6246A"/>
    <w:rsid w:val="00B6302A"/>
    <w:rsid w:val="00B631EF"/>
    <w:rsid w:val="00B63472"/>
    <w:rsid w:val="00B63AC0"/>
    <w:rsid w:val="00B63D21"/>
    <w:rsid w:val="00B64022"/>
    <w:rsid w:val="00B64480"/>
    <w:rsid w:val="00B6501F"/>
    <w:rsid w:val="00B657C0"/>
    <w:rsid w:val="00B65A78"/>
    <w:rsid w:val="00B65AF5"/>
    <w:rsid w:val="00B65C19"/>
    <w:rsid w:val="00B65D56"/>
    <w:rsid w:val="00B666F3"/>
    <w:rsid w:val="00B66D46"/>
    <w:rsid w:val="00B6710A"/>
    <w:rsid w:val="00B675A6"/>
    <w:rsid w:val="00B67AD1"/>
    <w:rsid w:val="00B7017A"/>
    <w:rsid w:val="00B70AD5"/>
    <w:rsid w:val="00B70BF0"/>
    <w:rsid w:val="00B70F0E"/>
    <w:rsid w:val="00B71029"/>
    <w:rsid w:val="00B7103E"/>
    <w:rsid w:val="00B713AC"/>
    <w:rsid w:val="00B71642"/>
    <w:rsid w:val="00B71645"/>
    <w:rsid w:val="00B716E2"/>
    <w:rsid w:val="00B71D9A"/>
    <w:rsid w:val="00B71EE3"/>
    <w:rsid w:val="00B72175"/>
    <w:rsid w:val="00B725F0"/>
    <w:rsid w:val="00B726E3"/>
    <w:rsid w:val="00B728D3"/>
    <w:rsid w:val="00B72B4A"/>
    <w:rsid w:val="00B72B8B"/>
    <w:rsid w:val="00B72C3D"/>
    <w:rsid w:val="00B72FCA"/>
    <w:rsid w:val="00B7331E"/>
    <w:rsid w:val="00B73770"/>
    <w:rsid w:val="00B737C9"/>
    <w:rsid w:val="00B73844"/>
    <w:rsid w:val="00B73AD1"/>
    <w:rsid w:val="00B73E09"/>
    <w:rsid w:val="00B73FD8"/>
    <w:rsid w:val="00B74088"/>
    <w:rsid w:val="00B74441"/>
    <w:rsid w:val="00B74D23"/>
    <w:rsid w:val="00B752CD"/>
    <w:rsid w:val="00B7575B"/>
    <w:rsid w:val="00B757F8"/>
    <w:rsid w:val="00B75C3D"/>
    <w:rsid w:val="00B75C57"/>
    <w:rsid w:val="00B75FCC"/>
    <w:rsid w:val="00B760C5"/>
    <w:rsid w:val="00B76789"/>
    <w:rsid w:val="00B76D6C"/>
    <w:rsid w:val="00B77002"/>
    <w:rsid w:val="00B770FE"/>
    <w:rsid w:val="00B77E6D"/>
    <w:rsid w:val="00B77FDD"/>
    <w:rsid w:val="00B80016"/>
    <w:rsid w:val="00B80078"/>
    <w:rsid w:val="00B80279"/>
    <w:rsid w:val="00B808C5"/>
    <w:rsid w:val="00B809E0"/>
    <w:rsid w:val="00B80C66"/>
    <w:rsid w:val="00B80D5B"/>
    <w:rsid w:val="00B80E5C"/>
    <w:rsid w:val="00B80E77"/>
    <w:rsid w:val="00B8119A"/>
    <w:rsid w:val="00B81254"/>
    <w:rsid w:val="00B813D9"/>
    <w:rsid w:val="00B814DB"/>
    <w:rsid w:val="00B8172D"/>
    <w:rsid w:val="00B81ECA"/>
    <w:rsid w:val="00B81F0E"/>
    <w:rsid w:val="00B820DD"/>
    <w:rsid w:val="00B821D6"/>
    <w:rsid w:val="00B822D4"/>
    <w:rsid w:val="00B82883"/>
    <w:rsid w:val="00B82C61"/>
    <w:rsid w:val="00B83F43"/>
    <w:rsid w:val="00B83F59"/>
    <w:rsid w:val="00B842C2"/>
    <w:rsid w:val="00B84671"/>
    <w:rsid w:val="00B84AA6"/>
    <w:rsid w:val="00B84D79"/>
    <w:rsid w:val="00B85806"/>
    <w:rsid w:val="00B858C0"/>
    <w:rsid w:val="00B85BA1"/>
    <w:rsid w:val="00B85BFC"/>
    <w:rsid w:val="00B85EBB"/>
    <w:rsid w:val="00B85F7F"/>
    <w:rsid w:val="00B85FA2"/>
    <w:rsid w:val="00B86135"/>
    <w:rsid w:val="00B86331"/>
    <w:rsid w:val="00B868B6"/>
    <w:rsid w:val="00B86AAD"/>
    <w:rsid w:val="00B86EE8"/>
    <w:rsid w:val="00B87434"/>
    <w:rsid w:val="00B87867"/>
    <w:rsid w:val="00B87AC0"/>
    <w:rsid w:val="00B87B8D"/>
    <w:rsid w:val="00B87E7D"/>
    <w:rsid w:val="00B87EBB"/>
    <w:rsid w:val="00B901D4"/>
    <w:rsid w:val="00B905F9"/>
    <w:rsid w:val="00B90608"/>
    <w:rsid w:val="00B90C95"/>
    <w:rsid w:val="00B90E5E"/>
    <w:rsid w:val="00B91232"/>
    <w:rsid w:val="00B9135F"/>
    <w:rsid w:val="00B92132"/>
    <w:rsid w:val="00B92AC4"/>
    <w:rsid w:val="00B9389A"/>
    <w:rsid w:val="00B93C76"/>
    <w:rsid w:val="00B93E25"/>
    <w:rsid w:val="00B941CD"/>
    <w:rsid w:val="00B948CB"/>
    <w:rsid w:val="00B94974"/>
    <w:rsid w:val="00B94B02"/>
    <w:rsid w:val="00B94F38"/>
    <w:rsid w:val="00B951FC"/>
    <w:rsid w:val="00B95353"/>
    <w:rsid w:val="00B95636"/>
    <w:rsid w:val="00B9589A"/>
    <w:rsid w:val="00B958F7"/>
    <w:rsid w:val="00B95DDB"/>
    <w:rsid w:val="00B95E2C"/>
    <w:rsid w:val="00B9615C"/>
    <w:rsid w:val="00B9673E"/>
    <w:rsid w:val="00B96A91"/>
    <w:rsid w:val="00B96B8B"/>
    <w:rsid w:val="00B96E43"/>
    <w:rsid w:val="00B96E84"/>
    <w:rsid w:val="00B97549"/>
    <w:rsid w:val="00B97B78"/>
    <w:rsid w:val="00BA046A"/>
    <w:rsid w:val="00BA0489"/>
    <w:rsid w:val="00BA086E"/>
    <w:rsid w:val="00BA098B"/>
    <w:rsid w:val="00BA0BE7"/>
    <w:rsid w:val="00BA1416"/>
    <w:rsid w:val="00BA19D2"/>
    <w:rsid w:val="00BA1CFE"/>
    <w:rsid w:val="00BA1F0A"/>
    <w:rsid w:val="00BA1F0F"/>
    <w:rsid w:val="00BA2718"/>
    <w:rsid w:val="00BA282F"/>
    <w:rsid w:val="00BA29DB"/>
    <w:rsid w:val="00BA2AA5"/>
    <w:rsid w:val="00BA2DEB"/>
    <w:rsid w:val="00BA2EC0"/>
    <w:rsid w:val="00BA3E1B"/>
    <w:rsid w:val="00BA499C"/>
    <w:rsid w:val="00BA4B54"/>
    <w:rsid w:val="00BA504D"/>
    <w:rsid w:val="00BA56E0"/>
    <w:rsid w:val="00BA5777"/>
    <w:rsid w:val="00BA592C"/>
    <w:rsid w:val="00BA5AAC"/>
    <w:rsid w:val="00BA5FDB"/>
    <w:rsid w:val="00BA65E7"/>
    <w:rsid w:val="00BA6620"/>
    <w:rsid w:val="00BA68D3"/>
    <w:rsid w:val="00BA6C5C"/>
    <w:rsid w:val="00BA6C64"/>
    <w:rsid w:val="00BA6C96"/>
    <w:rsid w:val="00BA6EEE"/>
    <w:rsid w:val="00BA7369"/>
    <w:rsid w:val="00BA741B"/>
    <w:rsid w:val="00BA7BAE"/>
    <w:rsid w:val="00BA7DCE"/>
    <w:rsid w:val="00BB0160"/>
    <w:rsid w:val="00BB0272"/>
    <w:rsid w:val="00BB04B4"/>
    <w:rsid w:val="00BB0B4A"/>
    <w:rsid w:val="00BB0CD0"/>
    <w:rsid w:val="00BB11B7"/>
    <w:rsid w:val="00BB11E8"/>
    <w:rsid w:val="00BB2170"/>
    <w:rsid w:val="00BB2263"/>
    <w:rsid w:val="00BB3546"/>
    <w:rsid w:val="00BB37DD"/>
    <w:rsid w:val="00BB3DEA"/>
    <w:rsid w:val="00BB42AF"/>
    <w:rsid w:val="00BB44B0"/>
    <w:rsid w:val="00BB4585"/>
    <w:rsid w:val="00BB49E0"/>
    <w:rsid w:val="00BB4A45"/>
    <w:rsid w:val="00BB4A6A"/>
    <w:rsid w:val="00BB4A92"/>
    <w:rsid w:val="00BB514E"/>
    <w:rsid w:val="00BB565E"/>
    <w:rsid w:val="00BB57D3"/>
    <w:rsid w:val="00BB666D"/>
    <w:rsid w:val="00BB7627"/>
    <w:rsid w:val="00BB77FE"/>
    <w:rsid w:val="00BB7A01"/>
    <w:rsid w:val="00BB7B1B"/>
    <w:rsid w:val="00BC0384"/>
    <w:rsid w:val="00BC086F"/>
    <w:rsid w:val="00BC0A0A"/>
    <w:rsid w:val="00BC12CF"/>
    <w:rsid w:val="00BC1350"/>
    <w:rsid w:val="00BC1D55"/>
    <w:rsid w:val="00BC1FA2"/>
    <w:rsid w:val="00BC2195"/>
    <w:rsid w:val="00BC21E2"/>
    <w:rsid w:val="00BC258D"/>
    <w:rsid w:val="00BC26F4"/>
    <w:rsid w:val="00BC2701"/>
    <w:rsid w:val="00BC28B8"/>
    <w:rsid w:val="00BC2C26"/>
    <w:rsid w:val="00BC3928"/>
    <w:rsid w:val="00BC39DF"/>
    <w:rsid w:val="00BC40A9"/>
    <w:rsid w:val="00BC491E"/>
    <w:rsid w:val="00BC498E"/>
    <w:rsid w:val="00BC4AC7"/>
    <w:rsid w:val="00BC502D"/>
    <w:rsid w:val="00BC564A"/>
    <w:rsid w:val="00BC5B72"/>
    <w:rsid w:val="00BC5D04"/>
    <w:rsid w:val="00BC5D4B"/>
    <w:rsid w:val="00BC5E08"/>
    <w:rsid w:val="00BC60A5"/>
    <w:rsid w:val="00BC61FA"/>
    <w:rsid w:val="00BC6917"/>
    <w:rsid w:val="00BC763F"/>
    <w:rsid w:val="00BC7C88"/>
    <w:rsid w:val="00BC7FBE"/>
    <w:rsid w:val="00BD013A"/>
    <w:rsid w:val="00BD092E"/>
    <w:rsid w:val="00BD1584"/>
    <w:rsid w:val="00BD1F5E"/>
    <w:rsid w:val="00BD2036"/>
    <w:rsid w:val="00BD23B6"/>
    <w:rsid w:val="00BD2B03"/>
    <w:rsid w:val="00BD2B8E"/>
    <w:rsid w:val="00BD2C61"/>
    <w:rsid w:val="00BD3AF9"/>
    <w:rsid w:val="00BD3B47"/>
    <w:rsid w:val="00BD3E75"/>
    <w:rsid w:val="00BD40B9"/>
    <w:rsid w:val="00BD4490"/>
    <w:rsid w:val="00BD463C"/>
    <w:rsid w:val="00BD4A4B"/>
    <w:rsid w:val="00BD5057"/>
    <w:rsid w:val="00BD70AA"/>
    <w:rsid w:val="00BD794F"/>
    <w:rsid w:val="00BE05C7"/>
    <w:rsid w:val="00BE0C26"/>
    <w:rsid w:val="00BE1298"/>
    <w:rsid w:val="00BE13F4"/>
    <w:rsid w:val="00BE1599"/>
    <w:rsid w:val="00BE173D"/>
    <w:rsid w:val="00BE1D5F"/>
    <w:rsid w:val="00BE1E43"/>
    <w:rsid w:val="00BE2252"/>
    <w:rsid w:val="00BE26EF"/>
    <w:rsid w:val="00BE2D4C"/>
    <w:rsid w:val="00BE2E12"/>
    <w:rsid w:val="00BE310E"/>
    <w:rsid w:val="00BE38FB"/>
    <w:rsid w:val="00BE3A1C"/>
    <w:rsid w:val="00BE3B1E"/>
    <w:rsid w:val="00BE445A"/>
    <w:rsid w:val="00BE55CA"/>
    <w:rsid w:val="00BE5EC4"/>
    <w:rsid w:val="00BE6628"/>
    <w:rsid w:val="00BE6751"/>
    <w:rsid w:val="00BE753B"/>
    <w:rsid w:val="00BE7CF8"/>
    <w:rsid w:val="00BE7E14"/>
    <w:rsid w:val="00BF026D"/>
    <w:rsid w:val="00BF06F7"/>
    <w:rsid w:val="00BF075B"/>
    <w:rsid w:val="00BF10A0"/>
    <w:rsid w:val="00BF1248"/>
    <w:rsid w:val="00BF12E2"/>
    <w:rsid w:val="00BF1B26"/>
    <w:rsid w:val="00BF22BD"/>
    <w:rsid w:val="00BF28A3"/>
    <w:rsid w:val="00BF2BDD"/>
    <w:rsid w:val="00BF2BF8"/>
    <w:rsid w:val="00BF3A51"/>
    <w:rsid w:val="00BF4141"/>
    <w:rsid w:val="00BF4327"/>
    <w:rsid w:val="00BF56E3"/>
    <w:rsid w:val="00BF5A72"/>
    <w:rsid w:val="00BF5B55"/>
    <w:rsid w:val="00BF5CAE"/>
    <w:rsid w:val="00BF698A"/>
    <w:rsid w:val="00BF6EF2"/>
    <w:rsid w:val="00BF719A"/>
    <w:rsid w:val="00BF77E3"/>
    <w:rsid w:val="00BF79E7"/>
    <w:rsid w:val="00BF7B16"/>
    <w:rsid w:val="00C00019"/>
    <w:rsid w:val="00C00331"/>
    <w:rsid w:val="00C0049A"/>
    <w:rsid w:val="00C00579"/>
    <w:rsid w:val="00C00AB3"/>
    <w:rsid w:val="00C00DB1"/>
    <w:rsid w:val="00C00E20"/>
    <w:rsid w:val="00C01269"/>
    <w:rsid w:val="00C0128C"/>
    <w:rsid w:val="00C01695"/>
    <w:rsid w:val="00C01C58"/>
    <w:rsid w:val="00C02495"/>
    <w:rsid w:val="00C02762"/>
    <w:rsid w:val="00C02888"/>
    <w:rsid w:val="00C02D08"/>
    <w:rsid w:val="00C0302E"/>
    <w:rsid w:val="00C0309E"/>
    <w:rsid w:val="00C0371B"/>
    <w:rsid w:val="00C03BB6"/>
    <w:rsid w:val="00C03D0A"/>
    <w:rsid w:val="00C0416C"/>
    <w:rsid w:val="00C045F9"/>
    <w:rsid w:val="00C05411"/>
    <w:rsid w:val="00C059DE"/>
    <w:rsid w:val="00C061B3"/>
    <w:rsid w:val="00C06B94"/>
    <w:rsid w:val="00C06CC7"/>
    <w:rsid w:val="00C06E0A"/>
    <w:rsid w:val="00C07432"/>
    <w:rsid w:val="00C077A4"/>
    <w:rsid w:val="00C07D48"/>
    <w:rsid w:val="00C07EDD"/>
    <w:rsid w:val="00C10251"/>
    <w:rsid w:val="00C10617"/>
    <w:rsid w:val="00C107D2"/>
    <w:rsid w:val="00C117D2"/>
    <w:rsid w:val="00C11B2F"/>
    <w:rsid w:val="00C11E1C"/>
    <w:rsid w:val="00C12091"/>
    <w:rsid w:val="00C12ACA"/>
    <w:rsid w:val="00C13B13"/>
    <w:rsid w:val="00C13E05"/>
    <w:rsid w:val="00C146CB"/>
    <w:rsid w:val="00C1504D"/>
    <w:rsid w:val="00C157D9"/>
    <w:rsid w:val="00C15A31"/>
    <w:rsid w:val="00C16136"/>
    <w:rsid w:val="00C1649B"/>
    <w:rsid w:val="00C167E6"/>
    <w:rsid w:val="00C16E8D"/>
    <w:rsid w:val="00C1795F"/>
    <w:rsid w:val="00C17A97"/>
    <w:rsid w:val="00C17AB0"/>
    <w:rsid w:val="00C20266"/>
    <w:rsid w:val="00C20BAC"/>
    <w:rsid w:val="00C21163"/>
    <w:rsid w:val="00C21471"/>
    <w:rsid w:val="00C21CBC"/>
    <w:rsid w:val="00C21DEC"/>
    <w:rsid w:val="00C2231B"/>
    <w:rsid w:val="00C224F3"/>
    <w:rsid w:val="00C22C68"/>
    <w:rsid w:val="00C22F94"/>
    <w:rsid w:val="00C232B5"/>
    <w:rsid w:val="00C2334E"/>
    <w:rsid w:val="00C234FA"/>
    <w:rsid w:val="00C23853"/>
    <w:rsid w:val="00C23D72"/>
    <w:rsid w:val="00C23DDF"/>
    <w:rsid w:val="00C2457C"/>
    <w:rsid w:val="00C25052"/>
    <w:rsid w:val="00C2525E"/>
    <w:rsid w:val="00C2531B"/>
    <w:rsid w:val="00C257BE"/>
    <w:rsid w:val="00C26119"/>
    <w:rsid w:val="00C26821"/>
    <w:rsid w:val="00C26F31"/>
    <w:rsid w:val="00C26FDB"/>
    <w:rsid w:val="00C27E03"/>
    <w:rsid w:val="00C30B01"/>
    <w:rsid w:val="00C312CB"/>
    <w:rsid w:val="00C313D3"/>
    <w:rsid w:val="00C31406"/>
    <w:rsid w:val="00C31433"/>
    <w:rsid w:val="00C316F6"/>
    <w:rsid w:val="00C32189"/>
    <w:rsid w:val="00C32799"/>
    <w:rsid w:val="00C32877"/>
    <w:rsid w:val="00C3294E"/>
    <w:rsid w:val="00C32AEF"/>
    <w:rsid w:val="00C3306B"/>
    <w:rsid w:val="00C333E7"/>
    <w:rsid w:val="00C3446C"/>
    <w:rsid w:val="00C34982"/>
    <w:rsid w:val="00C34B17"/>
    <w:rsid w:val="00C34E97"/>
    <w:rsid w:val="00C3524F"/>
    <w:rsid w:val="00C358D7"/>
    <w:rsid w:val="00C35917"/>
    <w:rsid w:val="00C35A14"/>
    <w:rsid w:val="00C35CAD"/>
    <w:rsid w:val="00C35E78"/>
    <w:rsid w:val="00C35EC0"/>
    <w:rsid w:val="00C366BC"/>
    <w:rsid w:val="00C36821"/>
    <w:rsid w:val="00C36C71"/>
    <w:rsid w:val="00C36D3B"/>
    <w:rsid w:val="00C372AB"/>
    <w:rsid w:val="00C37861"/>
    <w:rsid w:val="00C37D28"/>
    <w:rsid w:val="00C40F39"/>
    <w:rsid w:val="00C40FF5"/>
    <w:rsid w:val="00C4124F"/>
    <w:rsid w:val="00C421A0"/>
    <w:rsid w:val="00C42524"/>
    <w:rsid w:val="00C42671"/>
    <w:rsid w:val="00C427F2"/>
    <w:rsid w:val="00C4289E"/>
    <w:rsid w:val="00C42A9B"/>
    <w:rsid w:val="00C42E6C"/>
    <w:rsid w:val="00C4306F"/>
    <w:rsid w:val="00C430D4"/>
    <w:rsid w:val="00C430DE"/>
    <w:rsid w:val="00C434FA"/>
    <w:rsid w:val="00C43977"/>
    <w:rsid w:val="00C43ADC"/>
    <w:rsid w:val="00C43B02"/>
    <w:rsid w:val="00C44007"/>
    <w:rsid w:val="00C44482"/>
    <w:rsid w:val="00C44CF6"/>
    <w:rsid w:val="00C452E9"/>
    <w:rsid w:val="00C4563B"/>
    <w:rsid w:val="00C45B51"/>
    <w:rsid w:val="00C46076"/>
    <w:rsid w:val="00C46116"/>
    <w:rsid w:val="00C467D7"/>
    <w:rsid w:val="00C471FF"/>
    <w:rsid w:val="00C47ACF"/>
    <w:rsid w:val="00C47F1D"/>
    <w:rsid w:val="00C503F5"/>
    <w:rsid w:val="00C508AD"/>
    <w:rsid w:val="00C5097D"/>
    <w:rsid w:val="00C50B83"/>
    <w:rsid w:val="00C50D2C"/>
    <w:rsid w:val="00C50D5A"/>
    <w:rsid w:val="00C50E5C"/>
    <w:rsid w:val="00C50F55"/>
    <w:rsid w:val="00C515C3"/>
    <w:rsid w:val="00C5173F"/>
    <w:rsid w:val="00C51903"/>
    <w:rsid w:val="00C519BE"/>
    <w:rsid w:val="00C51BEA"/>
    <w:rsid w:val="00C51E44"/>
    <w:rsid w:val="00C522C7"/>
    <w:rsid w:val="00C52768"/>
    <w:rsid w:val="00C5287F"/>
    <w:rsid w:val="00C54197"/>
    <w:rsid w:val="00C54457"/>
    <w:rsid w:val="00C552CE"/>
    <w:rsid w:val="00C5544E"/>
    <w:rsid w:val="00C559DF"/>
    <w:rsid w:val="00C560AA"/>
    <w:rsid w:val="00C56260"/>
    <w:rsid w:val="00C562F5"/>
    <w:rsid w:val="00C564DF"/>
    <w:rsid w:val="00C579E6"/>
    <w:rsid w:val="00C607CA"/>
    <w:rsid w:val="00C60B34"/>
    <w:rsid w:val="00C61019"/>
    <w:rsid w:val="00C6132B"/>
    <w:rsid w:val="00C61E22"/>
    <w:rsid w:val="00C627EC"/>
    <w:rsid w:val="00C62CBC"/>
    <w:rsid w:val="00C62F9F"/>
    <w:rsid w:val="00C63388"/>
    <w:rsid w:val="00C636BA"/>
    <w:rsid w:val="00C636CF"/>
    <w:rsid w:val="00C6428E"/>
    <w:rsid w:val="00C64D1D"/>
    <w:rsid w:val="00C6549B"/>
    <w:rsid w:val="00C66123"/>
    <w:rsid w:val="00C6669F"/>
    <w:rsid w:val="00C66F57"/>
    <w:rsid w:val="00C66F8E"/>
    <w:rsid w:val="00C67163"/>
    <w:rsid w:val="00C67C0C"/>
    <w:rsid w:val="00C70696"/>
    <w:rsid w:val="00C71491"/>
    <w:rsid w:val="00C716C7"/>
    <w:rsid w:val="00C71983"/>
    <w:rsid w:val="00C71D88"/>
    <w:rsid w:val="00C7226C"/>
    <w:rsid w:val="00C725C0"/>
    <w:rsid w:val="00C728EC"/>
    <w:rsid w:val="00C73413"/>
    <w:rsid w:val="00C73647"/>
    <w:rsid w:val="00C73771"/>
    <w:rsid w:val="00C73E81"/>
    <w:rsid w:val="00C73EFC"/>
    <w:rsid w:val="00C742A4"/>
    <w:rsid w:val="00C74522"/>
    <w:rsid w:val="00C745EB"/>
    <w:rsid w:val="00C74749"/>
    <w:rsid w:val="00C749AF"/>
    <w:rsid w:val="00C75251"/>
    <w:rsid w:val="00C75FD0"/>
    <w:rsid w:val="00C7609D"/>
    <w:rsid w:val="00C768A3"/>
    <w:rsid w:val="00C76EB0"/>
    <w:rsid w:val="00C77253"/>
    <w:rsid w:val="00C77B7E"/>
    <w:rsid w:val="00C77BAF"/>
    <w:rsid w:val="00C77C00"/>
    <w:rsid w:val="00C77F57"/>
    <w:rsid w:val="00C77FCD"/>
    <w:rsid w:val="00C804C6"/>
    <w:rsid w:val="00C804F1"/>
    <w:rsid w:val="00C80AE9"/>
    <w:rsid w:val="00C80B4A"/>
    <w:rsid w:val="00C8126D"/>
    <w:rsid w:val="00C819A6"/>
    <w:rsid w:val="00C81CA7"/>
    <w:rsid w:val="00C81E46"/>
    <w:rsid w:val="00C82395"/>
    <w:rsid w:val="00C82600"/>
    <w:rsid w:val="00C82931"/>
    <w:rsid w:val="00C82B39"/>
    <w:rsid w:val="00C82EAB"/>
    <w:rsid w:val="00C83117"/>
    <w:rsid w:val="00C83AED"/>
    <w:rsid w:val="00C83C5C"/>
    <w:rsid w:val="00C841E5"/>
    <w:rsid w:val="00C84B76"/>
    <w:rsid w:val="00C84CC7"/>
    <w:rsid w:val="00C85031"/>
    <w:rsid w:val="00C8538D"/>
    <w:rsid w:val="00C854F2"/>
    <w:rsid w:val="00C856C8"/>
    <w:rsid w:val="00C85BDA"/>
    <w:rsid w:val="00C85D82"/>
    <w:rsid w:val="00C8628D"/>
    <w:rsid w:val="00C868CE"/>
    <w:rsid w:val="00C86A7B"/>
    <w:rsid w:val="00C874F4"/>
    <w:rsid w:val="00C87807"/>
    <w:rsid w:val="00C90924"/>
    <w:rsid w:val="00C90D2B"/>
    <w:rsid w:val="00C90F8F"/>
    <w:rsid w:val="00C91504"/>
    <w:rsid w:val="00C918A3"/>
    <w:rsid w:val="00C92752"/>
    <w:rsid w:val="00C927A4"/>
    <w:rsid w:val="00C92817"/>
    <w:rsid w:val="00C928C1"/>
    <w:rsid w:val="00C92BE9"/>
    <w:rsid w:val="00C932F9"/>
    <w:rsid w:val="00C94129"/>
    <w:rsid w:val="00C94542"/>
    <w:rsid w:val="00C948CA"/>
    <w:rsid w:val="00C94D68"/>
    <w:rsid w:val="00C95068"/>
    <w:rsid w:val="00C950E1"/>
    <w:rsid w:val="00C95381"/>
    <w:rsid w:val="00C9558F"/>
    <w:rsid w:val="00C95ED3"/>
    <w:rsid w:val="00C960D8"/>
    <w:rsid w:val="00C96649"/>
    <w:rsid w:val="00C966CA"/>
    <w:rsid w:val="00C96BF5"/>
    <w:rsid w:val="00C96DF0"/>
    <w:rsid w:val="00C972DB"/>
    <w:rsid w:val="00C97325"/>
    <w:rsid w:val="00C976F0"/>
    <w:rsid w:val="00C97817"/>
    <w:rsid w:val="00C97E45"/>
    <w:rsid w:val="00C97F3C"/>
    <w:rsid w:val="00CA0167"/>
    <w:rsid w:val="00CA07B9"/>
    <w:rsid w:val="00CA07FD"/>
    <w:rsid w:val="00CA0C4B"/>
    <w:rsid w:val="00CA148B"/>
    <w:rsid w:val="00CA15EA"/>
    <w:rsid w:val="00CA178D"/>
    <w:rsid w:val="00CA17B0"/>
    <w:rsid w:val="00CA1B9F"/>
    <w:rsid w:val="00CA1C8F"/>
    <w:rsid w:val="00CA23B0"/>
    <w:rsid w:val="00CA287F"/>
    <w:rsid w:val="00CA2AF2"/>
    <w:rsid w:val="00CA2C64"/>
    <w:rsid w:val="00CA2F37"/>
    <w:rsid w:val="00CA32F3"/>
    <w:rsid w:val="00CA3BA1"/>
    <w:rsid w:val="00CA3F24"/>
    <w:rsid w:val="00CA433A"/>
    <w:rsid w:val="00CA441D"/>
    <w:rsid w:val="00CA4457"/>
    <w:rsid w:val="00CA486D"/>
    <w:rsid w:val="00CA4BA2"/>
    <w:rsid w:val="00CA4D0A"/>
    <w:rsid w:val="00CA4FFD"/>
    <w:rsid w:val="00CA5924"/>
    <w:rsid w:val="00CA5F1A"/>
    <w:rsid w:val="00CA5F96"/>
    <w:rsid w:val="00CA6170"/>
    <w:rsid w:val="00CA682F"/>
    <w:rsid w:val="00CA69E2"/>
    <w:rsid w:val="00CA6FAF"/>
    <w:rsid w:val="00CB0A1B"/>
    <w:rsid w:val="00CB0FB5"/>
    <w:rsid w:val="00CB12CD"/>
    <w:rsid w:val="00CB15D8"/>
    <w:rsid w:val="00CB16D4"/>
    <w:rsid w:val="00CB17B9"/>
    <w:rsid w:val="00CB1AFA"/>
    <w:rsid w:val="00CB1F39"/>
    <w:rsid w:val="00CB249A"/>
    <w:rsid w:val="00CB289D"/>
    <w:rsid w:val="00CB2B1D"/>
    <w:rsid w:val="00CB2E09"/>
    <w:rsid w:val="00CB2F32"/>
    <w:rsid w:val="00CB4B8C"/>
    <w:rsid w:val="00CB5166"/>
    <w:rsid w:val="00CB53FA"/>
    <w:rsid w:val="00CB59CA"/>
    <w:rsid w:val="00CB605C"/>
    <w:rsid w:val="00CB657C"/>
    <w:rsid w:val="00CB68ED"/>
    <w:rsid w:val="00CB6978"/>
    <w:rsid w:val="00CB7305"/>
    <w:rsid w:val="00CB765D"/>
    <w:rsid w:val="00CB77BA"/>
    <w:rsid w:val="00CB7958"/>
    <w:rsid w:val="00CB7D0D"/>
    <w:rsid w:val="00CB7D25"/>
    <w:rsid w:val="00CB7E9C"/>
    <w:rsid w:val="00CC0045"/>
    <w:rsid w:val="00CC03D6"/>
    <w:rsid w:val="00CC0963"/>
    <w:rsid w:val="00CC0D20"/>
    <w:rsid w:val="00CC0D4E"/>
    <w:rsid w:val="00CC10A5"/>
    <w:rsid w:val="00CC14E0"/>
    <w:rsid w:val="00CC1729"/>
    <w:rsid w:val="00CC19F9"/>
    <w:rsid w:val="00CC1A41"/>
    <w:rsid w:val="00CC2B90"/>
    <w:rsid w:val="00CC2E27"/>
    <w:rsid w:val="00CC30E7"/>
    <w:rsid w:val="00CC32F2"/>
    <w:rsid w:val="00CC3641"/>
    <w:rsid w:val="00CC3C00"/>
    <w:rsid w:val="00CC3C65"/>
    <w:rsid w:val="00CC4183"/>
    <w:rsid w:val="00CC42C7"/>
    <w:rsid w:val="00CC44D4"/>
    <w:rsid w:val="00CC5496"/>
    <w:rsid w:val="00CC5609"/>
    <w:rsid w:val="00CC56FD"/>
    <w:rsid w:val="00CC6D7F"/>
    <w:rsid w:val="00CC6DB0"/>
    <w:rsid w:val="00CC6DB2"/>
    <w:rsid w:val="00CC7825"/>
    <w:rsid w:val="00CC7D01"/>
    <w:rsid w:val="00CC7E26"/>
    <w:rsid w:val="00CD0115"/>
    <w:rsid w:val="00CD01D8"/>
    <w:rsid w:val="00CD01DD"/>
    <w:rsid w:val="00CD09E9"/>
    <w:rsid w:val="00CD0CEB"/>
    <w:rsid w:val="00CD1143"/>
    <w:rsid w:val="00CD1175"/>
    <w:rsid w:val="00CD1D53"/>
    <w:rsid w:val="00CD2CDF"/>
    <w:rsid w:val="00CD2D49"/>
    <w:rsid w:val="00CD2EFA"/>
    <w:rsid w:val="00CD2F05"/>
    <w:rsid w:val="00CD313A"/>
    <w:rsid w:val="00CD3B9E"/>
    <w:rsid w:val="00CD3CBC"/>
    <w:rsid w:val="00CD3D11"/>
    <w:rsid w:val="00CD3EBB"/>
    <w:rsid w:val="00CD3EE1"/>
    <w:rsid w:val="00CD402F"/>
    <w:rsid w:val="00CD4229"/>
    <w:rsid w:val="00CD46D4"/>
    <w:rsid w:val="00CD4A8E"/>
    <w:rsid w:val="00CD5163"/>
    <w:rsid w:val="00CD5253"/>
    <w:rsid w:val="00CD5273"/>
    <w:rsid w:val="00CD535F"/>
    <w:rsid w:val="00CD578C"/>
    <w:rsid w:val="00CD6634"/>
    <w:rsid w:val="00CD667C"/>
    <w:rsid w:val="00CD6B03"/>
    <w:rsid w:val="00CD6C70"/>
    <w:rsid w:val="00CD6C8F"/>
    <w:rsid w:val="00CD73C7"/>
    <w:rsid w:val="00CD75DE"/>
    <w:rsid w:val="00CD7D2B"/>
    <w:rsid w:val="00CE00EC"/>
    <w:rsid w:val="00CE032E"/>
    <w:rsid w:val="00CE05E5"/>
    <w:rsid w:val="00CE076B"/>
    <w:rsid w:val="00CE0B7C"/>
    <w:rsid w:val="00CE1B7F"/>
    <w:rsid w:val="00CE2028"/>
    <w:rsid w:val="00CE2169"/>
    <w:rsid w:val="00CE2443"/>
    <w:rsid w:val="00CE25AD"/>
    <w:rsid w:val="00CE272F"/>
    <w:rsid w:val="00CE2C9C"/>
    <w:rsid w:val="00CE31EF"/>
    <w:rsid w:val="00CE3431"/>
    <w:rsid w:val="00CE3759"/>
    <w:rsid w:val="00CE379B"/>
    <w:rsid w:val="00CE402B"/>
    <w:rsid w:val="00CE4953"/>
    <w:rsid w:val="00CE4959"/>
    <w:rsid w:val="00CE5257"/>
    <w:rsid w:val="00CE527C"/>
    <w:rsid w:val="00CE548F"/>
    <w:rsid w:val="00CE5A16"/>
    <w:rsid w:val="00CE5E8F"/>
    <w:rsid w:val="00CE6618"/>
    <w:rsid w:val="00CE6BAA"/>
    <w:rsid w:val="00CE74CF"/>
    <w:rsid w:val="00CE7D1D"/>
    <w:rsid w:val="00CE7DEE"/>
    <w:rsid w:val="00CE7E75"/>
    <w:rsid w:val="00CE7FE3"/>
    <w:rsid w:val="00CF08B1"/>
    <w:rsid w:val="00CF0DAA"/>
    <w:rsid w:val="00CF10FA"/>
    <w:rsid w:val="00CF11A8"/>
    <w:rsid w:val="00CF13CB"/>
    <w:rsid w:val="00CF179E"/>
    <w:rsid w:val="00CF1E35"/>
    <w:rsid w:val="00CF20F9"/>
    <w:rsid w:val="00CF25DF"/>
    <w:rsid w:val="00CF2881"/>
    <w:rsid w:val="00CF2C9F"/>
    <w:rsid w:val="00CF2D54"/>
    <w:rsid w:val="00CF2E6F"/>
    <w:rsid w:val="00CF37CD"/>
    <w:rsid w:val="00CF4972"/>
    <w:rsid w:val="00CF4B15"/>
    <w:rsid w:val="00CF4CE9"/>
    <w:rsid w:val="00CF4ED2"/>
    <w:rsid w:val="00CF53EC"/>
    <w:rsid w:val="00CF56D1"/>
    <w:rsid w:val="00CF5C03"/>
    <w:rsid w:val="00CF60A1"/>
    <w:rsid w:val="00CF6C70"/>
    <w:rsid w:val="00CF6CC4"/>
    <w:rsid w:val="00CF73D8"/>
    <w:rsid w:val="00CF758E"/>
    <w:rsid w:val="00CF7C65"/>
    <w:rsid w:val="00CF7ED8"/>
    <w:rsid w:val="00D00131"/>
    <w:rsid w:val="00D003E4"/>
    <w:rsid w:val="00D0048B"/>
    <w:rsid w:val="00D00529"/>
    <w:rsid w:val="00D0084F"/>
    <w:rsid w:val="00D008E1"/>
    <w:rsid w:val="00D01175"/>
    <w:rsid w:val="00D01839"/>
    <w:rsid w:val="00D0216F"/>
    <w:rsid w:val="00D02342"/>
    <w:rsid w:val="00D0259E"/>
    <w:rsid w:val="00D0319E"/>
    <w:rsid w:val="00D032DD"/>
    <w:rsid w:val="00D03886"/>
    <w:rsid w:val="00D03AF7"/>
    <w:rsid w:val="00D03D21"/>
    <w:rsid w:val="00D0420A"/>
    <w:rsid w:val="00D04BAF"/>
    <w:rsid w:val="00D04C4E"/>
    <w:rsid w:val="00D05328"/>
    <w:rsid w:val="00D0539C"/>
    <w:rsid w:val="00D056C8"/>
    <w:rsid w:val="00D0579D"/>
    <w:rsid w:val="00D060A3"/>
    <w:rsid w:val="00D06187"/>
    <w:rsid w:val="00D061AF"/>
    <w:rsid w:val="00D068EE"/>
    <w:rsid w:val="00D06E5A"/>
    <w:rsid w:val="00D06EA4"/>
    <w:rsid w:val="00D076F3"/>
    <w:rsid w:val="00D078EA"/>
    <w:rsid w:val="00D07BC1"/>
    <w:rsid w:val="00D07D86"/>
    <w:rsid w:val="00D10674"/>
    <w:rsid w:val="00D10DB1"/>
    <w:rsid w:val="00D1190D"/>
    <w:rsid w:val="00D11D05"/>
    <w:rsid w:val="00D11EED"/>
    <w:rsid w:val="00D12344"/>
    <w:rsid w:val="00D12461"/>
    <w:rsid w:val="00D12994"/>
    <w:rsid w:val="00D12DC7"/>
    <w:rsid w:val="00D12F87"/>
    <w:rsid w:val="00D13E20"/>
    <w:rsid w:val="00D13E2D"/>
    <w:rsid w:val="00D13FD6"/>
    <w:rsid w:val="00D1449B"/>
    <w:rsid w:val="00D14515"/>
    <w:rsid w:val="00D14570"/>
    <w:rsid w:val="00D145AF"/>
    <w:rsid w:val="00D14D37"/>
    <w:rsid w:val="00D14FA2"/>
    <w:rsid w:val="00D15754"/>
    <w:rsid w:val="00D15A59"/>
    <w:rsid w:val="00D15F7F"/>
    <w:rsid w:val="00D160C3"/>
    <w:rsid w:val="00D16216"/>
    <w:rsid w:val="00D16941"/>
    <w:rsid w:val="00D17145"/>
    <w:rsid w:val="00D17270"/>
    <w:rsid w:val="00D173C0"/>
    <w:rsid w:val="00D17436"/>
    <w:rsid w:val="00D174B4"/>
    <w:rsid w:val="00D17E7A"/>
    <w:rsid w:val="00D20172"/>
    <w:rsid w:val="00D20E91"/>
    <w:rsid w:val="00D2102B"/>
    <w:rsid w:val="00D211A7"/>
    <w:rsid w:val="00D21521"/>
    <w:rsid w:val="00D219D5"/>
    <w:rsid w:val="00D21A87"/>
    <w:rsid w:val="00D21A8C"/>
    <w:rsid w:val="00D21D25"/>
    <w:rsid w:val="00D222C1"/>
    <w:rsid w:val="00D22644"/>
    <w:rsid w:val="00D2384A"/>
    <w:rsid w:val="00D2418C"/>
    <w:rsid w:val="00D2437A"/>
    <w:rsid w:val="00D243AD"/>
    <w:rsid w:val="00D243C4"/>
    <w:rsid w:val="00D2486F"/>
    <w:rsid w:val="00D24A6A"/>
    <w:rsid w:val="00D25733"/>
    <w:rsid w:val="00D25B54"/>
    <w:rsid w:val="00D260F5"/>
    <w:rsid w:val="00D26433"/>
    <w:rsid w:val="00D272F9"/>
    <w:rsid w:val="00D27383"/>
    <w:rsid w:val="00D27389"/>
    <w:rsid w:val="00D27637"/>
    <w:rsid w:val="00D27A34"/>
    <w:rsid w:val="00D27EE4"/>
    <w:rsid w:val="00D30198"/>
    <w:rsid w:val="00D30513"/>
    <w:rsid w:val="00D30BA0"/>
    <w:rsid w:val="00D30E0C"/>
    <w:rsid w:val="00D30F1F"/>
    <w:rsid w:val="00D31248"/>
    <w:rsid w:val="00D31A18"/>
    <w:rsid w:val="00D327F4"/>
    <w:rsid w:val="00D32B1E"/>
    <w:rsid w:val="00D32DE3"/>
    <w:rsid w:val="00D3301A"/>
    <w:rsid w:val="00D33297"/>
    <w:rsid w:val="00D33439"/>
    <w:rsid w:val="00D33DFE"/>
    <w:rsid w:val="00D33FD4"/>
    <w:rsid w:val="00D34232"/>
    <w:rsid w:val="00D344B3"/>
    <w:rsid w:val="00D3465A"/>
    <w:rsid w:val="00D34759"/>
    <w:rsid w:val="00D34A3C"/>
    <w:rsid w:val="00D34AD6"/>
    <w:rsid w:val="00D3568A"/>
    <w:rsid w:val="00D35765"/>
    <w:rsid w:val="00D3683E"/>
    <w:rsid w:val="00D36C9C"/>
    <w:rsid w:val="00D36CF5"/>
    <w:rsid w:val="00D370A8"/>
    <w:rsid w:val="00D373B3"/>
    <w:rsid w:val="00D407B5"/>
    <w:rsid w:val="00D40954"/>
    <w:rsid w:val="00D40A07"/>
    <w:rsid w:val="00D417B9"/>
    <w:rsid w:val="00D4206C"/>
    <w:rsid w:val="00D42B3C"/>
    <w:rsid w:val="00D42CA0"/>
    <w:rsid w:val="00D42D37"/>
    <w:rsid w:val="00D42FD6"/>
    <w:rsid w:val="00D430E3"/>
    <w:rsid w:val="00D4383D"/>
    <w:rsid w:val="00D43BFD"/>
    <w:rsid w:val="00D43EB1"/>
    <w:rsid w:val="00D443A0"/>
    <w:rsid w:val="00D4470A"/>
    <w:rsid w:val="00D44A2A"/>
    <w:rsid w:val="00D44B5B"/>
    <w:rsid w:val="00D45C10"/>
    <w:rsid w:val="00D45E9A"/>
    <w:rsid w:val="00D45FC2"/>
    <w:rsid w:val="00D462E4"/>
    <w:rsid w:val="00D464BF"/>
    <w:rsid w:val="00D4666C"/>
    <w:rsid w:val="00D46823"/>
    <w:rsid w:val="00D47942"/>
    <w:rsid w:val="00D47ACD"/>
    <w:rsid w:val="00D47E33"/>
    <w:rsid w:val="00D50A4E"/>
    <w:rsid w:val="00D51856"/>
    <w:rsid w:val="00D518B4"/>
    <w:rsid w:val="00D52A97"/>
    <w:rsid w:val="00D52A9E"/>
    <w:rsid w:val="00D52E83"/>
    <w:rsid w:val="00D52F5B"/>
    <w:rsid w:val="00D5334D"/>
    <w:rsid w:val="00D533A5"/>
    <w:rsid w:val="00D537E1"/>
    <w:rsid w:val="00D546EC"/>
    <w:rsid w:val="00D5494F"/>
    <w:rsid w:val="00D54A66"/>
    <w:rsid w:val="00D54D6E"/>
    <w:rsid w:val="00D55704"/>
    <w:rsid w:val="00D55CE8"/>
    <w:rsid w:val="00D56AEB"/>
    <w:rsid w:val="00D56F29"/>
    <w:rsid w:val="00D57C2B"/>
    <w:rsid w:val="00D57D04"/>
    <w:rsid w:val="00D60804"/>
    <w:rsid w:val="00D60BA9"/>
    <w:rsid w:val="00D6103F"/>
    <w:rsid w:val="00D61CEF"/>
    <w:rsid w:val="00D61D76"/>
    <w:rsid w:val="00D61FFD"/>
    <w:rsid w:val="00D62043"/>
    <w:rsid w:val="00D62193"/>
    <w:rsid w:val="00D62843"/>
    <w:rsid w:val="00D62BE1"/>
    <w:rsid w:val="00D62E7D"/>
    <w:rsid w:val="00D6347D"/>
    <w:rsid w:val="00D63D86"/>
    <w:rsid w:val="00D640FC"/>
    <w:rsid w:val="00D64157"/>
    <w:rsid w:val="00D64286"/>
    <w:rsid w:val="00D64A79"/>
    <w:rsid w:val="00D652C6"/>
    <w:rsid w:val="00D65C77"/>
    <w:rsid w:val="00D65DEC"/>
    <w:rsid w:val="00D65E77"/>
    <w:rsid w:val="00D670F6"/>
    <w:rsid w:val="00D67272"/>
    <w:rsid w:val="00D672D4"/>
    <w:rsid w:val="00D675CA"/>
    <w:rsid w:val="00D70525"/>
    <w:rsid w:val="00D70A23"/>
    <w:rsid w:val="00D70BB0"/>
    <w:rsid w:val="00D710F0"/>
    <w:rsid w:val="00D7132C"/>
    <w:rsid w:val="00D71408"/>
    <w:rsid w:val="00D7191D"/>
    <w:rsid w:val="00D71D43"/>
    <w:rsid w:val="00D71E58"/>
    <w:rsid w:val="00D72005"/>
    <w:rsid w:val="00D7254B"/>
    <w:rsid w:val="00D727AA"/>
    <w:rsid w:val="00D727BB"/>
    <w:rsid w:val="00D740D5"/>
    <w:rsid w:val="00D74226"/>
    <w:rsid w:val="00D74CAA"/>
    <w:rsid w:val="00D75614"/>
    <w:rsid w:val="00D75F0D"/>
    <w:rsid w:val="00D76558"/>
    <w:rsid w:val="00D77137"/>
    <w:rsid w:val="00D771EE"/>
    <w:rsid w:val="00D77326"/>
    <w:rsid w:val="00D77447"/>
    <w:rsid w:val="00D77822"/>
    <w:rsid w:val="00D7798E"/>
    <w:rsid w:val="00D77BC0"/>
    <w:rsid w:val="00D77FF9"/>
    <w:rsid w:val="00D80076"/>
    <w:rsid w:val="00D80077"/>
    <w:rsid w:val="00D807F5"/>
    <w:rsid w:val="00D80A10"/>
    <w:rsid w:val="00D81161"/>
    <w:rsid w:val="00D8170E"/>
    <w:rsid w:val="00D82262"/>
    <w:rsid w:val="00D824A1"/>
    <w:rsid w:val="00D8265E"/>
    <w:rsid w:val="00D8290A"/>
    <w:rsid w:val="00D82AE4"/>
    <w:rsid w:val="00D82D8E"/>
    <w:rsid w:val="00D82E92"/>
    <w:rsid w:val="00D83341"/>
    <w:rsid w:val="00D836F0"/>
    <w:rsid w:val="00D8370D"/>
    <w:rsid w:val="00D83F49"/>
    <w:rsid w:val="00D83FFF"/>
    <w:rsid w:val="00D843E3"/>
    <w:rsid w:val="00D8494B"/>
    <w:rsid w:val="00D85A23"/>
    <w:rsid w:val="00D86DA1"/>
    <w:rsid w:val="00D8740A"/>
    <w:rsid w:val="00D874C4"/>
    <w:rsid w:val="00D878E4"/>
    <w:rsid w:val="00D87983"/>
    <w:rsid w:val="00D900BD"/>
    <w:rsid w:val="00D900F7"/>
    <w:rsid w:val="00D90164"/>
    <w:rsid w:val="00D904BB"/>
    <w:rsid w:val="00D906B8"/>
    <w:rsid w:val="00D90DFC"/>
    <w:rsid w:val="00D90F8C"/>
    <w:rsid w:val="00D91326"/>
    <w:rsid w:val="00D915D7"/>
    <w:rsid w:val="00D91E97"/>
    <w:rsid w:val="00D92092"/>
    <w:rsid w:val="00D925D3"/>
    <w:rsid w:val="00D92711"/>
    <w:rsid w:val="00D92ECF"/>
    <w:rsid w:val="00D9379C"/>
    <w:rsid w:val="00D939F3"/>
    <w:rsid w:val="00D93F5A"/>
    <w:rsid w:val="00D95408"/>
    <w:rsid w:val="00D95D88"/>
    <w:rsid w:val="00D95DB2"/>
    <w:rsid w:val="00D95DFD"/>
    <w:rsid w:val="00D95EF6"/>
    <w:rsid w:val="00D96500"/>
    <w:rsid w:val="00D967EF"/>
    <w:rsid w:val="00D96C46"/>
    <w:rsid w:val="00D96C92"/>
    <w:rsid w:val="00D97BE8"/>
    <w:rsid w:val="00DA0061"/>
    <w:rsid w:val="00DA0079"/>
    <w:rsid w:val="00DA065F"/>
    <w:rsid w:val="00DA0FBF"/>
    <w:rsid w:val="00DA1BCD"/>
    <w:rsid w:val="00DA1C7B"/>
    <w:rsid w:val="00DA20ED"/>
    <w:rsid w:val="00DA2F72"/>
    <w:rsid w:val="00DA32E8"/>
    <w:rsid w:val="00DA3515"/>
    <w:rsid w:val="00DA3694"/>
    <w:rsid w:val="00DA394B"/>
    <w:rsid w:val="00DA454F"/>
    <w:rsid w:val="00DA4A26"/>
    <w:rsid w:val="00DA4C46"/>
    <w:rsid w:val="00DA57B6"/>
    <w:rsid w:val="00DA6147"/>
    <w:rsid w:val="00DA61F4"/>
    <w:rsid w:val="00DA62BD"/>
    <w:rsid w:val="00DA7454"/>
    <w:rsid w:val="00DA7AD7"/>
    <w:rsid w:val="00DA7CCD"/>
    <w:rsid w:val="00DA7D20"/>
    <w:rsid w:val="00DA7D3B"/>
    <w:rsid w:val="00DA7FDC"/>
    <w:rsid w:val="00DB015E"/>
    <w:rsid w:val="00DB02BE"/>
    <w:rsid w:val="00DB0516"/>
    <w:rsid w:val="00DB052C"/>
    <w:rsid w:val="00DB06A4"/>
    <w:rsid w:val="00DB0B60"/>
    <w:rsid w:val="00DB1126"/>
    <w:rsid w:val="00DB1767"/>
    <w:rsid w:val="00DB19B9"/>
    <w:rsid w:val="00DB1C59"/>
    <w:rsid w:val="00DB1D4A"/>
    <w:rsid w:val="00DB1DF7"/>
    <w:rsid w:val="00DB1E8E"/>
    <w:rsid w:val="00DB2AC8"/>
    <w:rsid w:val="00DB2B0F"/>
    <w:rsid w:val="00DB2C73"/>
    <w:rsid w:val="00DB2D68"/>
    <w:rsid w:val="00DB32EA"/>
    <w:rsid w:val="00DB3AC3"/>
    <w:rsid w:val="00DB3CD5"/>
    <w:rsid w:val="00DB484A"/>
    <w:rsid w:val="00DB49C1"/>
    <w:rsid w:val="00DB49DE"/>
    <w:rsid w:val="00DB4A9F"/>
    <w:rsid w:val="00DB4E03"/>
    <w:rsid w:val="00DB5E41"/>
    <w:rsid w:val="00DB5EC6"/>
    <w:rsid w:val="00DB6092"/>
    <w:rsid w:val="00DB6131"/>
    <w:rsid w:val="00DB633B"/>
    <w:rsid w:val="00DB652C"/>
    <w:rsid w:val="00DB736C"/>
    <w:rsid w:val="00DB76F5"/>
    <w:rsid w:val="00DB7A23"/>
    <w:rsid w:val="00DB7BFF"/>
    <w:rsid w:val="00DB7DCB"/>
    <w:rsid w:val="00DC0173"/>
    <w:rsid w:val="00DC06C4"/>
    <w:rsid w:val="00DC0D06"/>
    <w:rsid w:val="00DC0D68"/>
    <w:rsid w:val="00DC1123"/>
    <w:rsid w:val="00DC196A"/>
    <w:rsid w:val="00DC1B58"/>
    <w:rsid w:val="00DC1D9B"/>
    <w:rsid w:val="00DC1FDB"/>
    <w:rsid w:val="00DC2489"/>
    <w:rsid w:val="00DC292D"/>
    <w:rsid w:val="00DC2A6B"/>
    <w:rsid w:val="00DC2BF9"/>
    <w:rsid w:val="00DC2C70"/>
    <w:rsid w:val="00DC2DBD"/>
    <w:rsid w:val="00DC303D"/>
    <w:rsid w:val="00DC319E"/>
    <w:rsid w:val="00DC47DD"/>
    <w:rsid w:val="00DC4C87"/>
    <w:rsid w:val="00DC4E26"/>
    <w:rsid w:val="00DC589F"/>
    <w:rsid w:val="00DC5F4E"/>
    <w:rsid w:val="00DC64D1"/>
    <w:rsid w:val="00DC6827"/>
    <w:rsid w:val="00DC6999"/>
    <w:rsid w:val="00DC6F03"/>
    <w:rsid w:val="00DC7631"/>
    <w:rsid w:val="00DD078F"/>
    <w:rsid w:val="00DD0A26"/>
    <w:rsid w:val="00DD0E62"/>
    <w:rsid w:val="00DD0FDD"/>
    <w:rsid w:val="00DD15FC"/>
    <w:rsid w:val="00DD169F"/>
    <w:rsid w:val="00DD2093"/>
    <w:rsid w:val="00DD24D1"/>
    <w:rsid w:val="00DD25B7"/>
    <w:rsid w:val="00DD289E"/>
    <w:rsid w:val="00DD2B3E"/>
    <w:rsid w:val="00DD2D6C"/>
    <w:rsid w:val="00DD2FC0"/>
    <w:rsid w:val="00DD3274"/>
    <w:rsid w:val="00DD32B9"/>
    <w:rsid w:val="00DD33DD"/>
    <w:rsid w:val="00DD378C"/>
    <w:rsid w:val="00DD3C4F"/>
    <w:rsid w:val="00DD3C91"/>
    <w:rsid w:val="00DD4B90"/>
    <w:rsid w:val="00DD4C9B"/>
    <w:rsid w:val="00DD4E00"/>
    <w:rsid w:val="00DD5046"/>
    <w:rsid w:val="00DD55DF"/>
    <w:rsid w:val="00DD5727"/>
    <w:rsid w:val="00DD5956"/>
    <w:rsid w:val="00DD5E4D"/>
    <w:rsid w:val="00DD61DF"/>
    <w:rsid w:val="00DD6B4E"/>
    <w:rsid w:val="00DD6BC5"/>
    <w:rsid w:val="00DD6E44"/>
    <w:rsid w:val="00DD711E"/>
    <w:rsid w:val="00DD7130"/>
    <w:rsid w:val="00DD73BC"/>
    <w:rsid w:val="00DD75C4"/>
    <w:rsid w:val="00DD784B"/>
    <w:rsid w:val="00DD7B7D"/>
    <w:rsid w:val="00DD7DC2"/>
    <w:rsid w:val="00DD7E40"/>
    <w:rsid w:val="00DE001A"/>
    <w:rsid w:val="00DE03CC"/>
    <w:rsid w:val="00DE0E9A"/>
    <w:rsid w:val="00DE1203"/>
    <w:rsid w:val="00DE1478"/>
    <w:rsid w:val="00DE28E9"/>
    <w:rsid w:val="00DE3333"/>
    <w:rsid w:val="00DE40AC"/>
    <w:rsid w:val="00DE41C4"/>
    <w:rsid w:val="00DE424D"/>
    <w:rsid w:val="00DE4D4D"/>
    <w:rsid w:val="00DE4E44"/>
    <w:rsid w:val="00DE5896"/>
    <w:rsid w:val="00DE5D4A"/>
    <w:rsid w:val="00DE5FD6"/>
    <w:rsid w:val="00DE638F"/>
    <w:rsid w:val="00DE6F09"/>
    <w:rsid w:val="00DE74B8"/>
    <w:rsid w:val="00DE781F"/>
    <w:rsid w:val="00DE7FD1"/>
    <w:rsid w:val="00DF04A5"/>
    <w:rsid w:val="00DF06BA"/>
    <w:rsid w:val="00DF077D"/>
    <w:rsid w:val="00DF0C9B"/>
    <w:rsid w:val="00DF0E4D"/>
    <w:rsid w:val="00DF0EDE"/>
    <w:rsid w:val="00DF13F8"/>
    <w:rsid w:val="00DF190A"/>
    <w:rsid w:val="00DF1D56"/>
    <w:rsid w:val="00DF1D9E"/>
    <w:rsid w:val="00DF1F1A"/>
    <w:rsid w:val="00DF23CC"/>
    <w:rsid w:val="00DF24D0"/>
    <w:rsid w:val="00DF29ED"/>
    <w:rsid w:val="00DF3455"/>
    <w:rsid w:val="00DF34FB"/>
    <w:rsid w:val="00DF36B3"/>
    <w:rsid w:val="00DF3904"/>
    <w:rsid w:val="00DF3A07"/>
    <w:rsid w:val="00DF4214"/>
    <w:rsid w:val="00DF4B6B"/>
    <w:rsid w:val="00DF4BB6"/>
    <w:rsid w:val="00DF4C84"/>
    <w:rsid w:val="00DF5517"/>
    <w:rsid w:val="00DF5822"/>
    <w:rsid w:val="00DF597D"/>
    <w:rsid w:val="00DF5EB5"/>
    <w:rsid w:val="00DF5F82"/>
    <w:rsid w:val="00DF62D4"/>
    <w:rsid w:val="00DF6E66"/>
    <w:rsid w:val="00DF7DC4"/>
    <w:rsid w:val="00DF7DC5"/>
    <w:rsid w:val="00E0031A"/>
    <w:rsid w:val="00E00515"/>
    <w:rsid w:val="00E00568"/>
    <w:rsid w:val="00E00687"/>
    <w:rsid w:val="00E00C41"/>
    <w:rsid w:val="00E01143"/>
    <w:rsid w:val="00E02FD9"/>
    <w:rsid w:val="00E030B6"/>
    <w:rsid w:val="00E0337C"/>
    <w:rsid w:val="00E03458"/>
    <w:rsid w:val="00E03929"/>
    <w:rsid w:val="00E0397D"/>
    <w:rsid w:val="00E03AEC"/>
    <w:rsid w:val="00E042A8"/>
    <w:rsid w:val="00E044A4"/>
    <w:rsid w:val="00E0483D"/>
    <w:rsid w:val="00E04B52"/>
    <w:rsid w:val="00E04C8A"/>
    <w:rsid w:val="00E04D5D"/>
    <w:rsid w:val="00E059AC"/>
    <w:rsid w:val="00E05C09"/>
    <w:rsid w:val="00E0697B"/>
    <w:rsid w:val="00E06C51"/>
    <w:rsid w:val="00E06EC0"/>
    <w:rsid w:val="00E0783C"/>
    <w:rsid w:val="00E10278"/>
    <w:rsid w:val="00E10397"/>
    <w:rsid w:val="00E104DF"/>
    <w:rsid w:val="00E10546"/>
    <w:rsid w:val="00E105E1"/>
    <w:rsid w:val="00E10B0B"/>
    <w:rsid w:val="00E10DB2"/>
    <w:rsid w:val="00E10FD6"/>
    <w:rsid w:val="00E1159E"/>
    <w:rsid w:val="00E119AE"/>
    <w:rsid w:val="00E11E50"/>
    <w:rsid w:val="00E124E0"/>
    <w:rsid w:val="00E12B46"/>
    <w:rsid w:val="00E12C16"/>
    <w:rsid w:val="00E1372B"/>
    <w:rsid w:val="00E13775"/>
    <w:rsid w:val="00E13A88"/>
    <w:rsid w:val="00E13FC7"/>
    <w:rsid w:val="00E142F1"/>
    <w:rsid w:val="00E144E9"/>
    <w:rsid w:val="00E14966"/>
    <w:rsid w:val="00E14BFF"/>
    <w:rsid w:val="00E14C77"/>
    <w:rsid w:val="00E14E1E"/>
    <w:rsid w:val="00E14FB9"/>
    <w:rsid w:val="00E1515A"/>
    <w:rsid w:val="00E15B99"/>
    <w:rsid w:val="00E15E00"/>
    <w:rsid w:val="00E1615B"/>
    <w:rsid w:val="00E169CA"/>
    <w:rsid w:val="00E16BB3"/>
    <w:rsid w:val="00E16C04"/>
    <w:rsid w:val="00E16D32"/>
    <w:rsid w:val="00E16DFC"/>
    <w:rsid w:val="00E17A88"/>
    <w:rsid w:val="00E17E3C"/>
    <w:rsid w:val="00E204BB"/>
    <w:rsid w:val="00E208DF"/>
    <w:rsid w:val="00E20BFE"/>
    <w:rsid w:val="00E20EFB"/>
    <w:rsid w:val="00E210D5"/>
    <w:rsid w:val="00E2182A"/>
    <w:rsid w:val="00E2185F"/>
    <w:rsid w:val="00E2295B"/>
    <w:rsid w:val="00E22CAC"/>
    <w:rsid w:val="00E2356D"/>
    <w:rsid w:val="00E23CC9"/>
    <w:rsid w:val="00E23EC6"/>
    <w:rsid w:val="00E24321"/>
    <w:rsid w:val="00E24483"/>
    <w:rsid w:val="00E2455F"/>
    <w:rsid w:val="00E24BC3"/>
    <w:rsid w:val="00E250B0"/>
    <w:rsid w:val="00E25A03"/>
    <w:rsid w:val="00E25CEE"/>
    <w:rsid w:val="00E26522"/>
    <w:rsid w:val="00E26669"/>
    <w:rsid w:val="00E26D13"/>
    <w:rsid w:val="00E27C0B"/>
    <w:rsid w:val="00E27FC8"/>
    <w:rsid w:val="00E27FE8"/>
    <w:rsid w:val="00E30A98"/>
    <w:rsid w:val="00E31636"/>
    <w:rsid w:val="00E32046"/>
    <w:rsid w:val="00E32074"/>
    <w:rsid w:val="00E32A44"/>
    <w:rsid w:val="00E32F06"/>
    <w:rsid w:val="00E3317E"/>
    <w:rsid w:val="00E33931"/>
    <w:rsid w:val="00E33AD4"/>
    <w:rsid w:val="00E3406A"/>
    <w:rsid w:val="00E34174"/>
    <w:rsid w:val="00E3417E"/>
    <w:rsid w:val="00E34AC4"/>
    <w:rsid w:val="00E34CD8"/>
    <w:rsid w:val="00E34DC6"/>
    <w:rsid w:val="00E351E5"/>
    <w:rsid w:val="00E3521E"/>
    <w:rsid w:val="00E356EB"/>
    <w:rsid w:val="00E35BBA"/>
    <w:rsid w:val="00E35ED4"/>
    <w:rsid w:val="00E3647E"/>
    <w:rsid w:val="00E36652"/>
    <w:rsid w:val="00E36F14"/>
    <w:rsid w:val="00E36F3D"/>
    <w:rsid w:val="00E36F6C"/>
    <w:rsid w:val="00E37329"/>
    <w:rsid w:val="00E37822"/>
    <w:rsid w:val="00E404B4"/>
    <w:rsid w:val="00E40B22"/>
    <w:rsid w:val="00E41532"/>
    <w:rsid w:val="00E415F0"/>
    <w:rsid w:val="00E4180A"/>
    <w:rsid w:val="00E41852"/>
    <w:rsid w:val="00E41C09"/>
    <w:rsid w:val="00E41DF1"/>
    <w:rsid w:val="00E421D2"/>
    <w:rsid w:val="00E42323"/>
    <w:rsid w:val="00E42325"/>
    <w:rsid w:val="00E4260B"/>
    <w:rsid w:val="00E42B6B"/>
    <w:rsid w:val="00E42CDE"/>
    <w:rsid w:val="00E432FA"/>
    <w:rsid w:val="00E433BE"/>
    <w:rsid w:val="00E434AB"/>
    <w:rsid w:val="00E43828"/>
    <w:rsid w:val="00E43F9C"/>
    <w:rsid w:val="00E44439"/>
    <w:rsid w:val="00E4474A"/>
    <w:rsid w:val="00E4476C"/>
    <w:rsid w:val="00E451DD"/>
    <w:rsid w:val="00E45306"/>
    <w:rsid w:val="00E45B51"/>
    <w:rsid w:val="00E45B70"/>
    <w:rsid w:val="00E45F2C"/>
    <w:rsid w:val="00E46396"/>
    <w:rsid w:val="00E4714C"/>
    <w:rsid w:val="00E47B6E"/>
    <w:rsid w:val="00E47B80"/>
    <w:rsid w:val="00E47FAD"/>
    <w:rsid w:val="00E50698"/>
    <w:rsid w:val="00E508AB"/>
    <w:rsid w:val="00E50993"/>
    <w:rsid w:val="00E50A84"/>
    <w:rsid w:val="00E510AA"/>
    <w:rsid w:val="00E5128B"/>
    <w:rsid w:val="00E51522"/>
    <w:rsid w:val="00E51BE5"/>
    <w:rsid w:val="00E51DB3"/>
    <w:rsid w:val="00E5210B"/>
    <w:rsid w:val="00E521D2"/>
    <w:rsid w:val="00E5264F"/>
    <w:rsid w:val="00E528BD"/>
    <w:rsid w:val="00E52AA4"/>
    <w:rsid w:val="00E52D5D"/>
    <w:rsid w:val="00E531EB"/>
    <w:rsid w:val="00E535DE"/>
    <w:rsid w:val="00E53FA8"/>
    <w:rsid w:val="00E541CF"/>
    <w:rsid w:val="00E54A29"/>
    <w:rsid w:val="00E5519C"/>
    <w:rsid w:val="00E5523F"/>
    <w:rsid w:val="00E554D2"/>
    <w:rsid w:val="00E5564C"/>
    <w:rsid w:val="00E5588C"/>
    <w:rsid w:val="00E55FD5"/>
    <w:rsid w:val="00E56028"/>
    <w:rsid w:val="00E565A3"/>
    <w:rsid w:val="00E56914"/>
    <w:rsid w:val="00E56CD1"/>
    <w:rsid w:val="00E56F0E"/>
    <w:rsid w:val="00E571DE"/>
    <w:rsid w:val="00E576FD"/>
    <w:rsid w:val="00E60889"/>
    <w:rsid w:val="00E60AB7"/>
    <w:rsid w:val="00E60D6E"/>
    <w:rsid w:val="00E610AD"/>
    <w:rsid w:val="00E611B4"/>
    <w:rsid w:val="00E615F3"/>
    <w:rsid w:val="00E61CBF"/>
    <w:rsid w:val="00E61CC0"/>
    <w:rsid w:val="00E62ECC"/>
    <w:rsid w:val="00E6319D"/>
    <w:rsid w:val="00E639EA"/>
    <w:rsid w:val="00E63A2C"/>
    <w:rsid w:val="00E63BF0"/>
    <w:rsid w:val="00E644D8"/>
    <w:rsid w:val="00E64965"/>
    <w:rsid w:val="00E64C5E"/>
    <w:rsid w:val="00E6595A"/>
    <w:rsid w:val="00E65B62"/>
    <w:rsid w:val="00E65E64"/>
    <w:rsid w:val="00E65E67"/>
    <w:rsid w:val="00E663CB"/>
    <w:rsid w:val="00E6668D"/>
    <w:rsid w:val="00E66E05"/>
    <w:rsid w:val="00E66EAC"/>
    <w:rsid w:val="00E66EED"/>
    <w:rsid w:val="00E67444"/>
    <w:rsid w:val="00E67954"/>
    <w:rsid w:val="00E67B27"/>
    <w:rsid w:val="00E67D07"/>
    <w:rsid w:val="00E7013B"/>
    <w:rsid w:val="00E7089F"/>
    <w:rsid w:val="00E7091C"/>
    <w:rsid w:val="00E70F2A"/>
    <w:rsid w:val="00E7121D"/>
    <w:rsid w:val="00E7160C"/>
    <w:rsid w:val="00E719CF"/>
    <w:rsid w:val="00E71A62"/>
    <w:rsid w:val="00E71BA7"/>
    <w:rsid w:val="00E71FDE"/>
    <w:rsid w:val="00E72623"/>
    <w:rsid w:val="00E72CEA"/>
    <w:rsid w:val="00E72F05"/>
    <w:rsid w:val="00E732B8"/>
    <w:rsid w:val="00E7341B"/>
    <w:rsid w:val="00E734D4"/>
    <w:rsid w:val="00E7353D"/>
    <w:rsid w:val="00E73C75"/>
    <w:rsid w:val="00E74466"/>
    <w:rsid w:val="00E74FDA"/>
    <w:rsid w:val="00E750B3"/>
    <w:rsid w:val="00E75363"/>
    <w:rsid w:val="00E75416"/>
    <w:rsid w:val="00E754C0"/>
    <w:rsid w:val="00E754CA"/>
    <w:rsid w:val="00E7572D"/>
    <w:rsid w:val="00E7579F"/>
    <w:rsid w:val="00E75A71"/>
    <w:rsid w:val="00E75CA0"/>
    <w:rsid w:val="00E75F8C"/>
    <w:rsid w:val="00E772A4"/>
    <w:rsid w:val="00E772CC"/>
    <w:rsid w:val="00E7753E"/>
    <w:rsid w:val="00E777ED"/>
    <w:rsid w:val="00E80407"/>
    <w:rsid w:val="00E806B8"/>
    <w:rsid w:val="00E809B6"/>
    <w:rsid w:val="00E80C54"/>
    <w:rsid w:val="00E81288"/>
    <w:rsid w:val="00E813EB"/>
    <w:rsid w:val="00E81431"/>
    <w:rsid w:val="00E818E4"/>
    <w:rsid w:val="00E825D5"/>
    <w:rsid w:val="00E8261E"/>
    <w:rsid w:val="00E82A2C"/>
    <w:rsid w:val="00E82CDE"/>
    <w:rsid w:val="00E831D2"/>
    <w:rsid w:val="00E833B7"/>
    <w:rsid w:val="00E83CEA"/>
    <w:rsid w:val="00E8447C"/>
    <w:rsid w:val="00E84BA5"/>
    <w:rsid w:val="00E84C63"/>
    <w:rsid w:val="00E8524E"/>
    <w:rsid w:val="00E8555A"/>
    <w:rsid w:val="00E856A7"/>
    <w:rsid w:val="00E859C7"/>
    <w:rsid w:val="00E85C2B"/>
    <w:rsid w:val="00E8608B"/>
    <w:rsid w:val="00E869F1"/>
    <w:rsid w:val="00E86A84"/>
    <w:rsid w:val="00E86DD5"/>
    <w:rsid w:val="00E8735F"/>
    <w:rsid w:val="00E87A96"/>
    <w:rsid w:val="00E9046C"/>
    <w:rsid w:val="00E905F4"/>
    <w:rsid w:val="00E90C3E"/>
    <w:rsid w:val="00E90C5F"/>
    <w:rsid w:val="00E90EDC"/>
    <w:rsid w:val="00E9118F"/>
    <w:rsid w:val="00E912D0"/>
    <w:rsid w:val="00E9171F"/>
    <w:rsid w:val="00E91F65"/>
    <w:rsid w:val="00E92168"/>
    <w:rsid w:val="00E924C3"/>
    <w:rsid w:val="00E93015"/>
    <w:rsid w:val="00E93249"/>
    <w:rsid w:val="00E93282"/>
    <w:rsid w:val="00E9367F"/>
    <w:rsid w:val="00E9377F"/>
    <w:rsid w:val="00E93792"/>
    <w:rsid w:val="00E938ED"/>
    <w:rsid w:val="00E942F0"/>
    <w:rsid w:val="00E94336"/>
    <w:rsid w:val="00E94505"/>
    <w:rsid w:val="00E94599"/>
    <w:rsid w:val="00E94875"/>
    <w:rsid w:val="00E9505E"/>
    <w:rsid w:val="00E95193"/>
    <w:rsid w:val="00E953BE"/>
    <w:rsid w:val="00E9558F"/>
    <w:rsid w:val="00E957DD"/>
    <w:rsid w:val="00E9594B"/>
    <w:rsid w:val="00E95F90"/>
    <w:rsid w:val="00E9634A"/>
    <w:rsid w:val="00E96841"/>
    <w:rsid w:val="00E96F72"/>
    <w:rsid w:val="00E9717C"/>
    <w:rsid w:val="00E97331"/>
    <w:rsid w:val="00E97E99"/>
    <w:rsid w:val="00EA0781"/>
    <w:rsid w:val="00EA0BDC"/>
    <w:rsid w:val="00EA1284"/>
    <w:rsid w:val="00EA1651"/>
    <w:rsid w:val="00EA1652"/>
    <w:rsid w:val="00EA184C"/>
    <w:rsid w:val="00EA1966"/>
    <w:rsid w:val="00EA1C53"/>
    <w:rsid w:val="00EA256A"/>
    <w:rsid w:val="00EA2598"/>
    <w:rsid w:val="00EA270D"/>
    <w:rsid w:val="00EA2E3A"/>
    <w:rsid w:val="00EA31CE"/>
    <w:rsid w:val="00EA32C5"/>
    <w:rsid w:val="00EA398D"/>
    <w:rsid w:val="00EA434B"/>
    <w:rsid w:val="00EA46CF"/>
    <w:rsid w:val="00EA476E"/>
    <w:rsid w:val="00EA5AE2"/>
    <w:rsid w:val="00EA5BEE"/>
    <w:rsid w:val="00EA5C73"/>
    <w:rsid w:val="00EA5E91"/>
    <w:rsid w:val="00EA60C8"/>
    <w:rsid w:val="00EA60F5"/>
    <w:rsid w:val="00EA65EA"/>
    <w:rsid w:val="00EA6635"/>
    <w:rsid w:val="00EA6841"/>
    <w:rsid w:val="00EA6E52"/>
    <w:rsid w:val="00EB0331"/>
    <w:rsid w:val="00EB09C9"/>
    <w:rsid w:val="00EB195C"/>
    <w:rsid w:val="00EB1B15"/>
    <w:rsid w:val="00EB1BFD"/>
    <w:rsid w:val="00EB1E31"/>
    <w:rsid w:val="00EB207A"/>
    <w:rsid w:val="00EB21A5"/>
    <w:rsid w:val="00EB26A0"/>
    <w:rsid w:val="00EB2EFE"/>
    <w:rsid w:val="00EB3E8F"/>
    <w:rsid w:val="00EB3FAC"/>
    <w:rsid w:val="00EB4016"/>
    <w:rsid w:val="00EB4431"/>
    <w:rsid w:val="00EB44F0"/>
    <w:rsid w:val="00EB4C64"/>
    <w:rsid w:val="00EB4CE9"/>
    <w:rsid w:val="00EB5228"/>
    <w:rsid w:val="00EB5464"/>
    <w:rsid w:val="00EB5E58"/>
    <w:rsid w:val="00EB5F26"/>
    <w:rsid w:val="00EB5F66"/>
    <w:rsid w:val="00EB60B3"/>
    <w:rsid w:val="00EB6368"/>
    <w:rsid w:val="00EB679B"/>
    <w:rsid w:val="00EB6AF8"/>
    <w:rsid w:val="00EB7233"/>
    <w:rsid w:val="00EB731F"/>
    <w:rsid w:val="00EB73E1"/>
    <w:rsid w:val="00EB7668"/>
    <w:rsid w:val="00EB79DB"/>
    <w:rsid w:val="00EC01CA"/>
    <w:rsid w:val="00EC0379"/>
    <w:rsid w:val="00EC048F"/>
    <w:rsid w:val="00EC0BCA"/>
    <w:rsid w:val="00EC0DAF"/>
    <w:rsid w:val="00EC1801"/>
    <w:rsid w:val="00EC1A3F"/>
    <w:rsid w:val="00EC1E4C"/>
    <w:rsid w:val="00EC2343"/>
    <w:rsid w:val="00EC2B07"/>
    <w:rsid w:val="00EC2E57"/>
    <w:rsid w:val="00EC3607"/>
    <w:rsid w:val="00EC3716"/>
    <w:rsid w:val="00EC43EC"/>
    <w:rsid w:val="00EC44A6"/>
    <w:rsid w:val="00EC480B"/>
    <w:rsid w:val="00EC4814"/>
    <w:rsid w:val="00EC4B8B"/>
    <w:rsid w:val="00EC4E0D"/>
    <w:rsid w:val="00EC4FD7"/>
    <w:rsid w:val="00EC57B7"/>
    <w:rsid w:val="00EC58D5"/>
    <w:rsid w:val="00EC58DB"/>
    <w:rsid w:val="00EC5AD9"/>
    <w:rsid w:val="00EC63AE"/>
    <w:rsid w:val="00EC64AB"/>
    <w:rsid w:val="00EC66D0"/>
    <w:rsid w:val="00EC6B1B"/>
    <w:rsid w:val="00EC7511"/>
    <w:rsid w:val="00EC7582"/>
    <w:rsid w:val="00EC762D"/>
    <w:rsid w:val="00EC7923"/>
    <w:rsid w:val="00EC7A56"/>
    <w:rsid w:val="00EC7BE6"/>
    <w:rsid w:val="00EC7C56"/>
    <w:rsid w:val="00ED049F"/>
    <w:rsid w:val="00ED06EA"/>
    <w:rsid w:val="00ED0ADF"/>
    <w:rsid w:val="00ED175B"/>
    <w:rsid w:val="00ED19FD"/>
    <w:rsid w:val="00ED1E13"/>
    <w:rsid w:val="00ED2302"/>
    <w:rsid w:val="00ED2C81"/>
    <w:rsid w:val="00ED398B"/>
    <w:rsid w:val="00ED3ECF"/>
    <w:rsid w:val="00ED4070"/>
    <w:rsid w:val="00ED4691"/>
    <w:rsid w:val="00ED4E72"/>
    <w:rsid w:val="00ED520E"/>
    <w:rsid w:val="00ED5444"/>
    <w:rsid w:val="00ED5B5A"/>
    <w:rsid w:val="00ED65E1"/>
    <w:rsid w:val="00ED7023"/>
    <w:rsid w:val="00ED75DE"/>
    <w:rsid w:val="00ED7707"/>
    <w:rsid w:val="00ED7BAE"/>
    <w:rsid w:val="00ED7C1E"/>
    <w:rsid w:val="00ED7D46"/>
    <w:rsid w:val="00EE06B6"/>
    <w:rsid w:val="00EE06D0"/>
    <w:rsid w:val="00EE0A4C"/>
    <w:rsid w:val="00EE0CEE"/>
    <w:rsid w:val="00EE1928"/>
    <w:rsid w:val="00EE1E8E"/>
    <w:rsid w:val="00EE2AA0"/>
    <w:rsid w:val="00EE2B2A"/>
    <w:rsid w:val="00EE30F9"/>
    <w:rsid w:val="00EE3A82"/>
    <w:rsid w:val="00EE3EC4"/>
    <w:rsid w:val="00EE40E0"/>
    <w:rsid w:val="00EE4423"/>
    <w:rsid w:val="00EE4ED2"/>
    <w:rsid w:val="00EE4F33"/>
    <w:rsid w:val="00EE588B"/>
    <w:rsid w:val="00EE5A37"/>
    <w:rsid w:val="00EE5A55"/>
    <w:rsid w:val="00EE6041"/>
    <w:rsid w:val="00EE64BB"/>
    <w:rsid w:val="00EE6C8A"/>
    <w:rsid w:val="00EE7348"/>
    <w:rsid w:val="00EE765C"/>
    <w:rsid w:val="00EE7E40"/>
    <w:rsid w:val="00EF0016"/>
    <w:rsid w:val="00EF0093"/>
    <w:rsid w:val="00EF08EF"/>
    <w:rsid w:val="00EF0FA7"/>
    <w:rsid w:val="00EF123F"/>
    <w:rsid w:val="00EF192F"/>
    <w:rsid w:val="00EF28C9"/>
    <w:rsid w:val="00EF2F83"/>
    <w:rsid w:val="00EF38A5"/>
    <w:rsid w:val="00EF3956"/>
    <w:rsid w:val="00EF3C8B"/>
    <w:rsid w:val="00EF5587"/>
    <w:rsid w:val="00EF5CDC"/>
    <w:rsid w:val="00EF62EB"/>
    <w:rsid w:val="00EF6314"/>
    <w:rsid w:val="00EF634E"/>
    <w:rsid w:val="00EF6388"/>
    <w:rsid w:val="00EF6EA7"/>
    <w:rsid w:val="00EF7602"/>
    <w:rsid w:val="00EF799A"/>
    <w:rsid w:val="00EF7CFF"/>
    <w:rsid w:val="00EF7D5A"/>
    <w:rsid w:val="00EF7F2E"/>
    <w:rsid w:val="00F0011F"/>
    <w:rsid w:val="00F00648"/>
    <w:rsid w:val="00F00810"/>
    <w:rsid w:val="00F00AB8"/>
    <w:rsid w:val="00F00D66"/>
    <w:rsid w:val="00F014A2"/>
    <w:rsid w:val="00F02699"/>
    <w:rsid w:val="00F026D6"/>
    <w:rsid w:val="00F0278C"/>
    <w:rsid w:val="00F036CB"/>
    <w:rsid w:val="00F041F0"/>
    <w:rsid w:val="00F04299"/>
    <w:rsid w:val="00F04BE9"/>
    <w:rsid w:val="00F05059"/>
    <w:rsid w:val="00F050D4"/>
    <w:rsid w:val="00F05321"/>
    <w:rsid w:val="00F05B5A"/>
    <w:rsid w:val="00F05B99"/>
    <w:rsid w:val="00F0631E"/>
    <w:rsid w:val="00F06432"/>
    <w:rsid w:val="00F06955"/>
    <w:rsid w:val="00F06E3E"/>
    <w:rsid w:val="00F07162"/>
    <w:rsid w:val="00F074A4"/>
    <w:rsid w:val="00F0775D"/>
    <w:rsid w:val="00F1047E"/>
    <w:rsid w:val="00F10537"/>
    <w:rsid w:val="00F105DF"/>
    <w:rsid w:val="00F10AE9"/>
    <w:rsid w:val="00F10CDE"/>
    <w:rsid w:val="00F10EDF"/>
    <w:rsid w:val="00F1192E"/>
    <w:rsid w:val="00F121E9"/>
    <w:rsid w:val="00F1220D"/>
    <w:rsid w:val="00F126ED"/>
    <w:rsid w:val="00F12798"/>
    <w:rsid w:val="00F12A37"/>
    <w:rsid w:val="00F1306A"/>
    <w:rsid w:val="00F13F69"/>
    <w:rsid w:val="00F14128"/>
    <w:rsid w:val="00F149EC"/>
    <w:rsid w:val="00F14CDB"/>
    <w:rsid w:val="00F150EE"/>
    <w:rsid w:val="00F155E1"/>
    <w:rsid w:val="00F15978"/>
    <w:rsid w:val="00F159A3"/>
    <w:rsid w:val="00F16CA2"/>
    <w:rsid w:val="00F17242"/>
    <w:rsid w:val="00F1727D"/>
    <w:rsid w:val="00F17486"/>
    <w:rsid w:val="00F175C8"/>
    <w:rsid w:val="00F17682"/>
    <w:rsid w:val="00F176CE"/>
    <w:rsid w:val="00F17832"/>
    <w:rsid w:val="00F17B35"/>
    <w:rsid w:val="00F201A9"/>
    <w:rsid w:val="00F20596"/>
    <w:rsid w:val="00F20EDE"/>
    <w:rsid w:val="00F21690"/>
    <w:rsid w:val="00F21A71"/>
    <w:rsid w:val="00F22161"/>
    <w:rsid w:val="00F22433"/>
    <w:rsid w:val="00F22537"/>
    <w:rsid w:val="00F22639"/>
    <w:rsid w:val="00F22AF4"/>
    <w:rsid w:val="00F22D56"/>
    <w:rsid w:val="00F230D2"/>
    <w:rsid w:val="00F232BD"/>
    <w:rsid w:val="00F23340"/>
    <w:rsid w:val="00F234A1"/>
    <w:rsid w:val="00F234A3"/>
    <w:rsid w:val="00F23A5C"/>
    <w:rsid w:val="00F23B6F"/>
    <w:rsid w:val="00F2415C"/>
    <w:rsid w:val="00F2435D"/>
    <w:rsid w:val="00F244CE"/>
    <w:rsid w:val="00F24798"/>
    <w:rsid w:val="00F2484A"/>
    <w:rsid w:val="00F24BE7"/>
    <w:rsid w:val="00F24C80"/>
    <w:rsid w:val="00F25B96"/>
    <w:rsid w:val="00F25B9F"/>
    <w:rsid w:val="00F26332"/>
    <w:rsid w:val="00F26516"/>
    <w:rsid w:val="00F269FE"/>
    <w:rsid w:val="00F26FBA"/>
    <w:rsid w:val="00F270BA"/>
    <w:rsid w:val="00F273FC"/>
    <w:rsid w:val="00F27A69"/>
    <w:rsid w:val="00F27BCC"/>
    <w:rsid w:val="00F27D29"/>
    <w:rsid w:val="00F301BB"/>
    <w:rsid w:val="00F303EC"/>
    <w:rsid w:val="00F30608"/>
    <w:rsid w:val="00F30744"/>
    <w:rsid w:val="00F308C1"/>
    <w:rsid w:val="00F30977"/>
    <w:rsid w:val="00F30D52"/>
    <w:rsid w:val="00F317A6"/>
    <w:rsid w:val="00F31CBA"/>
    <w:rsid w:val="00F31D1F"/>
    <w:rsid w:val="00F31F8F"/>
    <w:rsid w:val="00F32283"/>
    <w:rsid w:val="00F3290D"/>
    <w:rsid w:val="00F32DD1"/>
    <w:rsid w:val="00F32F84"/>
    <w:rsid w:val="00F33038"/>
    <w:rsid w:val="00F3331A"/>
    <w:rsid w:val="00F33B44"/>
    <w:rsid w:val="00F33D5E"/>
    <w:rsid w:val="00F33DDA"/>
    <w:rsid w:val="00F341D6"/>
    <w:rsid w:val="00F3459C"/>
    <w:rsid w:val="00F34CFC"/>
    <w:rsid w:val="00F34DA9"/>
    <w:rsid w:val="00F3551A"/>
    <w:rsid w:val="00F35CA4"/>
    <w:rsid w:val="00F36911"/>
    <w:rsid w:val="00F36F31"/>
    <w:rsid w:val="00F377B6"/>
    <w:rsid w:val="00F402EC"/>
    <w:rsid w:val="00F40628"/>
    <w:rsid w:val="00F40906"/>
    <w:rsid w:val="00F409AE"/>
    <w:rsid w:val="00F40AC0"/>
    <w:rsid w:val="00F40D77"/>
    <w:rsid w:val="00F41032"/>
    <w:rsid w:val="00F41314"/>
    <w:rsid w:val="00F42528"/>
    <w:rsid w:val="00F42819"/>
    <w:rsid w:val="00F42B01"/>
    <w:rsid w:val="00F42E0F"/>
    <w:rsid w:val="00F4313C"/>
    <w:rsid w:val="00F43872"/>
    <w:rsid w:val="00F43AC9"/>
    <w:rsid w:val="00F43B5B"/>
    <w:rsid w:val="00F44C8C"/>
    <w:rsid w:val="00F44E2B"/>
    <w:rsid w:val="00F450E3"/>
    <w:rsid w:val="00F45792"/>
    <w:rsid w:val="00F45895"/>
    <w:rsid w:val="00F45A72"/>
    <w:rsid w:val="00F45AB0"/>
    <w:rsid w:val="00F46140"/>
    <w:rsid w:val="00F46626"/>
    <w:rsid w:val="00F46973"/>
    <w:rsid w:val="00F46B1E"/>
    <w:rsid w:val="00F46E8E"/>
    <w:rsid w:val="00F46FCF"/>
    <w:rsid w:val="00F473B0"/>
    <w:rsid w:val="00F47488"/>
    <w:rsid w:val="00F47915"/>
    <w:rsid w:val="00F4791D"/>
    <w:rsid w:val="00F47FB3"/>
    <w:rsid w:val="00F50442"/>
    <w:rsid w:val="00F50826"/>
    <w:rsid w:val="00F50A82"/>
    <w:rsid w:val="00F50CC4"/>
    <w:rsid w:val="00F51058"/>
    <w:rsid w:val="00F51797"/>
    <w:rsid w:val="00F51B1F"/>
    <w:rsid w:val="00F52E40"/>
    <w:rsid w:val="00F5316D"/>
    <w:rsid w:val="00F536BA"/>
    <w:rsid w:val="00F541E3"/>
    <w:rsid w:val="00F54450"/>
    <w:rsid w:val="00F54E10"/>
    <w:rsid w:val="00F54FD1"/>
    <w:rsid w:val="00F550F5"/>
    <w:rsid w:val="00F55520"/>
    <w:rsid w:val="00F55D55"/>
    <w:rsid w:val="00F56A97"/>
    <w:rsid w:val="00F5783D"/>
    <w:rsid w:val="00F578FC"/>
    <w:rsid w:val="00F602AB"/>
    <w:rsid w:val="00F6035D"/>
    <w:rsid w:val="00F604FE"/>
    <w:rsid w:val="00F60AD2"/>
    <w:rsid w:val="00F60BC6"/>
    <w:rsid w:val="00F60DE0"/>
    <w:rsid w:val="00F6119B"/>
    <w:rsid w:val="00F611FF"/>
    <w:rsid w:val="00F6137B"/>
    <w:rsid w:val="00F613FC"/>
    <w:rsid w:val="00F6165C"/>
    <w:rsid w:val="00F6182C"/>
    <w:rsid w:val="00F618AD"/>
    <w:rsid w:val="00F619E7"/>
    <w:rsid w:val="00F61D8F"/>
    <w:rsid w:val="00F61EAA"/>
    <w:rsid w:val="00F61FB0"/>
    <w:rsid w:val="00F62319"/>
    <w:rsid w:val="00F62E66"/>
    <w:rsid w:val="00F63221"/>
    <w:rsid w:val="00F63601"/>
    <w:rsid w:val="00F6383D"/>
    <w:rsid w:val="00F63960"/>
    <w:rsid w:val="00F63AD6"/>
    <w:rsid w:val="00F64064"/>
    <w:rsid w:val="00F641B7"/>
    <w:rsid w:val="00F645F9"/>
    <w:rsid w:val="00F648BD"/>
    <w:rsid w:val="00F64A2D"/>
    <w:rsid w:val="00F652AA"/>
    <w:rsid w:val="00F6557A"/>
    <w:rsid w:val="00F6619E"/>
    <w:rsid w:val="00F6629D"/>
    <w:rsid w:val="00F666EC"/>
    <w:rsid w:val="00F66CAD"/>
    <w:rsid w:val="00F670C7"/>
    <w:rsid w:val="00F670E9"/>
    <w:rsid w:val="00F67540"/>
    <w:rsid w:val="00F67931"/>
    <w:rsid w:val="00F67B30"/>
    <w:rsid w:val="00F67E0B"/>
    <w:rsid w:val="00F67E34"/>
    <w:rsid w:val="00F67F56"/>
    <w:rsid w:val="00F70285"/>
    <w:rsid w:val="00F702E2"/>
    <w:rsid w:val="00F708CA"/>
    <w:rsid w:val="00F70B55"/>
    <w:rsid w:val="00F70DF1"/>
    <w:rsid w:val="00F70FDD"/>
    <w:rsid w:val="00F71414"/>
    <w:rsid w:val="00F71457"/>
    <w:rsid w:val="00F72134"/>
    <w:rsid w:val="00F721D1"/>
    <w:rsid w:val="00F722AE"/>
    <w:rsid w:val="00F726D6"/>
    <w:rsid w:val="00F72934"/>
    <w:rsid w:val="00F73154"/>
    <w:rsid w:val="00F738A1"/>
    <w:rsid w:val="00F73C3B"/>
    <w:rsid w:val="00F74168"/>
    <w:rsid w:val="00F741B4"/>
    <w:rsid w:val="00F74246"/>
    <w:rsid w:val="00F7455C"/>
    <w:rsid w:val="00F74641"/>
    <w:rsid w:val="00F74774"/>
    <w:rsid w:val="00F74984"/>
    <w:rsid w:val="00F74E1C"/>
    <w:rsid w:val="00F74FF0"/>
    <w:rsid w:val="00F75215"/>
    <w:rsid w:val="00F75BB9"/>
    <w:rsid w:val="00F763EC"/>
    <w:rsid w:val="00F764E3"/>
    <w:rsid w:val="00F76DF8"/>
    <w:rsid w:val="00F76E93"/>
    <w:rsid w:val="00F77081"/>
    <w:rsid w:val="00F77318"/>
    <w:rsid w:val="00F774DA"/>
    <w:rsid w:val="00F77566"/>
    <w:rsid w:val="00F77A5E"/>
    <w:rsid w:val="00F77FA9"/>
    <w:rsid w:val="00F8005D"/>
    <w:rsid w:val="00F805F3"/>
    <w:rsid w:val="00F80715"/>
    <w:rsid w:val="00F815FB"/>
    <w:rsid w:val="00F8176F"/>
    <w:rsid w:val="00F817CC"/>
    <w:rsid w:val="00F81815"/>
    <w:rsid w:val="00F82698"/>
    <w:rsid w:val="00F8269D"/>
    <w:rsid w:val="00F82823"/>
    <w:rsid w:val="00F82ABF"/>
    <w:rsid w:val="00F82C70"/>
    <w:rsid w:val="00F82D64"/>
    <w:rsid w:val="00F83506"/>
    <w:rsid w:val="00F83D4D"/>
    <w:rsid w:val="00F84519"/>
    <w:rsid w:val="00F8464E"/>
    <w:rsid w:val="00F8478B"/>
    <w:rsid w:val="00F850BA"/>
    <w:rsid w:val="00F8525D"/>
    <w:rsid w:val="00F85287"/>
    <w:rsid w:val="00F85291"/>
    <w:rsid w:val="00F859AB"/>
    <w:rsid w:val="00F86045"/>
    <w:rsid w:val="00F860F5"/>
    <w:rsid w:val="00F8681E"/>
    <w:rsid w:val="00F870B3"/>
    <w:rsid w:val="00F87832"/>
    <w:rsid w:val="00F878C5"/>
    <w:rsid w:val="00F87FA2"/>
    <w:rsid w:val="00F904F3"/>
    <w:rsid w:val="00F908DE"/>
    <w:rsid w:val="00F90D4A"/>
    <w:rsid w:val="00F9122B"/>
    <w:rsid w:val="00F914DD"/>
    <w:rsid w:val="00F91D94"/>
    <w:rsid w:val="00F920E8"/>
    <w:rsid w:val="00F923E5"/>
    <w:rsid w:val="00F9257F"/>
    <w:rsid w:val="00F92B16"/>
    <w:rsid w:val="00F92BBB"/>
    <w:rsid w:val="00F93576"/>
    <w:rsid w:val="00F9364E"/>
    <w:rsid w:val="00F93731"/>
    <w:rsid w:val="00F93C1F"/>
    <w:rsid w:val="00F940CA"/>
    <w:rsid w:val="00F94735"/>
    <w:rsid w:val="00F94B0D"/>
    <w:rsid w:val="00F94D69"/>
    <w:rsid w:val="00F95536"/>
    <w:rsid w:val="00F955F3"/>
    <w:rsid w:val="00F95CE1"/>
    <w:rsid w:val="00F95EC8"/>
    <w:rsid w:val="00F960F3"/>
    <w:rsid w:val="00F96198"/>
    <w:rsid w:val="00F96270"/>
    <w:rsid w:val="00F96315"/>
    <w:rsid w:val="00F9651B"/>
    <w:rsid w:val="00F96EF1"/>
    <w:rsid w:val="00F97554"/>
    <w:rsid w:val="00F97D58"/>
    <w:rsid w:val="00F97F6D"/>
    <w:rsid w:val="00FA0209"/>
    <w:rsid w:val="00FA06C0"/>
    <w:rsid w:val="00FA09A6"/>
    <w:rsid w:val="00FA0A6A"/>
    <w:rsid w:val="00FA0F06"/>
    <w:rsid w:val="00FA1A23"/>
    <w:rsid w:val="00FA2696"/>
    <w:rsid w:val="00FA2EBB"/>
    <w:rsid w:val="00FA321A"/>
    <w:rsid w:val="00FA33D1"/>
    <w:rsid w:val="00FA36F7"/>
    <w:rsid w:val="00FA3925"/>
    <w:rsid w:val="00FA4316"/>
    <w:rsid w:val="00FA4907"/>
    <w:rsid w:val="00FA4FB9"/>
    <w:rsid w:val="00FA4FC7"/>
    <w:rsid w:val="00FA50AE"/>
    <w:rsid w:val="00FA5A22"/>
    <w:rsid w:val="00FA5B9B"/>
    <w:rsid w:val="00FA5E31"/>
    <w:rsid w:val="00FA61F2"/>
    <w:rsid w:val="00FA643C"/>
    <w:rsid w:val="00FA6EE8"/>
    <w:rsid w:val="00FA6FA0"/>
    <w:rsid w:val="00FA71AE"/>
    <w:rsid w:val="00FA7305"/>
    <w:rsid w:val="00FA74BD"/>
    <w:rsid w:val="00FA7528"/>
    <w:rsid w:val="00FA76B2"/>
    <w:rsid w:val="00FA7E4B"/>
    <w:rsid w:val="00FB01BD"/>
    <w:rsid w:val="00FB04DE"/>
    <w:rsid w:val="00FB07C7"/>
    <w:rsid w:val="00FB0877"/>
    <w:rsid w:val="00FB08DA"/>
    <w:rsid w:val="00FB0B70"/>
    <w:rsid w:val="00FB15AF"/>
    <w:rsid w:val="00FB15B8"/>
    <w:rsid w:val="00FB16B7"/>
    <w:rsid w:val="00FB17DE"/>
    <w:rsid w:val="00FB1A1A"/>
    <w:rsid w:val="00FB1AD6"/>
    <w:rsid w:val="00FB1B60"/>
    <w:rsid w:val="00FB1B97"/>
    <w:rsid w:val="00FB1F59"/>
    <w:rsid w:val="00FB20A3"/>
    <w:rsid w:val="00FB2115"/>
    <w:rsid w:val="00FB2F69"/>
    <w:rsid w:val="00FB34A5"/>
    <w:rsid w:val="00FB35CB"/>
    <w:rsid w:val="00FB35F6"/>
    <w:rsid w:val="00FB447D"/>
    <w:rsid w:val="00FB44E1"/>
    <w:rsid w:val="00FB464D"/>
    <w:rsid w:val="00FB4B83"/>
    <w:rsid w:val="00FB56FD"/>
    <w:rsid w:val="00FB5989"/>
    <w:rsid w:val="00FB5B75"/>
    <w:rsid w:val="00FB605A"/>
    <w:rsid w:val="00FB650B"/>
    <w:rsid w:val="00FB6698"/>
    <w:rsid w:val="00FB69FC"/>
    <w:rsid w:val="00FB6F32"/>
    <w:rsid w:val="00FB74E7"/>
    <w:rsid w:val="00FB7527"/>
    <w:rsid w:val="00FB7B97"/>
    <w:rsid w:val="00FC006F"/>
    <w:rsid w:val="00FC0C7E"/>
    <w:rsid w:val="00FC1007"/>
    <w:rsid w:val="00FC13E7"/>
    <w:rsid w:val="00FC18E0"/>
    <w:rsid w:val="00FC1F24"/>
    <w:rsid w:val="00FC2251"/>
    <w:rsid w:val="00FC2514"/>
    <w:rsid w:val="00FC2A50"/>
    <w:rsid w:val="00FC3281"/>
    <w:rsid w:val="00FC32B3"/>
    <w:rsid w:val="00FC32C4"/>
    <w:rsid w:val="00FC359D"/>
    <w:rsid w:val="00FC3B5F"/>
    <w:rsid w:val="00FC47F6"/>
    <w:rsid w:val="00FC4B24"/>
    <w:rsid w:val="00FC4CF1"/>
    <w:rsid w:val="00FC4E1D"/>
    <w:rsid w:val="00FC5674"/>
    <w:rsid w:val="00FC578D"/>
    <w:rsid w:val="00FC61F5"/>
    <w:rsid w:val="00FC670C"/>
    <w:rsid w:val="00FC6E1A"/>
    <w:rsid w:val="00FC7578"/>
    <w:rsid w:val="00FC7804"/>
    <w:rsid w:val="00FC7B40"/>
    <w:rsid w:val="00FC7E1B"/>
    <w:rsid w:val="00FC7F34"/>
    <w:rsid w:val="00FD07DA"/>
    <w:rsid w:val="00FD0A53"/>
    <w:rsid w:val="00FD0AF7"/>
    <w:rsid w:val="00FD0BF7"/>
    <w:rsid w:val="00FD0CED"/>
    <w:rsid w:val="00FD10EA"/>
    <w:rsid w:val="00FD1443"/>
    <w:rsid w:val="00FD1D7C"/>
    <w:rsid w:val="00FD2309"/>
    <w:rsid w:val="00FD242E"/>
    <w:rsid w:val="00FD2A4C"/>
    <w:rsid w:val="00FD3471"/>
    <w:rsid w:val="00FD366B"/>
    <w:rsid w:val="00FD523F"/>
    <w:rsid w:val="00FD5629"/>
    <w:rsid w:val="00FD65E2"/>
    <w:rsid w:val="00FD699B"/>
    <w:rsid w:val="00FD6BB2"/>
    <w:rsid w:val="00FD6D0C"/>
    <w:rsid w:val="00FD72AB"/>
    <w:rsid w:val="00FD7B8A"/>
    <w:rsid w:val="00FE001D"/>
    <w:rsid w:val="00FE02F0"/>
    <w:rsid w:val="00FE055F"/>
    <w:rsid w:val="00FE0587"/>
    <w:rsid w:val="00FE0705"/>
    <w:rsid w:val="00FE09F1"/>
    <w:rsid w:val="00FE0CE8"/>
    <w:rsid w:val="00FE1012"/>
    <w:rsid w:val="00FE113D"/>
    <w:rsid w:val="00FE1601"/>
    <w:rsid w:val="00FE1815"/>
    <w:rsid w:val="00FE1CB1"/>
    <w:rsid w:val="00FE1EB3"/>
    <w:rsid w:val="00FE26CF"/>
    <w:rsid w:val="00FE26DA"/>
    <w:rsid w:val="00FE276A"/>
    <w:rsid w:val="00FE2B6A"/>
    <w:rsid w:val="00FE2C71"/>
    <w:rsid w:val="00FE2DB8"/>
    <w:rsid w:val="00FE2F14"/>
    <w:rsid w:val="00FE2F2E"/>
    <w:rsid w:val="00FE3F58"/>
    <w:rsid w:val="00FE4311"/>
    <w:rsid w:val="00FE49DA"/>
    <w:rsid w:val="00FE4F11"/>
    <w:rsid w:val="00FE50B3"/>
    <w:rsid w:val="00FE5460"/>
    <w:rsid w:val="00FE55CA"/>
    <w:rsid w:val="00FE59C2"/>
    <w:rsid w:val="00FE5A7D"/>
    <w:rsid w:val="00FE5A91"/>
    <w:rsid w:val="00FE5B2A"/>
    <w:rsid w:val="00FE5FB8"/>
    <w:rsid w:val="00FE614D"/>
    <w:rsid w:val="00FE68AF"/>
    <w:rsid w:val="00FE6F96"/>
    <w:rsid w:val="00FE7117"/>
    <w:rsid w:val="00FE7282"/>
    <w:rsid w:val="00FE745D"/>
    <w:rsid w:val="00FF00FE"/>
    <w:rsid w:val="00FF0145"/>
    <w:rsid w:val="00FF028A"/>
    <w:rsid w:val="00FF0820"/>
    <w:rsid w:val="00FF0CAA"/>
    <w:rsid w:val="00FF15A9"/>
    <w:rsid w:val="00FF1868"/>
    <w:rsid w:val="00FF198B"/>
    <w:rsid w:val="00FF1BC0"/>
    <w:rsid w:val="00FF1E79"/>
    <w:rsid w:val="00FF2004"/>
    <w:rsid w:val="00FF24E4"/>
    <w:rsid w:val="00FF2830"/>
    <w:rsid w:val="00FF31E9"/>
    <w:rsid w:val="00FF32F2"/>
    <w:rsid w:val="00FF443F"/>
    <w:rsid w:val="00FF52BA"/>
    <w:rsid w:val="00FF52F6"/>
    <w:rsid w:val="00FF55BF"/>
    <w:rsid w:val="00FF5D7F"/>
    <w:rsid w:val="00FF6116"/>
    <w:rsid w:val="00FF6C77"/>
    <w:rsid w:val="00FF72DE"/>
    <w:rsid w:val="00FF79FD"/>
    <w:rsid w:val="00FF7CE1"/>
    <w:rsid w:val="010827A5"/>
    <w:rsid w:val="011603F4"/>
    <w:rsid w:val="011F511E"/>
    <w:rsid w:val="01984F42"/>
    <w:rsid w:val="02C6703F"/>
    <w:rsid w:val="032F3A65"/>
    <w:rsid w:val="034510AE"/>
    <w:rsid w:val="03863E8D"/>
    <w:rsid w:val="03CA5CED"/>
    <w:rsid w:val="04310753"/>
    <w:rsid w:val="04D24B5D"/>
    <w:rsid w:val="0511500D"/>
    <w:rsid w:val="051C4137"/>
    <w:rsid w:val="057132B4"/>
    <w:rsid w:val="05FD48BE"/>
    <w:rsid w:val="06314567"/>
    <w:rsid w:val="06353893"/>
    <w:rsid w:val="06BF19E4"/>
    <w:rsid w:val="06D57FDD"/>
    <w:rsid w:val="06DC448C"/>
    <w:rsid w:val="070121B9"/>
    <w:rsid w:val="07603356"/>
    <w:rsid w:val="079F67A7"/>
    <w:rsid w:val="084971E5"/>
    <w:rsid w:val="089508FC"/>
    <w:rsid w:val="08A97B84"/>
    <w:rsid w:val="08CC25ED"/>
    <w:rsid w:val="08D070E5"/>
    <w:rsid w:val="08F80DE1"/>
    <w:rsid w:val="092554C5"/>
    <w:rsid w:val="095514E8"/>
    <w:rsid w:val="097053A7"/>
    <w:rsid w:val="09AE1167"/>
    <w:rsid w:val="0A2E773B"/>
    <w:rsid w:val="0A9E0BB1"/>
    <w:rsid w:val="0ACE1CF9"/>
    <w:rsid w:val="0AF339E1"/>
    <w:rsid w:val="0B0C140B"/>
    <w:rsid w:val="0B583C47"/>
    <w:rsid w:val="0B9A2BAF"/>
    <w:rsid w:val="0BA12677"/>
    <w:rsid w:val="0C2771DA"/>
    <w:rsid w:val="0C7A1229"/>
    <w:rsid w:val="0CB9087B"/>
    <w:rsid w:val="0CC13D72"/>
    <w:rsid w:val="0D342E71"/>
    <w:rsid w:val="0D354301"/>
    <w:rsid w:val="0DF30E98"/>
    <w:rsid w:val="0DF42784"/>
    <w:rsid w:val="0DFE4CC2"/>
    <w:rsid w:val="0E2D3F1E"/>
    <w:rsid w:val="0ECA7307"/>
    <w:rsid w:val="0F25557C"/>
    <w:rsid w:val="0FAA33C1"/>
    <w:rsid w:val="10255DB4"/>
    <w:rsid w:val="104B4477"/>
    <w:rsid w:val="10D175D3"/>
    <w:rsid w:val="1184062B"/>
    <w:rsid w:val="1191235E"/>
    <w:rsid w:val="120C7CFD"/>
    <w:rsid w:val="124E3513"/>
    <w:rsid w:val="1284355B"/>
    <w:rsid w:val="12EC0194"/>
    <w:rsid w:val="134358DA"/>
    <w:rsid w:val="13D80718"/>
    <w:rsid w:val="13DD4523"/>
    <w:rsid w:val="13FF43C3"/>
    <w:rsid w:val="14147682"/>
    <w:rsid w:val="143D67CD"/>
    <w:rsid w:val="145F1B90"/>
    <w:rsid w:val="148923DB"/>
    <w:rsid w:val="14D233B9"/>
    <w:rsid w:val="15895853"/>
    <w:rsid w:val="15BD77D7"/>
    <w:rsid w:val="15FA418A"/>
    <w:rsid w:val="169F1B0A"/>
    <w:rsid w:val="17061B57"/>
    <w:rsid w:val="17252384"/>
    <w:rsid w:val="1777048B"/>
    <w:rsid w:val="17CC0594"/>
    <w:rsid w:val="17DB2585"/>
    <w:rsid w:val="187506DB"/>
    <w:rsid w:val="18792D52"/>
    <w:rsid w:val="188E75F7"/>
    <w:rsid w:val="18B15A81"/>
    <w:rsid w:val="18D61CA2"/>
    <w:rsid w:val="19255148"/>
    <w:rsid w:val="19343250"/>
    <w:rsid w:val="19DD3A08"/>
    <w:rsid w:val="1A3C3F06"/>
    <w:rsid w:val="1B0256D6"/>
    <w:rsid w:val="1B4A4141"/>
    <w:rsid w:val="1B5508A0"/>
    <w:rsid w:val="1BA777E7"/>
    <w:rsid w:val="1BB750B7"/>
    <w:rsid w:val="1BD143CB"/>
    <w:rsid w:val="1C0B2D94"/>
    <w:rsid w:val="1C291EFA"/>
    <w:rsid w:val="1C841DC7"/>
    <w:rsid w:val="1CAB3CDC"/>
    <w:rsid w:val="1CBA6C0D"/>
    <w:rsid w:val="1D905BC0"/>
    <w:rsid w:val="1DEC1417"/>
    <w:rsid w:val="1DFE715D"/>
    <w:rsid w:val="1E690BB0"/>
    <w:rsid w:val="1E965458"/>
    <w:rsid w:val="1EFF7C64"/>
    <w:rsid w:val="1F372797"/>
    <w:rsid w:val="1F501AAA"/>
    <w:rsid w:val="1FCA6753"/>
    <w:rsid w:val="1FCD6AB7"/>
    <w:rsid w:val="1FDA1374"/>
    <w:rsid w:val="1FF35A20"/>
    <w:rsid w:val="20002191"/>
    <w:rsid w:val="207C7D01"/>
    <w:rsid w:val="20C87602"/>
    <w:rsid w:val="20D437E2"/>
    <w:rsid w:val="20FB6A2E"/>
    <w:rsid w:val="21174419"/>
    <w:rsid w:val="225C19C1"/>
    <w:rsid w:val="22B660C8"/>
    <w:rsid w:val="231A2A22"/>
    <w:rsid w:val="234E00AF"/>
    <w:rsid w:val="23FC7B0B"/>
    <w:rsid w:val="2407539F"/>
    <w:rsid w:val="247024ED"/>
    <w:rsid w:val="24806272"/>
    <w:rsid w:val="24FA371F"/>
    <w:rsid w:val="25E036DD"/>
    <w:rsid w:val="265804CA"/>
    <w:rsid w:val="26591245"/>
    <w:rsid w:val="2716756D"/>
    <w:rsid w:val="27873B8F"/>
    <w:rsid w:val="27BE1507"/>
    <w:rsid w:val="27C052F3"/>
    <w:rsid w:val="27D90203"/>
    <w:rsid w:val="2824496C"/>
    <w:rsid w:val="28F31094"/>
    <w:rsid w:val="28FA4E36"/>
    <w:rsid w:val="293161AE"/>
    <w:rsid w:val="29E21551"/>
    <w:rsid w:val="29E96D83"/>
    <w:rsid w:val="29F2552C"/>
    <w:rsid w:val="2A127819"/>
    <w:rsid w:val="2A135D5D"/>
    <w:rsid w:val="2A19460D"/>
    <w:rsid w:val="2A915B69"/>
    <w:rsid w:val="2AC46EA9"/>
    <w:rsid w:val="2AD30A19"/>
    <w:rsid w:val="2AF86082"/>
    <w:rsid w:val="2B1C4F36"/>
    <w:rsid w:val="2B1D53AD"/>
    <w:rsid w:val="2B2F299C"/>
    <w:rsid w:val="2BBB2267"/>
    <w:rsid w:val="2C556D0A"/>
    <w:rsid w:val="2C75006C"/>
    <w:rsid w:val="2C9F30BC"/>
    <w:rsid w:val="2CA641FB"/>
    <w:rsid w:val="2CEF2903"/>
    <w:rsid w:val="2D092A2F"/>
    <w:rsid w:val="2D1869C1"/>
    <w:rsid w:val="2D6E0470"/>
    <w:rsid w:val="2D7050C6"/>
    <w:rsid w:val="2E0C1EF9"/>
    <w:rsid w:val="2E1B3575"/>
    <w:rsid w:val="2E1F7178"/>
    <w:rsid w:val="2E3237B2"/>
    <w:rsid w:val="2E8C71AC"/>
    <w:rsid w:val="2EA2700D"/>
    <w:rsid w:val="2F64693C"/>
    <w:rsid w:val="2F662999"/>
    <w:rsid w:val="2FC105A1"/>
    <w:rsid w:val="2FDC6A42"/>
    <w:rsid w:val="300357D2"/>
    <w:rsid w:val="3094695E"/>
    <w:rsid w:val="30A10F5B"/>
    <w:rsid w:val="30C10DB0"/>
    <w:rsid w:val="30F264AB"/>
    <w:rsid w:val="32DF026A"/>
    <w:rsid w:val="32FD2B61"/>
    <w:rsid w:val="33792F26"/>
    <w:rsid w:val="33827454"/>
    <w:rsid w:val="341849CA"/>
    <w:rsid w:val="342152F1"/>
    <w:rsid w:val="344A041F"/>
    <w:rsid w:val="345E5FC9"/>
    <w:rsid w:val="34986234"/>
    <w:rsid w:val="34BA6EF6"/>
    <w:rsid w:val="34ED7FBF"/>
    <w:rsid w:val="352D79A3"/>
    <w:rsid w:val="356F1F2E"/>
    <w:rsid w:val="3580028E"/>
    <w:rsid w:val="35AA71CE"/>
    <w:rsid w:val="35C12962"/>
    <w:rsid w:val="367774C5"/>
    <w:rsid w:val="368D0EFE"/>
    <w:rsid w:val="368E711C"/>
    <w:rsid w:val="373D2491"/>
    <w:rsid w:val="377F4E30"/>
    <w:rsid w:val="37BE35FD"/>
    <w:rsid w:val="37FB65FF"/>
    <w:rsid w:val="38926838"/>
    <w:rsid w:val="39E210F9"/>
    <w:rsid w:val="3A74058B"/>
    <w:rsid w:val="3A7C154E"/>
    <w:rsid w:val="3ABA1232"/>
    <w:rsid w:val="3AF10EE3"/>
    <w:rsid w:val="3BBA0580"/>
    <w:rsid w:val="3BCB62E9"/>
    <w:rsid w:val="3BD05E87"/>
    <w:rsid w:val="3C033CD5"/>
    <w:rsid w:val="3C9F4177"/>
    <w:rsid w:val="3CB74ABF"/>
    <w:rsid w:val="3CDB255C"/>
    <w:rsid w:val="3CE664C0"/>
    <w:rsid w:val="3D36299A"/>
    <w:rsid w:val="3D6E7EA5"/>
    <w:rsid w:val="3DFD117E"/>
    <w:rsid w:val="3EC07B32"/>
    <w:rsid w:val="3F7F21FA"/>
    <w:rsid w:val="3F850C95"/>
    <w:rsid w:val="3FFE0BC0"/>
    <w:rsid w:val="405C1C05"/>
    <w:rsid w:val="40CB6964"/>
    <w:rsid w:val="414451C0"/>
    <w:rsid w:val="415E5B13"/>
    <w:rsid w:val="41FF4DFA"/>
    <w:rsid w:val="42A33B1C"/>
    <w:rsid w:val="42A930FC"/>
    <w:rsid w:val="42CC683B"/>
    <w:rsid w:val="43E556D8"/>
    <w:rsid w:val="43FE121A"/>
    <w:rsid w:val="440745CF"/>
    <w:rsid w:val="440A3726"/>
    <w:rsid w:val="445346C1"/>
    <w:rsid w:val="445B0426"/>
    <w:rsid w:val="452229C6"/>
    <w:rsid w:val="45FD79E7"/>
    <w:rsid w:val="467A2FE6"/>
    <w:rsid w:val="47B75856"/>
    <w:rsid w:val="47CB141F"/>
    <w:rsid w:val="47CB18F9"/>
    <w:rsid w:val="48147B6E"/>
    <w:rsid w:val="481D065D"/>
    <w:rsid w:val="48272AF9"/>
    <w:rsid w:val="486E372E"/>
    <w:rsid w:val="494816FA"/>
    <w:rsid w:val="49935A42"/>
    <w:rsid w:val="49EA0EC9"/>
    <w:rsid w:val="4A347D08"/>
    <w:rsid w:val="4A4C2CEB"/>
    <w:rsid w:val="4A8F7E78"/>
    <w:rsid w:val="4A9201C7"/>
    <w:rsid w:val="4AA93C99"/>
    <w:rsid w:val="4C3645C0"/>
    <w:rsid w:val="4C9B3F3C"/>
    <w:rsid w:val="4C9B5EBF"/>
    <w:rsid w:val="4CB839D2"/>
    <w:rsid w:val="4D0A29E9"/>
    <w:rsid w:val="4D221AE1"/>
    <w:rsid w:val="4DD01826"/>
    <w:rsid w:val="4E145533"/>
    <w:rsid w:val="4E683E6B"/>
    <w:rsid w:val="4E685FE7"/>
    <w:rsid w:val="4E9B6A6E"/>
    <w:rsid w:val="4ECA68D4"/>
    <w:rsid w:val="4EF91967"/>
    <w:rsid w:val="4F225A11"/>
    <w:rsid w:val="4F250A19"/>
    <w:rsid w:val="4F5661CC"/>
    <w:rsid w:val="4F93316A"/>
    <w:rsid w:val="4FDA2335"/>
    <w:rsid w:val="4FE570FB"/>
    <w:rsid w:val="50B67110"/>
    <w:rsid w:val="50E84F69"/>
    <w:rsid w:val="51861648"/>
    <w:rsid w:val="521D01D2"/>
    <w:rsid w:val="52C33D66"/>
    <w:rsid w:val="52C61160"/>
    <w:rsid w:val="53087339"/>
    <w:rsid w:val="53702556"/>
    <w:rsid w:val="538612B5"/>
    <w:rsid w:val="53B574F4"/>
    <w:rsid w:val="53C11819"/>
    <w:rsid w:val="53DC545B"/>
    <w:rsid w:val="53EE2414"/>
    <w:rsid w:val="547E0E38"/>
    <w:rsid w:val="551074B2"/>
    <w:rsid w:val="55154FFD"/>
    <w:rsid w:val="551C6146"/>
    <w:rsid w:val="552F56E3"/>
    <w:rsid w:val="554B11B6"/>
    <w:rsid w:val="555451EB"/>
    <w:rsid w:val="555D1DB1"/>
    <w:rsid w:val="55813637"/>
    <w:rsid w:val="56F95B7E"/>
    <w:rsid w:val="56FC4A0F"/>
    <w:rsid w:val="5759796F"/>
    <w:rsid w:val="57863AF8"/>
    <w:rsid w:val="57B179A7"/>
    <w:rsid w:val="58FC4488"/>
    <w:rsid w:val="5913156F"/>
    <w:rsid w:val="595010EC"/>
    <w:rsid w:val="597162CA"/>
    <w:rsid w:val="59DB7BE7"/>
    <w:rsid w:val="5A7B1DA6"/>
    <w:rsid w:val="5BD3533E"/>
    <w:rsid w:val="5C71038F"/>
    <w:rsid w:val="5CB00EB7"/>
    <w:rsid w:val="5CE2303B"/>
    <w:rsid w:val="5CEE378D"/>
    <w:rsid w:val="5CF247A0"/>
    <w:rsid w:val="5D1637E7"/>
    <w:rsid w:val="5D1755BF"/>
    <w:rsid w:val="5D581A45"/>
    <w:rsid w:val="5DF15728"/>
    <w:rsid w:val="5E195BDD"/>
    <w:rsid w:val="5E33154D"/>
    <w:rsid w:val="5E9706D0"/>
    <w:rsid w:val="5EBD63A0"/>
    <w:rsid w:val="5F1167D9"/>
    <w:rsid w:val="5F647919"/>
    <w:rsid w:val="5FD55DFC"/>
    <w:rsid w:val="605E7B3E"/>
    <w:rsid w:val="612E420D"/>
    <w:rsid w:val="612E6EC3"/>
    <w:rsid w:val="61500EBB"/>
    <w:rsid w:val="61EB3037"/>
    <w:rsid w:val="62A212A2"/>
    <w:rsid w:val="62B213ED"/>
    <w:rsid w:val="631A2E2B"/>
    <w:rsid w:val="632B5FD8"/>
    <w:rsid w:val="63413490"/>
    <w:rsid w:val="63B53257"/>
    <w:rsid w:val="63E8155E"/>
    <w:rsid w:val="63EB6A94"/>
    <w:rsid w:val="64414AEB"/>
    <w:rsid w:val="64B21544"/>
    <w:rsid w:val="64EB76AB"/>
    <w:rsid w:val="655B7E2E"/>
    <w:rsid w:val="65C77271"/>
    <w:rsid w:val="66000B65"/>
    <w:rsid w:val="660C3C79"/>
    <w:rsid w:val="66A01F9C"/>
    <w:rsid w:val="67191D4F"/>
    <w:rsid w:val="675863D3"/>
    <w:rsid w:val="678B0DED"/>
    <w:rsid w:val="67D7019C"/>
    <w:rsid w:val="681A7329"/>
    <w:rsid w:val="6917406C"/>
    <w:rsid w:val="691F4663"/>
    <w:rsid w:val="6A017EF7"/>
    <w:rsid w:val="6A025719"/>
    <w:rsid w:val="6A360B2F"/>
    <w:rsid w:val="6AE803E5"/>
    <w:rsid w:val="6B555E9B"/>
    <w:rsid w:val="6B8C59AF"/>
    <w:rsid w:val="6BBB5183"/>
    <w:rsid w:val="6BF42031"/>
    <w:rsid w:val="6CDE350A"/>
    <w:rsid w:val="6D14361D"/>
    <w:rsid w:val="6D183A42"/>
    <w:rsid w:val="6D1F3B29"/>
    <w:rsid w:val="6D3C5A03"/>
    <w:rsid w:val="6DC540D4"/>
    <w:rsid w:val="6DCF4616"/>
    <w:rsid w:val="6EA840E4"/>
    <w:rsid w:val="6ED8372C"/>
    <w:rsid w:val="6F280A11"/>
    <w:rsid w:val="6F3E50BA"/>
    <w:rsid w:val="6F8A5598"/>
    <w:rsid w:val="6FCE3966"/>
    <w:rsid w:val="70360AFE"/>
    <w:rsid w:val="70FA0D63"/>
    <w:rsid w:val="712F2DC0"/>
    <w:rsid w:val="715E5D3A"/>
    <w:rsid w:val="719E2FF6"/>
    <w:rsid w:val="71C92EE3"/>
    <w:rsid w:val="72AE5A41"/>
    <w:rsid w:val="72C81584"/>
    <w:rsid w:val="72DF19C2"/>
    <w:rsid w:val="72FE122B"/>
    <w:rsid w:val="73196D06"/>
    <w:rsid w:val="7349069A"/>
    <w:rsid w:val="737B5E2F"/>
    <w:rsid w:val="73F26DF3"/>
    <w:rsid w:val="74DA1E84"/>
    <w:rsid w:val="74FA6D1C"/>
    <w:rsid w:val="750D5E8A"/>
    <w:rsid w:val="752E7180"/>
    <w:rsid w:val="754F62C4"/>
    <w:rsid w:val="75B17613"/>
    <w:rsid w:val="75B72E5F"/>
    <w:rsid w:val="75BE3204"/>
    <w:rsid w:val="75FC5E41"/>
    <w:rsid w:val="76C52203"/>
    <w:rsid w:val="76CB7882"/>
    <w:rsid w:val="76E856C9"/>
    <w:rsid w:val="77433D31"/>
    <w:rsid w:val="779C055E"/>
    <w:rsid w:val="77DA4BE2"/>
    <w:rsid w:val="786D5A56"/>
    <w:rsid w:val="78D855C6"/>
    <w:rsid w:val="7907094B"/>
    <w:rsid w:val="796F6880"/>
    <w:rsid w:val="79C46E13"/>
    <w:rsid w:val="79CF3B58"/>
    <w:rsid w:val="79FC2AE0"/>
    <w:rsid w:val="7B050EF3"/>
    <w:rsid w:val="7B2F71F8"/>
    <w:rsid w:val="7B9A6203"/>
    <w:rsid w:val="7BBE2454"/>
    <w:rsid w:val="7C0A27CC"/>
    <w:rsid w:val="7C9F5482"/>
    <w:rsid w:val="7CA80B2C"/>
    <w:rsid w:val="7CD82038"/>
    <w:rsid w:val="7D0C4B31"/>
    <w:rsid w:val="7D386A3A"/>
    <w:rsid w:val="7D4A236D"/>
    <w:rsid w:val="7D7004C3"/>
    <w:rsid w:val="7DE41360"/>
    <w:rsid w:val="7DE853B0"/>
    <w:rsid w:val="7ED26C70"/>
    <w:rsid w:val="7F924142"/>
    <w:rsid w:val="7FA206DC"/>
    <w:rsid w:val="7FBB35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iPriority="99" w:semiHidden="0" w:name="annotation text"/>
    <w:lsdException w:qFormat="1" w:uiPriority="99" w:semiHidden="0" w:name="header"/>
    <w:lsdException w:qFormat="1" w:uiPriority="99"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99" w:semiHidden="0" w:name="annotation reference"/>
    <w:lsdException w:uiPriority="99" w:name="line number"/>
    <w:lsdException w:qFormat="1" w:unhideWhenUsed="0" w:uiPriority="0" w:semiHidden="0" w:name="page number"/>
    <w:lsdException w:qFormat="1" w:uiPriority="0" w:semiHidden="0" w:name="endnote reference"/>
    <w:lsdException w:qFormat="1"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99"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uiPriority="1" w:name="Default Paragraph Font"/>
    <w:lsdException w:qFormat="1" w:unhideWhenUsed="0" w:uiPriority="99"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11" w:semiHidden="0" w:name="Subtitle"/>
    <w:lsdException w:qFormat="1" w:unhideWhenUsed="0" w:uiPriority="0" w:semiHidden="0"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uiPriority="99" w:name="HTML Acronym"/>
    <w:lsdException w:qFormat="1" w:unhideWhenUsed="0" w:uiPriority="0" w:semiHidden="0"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qFormat="1" w:unhideWhenUsed="0" w:uiPriority="0" w:semiHidden="0" w:name="HTML Typewriter"/>
    <w:lsdException w:uiPriority="99" w:name="HTML Variable"/>
    <w:lsdException w:uiPriority="99" w:name="Normal Table"/>
    <w:lsdException w:qFormat="1" w:unhideWhenUsed="0" w:uiPriority="0" w:semiHidden="0" w:name="annotation subject"/>
    <w:lsdException w:qFormat="1" w:unhideWhenUsed="0" w:uiPriority="0" w:semiHidden="0"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qFormat="1" w:unhideWhenUsed="0" w:uiPriority="0" w:semiHidden="0"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qFormat="1" w:unhideWhenUsed="0" w:uiPriority="0" w:semiHidden="0"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qFormat="1" w:unhideWhenUsed="0" w:uiPriority="0" w:semiHidden="0" w:name="Table Theme"/>
    <w:lsdException w:qFormat="1" w:uiPriority="0" w:semiHidden="0"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4">
    <w:name w:val="heading 1"/>
    <w:basedOn w:val="1"/>
    <w:next w:val="1"/>
    <w:link w:val="108"/>
    <w:qFormat/>
    <w:uiPriority w:val="0"/>
    <w:pPr>
      <w:keepNext/>
      <w:keepLines/>
      <w:numPr>
        <w:ilvl w:val="0"/>
        <w:numId w:val="1"/>
      </w:numPr>
      <w:spacing w:line="360" w:lineRule="auto"/>
      <w:outlineLvl w:val="0"/>
    </w:pPr>
    <w:rPr>
      <w:rFonts w:ascii="Times New Roman" w:hAnsi="Times New Roman" w:eastAsia="黑体"/>
      <w:b/>
      <w:bCs/>
      <w:kern w:val="44"/>
      <w:sz w:val="30"/>
      <w:szCs w:val="44"/>
    </w:rPr>
  </w:style>
  <w:style w:type="paragraph" w:styleId="5">
    <w:name w:val="heading 2"/>
    <w:basedOn w:val="1"/>
    <w:next w:val="1"/>
    <w:link w:val="109"/>
    <w:qFormat/>
    <w:uiPriority w:val="0"/>
    <w:pPr>
      <w:keepNext/>
      <w:keepLines/>
      <w:numPr>
        <w:ilvl w:val="1"/>
        <w:numId w:val="1"/>
      </w:numPr>
      <w:spacing w:line="360" w:lineRule="auto"/>
      <w:outlineLvl w:val="1"/>
    </w:pPr>
    <w:rPr>
      <w:rFonts w:ascii="Times New Roman" w:hAnsi="Times New Roman" w:eastAsia="黑体"/>
      <w:b/>
      <w:bCs/>
      <w:sz w:val="28"/>
      <w:szCs w:val="32"/>
    </w:rPr>
  </w:style>
  <w:style w:type="paragraph" w:styleId="6">
    <w:name w:val="heading 3"/>
    <w:basedOn w:val="1"/>
    <w:next w:val="1"/>
    <w:link w:val="110"/>
    <w:qFormat/>
    <w:uiPriority w:val="0"/>
    <w:pPr>
      <w:keepNext/>
      <w:keepLines/>
      <w:numPr>
        <w:ilvl w:val="2"/>
        <w:numId w:val="1"/>
      </w:numPr>
      <w:spacing w:line="360" w:lineRule="auto"/>
      <w:outlineLvl w:val="2"/>
    </w:pPr>
    <w:rPr>
      <w:rFonts w:ascii="Times New Roman" w:hAnsi="Times New Roman" w:eastAsia="黑体"/>
      <w:b/>
      <w:bCs/>
      <w:sz w:val="24"/>
      <w:szCs w:val="32"/>
    </w:rPr>
  </w:style>
  <w:style w:type="paragraph" w:styleId="7">
    <w:name w:val="heading 4"/>
    <w:basedOn w:val="1"/>
    <w:next w:val="1"/>
    <w:link w:val="111"/>
    <w:qFormat/>
    <w:uiPriority w:val="0"/>
    <w:pPr>
      <w:keepNext/>
      <w:keepLines/>
      <w:numPr>
        <w:ilvl w:val="3"/>
        <w:numId w:val="1"/>
      </w:numPr>
      <w:spacing w:line="360" w:lineRule="auto"/>
      <w:outlineLvl w:val="3"/>
    </w:pPr>
    <w:rPr>
      <w:rFonts w:ascii="Times New Roman" w:hAnsi="Times New Roman" w:eastAsia="黑体"/>
      <w:bCs/>
      <w:sz w:val="24"/>
      <w:szCs w:val="28"/>
    </w:rPr>
  </w:style>
  <w:style w:type="paragraph" w:styleId="8">
    <w:name w:val="heading 5"/>
    <w:basedOn w:val="1"/>
    <w:next w:val="1"/>
    <w:link w:val="112"/>
    <w:qFormat/>
    <w:uiPriority w:val="0"/>
    <w:pPr>
      <w:numPr>
        <w:ilvl w:val="4"/>
        <w:numId w:val="1"/>
      </w:numPr>
      <w:tabs>
        <w:tab w:val="left" w:pos="927"/>
      </w:tabs>
      <w:autoSpaceDE w:val="0"/>
      <w:autoSpaceDN w:val="0"/>
      <w:adjustRightInd w:val="0"/>
      <w:snapToGrid w:val="0"/>
      <w:spacing w:line="360" w:lineRule="auto"/>
      <w:jc w:val="center"/>
      <w:textAlignment w:val="top"/>
      <w:outlineLvl w:val="4"/>
    </w:pPr>
    <w:rPr>
      <w:rFonts w:ascii="Times New Roman" w:hAnsi="Times New Roman"/>
      <w:b/>
      <w:szCs w:val="28"/>
    </w:rPr>
  </w:style>
  <w:style w:type="paragraph" w:styleId="9">
    <w:name w:val="heading 6"/>
    <w:basedOn w:val="1"/>
    <w:next w:val="1"/>
    <w:link w:val="113"/>
    <w:qFormat/>
    <w:uiPriority w:val="0"/>
    <w:pPr>
      <w:numPr>
        <w:ilvl w:val="5"/>
        <w:numId w:val="1"/>
      </w:numPr>
      <w:autoSpaceDE w:val="0"/>
      <w:autoSpaceDN w:val="0"/>
      <w:adjustRightInd w:val="0"/>
      <w:snapToGrid w:val="0"/>
      <w:spacing w:line="360" w:lineRule="auto"/>
      <w:jc w:val="center"/>
      <w:textAlignment w:val="top"/>
      <w:outlineLvl w:val="5"/>
    </w:pPr>
    <w:rPr>
      <w:rFonts w:ascii="Times New Roman" w:hAnsi="Times New Roman"/>
      <w:b/>
      <w:bCs/>
      <w:szCs w:val="24"/>
    </w:rPr>
  </w:style>
  <w:style w:type="paragraph" w:styleId="10">
    <w:name w:val="heading 7"/>
    <w:basedOn w:val="1"/>
    <w:next w:val="1"/>
    <w:link w:val="114"/>
    <w:qFormat/>
    <w:uiPriority w:val="0"/>
    <w:pPr>
      <w:keepNext/>
      <w:keepLines/>
      <w:tabs>
        <w:tab w:val="left" w:pos="1559"/>
      </w:tabs>
      <w:adjustRightInd w:val="0"/>
      <w:spacing w:before="120" w:after="120" w:line="480" w:lineRule="exact"/>
      <w:ind w:left="1559" w:hanging="1559"/>
      <w:textAlignment w:val="baseline"/>
      <w:outlineLvl w:val="6"/>
    </w:pPr>
    <w:rPr>
      <w:rFonts w:ascii="Times New Roman" w:hAnsi="Times New Roman"/>
      <w:sz w:val="28"/>
      <w:szCs w:val="24"/>
    </w:rPr>
  </w:style>
  <w:style w:type="paragraph" w:styleId="11">
    <w:name w:val="heading 8"/>
    <w:basedOn w:val="1"/>
    <w:next w:val="1"/>
    <w:link w:val="115"/>
    <w:qFormat/>
    <w:uiPriority w:val="0"/>
    <w:pPr>
      <w:keepNext/>
      <w:keepLines/>
      <w:tabs>
        <w:tab w:val="left" w:pos="1701"/>
      </w:tabs>
      <w:adjustRightInd w:val="0"/>
      <w:spacing w:before="120" w:after="120" w:line="480" w:lineRule="exact"/>
      <w:ind w:left="1701" w:hanging="1701"/>
      <w:textAlignment w:val="baseline"/>
      <w:outlineLvl w:val="7"/>
    </w:pPr>
    <w:rPr>
      <w:rFonts w:ascii="Times New Roman" w:hAnsi="Times New Roman"/>
      <w:sz w:val="28"/>
      <w:szCs w:val="24"/>
    </w:rPr>
  </w:style>
  <w:style w:type="paragraph" w:styleId="12">
    <w:name w:val="heading 9"/>
    <w:basedOn w:val="1"/>
    <w:next w:val="1"/>
    <w:link w:val="116"/>
    <w:qFormat/>
    <w:uiPriority w:val="0"/>
    <w:pPr>
      <w:keepNext/>
      <w:keepLines/>
      <w:tabs>
        <w:tab w:val="left" w:pos="1985"/>
      </w:tabs>
      <w:adjustRightInd w:val="0"/>
      <w:spacing w:before="120" w:after="120" w:line="480" w:lineRule="exact"/>
      <w:ind w:left="1985" w:hanging="1985"/>
      <w:textAlignment w:val="baseline"/>
      <w:outlineLvl w:val="8"/>
    </w:pPr>
    <w:rPr>
      <w:rFonts w:ascii="Times New Roman" w:hAnsi="Times New Roman"/>
      <w:sz w:val="28"/>
      <w:szCs w:val="24"/>
    </w:rPr>
  </w:style>
  <w:style w:type="character" w:default="1" w:styleId="97">
    <w:name w:val="Default Paragraph Font"/>
    <w:semiHidden/>
    <w:unhideWhenUsed/>
    <w:uiPriority w:val="1"/>
  </w:style>
  <w:style w:type="table" w:default="1" w:styleId="88">
    <w:name w:val="Normal Table"/>
    <w:semiHidden/>
    <w:unhideWhenUsed/>
    <w:uiPriority w:val="99"/>
    <w:tblPr>
      <w:tblCellMar>
        <w:top w:w="0" w:type="dxa"/>
        <w:left w:w="108" w:type="dxa"/>
        <w:bottom w:w="0" w:type="dxa"/>
        <w:right w:w="108" w:type="dxa"/>
      </w:tblCellMar>
    </w:tblPr>
  </w:style>
  <w:style w:type="paragraph" w:styleId="2">
    <w:name w:val="Normal Indent"/>
    <w:basedOn w:val="1"/>
    <w:link w:val="119"/>
    <w:qFormat/>
    <w:uiPriority w:val="0"/>
    <w:pPr>
      <w:spacing w:line="0" w:lineRule="atLeast"/>
      <w:ind w:firstLine="420"/>
    </w:pPr>
  </w:style>
  <w:style w:type="paragraph" w:styleId="3">
    <w:name w:val="macro"/>
    <w:link w:val="107"/>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13">
    <w:name w:val="List 3"/>
    <w:basedOn w:val="1"/>
    <w:qFormat/>
    <w:uiPriority w:val="0"/>
    <w:pPr>
      <w:spacing w:line="440" w:lineRule="exact"/>
      <w:ind w:left="100" w:leftChars="400" w:hanging="200" w:hangingChars="200"/>
    </w:pPr>
    <w:rPr>
      <w:rFonts w:ascii="Times New Roman" w:hAnsi="Times New Roman"/>
      <w:sz w:val="24"/>
      <w:szCs w:val="24"/>
    </w:rPr>
  </w:style>
  <w:style w:type="paragraph" w:styleId="14">
    <w:name w:val="toc 7"/>
    <w:basedOn w:val="1"/>
    <w:next w:val="1"/>
    <w:qFormat/>
    <w:uiPriority w:val="39"/>
    <w:pPr>
      <w:ind w:left="1260"/>
      <w:jc w:val="left"/>
    </w:pPr>
    <w:rPr>
      <w:rFonts w:ascii="Times New Roman" w:hAnsi="Times New Roman"/>
      <w:sz w:val="18"/>
      <w:szCs w:val="18"/>
    </w:rPr>
  </w:style>
  <w:style w:type="paragraph" w:styleId="15">
    <w:name w:val="List Number 2"/>
    <w:basedOn w:val="1"/>
    <w:qFormat/>
    <w:uiPriority w:val="99"/>
    <w:pPr>
      <w:tabs>
        <w:tab w:val="left" w:pos="780"/>
        <w:tab w:val="left" w:pos="840"/>
      </w:tabs>
      <w:ind w:left="840" w:hanging="360"/>
    </w:pPr>
    <w:rPr>
      <w:rFonts w:ascii="Times New Roman" w:hAnsi="Times New Roman"/>
      <w:szCs w:val="20"/>
    </w:rPr>
  </w:style>
  <w:style w:type="paragraph" w:styleId="16">
    <w:name w:val="table of authorities"/>
    <w:basedOn w:val="1"/>
    <w:next w:val="1"/>
    <w:qFormat/>
    <w:uiPriority w:val="0"/>
    <w:pPr>
      <w:ind w:left="420" w:leftChars="200"/>
    </w:pPr>
    <w:rPr>
      <w:rFonts w:ascii="Times New Roman" w:hAnsi="Times New Roman"/>
      <w:szCs w:val="20"/>
    </w:rPr>
  </w:style>
  <w:style w:type="paragraph" w:styleId="17">
    <w:name w:val="Note Heading"/>
    <w:basedOn w:val="1"/>
    <w:next w:val="1"/>
    <w:link w:val="117"/>
    <w:qFormat/>
    <w:uiPriority w:val="0"/>
    <w:pPr>
      <w:jc w:val="center"/>
    </w:pPr>
    <w:rPr>
      <w:szCs w:val="24"/>
    </w:rPr>
  </w:style>
  <w:style w:type="paragraph" w:styleId="18">
    <w:name w:val="List Bullet 4"/>
    <w:basedOn w:val="1"/>
    <w:qFormat/>
    <w:uiPriority w:val="0"/>
    <w:pPr>
      <w:tabs>
        <w:tab w:val="left" w:pos="840"/>
        <w:tab w:val="left" w:pos="1620"/>
      </w:tabs>
      <w:ind w:left="840" w:hanging="360"/>
    </w:pPr>
    <w:rPr>
      <w:rFonts w:ascii="Times New Roman" w:hAnsi="Times New Roman"/>
      <w:szCs w:val="20"/>
    </w:rPr>
  </w:style>
  <w:style w:type="paragraph" w:styleId="19">
    <w:name w:val="index 8"/>
    <w:basedOn w:val="1"/>
    <w:next w:val="1"/>
    <w:qFormat/>
    <w:uiPriority w:val="0"/>
    <w:pPr>
      <w:ind w:left="1680" w:hanging="210"/>
      <w:jc w:val="left"/>
    </w:pPr>
    <w:rPr>
      <w:rFonts w:ascii="Times New Roman" w:hAnsi="Times New Roman"/>
      <w:sz w:val="18"/>
      <w:szCs w:val="18"/>
    </w:rPr>
  </w:style>
  <w:style w:type="paragraph" w:styleId="20">
    <w:name w:val="E-mail Signature"/>
    <w:basedOn w:val="1"/>
    <w:link w:val="118"/>
    <w:qFormat/>
    <w:uiPriority w:val="0"/>
  </w:style>
  <w:style w:type="paragraph" w:styleId="21">
    <w:name w:val="List Number"/>
    <w:basedOn w:val="1"/>
    <w:qFormat/>
    <w:uiPriority w:val="0"/>
    <w:pPr>
      <w:tabs>
        <w:tab w:val="left" w:pos="360"/>
      </w:tabs>
      <w:ind w:left="360" w:hanging="360"/>
    </w:pPr>
    <w:rPr>
      <w:rFonts w:ascii="Times New Roman" w:hAnsi="Times New Roman"/>
      <w:sz w:val="28"/>
      <w:szCs w:val="24"/>
    </w:rPr>
  </w:style>
  <w:style w:type="paragraph" w:styleId="22">
    <w:name w:val="caption"/>
    <w:basedOn w:val="1"/>
    <w:next w:val="1"/>
    <w:link w:val="120"/>
    <w:qFormat/>
    <w:uiPriority w:val="0"/>
    <w:pPr>
      <w:spacing w:before="152" w:after="160" w:line="440" w:lineRule="exact"/>
    </w:pPr>
    <w:rPr>
      <w:rFonts w:ascii="Arial" w:hAnsi="Arial" w:eastAsia="黑体" w:cs="Arial"/>
    </w:rPr>
  </w:style>
  <w:style w:type="paragraph" w:styleId="23">
    <w:name w:val="index 5"/>
    <w:basedOn w:val="1"/>
    <w:next w:val="1"/>
    <w:qFormat/>
    <w:uiPriority w:val="0"/>
    <w:pPr>
      <w:ind w:left="1050" w:hanging="210"/>
      <w:jc w:val="left"/>
    </w:pPr>
    <w:rPr>
      <w:rFonts w:ascii="Times New Roman" w:hAnsi="Times New Roman"/>
      <w:sz w:val="18"/>
      <w:szCs w:val="18"/>
    </w:rPr>
  </w:style>
  <w:style w:type="paragraph" w:styleId="24">
    <w:name w:val="List Bullet"/>
    <w:basedOn w:val="1"/>
    <w:qFormat/>
    <w:uiPriority w:val="0"/>
    <w:pPr>
      <w:tabs>
        <w:tab w:val="left" w:pos="425"/>
      </w:tabs>
      <w:ind w:left="425" w:hanging="425"/>
    </w:pPr>
    <w:rPr>
      <w:rFonts w:ascii="Times New Roman" w:hAnsi="Times New Roman"/>
      <w:sz w:val="28"/>
      <w:szCs w:val="20"/>
    </w:rPr>
  </w:style>
  <w:style w:type="paragraph" w:styleId="25">
    <w:name w:val="envelope address"/>
    <w:basedOn w:val="1"/>
    <w:qFormat/>
    <w:uiPriority w:val="0"/>
    <w:pPr>
      <w:snapToGrid w:val="0"/>
      <w:spacing w:line="360" w:lineRule="auto"/>
      <w:ind w:left="2880"/>
    </w:pPr>
    <w:rPr>
      <w:rFonts w:ascii="Arial" w:hAnsi="Arial"/>
      <w:sz w:val="24"/>
      <w:szCs w:val="28"/>
    </w:rPr>
  </w:style>
  <w:style w:type="paragraph" w:styleId="26">
    <w:name w:val="Document Map"/>
    <w:basedOn w:val="1"/>
    <w:link w:val="121"/>
    <w:qFormat/>
    <w:uiPriority w:val="0"/>
    <w:pPr>
      <w:shd w:val="clear" w:color="auto" w:fill="000080"/>
      <w:spacing w:line="440" w:lineRule="exact"/>
    </w:pPr>
    <w:rPr>
      <w:sz w:val="24"/>
      <w:szCs w:val="24"/>
    </w:rPr>
  </w:style>
  <w:style w:type="paragraph" w:styleId="27">
    <w:name w:val="toa heading"/>
    <w:basedOn w:val="1"/>
    <w:next w:val="1"/>
    <w:qFormat/>
    <w:uiPriority w:val="0"/>
    <w:pPr>
      <w:spacing w:before="120"/>
    </w:pPr>
    <w:rPr>
      <w:rFonts w:ascii="Arial" w:hAnsi="Arial" w:cs="Arial"/>
      <w:bCs/>
      <w:sz w:val="24"/>
      <w:szCs w:val="24"/>
    </w:rPr>
  </w:style>
  <w:style w:type="paragraph" w:styleId="28">
    <w:name w:val="annotation text"/>
    <w:basedOn w:val="1"/>
    <w:link w:val="122"/>
    <w:unhideWhenUsed/>
    <w:qFormat/>
    <w:uiPriority w:val="99"/>
    <w:pPr>
      <w:jc w:val="left"/>
    </w:pPr>
  </w:style>
  <w:style w:type="paragraph" w:styleId="29">
    <w:name w:val="index 6"/>
    <w:basedOn w:val="1"/>
    <w:next w:val="1"/>
    <w:qFormat/>
    <w:uiPriority w:val="0"/>
    <w:pPr>
      <w:ind w:left="1260" w:hanging="210"/>
      <w:jc w:val="left"/>
    </w:pPr>
    <w:rPr>
      <w:rFonts w:ascii="Times New Roman" w:hAnsi="Times New Roman"/>
      <w:sz w:val="18"/>
      <w:szCs w:val="18"/>
    </w:rPr>
  </w:style>
  <w:style w:type="paragraph" w:styleId="30">
    <w:name w:val="Salutation"/>
    <w:basedOn w:val="1"/>
    <w:next w:val="1"/>
    <w:link w:val="123"/>
    <w:qFormat/>
    <w:uiPriority w:val="0"/>
    <w:rPr>
      <w:rFonts w:ascii="Times New Roman" w:hAnsi="Times New Roman"/>
      <w:szCs w:val="24"/>
    </w:rPr>
  </w:style>
  <w:style w:type="paragraph" w:styleId="31">
    <w:name w:val="Body Text 3"/>
    <w:basedOn w:val="1"/>
    <w:link w:val="124"/>
    <w:qFormat/>
    <w:uiPriority w:val="0"/>
    <w:pPr>
      <w:spacing w:after="120"/>
    </w:pPr>
    <w:rPr>
      <w:sz w:val="16"/>
      <w:szCs w:val="16"/>
    </w:rPr>
  </w:style>
  <w:style w:type="paragraph" w:styleId="32">
    <w:name w:val="Closing"/>
    <w:basedOn w:val="1"/>
    <w:link w:val="125"/>
    <w:qFormat/>
    <w:uiPriority w:val="0"/>
    <w:pPr>
      <w:ind w:left="100" w:leftChars="2100"/>
    </w:pPr>
  </w:style>
  <w:style w:type="paragraph" w:styleId="33">
    <w:name w:val="List Bullet 3"/>
    <w:basedOn w:val="1"/>
    <w:qFormat/>
    <w:uiPriority w:val="0"/>
    <w:pPr>
      <w:tabs>
        <w:tab w:val="left" w:pos="425"/>
        <w:tab w:val="left" w:pos="1200"/>
      </w:tabs>
      <w:ind w:left="425" w:hanging="425"/>
    </w:pPr>
    <w:rPr>
      <w:rFonts w:ascii="Times New Roman" w:hAnsi="Times New Roman"/>
      <w:spacing w:val="-2"/>
      <w:kern w:val="0"/>
      <w:sz w:val="28"/>
      <w:szCs w:val="20"/>
    </w:rPr>
  </w:style>
  <w:style w:type="paragraph" w:styleId="34">
    <w:name w:val="Body Text"/>
    <w:basedOn w:val="1"/>
    <w:link w:val="126"/>
    <w:qFormat/>
    <w:uiPriority w:val="99"/>
    <w:pPr>
      <w:spacing w:after="120"/>
    </w:pPr>
  </w:style>
  <w:style w:type="paragraph" w:styleId="35">
    <w:name w:val="Body Text Indent"/>
    <w:basedOn w:val="1"/>
    <w:link w:val="127"/>
    <w:qFormat/>
    <w:uiPriority w:val="0"/>
    <w:pPr>
      <w:spacing w:line="480" w:lineRule="exact"/>
      <w:ind w:firstLine="480" w:firstLineChars="200"/>
    </w:pPr>
    <w:rPr>
      <w:rFonts w:ascii="宋体" w:hAnsi="宋体"/>
      <w:sz w:val="24"/>
      <w:szCs w:val="24"/>
    </w:rPr>
  </w:style>
  <w:style w:type="paragraph" w:styleId="36">
    <w:name w:val="List Number 3"/>
    <w:basedOn w:val="1"/>
    <w:qFormat/>
    <w:uiPriority w:val="0"/>
    <w:pPr>
      <w:tabs>
        <w:tab w:val="left" w:pos="840"/>
        <w:tab w:val="left" w:pos="1200"/>
      </w:tabs>
      <w:ind w:left="840" w:hanging="360"/>
    </w:pPr>
    <w:rPr>
      <w:rFonts w:ascii="Times New Roman" w:hAnsi="Times New Roman"/>
      <w:szCs w:val="20"/>
    </w:rPr>
  </w:style>
  <w:style w:type="paragraph" w:styleId="37">
    <w:name w:val="List 2"/>
    <w:basedOn w:val="1"/>
    <w:qFormat/>
    <w:uiPriority w:val="0"/>
    <w:pPr>
      <w:spacing w:line="440" w:lineRule="exact"/>
      <w:ind w:left="100" w:leftChars="200" w:hanging="200" w:hangingChars="200"/>
    </w:pPr>
    <w:rPr>
      <w:rFonts w:ascii="Times New Roman" w:hAnsi="Times New Roman"/>
      <w:sz w:val="24"/>
      <w:szCs w:val="24"/>
    </w:rPr>
  </w:style>
  <w:style w:type="paragraph" w:styleId="38">
    <w:name w:val="List Continue"/>
    <w:basedOn w:val="1"/>
    <w:qFormat/>
    <w:uiPriority w:val="0"/>
    <w:pPr>
      <w:spacing w:after="120"/>
      <w:ind w:left="420" w:leftChars="200"/>
    </w:pPr>
    <w:rPr>
      <w:rFonts w:ascii="Times New Roman" w:hAnsi="Times New Roman"/>
      <w:spacing w:val="-2"/>
      <w:kern w:val="0"/>
      <w:sz w:val="28"/>
      <w:szCs w:val="20"/>
    </w:rPr>
  </w:style>
  <w:style w:type="paragraph" w:styleId="39">
    <w:name w:val="Block Text"/>
    <w:basedOn w:val="1"/>
    <w:qFormat/>
    <w:uiPriority w:val="0"/>
    <w:pPr>
      <w:spacing w:after="120"/>
      <w:ind w:left="1440" w:leftChars="700" w:right="1440" w:rightChars="700"/>
    </w:pPr>
    <w:rPr>
      <w:rFonts w:ascii="Times New Roman" w:hAnsi="Times New Roman"/>
      <w:sz w:val="28"/>
      <w:szCs w:val="20"/>
    </w:rPr>
  </w:style>
  <w:style w:type="paragraph" w:styleId="40">
    <w:name w:val="List Bullet 2"/>
    <w:basedOn w:val="1"/>
    <w:qFormat/>
    <w:uiPriority w:val="0"/>
    <w:pPr>
      <w:tabs>
        <w:tab w:val="left" w:pos="360"/>
      </w:tabs>
      <w:adjustRightInd w:val="0"/>
      <w:ind w:left="360" w:hanging="360"/>
      <w:jc w:val="left"/>
    </w:pPr>
    <w:rPr>
      <w:rFonts w:ascii="MS Sans Serif" w:hAnsi="MS Sans Serif" w:eastAsia="Times New Roman"/>
      <w:kern w:val="0"/>
      <w:sz w:val="28"/>
      <w:szCs w:val="20"/>
    </w:rPr>
  </w:style>
  <w:style w:type="paragraph" w:styleId="41">
    <w:name w:val="HTML Address"/>
    <w:basedOn w:val="1"/>
    <w:link w:val="128"/>
    <w:qFormat/>
    <w:uiPriority w:val="0"/>
    <w:rPr>
      <w:i/>
      <w:iCs/>
    </w:rPr>
  </w:style>
  <w:style w:type="paragraph" w:styleId="42">
    <w:name w:val="index 4"/>
    <w:basedOn w:val="1"/>
    <w:next w:val="1"/>
    <w:qFormat/>
    <w:uiPriority w:val="0"/>
    <w:pPr>
      <w:ind w:left="840" w:hanging="210"/>
      <w:jc w:val="left"/>
    </w:pPr>
    <w:rPr>
      <w:rFonts w:ascii="Times New Roman" w:hAnsi="Times New Roman"/>
      <w:sz w:val="18"/>
      <w:szCs w:val="18"/>
    </w:rPr>
  </w:style>
  <w:style w:type="paragraph" w:styleId="43">
    <w:name w:val="toc 5"/>
    <w:basedOn w:val="1"/>
    <w:next w:val="1"/>
    <w:qFormat/>
    <w:uiPriority w:val="39"/>
    <w:pPr>
      <w:ind w:left="840"/>
      <w:jc w:val="left"/>
    </w:pPr>
    <w:rPr>
      <w:rFonts w:ascii="Times New Roman" w:hAnsi="Times New Roman"/>
      <w:sz w:val="18"/>
      <w:szCs w:val="18"/>
    </w:rPr>
  </w:style>
  <w:style w:type="paragraph" w:styleId="44">
    <w:name w:val="toc 3"/>
    <w:basedOn w:val="1"/>
    <w:next w:val="1"/>
    <w:qFormat/>
    <w:uiPriority w:val="39"/>
    <w:pPr>
      <w:ind w:left="420"/>
      <w:jc w:val="left"/>
    </w:pPr>
    <w:rPr>
      <w:rFonts w:ascii="Times New Roman" w:hAnsi="Times New Roman"/>
      <w:i/>
      <w:iCs/>
      <w:sz w:val="20"/>
      <w:szCs w:val="20"/>
    </w:rPr>
  </w:style>
  <w:style w:type="paragraph" w:styleId="45">
    <w:name w:val="Plain Text"/>
    <w:basedOn w:val="1"/>
    <w:link w:val="129"/>
    <w:qFormat/>
    <w:uiPriority w:val="0"/>
    <w:rPr>
      <w:rFonts w:ascii="宋体" w:hAnsi="Courier New"/>
    </w:rPr>
  </w:style>
  <w:style w:type="paragraph" w:styleId="46">
    <w:name w:val="List Bullet 5"/>
    <w:basedOn w:val="1"/>
    <w:qFormat/>
    <w:uiPriority w:val="0"/>
    <w:pPr>
      <w:tabs>
        <w:tab w:val="left" w:pos="840"/>
        <w:tab w:val="left" w:pos="2040"/>
      </w:tabs>
      <w:ind w:left="840" w:hanging="360"/>
    </w:pPr>
    <w:rPr>
      <w:rFonts w:ascii="Times New Roman" w:hAnsi="Times New Roman"/>
      <w:szCs w:val="20"/>
    </w:rPr>
  </w:style>
  <w:style w:type="paragraph" w:styleId="47">
    <w:name w:val="List Number 4"/>
    <w:basedOn w:val="1"/>
    <w:qFormat/>
    <w:uiPriority w:val="0"/>
    <w:pPr>
      <w:tabs>
        <w:tab w:val="left" w:pos="1620"/>
      </w:tabs>
      <w:ind w:left="1620" w:hanging="360"/>
    </w:pPr>
    <w:rPr>
      <w:rFonts w:ascii="Times New Roman" w:hAnsi="Times New Roman"/>
      <w:szCs w:val="20"/>
    </w:rPr>
  </w:style>
  <w:style w:type="paragraph" w:styleId="48">
    <w:name w:val="toc 8"/>
    <w:basedOn w:val="1"/>
    <w:next w:val="1"/>
    <w:qFormat/>
    <w:uiPriority w:val="39"/>
    <w:pPr>
      <w:ind w:left="1470"/>
      <w:jc w:val="left"/>
    </w:pPr>
    <w:rPr>
      <w:rFonts w:ascii="Times New Roman" w:hAnsi="Times New Roman"/>
      <w:sz w:val="18"/>
      <w:szCs w:val="18"/>
    </w:rPr>
  </w:style>
  <w:style w:type="paragraph" w:styleId="49">
    <w:name w:val="index 3"/>
    <w:basedOn w:val="1"/>
    <w:next w:val="1"/>
    <w:qFormat/>
    <w:uiPriority w:val="0"/>
    <w:pPr>
      <w:ind w:left="630" w:hanging="210"/>
      <w:jc w:val="left"/>
    </w:pPr>
    <w:rPr>
      <w:rFonts w:ascii="Times New Roman" w:hAnsi="Times New Roman"/>
      <w:sz w:val="18"/>
      <w:szCs w:val="18"/>
    </w:rPr>
  </w:style>
  <w:style w:type="paragraph" w:styleId="50">
    <w:name w:val="Date"/>
    <w:basedOn w:val="1"/>
    <w:next w:val="1"/>
    <w:link w:val="130"/>
    <w:qFormat/>
    <w:uiPriority w:val="99"/>
    <w:pPr>
      <w:ind w:left="100" w:leftChars="2500"/>
    </w:pPr>
    <w:rPr>
      <w:szCs w:val="24"/>
    </w:rPr>
  </w:style>
  <w:style w:type="paragraph" w:styleId="51">
    <w:name w:val="Body Text Indent 2"/>
    <w:basedOn w:val="1"/>
    <w:link w:val="131"/>
    <w:qFormat/>
    <w:uiPriority w:val="0"/>
    <w:pPr>
      <w:spacing w:after="120" w:line="480" w:lineRule="auto"/>
      <w:ind w:left="420" w:leftChars="200"/>
    </w:pPr>
    <w:rPr>
      <w:szCs w:val="24"/>
    </w:rPr>
  </w:style>
  <w:style w:type="paragraph" w:styleId="52">
    <w:name w:val="endnote text"/>
    <w:basedOn w:val="1"/>
    <w:link w:val="132"/>
    <w:unhideWhenUsed/>
    <w:qFormat/>
    <w:uiPriority w:val="0"/>
    <w:pPr>
      <w:snapToGrid w:val="0"/>
      <w:jc w:val="left"/>
    </w:pPr>
    <w:rPr>
      <w:rFonts w:ascii="Arial" w:hAnsi="Arial" w:eastAsia="黑体"/>
      <w:b/>
      <w:bCs/>
      <w:sz w:val="28"/>
      <w:szCs w:val="28"/>
    </w:rPr>
  </w:style>
  <w:style w:type="paragraph" w:styleId="53">
    <w:name w:val="List Continue 5"/>
    <w:basedOn w:val="1"/>
    <w:qFormat/>
    <w:uiPriority w:val="0"/>
    <w:pPr>
      <w:spacing w:after="120" w:line="440" w:lineRule="exact"/>
      <w:ind w:left="2100" w:leftChars="1000"/>
    </w:pPr>
    <w:rPr>
      <w:rFonts w:ascii="Times New Roman" w:hAnsi="Times New Roman"/>
      <w:sz w:val="24"/>
      <w:szCs w:val="24"/>
    </w:rPr>
  </w:style>
  <w:style w:type="paragraph" w:styleId="54">
    <w:name w:val="Balloon Text"/>
    <w:basedOn w:val="1"/>
    <w:link w:val="133"/>
    <w:qFormat/>
    <w:uiPriority w:val="99"/>
    <w:rPr>
      <w:rFonts w:ascii="Times New Roman" w:hAnsi="Times New Roman"/>
      <w:sz w:val="18"/>
      <w:szCs w:val="18"/>
    </w:rPr>
  </w:style>
  <w:style w:type="paragraph" w:styleId="55">
    <w:name w:val="footer"/>
    <w:basedOn w:val="1"/>
    <w:link w:val="134"/>
    <w:unhideWhenUsed/>
    <w:qFormat/>
    <w:uiPriority w:val="99"/>
    <w:pPr>
      <w:tabs>
        <w:tab w:val="center" w:pos="4153"/>
        <w:tab w:val="right" w:pos="8306"/>
      </w:tabs>
      <w:snapToGrid w:val="0"/>
      <w:jc w:val="left"/>
    </w:pPr>
    <w:rPr>
      <w:sz w:val="18"/>
      <w:szCs w:val="18"/>
    </w:rPr>
  </w:style>
  <w:style w:type="paragraph" w:styleId="56">
    <w:name w:val="envelope return"/>
    <w:basedOn w:val="1"/>
    <w:qFormat/>
    <w:uiPriority w:val="0"/>
    <w:pPr>
      <w:widowControl/>
      <w:spacing w:line="360" w:lineRule="auto"/>
      <w:jc w:val="left"/>
    </w:pPr>
    <w:rPr>
      <w:rFonts w:ascii="Arial" w:hAnsi="Arial"/>
      <w:sz w:val="24"/>
      <w:szCs w:val="28"/>
    </w:rPr>
  </w:style>
  <w:style w:type="paragraph" w:styleId="57">
    <w:name w:val="header"/>
    <w:basedOn w:val="1"/>
    <w:link w:val="135"/>
    <w:unhideWhenUsed/>
    <w:qFormat/>
    <w:uiPriority w:val="99"/>
    <w:pPr>
      <w:pBdr>
        <w:bottom w:val="single" w:color="auto" w:sz="6" w:space="1"/>
      </w:pBdr>
      <w:tabs>
        <w:tab w:val="center" w:pos="4153"/>
        <w:tab w:val="right" w:pos="8306"/>
      </w:tabs>
      <w:snapToGrid w:val="0"/>
      <w:jc w:val="center"/>
    </w:pPr>
    <w:rPr>
      <w:sz w:val="18"/>
      <w:szCs w:val="18"/>
    </w:rPr>
  </w:style>
  <w:style w:type="paragraph" w:styleId="58">
    <w:name w:val="Signature"/>
    <w:basedOn w:val="1"/>
    <w:link w:val="136"/>
    <w:qFormat/>
    <w:uiPriority w:val="0"/>
    <w:pPr>
      <w:ind w:left="100" w:leftChars="2100"/>
    </w:pPr>
  </w:style>
  <w:style w:type="paragraph" w:styleId="59">
    <w:name w:val="toc 1"/>
    <w:basedOn w:val="1"/>
    <w:next w:val="1"/>
    <w:qFormat/>
    <w:uiPriority w:val="39"/>
    <w:pPr>
      <w:tabs>
        <w:tab w:val="left" w:pos="420"/>
        <w:tab w:val="right" w:leader="dot" w:pos="9060"/>
      </w:tabs>
      <w:spacing w:before="120" w:after="120" w:line="360" w:lineRule="auto"/>
      <w:jc w:val="center"/>
    </w:pPr>
    <w:rPr>
      <w:rFonts w:ascii="Times New Roman" w:hAnsi="Times New Roman"/>
      <w:b/>
      <w:bCs/>
      <w:caps/>
      <w:snapToGrid w:val="0"/>
      <w:kern w:val="0"/>
      <w:sz w:val="30"/>
      <w:szCs w:val="30"/>
    </w:rPr>
  </w:style>
  <w:style w:type="paragraph" w:styleId="60">
    <w:name w:val="List Continue 4"/>
    <w:basedOn w:val="1"/>
    <w:qFormat/>
    <w:uiPriority w:val="0"/>
    <w:pPr>
      <w:spacing w:after="120" w:line="440" w:lineRule="exact"/>
      <w:ind w:left="1680" w:leftChars="800"/>
    </w:pPr>
    <w:rPr>
      <w:rFonts w:ascii="Times New Roman" w:hAnsi="Times New Roman"/>
      <w:sz w:val="24"/>
      <w:szCs w:val="24"/>
    </w:rPr>
  </w:style>
  <w:style w:type="paragraph" w:styleId="61">
    <w:name w:val="toc 4"/>
    <w:basedOn w:val="1"/>
    <w:next w:val="1"/>
    <w:qFormat/>
    <w:uiPriority w:val="39"/>
    <w:pPr>
      <w:ind w:left="630"/>
      <w:jc w:val="left"/>
    </w:pPr>
    <w:rPr>
      <w:rFonts w:ascii="Times New Roman" w:hAnsi="Times New Roman"/>
      <w:sz w:val="18"/>
      <w:szCs w:val="18"/>
    </w:rPr>
  </w:style>
  <w:style w:type="paragraph" w:styleId="62">
    <w:name w:val="index heading"/>
    <w:basedOn w:val="1"/>
    <w:next w:val="63"/>
    <w:qFormat/>
    <w:uiPriority w:val="0"/>
    <w:rPr>
      <w:rFonts w:ascii="Times New Roman" w:hAnsi="Times New Roman"/>
      <w:w w:val="90"/>
      <w:sz w:val="28"/>
      <w:szCs w:val="24"/>
    </w:rPr>
  </w:style>
  <w:style w:type="paragraph" w:styleId="63">
    <w:name w:val="index 1"/>
    <w:basedOn w:val="1"/>
    <w:next w:val="1"/>
    <w:unhideWhenUsed/>
    <w:qFormat/>
    <w:uiPriority w:val="0"/>
  </w:style>
  <w:style w:type="paragraph" w:styleId="64">
    <w:name w:val="Subtitle"/>
    <w:basedOn w:val="1"/>
    <w:next w:val="1"/>
    <w:link w:val="137"/>
    <w:qFormat/>
    <w:uiPriority w:val="11"/>
    <w:pPr>
      <w:spacing w:before="240" w:after="60" w:line="312" w:lineRule="auto"/>
      <w:jc w:val="center"/>
      <w:outlineLvl w:val="1"/>
    </w:pPr>
    <w:rPr>
      <w:rFonts w:ascii="Arial" w:hAnsi="Arial" w:eastAsia="黑体"/>
      <w:b/>
      <w:bCs/>
      <w:sz w:val="28"/>
      <w:szCs w:val="28"/>
    </w:rPr>
  </w:style>
  <w:style w:type="paragraph" w:styleId="65">
    <w:name w:val="List Number 5"/>
    <w:basedOn w:val="1"/>
    <w:qFormat/>
    <w:uiPriority w:val="0"/>
    <w:pPr>
      <w:tabs>
        <w:tab w:val="left" w:pos="840"/>
        <w:tab w:val="left" w:pos="2040"/>
      </w:tabs>
      <w:ind w:left="840" w:hanging="360"/>
    </w:pPr>
    <w:rPr>
      <w:rFonts w:ascii="Times New Roman" w:hAnsi="Times New Roman"/>
      <w:szCs w:val="20"/>
    </w:rPr>
  </w:style>
  <w:style w:type="paragraph" w:styleId="66">
    <w:name w:val="List"/>
    <w:basedOn w:val="1"/>
    <w:qFormat/>
    <w:uiPriority w:val="0"/>
    <w:pPr>
      <w:widowControl/>
      <w:spacing w:line="307" w:lineRule="auto"/>
      <w:ind w:left="420" w:hanging="420"/>
    </w:pPr>
    <w:rPr>
      <w:rFonts w:ascii="Times New Roman" w:hAnsi="Times New Roman"/>
      <w:sz w:val="28"/>
      <w:szCs w:val="20"/>
    </w:rPr>
  </w:style>
  <w:style w:type="paragraph" w:styleId="67">
    <w:name w:val="footnote text"/>
    <w:basedOn w:val="1"/>
    <w:link w:val="138"/>
    <w:qFormat/>
    <w:uiPriority w:val="0"/>
    <w:pPr>
      <w:snapToGrid w:val="0"/>
      <w:jc w:val="left"/>
    </w:pPr>
    <w:rPr>
      <w:rFonts w:ascii="宋体" w:hAnsi="宋体"/>
      <w:sz w:val="18"/>
      <w:szCs w:val="18"/>
    </w:rPr>
  </w:style>
  <w:style w:type="paragraph" w:styleId="68">
    <w:name w:val="toc 6"/>
    <w:basedOn w:val="1"/>
    <w:next w:val="1"/>
    <w:qFormat/>
    <w:uiPriority w:val="39"/>
    <w:pPr>
      <w:ind w:left="1050"/>
      <w:jc w:val="left"/>
    </w:pPr>
    <w:rPr>
      <w:rFonts w:ascii="Times New Roman" w:hAnsi="Times New Roman"/>
      <w:sz w:val="18"/>
      <w:szCs w:val="18"/>
    </w:rPr>
  </w:style>
  <w:style w:type="paragraph" w:styleId="69">
    <w:name w:val="List 5"/>
    <w:basedOn w:val="1"/>
    <w:qFormat/>
    <w:uiPriority w:val="0"/>
    <w:pPr>
      <w:spacing w:line="440" w:lineRule="exact"/>
      <w:ind w:left="100" w:leftChars="800" w:hanging="200" w:hangingChars="200"/>
    </w:pPr>
    <w:rPr>
      <w:rFonts w:ascii="Times New Roman" w:hAnsi="Times New Roman"/>
      <w:sz w:val="24"/>
      <w:szCs w:val="24"/>
    </w:rPr>
  </w:style>
  <w:style w:type="paragraph" w:styleId="70">
    <w:name w:val="Body Text Indent 3"/>
    <w:basedOn w:val="1"/>
    <w:link w:val="139"/>
    <w:qFormat/>
    <w:uiPriority w:val="0"/>
    <w:pPr>
      <w:spacing w:line="360" w:lineRule="auto"/>
      <w:ind w:firstLine="420"/>
    </w:pPr>
    <w:rPr>
      <w:sz w:val="24"/>
    </w:rPr>
  </w:style>
  <w:style w:type="paragraph" w:styleId="71">
    <w:name w:val="index 7"/>
    <w:basedOn w:val="1"/>
    <w:next w:val="1"/>
    <w:qFormat/>
    <w:uiPriority w:val="0"/>
    <w:pPr>
      <w:ind w:left="1470" w:hanging="210"/>
      <w:jc w:val="left"/>
    </w:pPr>
    <w:rPr>
      <w:rFonts w:ascii="Times New Roman" w:hAnsi="Times New Roman"/>
      <w:sz w:val="18"/>
      <w:szCs w:val="18"/>
    </w:rPr>
  </w:style>
  <w:style w:type="paragraph" w:styleId="72">
    <w:name w:val="index 9"/>
    <w:basedOn w:val="1"/>
    <w:next w:val="1"/>
    <w:qFormat/>
    <w:uiPriority w:val="0"/>
    <w:pPr>
      <w:ind w:left="1890" w:hanging="210"/>
      <w:jc w:val="left"/>
    </w:pPr>
    <w:rPr>
      <w:rFonts w:ascii="Times New Roman" w:hAnsi="Times New Roman"/>
      <w:sz w:val="18"/>
      <w:szCs w:val="18"/>
    </w:rPr>
  </w:style>
  <w:style w:type="paragraph" w:styleId="73">
    <w:name w:val="table of figures"/>
    <w:basedOn w:val="1"/>
    <w:next w:val="1"/>
    <w:qFormat/>
    <w:uiPriority w:val="0"/>
    <w:pPr>
      <w:ind w:left="200" w:leftChars="200" w:hanging="200" w:hangingChars="200"/>
    </w:pPr>
    <w:rPr>
      <w:rFonts w:ascii="Times New Roman" w:hAnsi="Times New Roman"/>
      <w:szCs w:val="20"/>
    </w:rPr>
  </w:style>
  <w:style w:type="paragraph" w:styleId="74">
    <w:name w:val="toc 2"/>
    <w:basedOn w:val="1"/>
    <w:next w:val="1"/>
    <w:qFormat/>
    <w:uiPriority w:val="39"/>
    <w:pPr>
      <w:ind w:left="210"/>
      <w:jc w:val="left"/>
    </w:pPr>
    <w:rPr>
      <w:rFonts w:ascii="Times New Roman" w:hAnsi="Times New Roman"/>
      <w:smallCaps/>
      <w:sz w:val="24"/>
      <w:szCs w:val="20"/>
    </w:rPr>
  </w:style>
  <w:style w:type="paragraph" w:styleId="75">
    <w:name w:val="toc 9"/>
    <w:basedOn w:val="1"/>
    <w:next w:val="1"/>
    <w:qFormat/>
    <w:uiPriority w:val="39"/>
    <w:pPr>
      <w:ind w:left="1680"/>
      <w:jc w:val="left"/>
    </w:pPr>
    <w:rPr>
      <w:rFonts w:ascii="Times New Roman" w:hAnsi="Times New Roman"/>
      <w:sz w:val="18"/>
      <w:szCs w:val="18"/>
    </w:rPr>
  </w:style>
  <w:style w:type="paragraph" w:styleId="76">
    <w:name w:val="Body Text 2"/>
    <w:basedOn w:val="1"/>
    <w:link w:val="140"/>
    <w:qFormat/>
    <w:uiPriority w:val="0"/>
    <w:pPr>
      <w:jc w:val="center"/>
    </w:pPr>
    <w:rPr>
      <w:sz w:val="24"/>
    </w:rPr>
  </w:style>
  <w:style w:type="paragraph" w:styleId="77">
    <w:name w:val="List 4"/>
    <w:basedOn w:val="1"/>
    <w:qFormat/>
    <w:uiPriority w:val="0"/>
    <w:pPr>
      <w:spacing w:line="440" w:lineRule="exact"/>
      <w:ind w:left="100" w:leftChars="600" w:hanging="200" w:hangingChars="200"/>
    </w:pPr>
    <w:rPr>
      <w:rFonts w:ascii="Times New Roman" w:hAnsi="Times New Roman"/>
      <w:sz w:val="24"/>
      <w:szCs w:val="24"/>
    </w:rPr>
  </w:style>
  <w:style w:type="paragraph" w:styleId="78">
    <w:name w:val="List Continue 2"/>
    <w:basedOn w:val="1"/>
    <w:qFormat/>
    <w:uiPriority w:val="0"/>
    <w:pPr>
      <w:spacing w:after="120" w:line="440" w:lineRule="exact"/>
      <w:ind w:left="840" w:leftChars="400"/>
    </w:pPr>
    <w:rPr>
      <w:rFonts w:ascii="Times New Roman" w:hAnsi="Times New Roman"/>
      <w:sz w:val="24"/>
      <w:szCs w:val="24"/>
    </w:rPr>
  </w:style>
  <w:style w:type="paragraph" w:styleId="79">
    <w:name w:val="Message Header"/>
    <w:basedOn w:val="34"/>
    <w:link w:val="141"/>
    <w:qFormat/>
    <w:uiPriority w:val="0"/>
    <w:pPr>
      <w:keepLines/>
      <w:widowControl/>
      <w:tabs>
        <w:tab w:val="left" w:pos="720"/>
        <w:tab w:val="left" w:pos="4320"/>
        <w:tab w:val="left" w:pos="5040"/>
        <w:tab w:val="right" w:pos="8640"/>
      </w:tabs>
      <w:spacing w:after="40" w:line="440" w:lineRule="atLeast"/>
      <w:jc w:val="left"/>
    </w:pPr>
    <w:rPr>
      <w:rFonts w:ascii="Arial" w:hAnsi="Arial"/>
      <w:spacing w:val="-5"/>
      <w:kern w:val="0"/>
      <w:sz w:val="20"/>
    </w:rPr>
  </w:style>
  <w:style w:type="paragraph" w:styleId="80">
    <w:name w:val="HTML Preformatted"/>
    <w:basedOn w:val="1"/>
    <w:link w:val="14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81">
    <w:name w:val="Normal (Web)"/>
    <w:basedOn w:val="1"/>
    <w:link w:val="143"/>
    <w:qFormat/>
    <w:uiPriority w:val="0"/>
    <w:pPr>
      <w:widowControl/>
      <w:spacing w:before="100" w:beforeAutospacing="1" w:after="100" w:afterAutospacing="1"/>
      <w:jc w:val="left"/>
    </w:pPr>
    <w:rPr>
      <w:rFonts w:ascii="宋体" w:hAnsi="宋体" w:cs="宋体"/>
      <w:kern w:val="0"/>
      <w:sz w:val="24"/>
      <w:szCs w:val="24"/>
    </w:rPr>
  </w:style>
  <w:style w:type="paragraph" w:styleId="82">
    <w:name w:val="List Continue 3"/>
    <w:basedOn w:val="1"/>
    <w:qFormat/>
    <w:uiPriority w:val="0"/>
    <w:pPr>
      <w:spacing w:after="120"/>
      <w:ind w:left="1260" w:leftChars="600"/>
    </w:pPr>
    <w:rPr>
      <w:rFonts w:ascii="Times New Roman" w:hAnsi="Times New Roman"/>
      <w:spacing w:val="-2"/>
      <w:kern w:val="0"/>
      <w:sz w:val="28"/>
      <w:szCs w:val="20"/>
    </w:rPr>
  </w:style>
  <w:style w:type="paragraph" w:styleId="83">
    <w:name w:val="index 2"/>
    <w:basedOn w:val="1"/>
    <w:next w:val="1"/>
    <w:qFormat/>
    <w:uiPriority w:val="0"/>
    <w:pPr>
      <w:ind w:left="420" w:hanging="210"/>
      <w:jc w:val="left"/>
    </w:pPr>
    <w:rPr>
      <w:rFonts w:ascii="Times New Roman" w:hAnsi="Times New Roman"/>
      <w:sz w:val="18"/>
      <w:szCs w:val="18"/>
    </w:rPr>
  </w:style>
  <w:style w:type="paragraph" w:styleId="84">
    <w:name w:val="Title"/>
    <w:basedOn w:val="1"/>
    <w:link w:val="144"/>
    <w:qFormat/>
    <w:uiPriority w:val="0"/>
    <w:pPr>
      <w:spacing w:line="500" w:lineRule="atLeast"/>
      <w:jc w:val="left"/>
      <w:outlineLvl w:val="0"/>
    </w:pPr>
    <w:rPr>
      <w:rFonts w:ascii="Arial" w:hAnsi="Arial" w:eastAsia="黑体"/>
      <w:sz w:val="36"/>
    </w:rPr>
  </w:style>
  <w:style w:type="paragraph" w:styleId="85">
    <w:name w:val="annotation subject"/>
    <w:basedOn w:val="28"/>
    <w:next w:val="28"/>
    <w:link w:val="145"/>
    <w:qFormat/>
    <w:uiPriority w:val="0"/>
    <w:rPr>
      <w:rFonts w:ascii="Times New Roman" w:hAnsi="Times New Roman"/>
      <w:b/>
      <w:bCs/>
      <w:szCs w:val="24"/>
    </w:rPr>
  </w:style>
  <w:style w:type="paragraph" w:styleId="86">
    <w:name w:val="Body Text First Indent"/>
    <w:basedOn w:val="34"/>
    <w:link w:val="146"/>
    <w:qFormat/>
    <w:uiPriority w:val="0"/>
    <w:pPr>
      <w:spacing w:line="360" w:lineRule="auto"/>
      <w:ind w:firstLine="420" w:firstLineChars="100"/>
    </w:pPr>
    <w:rPr>
      <w:sz w:val="24"/>
      <w:szCs w:val="24"/>
    </w:rPr>
  </w:style>
  <w:style w:type="paragraph" w:styleId="87">
    <w:name w:val="Body Text First Indent 2"/>
    <w:basedOn w:val="35"/>
    <w:link w:val="147"/>
    <w:qFormat/>
    <w:uiPriority w:val="0"/>
    <w:pPr>
      <w:spacing w:after="120" w:line="240" w:lineRule="auto"/>
      <w:ind w:left="420" w:leftChars="200" w:firstLine="420"/>
    </w:pPr>
    <w:rPr>
      <w:rFonts w:ascii="Times New Roman" w:hAnsi="Times New Roman"/>
      <w:sz w:val="21"/>
    </w:rPr>
  </w:style>
  <w:style w:type="table" w:styleId="89">
    <w:name w:val="Table Grid"/>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0">
    <w:name w:val="Table Theme"/>
    <w:basedOn w:val="88"/>
    <w:qFormat/>
    <w:uiPriority w:val="0"/>
    <w:pPr>
      <w:widowControl w:val="0"/>
      <w:autoSpaceDE w:val="0"/>
      <w:autoSpaceDN w:val="0"/>
      <w:adjustRightInd w:val="0"/>
      <w:spacing w:line="360" w:lineRule="auto"/>
      <w:jc w:val="both"/>
      <w:textAlignment w:val="baseline"/>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1">
    <w:name w:val="Table Elegant"/>
    <w:basedOn w:val="8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92">
    <w:name w:val="Table Simple 1"/>
    <w:basedOn w:val="88"/>
    <w:qFormat/>
    <w:uiPriority w:val="0"/>
    <w:pPr>
      <w:widowControl w:val="0"/>
      <w:jc w:val="both"/>
    </w:pPr>
    <w:rPr>
      <w:rFonts w:ascii="Times NewRoman" w:hAnsi="Times NewRoman" w:eastAsia="幼圆" w:cs="Times NewRoman"/>
    </w:rPr>
    <w:tblPr>
      <w:tblBorders>
        <w:top w:val="single" w:color="008000" w:sz="12" w:space="0"/>
        <w:bottom w:val="single" w:color="008000" w:sz="12" w:space="0"/>
      </w:tblBorders>
    </w:tblPr>
    <w:tcPr>
      <w:shd w:val="clear" w:color="auto" w:fill="auto"/>
    </w:tcPr>
    <w:tblStylePr w:type="firstRow">
      <w:tblPr/>
      <w:tcPr>
        <w:tcBorders>
          <w:top w:val="nil"/>
          <w:left w:val="single" w:color="008000" w:sz="6" w:space="0"/>
          <w:bottom w:val="nil"/>
          <w:right w:val="nil"/>
          <w:insideH w:val="nil"/>
          <w:insideV w:val="nil"/>
          <w:tl2br w:val="nil"/>
          <w:tr2bl w:val="nil"/>
        </w:tcBorders>
      </w:tcPr>
    </w:tblStylePr>
    <w:tblStylePr w:type="lastRow">
      <w:tblPr/>
      <w:tcPr>
        <w:tcBorders>
          <w:top w:val="single" w:color="008000" w:sz="6" w:space="0"/>
          <w:left w:val="nil"/>
          <w:bottom w:val="nil"/>
          <w:right w:val="nil"/>
          <w:insideH w:val="nil"/>
          <w:insideV w:val="nil"/>
          <w:tl2br w:val="nil"/>
          <w:tr2bl w:val="nil"/>
        </w:tcBorders>
      </w:tcPr>
    </w:tblStylePr>
  </w:style>
  <w:style w:type="table" w:styleId="93">
    <w:name w:val="Table Grid 1"/>
    <w:basedOn w:val="88"/>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94">
    <w:name w:val="Table Grid 5"/>
    <w:basedOn w:val="88"/>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single" w:color="000000" w:sz="12" w:space="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95">
    <w:name w:val="Table Grid 7"/>
    <w:basedOn w:val="88"/>
    <w:qFormat/>
    <w:uiPriority w:val="0"/>
    <w:pPr>
      <w:widowControl w:val="0"/>
      <w:jc w:val="both"/>
    </w:pPr>
    <w:rPr>
      <w:rFonts w:cs="Calibri"/>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top w:val="nil"/>
          <w:left w:val="nil"/>
          <w:bottom w:val="single" w:color="000000" w:sz="12" w:space="0"/>
          <w:right w:val="nil"/>
          <w:insideH w:val="nil"/>
          <w:insideV w:val="nil"/>
          <w:tl2br w:val="nil"/>
          <w:tr2bl w:val="nil"/>
        </w:tcBorders>
      </w:tcPr>
    </w:tblStylePr>
    <w:tblStylePr w:type="lastRow">
      <w:rPr>
        <w:b w:val="0"/>
        <w:bCs w:val="0"/>
      </w:rPr>
      <w:tblPr/>
      <w:tcPr>
        <w:tcBorders>
          <w:top w:val="single" w:color="00000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96">
    <w:name w:val="Table Professional"/>
    <w:basedOn w:val="88"/>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98">
    <w:name w:val="Strong"/>
    <w:qFormat/>
    <w:uiPriority w:val="22"/>
    <w:rPr>
      <w:rFonts w:ascii="宋体" w:hAnsi="宋体" w:eastAsia="宋体" w:cs="宋体"/>
      <w:b/>
      <w:bCs/>
      <w:kern w:val="2"/>
      <w:sz w:val="24"/>
      <w:szCs w:val="24"/>
      <w:lang w:val="en-US" w:eastAsia="zh-CN" w:bidi="ar-SA"/>
    </w:rPr>
  </w:style>
  <w:style w:type="character" w:styleId="99">
    <w:name w:val="endnote reference"/>
    <w:unhideWhenUsed/>
    <w:qFormat/>
    <w:uiPriority w:val="0"/>
    <w:rPr>
      <w:vertAlign w:val="superscript"/>
    </w:rPr>
  </w:style>
  <w:style w:type="character" w:styleId="100">
    <w:name w:val="page number"/>
    <w:qFormat/>
    <w:uiPriority w:val="0"/>
  </w:style>
  <w:style w:type="character" w:styleId="101">
    <w:name w:val="FollowedHyperlink"/>
    <w:qFormat/>
    <w:uiPriority w:val="99"/>
    <w:rPr>
      <w:rFonts w:ascii="宋体" w:hAnsi="宋体" w:eastAsia="宋体" w:cs="宋体"/>
      <w:color w:val="800080"/>
      <w:kern w:val="2"/>
      <w:sz w:val="24"/>
      <w:szCs w:val="24"/>
      <w:u w:val="single"/>
      <w:lang w:val="en-US" w:eastAsia="zh-CN" w:bidi="ar-SA"/>
    </w:rPr>
  </w:style>
  <w:style w:type="character" w:styleId="102">
    <w:name w:val="Emphasis"/>
    <w:qFormat/>
    <w:uiPriority w:val="20"/>
    <w:rPr>
      <w:i/>
      <w:iCs/>
    </w:rPr>
  </w:style>
  <w:style w:type="character" w:styleId="103">
    <w:name w:val="HTML Typewriter"/>
    <w:qFormat/>
    <w:uiPriority w:val="0"/>
    <w:rPr>
      <w:rFonts w:ascii="黑体" w:hAnsi="Courier New" w:eastAsia="黑体" w:cs="Courier New"/>
      <w:sz w:val="18"/>
      <w:szCs w:val="18"/>
    </w:rPr>
  </w:style>
  <w:style w:type="character" w:styleId="104">
    <w:name w:val="Hyperlink"/>
    <w:qFormat/>
    <w:uiPriority w:val="99"/>
    <w:rPr>
      <w:color w:val="333333"/>
      <w:u w:val="none"/>
    </w:rPr>
  </w:style>
  <w:style w:type="character" w:styleId="105">
    <w:name w:val="annotation reference"/>
    <w:qFormat/>
    <w:uiPriority w:val="99"/>
    <w:rPr>
      <w:rFonts w:ascii="宋体" w:hAnsi="宋体" w:eastAsia="宋体" w:cs="宋体"/>
      <w:kern w:val="2"/>
      <w:sz w:val="21"/>
      <w:szCs w:val="21"/>
      <w:lang w:val="en-US" w:eastAsia="zh-CN" w:bidi="ar-SA"/>
    </w:rPr>
  </w:style>
  <w:style w:type="character" w:styleId="106">
    <w:name w:val="footnote reference"/>
    <w:qFormat/>
    <w:uiPriority w:val="0"/>
    <w:rPr>
      <w:vertAlign w:val="superscript"/>
    </w:rPr>
  </w:style>
  <w:style w:type="character" w:customStyle="1" w:styleId="107">
    <w:name w:val="宏文本 字符"/>
    <w:link w:val="3"/>
    <w:qFormat/>
    <w:uiPriority w:val="0"/>
    <w:rPr>
      <w:rFonts w:ascii="Courier New" w:hAnsi="Courier New" w:cs="Courier New"/>
      <w:sz w:val="24"/>
      <w:szCs w:val="24"/>
    </w:rPr>
  </w:style>
  <w:style w:type="character" w:customStyle="1" w:styleId="108">
    <w:name w:val="标题 1 字符"/>
    <w:link w:val="4"/>
    <w:qFormat/>
    <w:uiPriority w:val="0"/>
    <w:rPr>
      <w:rFonts w:ascii="Times New Roman" w:hAnsi="Times New Roman" w:eastAsia="黑体"/>
      <w:b/>
      <w:bCs/>
      <w:kern w:val="44"/>
      <w:sz w:val="30"/>
      <w:szCs w:val="44"/>
    </w:rPr>
  </w:style>
  <w:style w:type="character" w:customStyle="1" w:styleId="109">
    <w:name w:val="标题 2 字符1"/>
    <w:link w:val="5"/>
    <w:qFormat/>
    <w:uiPriority w:val="0"/>
    <w:rPr>
      <w:rFonts w:ascii="Times New Roman" w:hAnsi="Times New Roman" w:eastAsia="黑体"/>
      <w:b/>
      <w:bCs/>
      <w:kern w:val="2"/>
      <w:sz w:val="28"/>
      <w:szCs w:val="32"/>
    </w:rPr>
  </w:style>
  <w:style w:type="character" w:customStyle="1" w:styleId="110">
    <w:name w:val="标题 3 字符1"/>
    <w:link w:val="6"/>
    <w:qFormat/>
    <w:uiPriority w:val="0"/>
    <w:rPr>
      <w:rFonts w:ascii="Times New Roman" w:hAnsi="Times New Roman" w:eastAsia="黑体"/>
      <w:b/>
      <w:bCs/>
      <w:kern w:val="2"/>
      <w:sz w:val="24"/>
      <w:szCs w:val="32"/>
    </w:rPr>
  </w:style>
  <w:style w:type="character" w:customStyle="1" w:styleId="111">
    <w:name w:val="标题 4 字符1"/>
    <w:link w:val="7"/>
    <w:qFormat/>
    <w:uiPriority w:val="0"/>
    <w:rPr>
      <w:rFonts w:ascii="Times New Roman" w:hAnsi="Times New Roman" w:eastAsia="黑体"/>
      <w:bCs/>
      <w:kern w:val="2"/>
      <w:sz w:val="24"/>
      <w:szCs w:val="28"/>
    </w:rPr>
  </w:style>
  <w:style w:type="character" w:customStyle="1" w:styleId="112">
    <w:name w:val="标题 5 字符"/>
    <w:link w:val="8"/>
    <w:qFormat/>
    <w:uiPriority w:val="0"/>
    <w:rPr>
      <w:rFonts w:ascii="Times New Roman" w:hAnsi="Times New Roman"/>
      <w:b/>
      <w:kern w:val="2"/>
      <w:sz w:val="21"/>
      <w:szCs w:val="28"/>
    </w:rPr>
  </w:style>
  <w:style w:type="character" w:customStyle="1" w:styleId="113">
    <w:name w:val="标题 6 字符"/>
    <w:link w:val="9"/>
    <w:qFormat/>
    <w:uiPriority w:val="0"/>
    <w:rPr>
      <w:rFonts w:ascii="Times New Roman" w:hAnsi="Times New Roman"/>
      <w:b/>
      <w:bCs/>
      <w:kern w:val="2"/>
      <w:sz w:val="21"/>
      <w:szCs w:val="24"/>
    </w:rPr>
  </w:style>
  <w:style w:type="character" w:customStyle="1" w:styleId="114">
    <w:name w:val="标题 7 字符"/>
    <w:link w:val="10"/>
    <w:qFormat/>
    <w:uiPriority w:val="0"/>
    <w:rPr>
      <w:rFonts w:ascii="Times New Roman" w:hAnsi="Times New Roman" w:eastAsia="宋体" w:cs="Times New Roman"/>
      <w:sz w:val="28"/>
      <w:szCs w:val="24"/>
    </w:rPr>
  </w:style>
  <w:style w:type="character" w:customStyle="1" w:styleId="115">
    <w:name w:val="标题 8 字符"/>
    <w:link w:val="11"/>
    <w:qFormat/>
    <w:uiPriority w:val="0"/>
    <w:rPr>
      <w:rFonts w:ascii="Times New Roman" w:hAnsi="Times New Roman" w:eastAsia="宋体" w:cs="Times New Roman"/>
      <w:sz w:val="28"/>
      <w:szCs w:val="24"/>
    </w:rPr>
  </w:style>
  <w:style w:type="character" w:customStyle="1" w:styleId="116">
    <w:name w:val="标题 9 字符"/>
    <w:link w:val="12"/>
    <w:qFormat/>
    <w:uiPriority w:val="0"/>
    <w:rPr>
      <w:rFonts w:ascii="Times New Roman" w:hAnsi="Times New Roman" w:eastAsia="宋体" w:cs="Times New Roman"/>
      <w:sz w:val="28"/>
      <w:szCs w:val="24"/>
    </w:rPr>
  </w:style>
  <w:style w:type="character" w:customStyle="1" w:styleId="117">
    <w:name w:val="注释标题 字符"/>
    <w:link w:val="17"/>
    <w:qFormat/>
    <w:locked/>
    <w:uiPriority w:val="0"/>
    <w:rPr>
      <w:rFonts w:eastAsia="宋体"/>
      <w:szCs w:val="24"/>
    </w:rPr>
  </w:style>
  <w:style w:type="character" w:customStyle="1" w:styleId="118">
    <w:name w:val="电子邮件签名 字符"/>
    <w:link w:val="20"/>
    <w:qFormat/>
    <w:uiPriority w:val="0"/>
  </w:style>
  <w:style w:type="character" w:customStyle="1" w:styleId="119">
    <w:name w:val="正文缩进 字符"/>
    <w:link w:val="2"/>
    <w:qFormat/>
    <w:uiPriority w:val="0"/>
    <w:rPr>
      <w:rFonts w:eastAsia="宋体"/>
    </w:rPr>
  </w:style>
  <w:style w:type="character" w:customStyle="1" w:styleId="120">
    <w:name w:val="题注 字符1"/>
    <w:link w:val="22"/>
    <w:qFormat/>
    <w:locked/>
    <w:uiPriority w:val="0"/>
    <w:rPr>
      <w:rFonts w:ascii="Arial" w:hAnsi="Arial" w:eastAsia="黑体" w:cs="Arial"/>
    </w:rPr>
  </w:style>
  <w:style w:type="character" w:customStyle="1" w:styleId="121">
    <w:name w:val="文档结构图 字符"/>
    <w:link w:val="26"/>
    <w:qFormat/>
    <w:uiPriority w:val="0"/>
    <w:rPr>
      <w:rFonts w:eastAsia="宋体"/>
      <w:sz w:val="24"/>
      <w:szCs w:val="24"/>
      <w:shd w:val="clear" w:color="auto" w:fill="000080"/>
    </w:rPr>
  </w:style>
  <w:style w:type="character" w:customStyle="1" w:styleId="122">
    <w:name w:val="批注文字 字符"/>
    <w:link w:val="28"/>
    <w:qFormat/>
    <w:uiPriority w:val="99"/>
  </w:style>
  <w:style w:type="character" w:customStyle="1" w:styleId="123">
    <w:name w:val="称呼 字符"/>
    <w:link w:val="30"/>
    <w:qFormat/>
    <w:uiPriority w:val="0"/>
    <w:rPr>
      <w:rFonts w:ascii="Times New Roman" w:hAnsi="Times New Roman" w:eastAsia="宋体" w:cs="Times New Roman"/>
      <w:szCs w:val="24"/>
    </w:rPr>
  </w:style>
  <w:style w:type="character" w:customStyle="1" w:styleId="124">
    <w:name w:val="正文文本 3 字符"/>
    <w:link w:val="31"/>
    <w:qFormat/>
    <w:locked/>
    <w:uiPriority w:val="0"/>
    <w:rPr>
      <w:rFonts w:eastAsia="宋体"/>
      <w:sz w:val="16"/>
      <w:szCs w:val="16"/>
    </w:rPr>
  </w:style>
  <w:style w:type="character" w:customStyle="1" w:styleId="125">
    <w:name w:val="结束语 字符"/>
    <w:link w:val="32"/>
    <w:qFormat/>
    <w:uiPriority w:val="0"/>
  </w:style>
  <w:style w:type="character" w:customStyle="1" w:styleId="126">
    <w:name w:val="正文文本 字符"/>
    <w:link w:val="34"/>
    <w:qFormat/>
    <w:uiPriority w:val="0"/>
    <w:rPr>
      <w:rFonts w:eastAsia="宋体"/>
    </w:rPr>
  </w:style>
  <w:style w:type="character" w:customStyle="1" w:styleId="127">
    <w:name w:val="正文文本缩进 字符"/>
    <w:link w:val="35"/>
    <w:qFormat/>
    <w:uiPriority w:val="0"/>
    <w:rPr>
      <w:rFonts w:ascii="宋体" w:hAnsi="宋体" w:eastAsia="宋体"/>
      <w:sz w:val="24"/>
      <w:szCs w:val="24"/>
    </w:rPr>
  </w:style>
  <w:style w:type="character" w:customStyle="1" w:styleId="128">
    <w:name w:val="HTML 地址 字符"/>
    <w:link w:val="41"/>
    <w:qFormat/>
    <w:uiPriority w:val="0"/>
    <w:rPr>
      <w:i/>
      <w:iCs/>
    </w:rPr>
  </w:style>
  <w:style w:type="character" w:customStyle="1" w:styleId="129">
    <w:name w:val="纯文本 字符2"/>
    <w:link w:val="45"/>
    <w:qFormat/>
    <w:uiPriority w:val="0"/>
    <w:rPr>
      <w:rFonts w:ascii="宋体" w:hAnsi="Courier New" w:eastAsia="宋体"/>
    </w:rPr>
  </w:style>
  <w:style w:type="character" w:customStyle="1" w:styleId="130">
    <w:name w:val="日期 字符1"/>
    <w:link w:val="50"/>
    <w:qFormat/>
    <w:uiPriority w:val="0"/>
    <w:rPr>
      <w:rFonts w:eastAsia="宋体"/>
      <w:szCs w:val="24"/>
    </w:rPr>
  </w:style>
  <w:style w:type="character" w:customStyle="1" w:styleId="131">
    <w:name w:val="正文文本缩进 2 字符"/>
    <w:link w:val="51"/>
    <w:qFormat/>
    <w:uiPriority w:val="0"/>
    <w:rPr>
      <w:rFonts w:eastAsia="宋体"/>
      <w:szCs w:val="24"/>
    </w:rPr>
  </w:style>
  <w:style w:type="character" w:customStyle="1" w:styleId="132">
    <w:name w:val="尾注文本 字符"/>
    <w:link w:val="52"/>
    <w:qFormat/>
    <w:uiPriority w:val="0"/>
    <w:rPr>
      <w:rFonts w:ascii="Arial" w:hAnsi="Arial" w:eastAsia="黑体" w:cs="Times New Roman"/>
      <w:b/>
      <w:bCs/>
      <w:sz w:val="28"/>
      <w:szCs w:val="28"/>
    </w:rPr>
  </w:style>
  <w:style w:type="character" w:customStyle="1" w:styleId="133">
    <w:name w:val="批注框文本 字符"/>
    <w:link w:val="54"/>
    <w:qFormat/>
    <w:uiPriority w:val="0"/>
    <w:rPr>
      <w:rFonts w:ascii="Times New Roman" w:hAnsi="Times New Roman" w:eastAsia="宋体" w:cs="Times New Roman"/>
      <w:sz w:val="18"/>
      <w:szCs w:val="18"/>
    </w:rPr>
  </w:style>
  <w:style w:type="character" w:customStyle="1" w:styleId="134">
    <w:name w:val="页脚 字符"/>
    <w:link w:val="55"/>
    <w:qFormat/>
    <w:uiPriority w:val="99"/>
    <w:rPr>
      <w:sz w:val="18"/>
      <w:szCs w:val="18"/>
    </w:rPr>
  </w:style>
  <w:style w:type="character" w:customStyle="1" w:styleId="135">
    <w:name w:val="页眉 字符1"/>
    <w:link w:val="57"/>
    <w:qFormat/>
    <w:uiPriority w:val="99"/>
    <w:rPr>
      <w:sz w:val="18"/>
      <w:szCs w:val="18"/>
    </w:rPr>
  </w:style>
  <w:style w:type="character" w:customStyle="1" w:styleId="136">
    <w:name w:val="签名 字符"/>
    <w:link w:val="58"/>
    <w:qFormat/>
    <w:uiPriority w:val="0"/>
  </w:style>
  <w:style w:type="character" w:customStyle="1" w:styleId="137">
    <w:name w:val="副标题 字符"/>
    <w:link w:val="64"/>
    <w:qFormat/>
    <w:uiPriority w:val="11"/>
    <w:rPr>
      <w:rFonts w:ascii="Arial" w:hAnsi="Arial" w:eastAsia="黑体"/>
      <w:b/>
      <w:bCs/>
      <w:sz w:val="28"/>
      <w:szCs w:val="28"/>
    </w:rPr>
  </w:style>
  <w:style w:type="character" w:customStyle="1" w:styleId="138">
    <w:name w:val="脚注文本 字符"/>
    <w:link w:val="67"/>
    <w:qFormat/>
    <w:locked/>
    <w:uiPriority w:val="0"/>
    <w:rPr>
      <w:rFonts w:ascii="宋体" w:hAnsi="宋体" w:eastAsia="宋体"/>
      <w:sz w:val="18"/>
      <w:szCs w:val="18"/>
    </w:rPr>
  </w:style>
  <w:style w:type="character" w:customStyle="1" w:styleId="139">
    <w:name w:val="正文文本缩进 3 字符"/>
    <w:link w:val="70"/>
    <w:qFormat/>
    <w:uiPriority w:val="0"/>
    <w:rPr>
      <w:rFonts w:eastAsia="宋体"/>
      <w:sz w:val="24"/>
    </w:rPr>
  </w:style>
  <w:style w:type="character" w:customStyle="1" w:styleId="140">
    <w:name w:val="正文文本 2 字符"/>
    <w:link w:val="76"/>
    <w:qFormat/>
    <w:uiPriority w:val="0"/>
    <w:rPr>
      <w:rFonts w:eastAsia="宋体"/>
      <w:sz w:val="24"/>
    </w:rPr>
  </w:style>
  <w:style w:type="character" w:customStyle="1" w:styleId="141">
    <w:name w:val="信息标题 字符"/>
    <w:link w:val="79"/>
    <w:qFormat/>
    <w:uiPriority w:val="0"/>
    <w:rPr>
      <w:rFonts w:ascii="Arial" w:hAnsi="Arial" w:eastAsia="宋体"/>
      <w:spacing w:val="-5"/>
      <w:kern w:val="0"/>
      <w:sz w:val="20"/>
    </w:rPr>
  </w:style>
  <w:style w:type="character" w:customStyle="1" w:styleId="142">
    <w:name w:val="HTML 预设格式 字符1"/>
    <w:link w:val="80"/>
    <w:qFormat/>
    <w:uiPriority w:val="0"/>
    <w:rPr>
      <w:rFonts w:ascii="黑体" w:hAnsi="Courier New" w:eastAsia="黑体" w:cs="Courier New"/>
      <w:kern w:val="0"/>
      <w:sz w:val="20"/>
      <w:szCs w:val="20"/>
    </w:rPr>
  </w:style>
  <w:style w:type="character" w:customStyle="1" w:styleId="143">
    <w:name w:val="普通(网站) 字符"/>
    <w:link w:val="81"/>
    <w:qFormat/>
    <w:uiPriority w:val="0"/>
    <w:rPr>
      <w:rFonts w:ascii="宋体" w:hAnsi="宋体" w:eastAsia="宋体" w:cs="宋体"/>
      <w:kern w:val="0"/>
      <w:sz w:val="24"/>
      <w:szCs w:val="24"/>
    </w:rPr>
  </w:style>
  <w:style w:type="character" w:customStyle="1" w:styleId="144">
    <w:name w:val="标题 字符"/>
    <w:link w:val="84"/>
    <w:qFormat/>
    <w:uiPriority w:val="0"/>
    <w:rPr>
      <w:rFonts w:ascii="Arial" w:hAnsi="Arial" w:eastAsia="黑体"/>
      <w:sz w:val="36"/>
    </w:rPr>
  </w:style>
  <w:style w:type="character" w:customStyle="1" w:styleId="145">
    <w:name w:val="批注主题 字符"/>
    <w:link w:val="85"/>
    <w:qFormat/>
    <w:uiPriority w:val="0"/>
    <w:rPr>
      <w:rFonts w:ascii="Times New Roman" w:hAnsi="Times New Roman" w:eastAsia="宋体" w:cs="Times New Roman"/>
      <w:b/>
      <w:bCs/>
      <w:szCs w:val="24"/>
    </w:rPr>
  </w:style>
  <w:style w:type="character" w:customStyle="1" w:styleId="146">
    <w:name w:val="正文文本首行缩进 字符"/>
    <w:link w:val="86"/>
    <w:qFormat/>
    <w:uiPriority w:val="0"/>
    <w:rPr>
      <w:rFonts w:eastAsia="宋体"/>
      <w:sz w:val="24"/>
      <w:szCs w:val="24"/>
    </w:rPr>
  </w:style>
  <w:style w:type="character" w:customStyle="1" w:styleId="147">
    <w:name w:val="正文文本首行缩进 2 字符"/>
    <w:link w:val="87"/>
    <w:qFormat/>
    <w:uiPriority w:val="0"/>
    <w:rPr>
      <w:rFonts w:ascii="Times New Roman" w:hAnsi="Times New Roman" w:eastAsia="宋体"/>
      <w:szCs w:val="24"/>
    </w:rPr>
  </w:style>
  <w:style w:type="character" w:customStyle="1" w:styleId="148">
    <w:name w:val="Char Char81"/>
    <w:qFormat/>
    <w:uiPriority w:val="0"/>
    <w:rPr>
      <w:rFonts w:eastAsia="宋体"/>
      <w:kern w:val="2"/>
      <w:sz w:val="21"/>
      <w:szCs w:val="24"/>
      <w:lang w:val="en-US" w:eastAsia="zh-CN" w:bidi="ar-SA"/>
    </w:rPr>
  </w:style>
  <w:style w:type="character" w:customStyle="1" w:styleId="149">
    <w:name w:val="表、图名 Char"/>
    <w:link w:val="150"/>
    <w:qFormat/>
    <w:uiPriority w:val="0"/>
    <w:rPr>
      <w:rFonts w:ascii="Times New Roman" w:hAnsi="Times New Roman" w:eastAsia="仿宋_GB2312" w:cs="Times New Roman"/>
      <w:sz w:val="24"/>
      <w:szCs w:val="24"/>
      <w:lang w:val="zh-CN" w:eastAsia="zh-CN"/>
    </w:rPr>
  </w:style>
  <w:style w:type="paragraph" w:customStyle="1" w:styleId="150">
    <w:name w:val="表、图名"/>
    <w:basedOn w:val="1"/>
    <w:link w:val="149"/>
    <w:qFormat/>
    <w:uiPriority w:val="0"/>
    <w:pPr>
      <w:adjustRightInd w:val="0"/>
      <w:snapToGrid w:val="0"/>
      <w:ind w:left="-6"/>
      <w:jc w:val="center"/>
    </w:pPr>
    <w:rPr>
      <w:rFonts w:ascii="Times New Roman" w:hAnsi="Times New Roman" w:eastAsia="仿宋_GB2312"/>
      <w:sz w:val="24"/>
      <w:szCs w:val="24"/>
      <w:lang w:val="zh-CN"/>
    </w:rPr>
  </w:style>
  <w:style w:type="character" w:customStyle="1" w:styleId="151">
    <w:name w:val="一级标题 Char Char"/>
    <w:qFormat/>
    <w:uiPriority w:val="0"/>
    <w:rPr>
      <w:rFonts w:ascii="黑体" w:eastAsia="黑体"/>
      <w:b/>
      <w:color w:val="000000"/>
      <w:sz w:val="32"/>
      <w:szCs w:val="32"/>
      <w:lang w:val="en-US" w:eastAsia="zh-CN" w:bidi="ar-SA"/>
    </w:rPr>
  </w:style>
  <w:style w:type="character" w:customStyle="1" w:styleId="152">
    <w:name w:val="Char Char1 Char1"/>
    <w:qFormat/>
    <w:uiPriority w:val="0"/>
    <w:rPr>
      <w:rFonts w:ascii="宋体" w:hAnsi="宋体" w:eastAsia="宋体" w:cs="宋体"/>
      <w:sz w:val="24"/>
      <w:szCs w:val="24"/>
    </w:rPr>
  </w:style>
  <w:style w:type="character" w:customStyle="1" w:styleId="153">
    <w:name w:val="称呼 Char3"/>
    <w:qFormat/>
    <w:uiPriority w:val="0"/>
    <w:rPr>
      <w:rFonts w:ascii="Times New Roman" w:hAnsi="Times New Roman"/>
      <w:kern w:val="2"/>
      <w:sz w:val="21"/>
    </w:rPr>
  </w:style>
  <w:style w:type="character" w:customStyle="1" w:styleId="154">
    <w:name w:val="style81"/>
    <w:qFormat/>
    <w:uiPriority w:val="0"/>
    <w:rPr>
      <w:sz w:val="20"/>
      <w:szCs w:val="20"/>
    </w:rPr>
  </w:style>
  <w:style w:type="character" w:customStyle="1" w:styleId="155">
    <w:name w:val="节标题 1.1 Char1"/>
    <w:qFormat/>
    <w:uiPriority w:val="0"/>
    <w:rPr>
      <w:rFonts w:ascii="Arial" w:hAnsi="Arial" w:eastAsia="黑体"/>
      <w:b/>
      <w:bCs/>
      <w:kern w:val="2"/>
      <w:sz w:val="32"/>
      <w:szCs w:val="32"/>
      <w:lang w:val="en-US" w:eastAsia="zh-CN" w:bidi="ar-SA"/>
    </w:rPr>
  </w:style>
  <w:style w:type="character" w:customStyle="1" w:styleId="156">
    <w:name w:val="正文文字 Char Char Char2"/>
    <w:qFormat/>
    <w:uiPriority w:val="0"/>
    <w:rPr>
      <w:rFonts w:eastAsia="宋体"/>
      <w:kern w:val="2"/>
      <w:sz w:val="24"/>
      <w:szCs w:val="24"/>
      <w:lang w:val="en-US" w:eastAsia="zh-CN" w:bidi="ar-SA"/>
    </w:rPr>
  </w:style>
  <w:style w:type="character" w:customStyle="1" w:styleId="157">
    <w:name w:val="正文(首行缩进) Char"/>
    <w:qFormat/>
    <w:uiPriority w:val="0"/>
    <w:rPr>
      <w:bCs/>
      <w:snapToGrid w:val="0"/>
      <w:sz w:val="24"/>
      <w:szCs w:val="24"/>
      <w:lang w:bidi="ar-SA"/>
    </w:rPr>
  </w:style>
  <w:style w:type="character" w:customStyle="1" w:styleId="158">
    <w:name w:val="正式文本 Char"/>
    <w:qFormat/>
    <w:uiPriority w:val="0"/>
    <w:rPr>
      <w:rFonts w:ascii="Arial Narrow" w:hAnsi="Arial Narrow" w:eastAsia="汉鼎简书宋"/>
      <w:kern w:val="2"/>
      <w:sz w:val="24"/>
      <w:szCs w:val="24"/>
      <w:lang w:val="en-US" w:eastAsia="zh-CN" w:bidi="ar-SA"/>
    </w:rPr>
  </w:style>
  <w:style w:type="character" w:customStyle="1" w:styleId="159">
    <w:name w:val="日期 Char"/>
    <w:link w:val="160"/>
    <w:qFormat/>
    <w:uiPriority w:val="99"/>
    <w:rPr>
      <w:rFonts w:eastAsia="宋体"/>
      <w:spacing w:val="5"/>
      <w:sz w:val="24"/>
    </w:rPr>
  </w:style>
  <w:style w:type="paragraph" w:customStyle="1" w:styleId="160">
    <w:name w:val="日期2"/>
    <w:basedOn w:val="1"/>
    <w:next w:val="1"/>
    <w:link w:val="159"/>
    <w:qFormat/>
    <w:uiPriority w:val="0"/>
    <w:pPr>
      <w:autoSpaceDE w:val="0"/>
      <w:autoSpaceDN w:val="0"/>
      <w:adjustRightInd w:val="0"/>
      <w:textAlignment w:val="baseline"/>
    </w:pPr>
    <w:rPr>
      <w:spacing w:val="5"/>
      <w:sz w:val="24"/>
    </w:rPr>
  </w:style>
  <w:style w:type="character" w:customStyle="1" w:styleId="161">
    <w:name w:val="Char Char36"/>
    <w:qFormat/>
    <w:locked/>
    <w:uiPriority w:val="0"/>
    <w:rPr>
      <w:rFonts w:hint="default" w:ascii="Arial" w:hAnsi="Arial" w:eastAsia="黑体" w:cs="Arial"/>
      <w:kern w:val="2"/>
      <w:lang w:val="en-US" w:eastAsia="zh-CN" w:bidi="ar-SA"/>
    </w:rPr>
  </w:style>
  <w:style w:type="character" w:customStyle="1" w:styleId="162">
    <w:name w:val="正文文本缩进 2 Char1"/>
    <w:qFormat/>
    <w:uiPriority w:val="0"/>
    <w:rPr>
      <w:rFonts w:ascii="幼圆" w:hAnsi="幼圆" w:cs="汉鼎简书宋"/>
      <w:spacing w:val="-2"/>
      <w:kern w:val="2"/>
      <w:sz w:val="21"/>
      <w:szCs w:val="22"/>
    </w:rPr>
  </w:style>
  <w:style w:type="character" w:customStyle="1" w:styleId="163">
    <w:name w:val="注 Char"/>
    <w:link w:val="164"/>
    <w:qFormat/>
    <w:uiPriority w:val="0"/>
    <w:rPr>
      <w:rFonts w:ascii="Arial" w:hAnsi="Arial"/>
      <w:kern w:val="2"/>
      <w:sz w:val="18"/>
      <w:szCs w:val="24"/>
    </w:rPr>
  </w:style>
  <w:style w:type="paragraph" w:customStyle="1" w:styleId="164">
    <w:name w:val="注"/>
    <w:basedOn w:val="1"/>
    <w:next w:val="1"/>
    <w:link w:val="163"/>
    <w:qFormat/>
    <w:uiPriority w:val="0"/>
    <w:pPr>
      <w:ind w:firstLine="200" w:firstLineChars="200"/>
    </w:pPr>
    <w:rPr>
      <w:rFonts w:ascii="Arial" w:hAnsi="Arial"/>
      <w:sz w:val="18"/>
      <w:szCs w:val="24"/>
    </w:rPr>
  </w:style>
  <w:style w:type="character" w:customStyle="1" w:styleId="165">
    <w:name w:val="正文文本缩进 3 Char1"/>
    <w:qFormat/>
    <w:uiPriority w:val="0"/>
    <w:rPr>
      <w:rFonts w:ascii="幼圆" w:hAnsi="幼圆" w:cs="汉鼎简书宋"/>
      <w:spacing w:val="-2"/>
      <w:kern w:val="2"/>
      <w:sz w:val="16"/>
      <w:szCs w:val="16"/>
    </w:rPr>
  </w:style>
  <w:style w:type="character" w:customStyle="1" w:styleId="166">
    <w:name w:val="款标题1.1.1.1 Char1"/>
    <w:qFormat/>
    <w:uiPriority w:val="0"/>
    <w:rPr>
      <w:rFonts w:ascii="Times New Roman" w:hAnsi="Times New Roman"/>
      <w:b/>
      <w:kern w:val="2"/>
      <w:sz w:val="24"/>
      <w:szCs w:val="22"/>
    </w:rPr>
  </w:style>
  <w:style w:type="character" w:customStyle="1" w:styleId="167">
    <w:name w:val="样式2 Char"/>
    <w:link w:val="168"/>
    <w:qFormat/>
    <w:locked/>
    <w:uiPriority w:val="0"/>
    <w:rPr>
      <w:rFonts w:ascii="Times New Roman" w:hAnsi="Times New Roman" w:eastAsia="黑体"/>
      <w:bCs/>
      <w:kern w:val="2"/>
      <w:sz w:val="30"/>
      <w:szCs w:val="30"/>
    </w:rPr>
  </w:style>
  <w:style w:type="paragraph" w:customStyle="1" w:styleId="168">
    <w:name w:val="样式2"/>
    <w:basedOn w:val="5"/>
    <w:link w:val="167"/>
    <w:qFormat/>
    <w:uiPriority w:val="0"/>
    <w:pPr>
      <w:spacing w:before="156" w:beforeLines="50" w:after="156" w:afterLines="50" w:line="500" w:lineRule="exact"/>
    </w:pPr>
    <w:rPr>
      <w:b w:val="0"/>
      <w:sz w:val="30"/>
      <w:szCs w:val="30"/>
    </w:rPr>
  </w:style>
  <w:style w:type="character" w:customStyle="1" w:styleId="169">
    <w:name w:val="样式 正文 +"/>
    <w:qFormat/>
    <w:uiPriority w:val="0"/>
    <w:rPr>
      <w:rFonts w:eastAsia="宋体"/>
      <w:spacing w:val="6"/>
      <w:w w:val="100"/>
      <w:kern w:val="0"/>
      <w:sz w:val="24"/>
      <w:szCs w:val="24"/>
    </w:rPr>
  </w:style>
  <w:style w:type="character" w:customStyle="1" w:styleId="170">
    <w:name w:val="页脚 Char Char"/>
    <w:qFormat/>
    <w:uiPriority w:val="0"/>
    <w:rPr>
      <w:rFonts w:eastAsia="宋体"/>
      <w:kern w:val="2"/>
      <w:sz w:val="18"/>
      <w:szCs w:val="18"/>
      <w:lang w:val="en-US" w:eastAsia="zh-CN" w:bidi="ar-SA"/>
    </w:rPr>
  </w:style>
  <w:style w:type="character" w:customStyle="1" w:styleId="171">
    <w:name w:val="Char Char91"/>
    <w:qFormat/>
    <w:uiPriority w:val="0"/>
    <w:rPr>
      <w:rFonts w:eastAsia="宋体"/>
      <w:kern w:val="2"/>
      <w:sz w:val="21"/>
      <w:szCs w:val="24"/>
      <w:lang w:val="en-US" w:eastAsia="zh-CN" w:bidi="ar-SA"/>
    </w:rPr>
  </w:style>
  <w:style w:type="character" w:customStyle="1" w:styleId="172">
    <w:name w:val="HTML 预设格式 Char3"/>
    <w:qFormat/>
    <w:uiPriority w:val="0"/>
    <w:rPr>
      <w:rFonts w:ascii="Courier New" w:hAnsi="Courier New" w:cs="Courier New"/>
      <w:kern w:val="2"/>
    </w:rPr>
  </w:style>
  <w:style w:type="character" w:customStyle="1" w:styleId="173">
    <w:name w:val="标题 9 Char"/>
    <w:qFormat/>
    <w:uiPriority w:val="0"/>
    <w:rPr>
      <w:rFonts w:ascii="Cambria" w:hAnsi="Cambria" w:eastAsia="宋体" w:cs="Times New Roman"/>
      <w:szCs w:val="21"/>
    </w:rPr>
  </w:style>
  <w:style w:type="character" w:customStyle="1" w:styleId="174">
    <w:name w:val="尾注文本 Char5"/>
    <w:semiHidden/>
    <w:qFormat/>
    <w:uiPriority w:val="99"/>
  </w:style>
  <w:style w:type="character" w:customStyle="1" w:styleId="175">
    <w:name w:val="Char Char291"/>
    <w:qFormat/>
    <w:locked/>
    <w:uiPriority w:val="0"/>
    <w:rPr>
      <w:rFonts w:hint="eastAsia" w:ascii="宋体" w:hAnsi="宋体" w:eastAsia="宋体"/>
      <w:kern w:val="2"/>
      <w:sz w:val="16"/>
      <w:szCs w:val="16"/>
      <w:lang w:val="en-US" w:eastAsia="zh-CN" w:bidi="ar-SA"/>
    </w:rPr>
  </w:style>
  <w:style w:type="character" w:customStyle="1" w:styleId="176">
    <w:name w:val="1.1.1 Char"/>
    <w:link w:val="177"/>
    <w:qFormat/>
    <w:locked/>
    <w:uiPriority w:val="0"/>
    <w:rPr>
      <w:rFonts w:ascii="仿宋_GB2312" w:hAnsi="宋体" w:eastAsia="仿宋_GB2312"/>
      <w:b/>
      <w:bCs/>
      <w:kern w:val="2"/>
      <w:sz w:val="30"/>
      <w:szCs w:val="30"/>
    </w:rPr>
  </w:style>
  <w:style w:type="paragraph" w:customStyle="1" w:styleId="177">
    <w:name w:val="1.1.1"/>
    <w:basedOn w:val="6"/>
    <w:link w:val="176"/>
    <w:qFormat/>
    <w:uiPriority w:val="0"/>
    <w:pPr>
      <w:snapToGrid w:val="0"/>
      <w:spacing w:before="156" w:beforeLines="50" w:after="156" w:afterLines="50"/>
    </w:pPr>
    <w:rPr>
      <w:rFonts w:ascii="仿宋_GB2312" w:hAnsi="宋体" w:eastAsia="仿宋_GB2312"/>
      <w:sz w:val="30"/>
      <w:szCs w:val="30"/>
    </w:rPr>
  </w:style>
  <w:style w:type="character" w:customStyle="1" w:styleId="178">
    <w:name w:val="正文文本缩进 3 Char2"/>
    <w:qFormat/>
    <w:uiPriority w:val="0"/>
    <w:rPr>
      <w:rFonts w:ascii="Times New Roman" w:hAnsi="Times New Roman" w:eastAsia="宋体" w:cs="Times New Roman"/>
      <w:sz w:val="16"/>
      <w:szCs w:val="16"/>
    </w:rPr>
  </w:style>
  <w:style w:type="character" w:customStyle="1" w:styleId="179">
    <w:name w:val="HTML 预设格式 Char Char"/>
    <w:qFormat/>
    <w:uiPriority w:val="0"/>
    <w:rPr>
      <w:rFonts w:ascii="Arial" w:hAnsi="Arial" w:eastAsia="宋体"/>
      <w:sz w:val="24"/>
      <w:szCs w:val="24"/>
      <w:lang w:bidi="ar-SA"/>
    </w:rPr>
  </w:style>
  <w:style w:type="character" w:customStyle="1" w:styleId="180">
    <w:name w:val="Char Char411"/>
    <w:qFormat/>
    <w:uiPriority w:val="0"/>
    <w:rPr>
      <w:rFonts w:ascii="Arial" w:hAnsi="Arial" w:eastAsia="黑体"/>
      <w:b/>
      <w:bCs/>
      <w:kern w:val="2"/>
      <w:sz w:val="28"/>
      <w:szCs w:val="28"/>
      <w:lang w:val="en-US" w:eastAsia="zh-CN" w:bidi="ar-SA"/>
    </w:rPr>
  </w:style>
  <w:style w:type="character" w:customStyle="1" w:styleId="181">
    <w:name w:val="样式 首行缩进:  2 字符1 Char Char Char"/>
    <w:qFormat/>
    <w:uiPriority w:val="0"/>
    <w:rPr>
      <w:rFonts w:eastAsia="宋体" w:cs="宋体"/>
      <w:kern w:val="2"/>
      <w:sz w:val="24"/>
      <w:lang w:val="en-US" w:eastAsia="zh-CN" w:bidi="ar-SA"/>
    </w:rPr>
  </w:style>
  <w:style w:type="character" w:customStyle="1" w:styleId="182">
    <w:name w:val="正文文字 Char Char Char4"/>
    <w:qFormat/>
    <w:uiPriority w:val="0"/>
    <w:rPr>
      <w:rFonts w:eastAsia="宋体"/>
      <w:kern w:val="2"/>
      <w:sz w:val="21"/>
      <w:szCs w:val="24"/>
      <w:lang w:val="en-US" w:eastAsia="zh-CN" w:bidi="ar-SA"/>
    </w:rPr>
  </w:style>
  <w:style w:type="character" w:customStyle="1" w:styleId="183">
    <w:name w:val="正文文字缩进 31 Char"/>
    <w:qFormat/>
    <w:uiPriority w:val="0"/>
    <w:rPr>
      <w:rFonts w:eastAsia="宋体"/>
      <w:kern w:val="2"/>
      <w:sz w:val="24"/>
      <w:lang w:val="en-US" w:eastAsia="zh-CN" w:bidi="ar-SA"/>
    </w:rPr>
  </w:style>
  <w:style w:type="character" w:customStyle="1" w:styleId="184">
    <w:name w:val="Char Char481"/>
    <w:qFormat/>
    <w:uiPriority w:val="0"/>
    <w:rPr>
      <w:rFonts w:hint="default" w:ascii="Times New Roman" w:hAnsi="Times New Roman" w:eastAsia="宋体" w:cs="Times New Roman"/>
      <w:sz w:val="28"/>
      <w:szCs w:val="24"/>
    </w:rPr>
  </w:style>
  <w:style w:type="character" w:customStyle="1" w:styleId="185">
    <w:name w:val="big"/>
    <w:qFormat/>
    <w:uiPriority w:val="0"/>
  </w:style>
  <w:style w:type="character" w:customStyle="1" w:styleId="186">
    <w:name w:val="正文 Char Char"/>
    <w:link w:val="187"/>
    <w:qFormat/>
    <w:uiPriority w:val="0"/>
    <w:rPr>
      <w:rFonts w:ascii="宋体" w:hAnsi="宋体" w:eastAsia="宋体" w:cs="宋体"/>
      <w:sz w:val="24"/>
      <w:szCs w:val="24"/>
    </w:rPr>
  </w:style>
  <w:style w:type="paragraph" w:customStyle="1" w:styleId="187">
    <w:name w:val="正文3"/>
    <w:basedOn w:val="1"/>
    <w:next w:val="1"/>
    <w:link w:val="186"/>
    <w:qFormat/>
    <w:uiPriority w:val="0"/>
    <w:pPr>
      <w:spacing w:line="529" w:lineRule="exact"/>
      <w:ind w:firstLine="420"/>
    </w:pPr>
    <w:rPr>
      <w:rFonts w:ascii="宋体" w:hAnsi="宋体" w:cs="宋体"/>
      <w:sz w:val="24"/>
      <w:szCs w:val="24"/>
    </w:rPr>
  </w:style>
  <w:style w:type="character" w:customStyle="1" w:styleId="188">
    <w:name w:val="正文段落（宋旭峰） Char"/>
    <w:link w:val="189"/>
    <w:qFormat/>
    <w:uiPriority w:val="0"/>
    <w:rPr>
      <w:snapToGrid w:val="0"/>
      <w:sz w:val="24"/>
      <w:szCs w:val="24"/>
    </w:rPr>
  </w:style>
  <w:style w:type="paragraph" w:customStyle="1" w:styleId="189">
    <w:name w:val="正文段落（宋旭峰）"/>
    <w:basedOn w:val="1"/>
    <w:link w:val="188"/>
    <w:qFormat/>
    <w:uiPriority w:val="0"/>
    <w:pPr>
      <w:spacing w:line="360" w:lineRule="auto"/>
      <w:ind w:firstLine="200" w:firstLineChars="200"/>
      <w:jc w:val="left"/>
    </w:pPr>
    <w:rPr>
      <w:snapToGrid w:val="0"/>
      <w:sz w:val="24"/>
      <w:szCs w:val="24"/>
    </w:rPr>
  </w:style>
  <w:style w:type="character" w:customStyle="1" w:styleId="190">
    <w:name w:val="样式 样式 标题 4 + (西文) Times New Roman (中文) 宋体 小四 非加粗 + Char Char"/>
    <w:qFormat/>
    <w:uiPriority w:val="0"/>
  </w:style>
  <w:style w:type="character" w:customStyle="1" w:styleId="191">
    <w:name w:val="text2"/>
    <w:qFormat/>
    <w:uiPriority w:val="0"/>
  </w:style>
  <w:style w:type="character" w:customStyle="1" w:styleId="192">
    <w:name w:val="004 Char Char"/>
    <w:qFormat/>
    <w:uiPriority w:val="0"/>
    <w:rPr>
      <w:rFonts w:ascii="Times NewRoman" w:hAnsi="Times NewRoman" w:eastAsia="Calibri" w:cs="汉鼎简书宋"/>
      <w:bCs/>
      <w:spacing w:val="-2"/>
      <w:kern w:val="2"/>
      <w:sz w:val="24"/>
      <w:szCs w:val="28"/>
    </w:rPr>
  </w:style>
  <w:style w:type="character" w:customStyle="1" w:styleId="193">
    <w:name w:val="日期 Char1"/>
    <w:qFormat/>
    <w:uiPriority w:val="0"/>
    <w:rPr>
      <w:rFonts w:ascii="幼圆" w:hAnsi="幼圆" w:cs="汉鼎简书宋"/>
      <w:spacing w:val="-2"/>
      <w:kern w:val="2"/>
      <w:sz w:val="21"/>
      <w:szCs w:val="22"/>
    </w:rPr>
  </w:style>
  <w:style w:type="character" w:customStyle="1" w:styleId="194">
    <w:name w:val="Char Char262"/>
    <w:qFormat/>
    <w:uiPriority w:val="0"/>
    <w:rPr>
      <w:rFonts w:ascii="Arial" w:hAnsi="Arial" w:eastAsia="黑体"/>
      <w:b/>
      <w:bCs/>
      <w:kern w:val="2"/>
      <w:sz w:val="28"/>
      <w:szCs w:val="28"/>
      <w:lang w:val="en-US" w:eastAsia="zh-CN" w:bidi="ar-SA"/>
    </w:rPr>
  </w:style>
  <w:style w:type="character" w:customStyle="1" w:styleId="195">
    <w:name w:val="正文文字缩进 Char Char"/>
    <w:qFormat/>
    <w:uiPriority w:val="0"/>
    <w:rPr>
      <w:rFonts w:eastAsia="宋体"/>
      <w:kern w:val="2"/>
      <w:sz w:val="21"/>
      <w:szCs w:val="24"/>
      <w:lang w:val="en-US" w:eastAsia="zh-CN" w:bidi="ar-SA"/>
    </w:rPr>
  </w:style>
  <w:style w:type="character" w:customStyle="1" w:styleId="196">
    <w:name w:val="Char Char263"/>
    <w:qFormat/>
    <w:uiPriority w:val="0"/>
    <w:rPr>
      <w:rFonts w:eastAsia="宋体"/>
      <w:b/>
      <w:bCs/>
      <w:kern w:val="44"/>
      <w:sz w:val="44"/>
      <w:szCs w:val="44"/>
      <w:lang w:val="en-US" w:eastAsia="zh-CN" w:bidi="ar-SA"/>
    </w:rPr>
  </w:style>
  <w:style w:type="character" w:customStyle="1" w:styleId="197">
    <w:name w:val="Char Char151"/>
    <w:qFormat/>
    <w:uiPriority w:val="0"/>
    <w:rPr>
      <w:rFonts w:eastAsia="宋体"/>
      <w:b/>
      <w:kern w:val="2"/>
      <w:sz w:val="27"/>
      <w:lang w:val="en-US" w:eastAsia="zh-CN" w:bidi="ar-SA"/>
    </w:rPr>
  </w:style>
  <w:style w:type="character" w:customStyle="1" w:styleId="198">
    <w:name w:val="样式11111 Char Char Char"/>
    <w:qFormat/>
    <w:uiPriority w:val="0"/>
    <w:rPr>
      <w:rFonts w:eastAsia="宋体"/>
      <w:color w:val="000000"/>
      <w:kern w:val="2"/>
      <w:sz w:val="24"/>
      <w:szCs w:val="24"/>
      <w:lang w:val="en-US" w:eastAsia="zh-CN" w:bidi="ar-SA"/>
    </w:rPr>
  </w:style>
  <w:style w:type="character" w:customStyle="1" w:styleId="199">
    <w:name w:val="正文文本缩进 3 Char Char"/>
    <w:qFormat/>
    <w:uiPriority w:val="0"/>
    <w:rPr>
      <w:rFonts w:eastAsia="宋体"/>
      <w:sz w:val="28"/>
      <w:szCs w:val="24"/>
      <w:lang w:bidi="ar-SA"/>
    </w:rPr>
  </w:style>
  <w:style w:type="character" w:customStyle="1" w:styleId="200">
    <w:name w:val="样式 hb3 + Char1"/>
    <w:qFormat/>
    <w:uiPriority w:val="0"/>
    <w:rPr>
      <w:rFonts w:hint="eastAsia" w:ascii="宋体" w:hAnsi="宋体" w:eastAsia="宋体"/>
      <w:b/>
      <w:bCs/>
      <w:sz w:val="24"/>
      <w:szCs w:val="24"/>
      <w:lang w:val="en-US" w:eastAsia="zh-CN" w:bidi="ar-SA"/>
    </w:rPr>
  </w:style>
  <w:style w:type="character" w:customStyle="1" w:styleId="201">
    <w:name w:val="正文首行缩进 Char Char"/>
    <w:qFormat/>
    <w:uiPriority w:val="0"/>
    <w:rPr>
      <w:rFonts w:eastAsia="宋体"/>
      <w:kern w:val="2"/>
      <w:sz w:val="21"/>
      <w:szCs w:val="24"/>
      <w:lang w:val="en-US" w:eastAsia="zh-CN" w:bidi="ar-SA"/>
    </w:rPr>
  </w:style>
  <w:style w:type="character" w:customStyle="1" w:styleId="202">
    <w:name w:val="Char Char35"/>
    <w:qFormat/>
    <w:uiPriority w:val="0"/>
    <w:rPr>
      <w:rFonts w:hint="eastAsia" w:ascii="宋体" w:hAnsi="宋体" w:eastAsia="宋体"/>
      <w:kern w:val="2"/>
      <w:sz w:val="24"/>
      <w:lang w:val="en-US" w:eastAsia="zh-CN" w:bidi="ar-SA"/>
    </w:rPr>
  </w:style>
  <w:style w:type="character" w:customStyle="1" w:styleId="203">
    <w:name w:val="小四+首行缩进 Char2"/>
    <w:link w:val="204"/>
    <w:qFormat/>
    <w:uiPriority w:val="0"/>
    <w:rPr>
      <w:rFonts w:ascii="宋体" w:hAnsi="宋体" w:eastAsia="宋体" w:cs="宋体"/>
      <w:sz w:val="24"/>
    </w:rPr>
  </w:style>
  <w:style w:type="paragraph" w:customStyle="1" w:styleId="204">
    <w:name w:val="小四+首行缩进"/>
    <w:basedOn w:val="1"/>
    <w:link w:val="203"/>
    <w:qFormat/>
    <w:uiPriority w:val="0"/>
    <w:pPr>
      <w:spacing w:line="360" w:lineRule="auto"/>
      <w:ind w:firstLine="482"/>
    </w:pPr>
    <w:rPr>
      <w:rFonts w:ascii="宋体" w:hAnsi="宋体" w:cs="宋体"/>
      <w:sz w:val="24"/>
    </w:rPr>
  </w:style>
  <w:style w:type="character" w:customStyle="1" w:styleId="205">
    <w:name w:val="正文首行缩进 Char Char Char"/>
    <w:qFormat/>
    <w:uiPriority w:val="0"/>
    <w:rPr>
      <w:rFonts w:eastAsia="宋体"/>
      <w:kern w:val="2"/>
      <w:sz w:val="21"/>
      <w:szCs w:val="24"/>
      <w:lang w:val="en-US" w:eastAsia="zh-CN" w:bidi="ar-SA"/>
    </w:rPr>
  </w:style>
  <w:style w:type="character" w:customStyle="1" w:styleId="206">
    <w:name w:val="样式3 Char Char"/>
    <w:link w:val="207"/>
    <w:qFormat/>
    <w:uiPriority w:val="0"/>
    <w:rPr>
      <w:rFonts w:ascii="黑体" w:hAnsi="Times New Roman" w:eastAsia="黑体"/>
      <w:b/>
      <w:bCs/>
      <w:color w:val="000000"/>
      <w:kern w:val="2"/>
      <w:sz w:val="30"/>
      <w:szCs w:val="30"/>
    </w:rPr>
  </w:style>
  <w:style w:type="paragraph" w:customStyle="1" w:styleId="207">
    <w:name w:val="样式3"/>
    <w:basedOn w:val="5"/>
    <w:link w:val="206"/>
    <w:qFormat/>
    <w:uiPriority w:val="0"/>
    <w:pPr>
      <w:spacing w:line="240" w:lineRule="auto"/>
    </w:pPr>
    <w:rPr>
      <w:rFonts w:ascii="黑体"/>
      <w:color w:val="000000"/>
      <w:sz w:val="30"/>
      <w:szCs w:val="30"/>
    </w:rPr>
  </w:style>
  <w:style w:type="character" w:customStyle="1" w:styleId="208">
    <w:name w:val="明显引用 Char6"/>
    <w:qFormat/>
    <w:uiPriority w:val="0"/>
    <w:rPr>
      <w:rFonts w:ascii="Calibri" w:hAnsi="Calibri" w:eastAsia="宋体" w:cs="Times New Roman"/>
      <w:b/>
      <w:bCs/>
      <w:i/>
      <w:iCs/>
      <w:color w:val="4F81BD"/>
      <w:kern w:val="0"/>
      <w:sz w:val="22"/>
      <w:lang w:eastAsia="en-US" w:bidi="en-US"/>
    </w:rPr>
  </w:style>
  <w:style w:type="character" w:customStyle="1" w:styleId="209">
    <w:name w:val="Char Char461"/>
    <w:qFormat/>
    <w:uiPriority w:val="0"/>
    <w:rPr>
      <w:rFonts w:hint="default" w:ascii="Arial" w:hAnsi="Arial" w:eastAsia="黑体" w:cs="Arial"/>
      <w:b/>
      <w:bCs/>
      <w:kern w:val="2"/>
      <w:sz w:val="32"/>
      <w:szCs w:val="32"/>
      <w:lang w:val="en-US" w:eastAsia="zh-CN" w:bidi="ar-SA"/>
    </w:rPr>
  </w:style>
  <w:style w:type="character" w:customStyle="1" w:styleId="210">
    <w:name w:val="正文文本缩进 2 Char7"/>
    <w:semiHidden/>
    <w:qFormat/>
    <w:uiPriority w:val="99"/>
  </w:style>
  <w:style w:type="character" w:customStyle="1" w:styleId="211">
    <w:name w:val="Char Char39"/>
    <w:qFormat/>
    <w:uiPriority w:val="0"/>
    <w:rPr>
      <w:rFonts w:hint="eastAsia" w:ascii="宋体" w:hAnsi="宋体" w:eastAsia="宋体"/>
      <w:kern w:val="2"/>
      <w:sz w:val="28"/>
      <w:szCs w:val="24"/>
      <w:lang w:val="en-US" w:eastAsia="zh-CN" w:bidi="ar-SA"/>
    </w:rPr>
  </w:style>
  <w:style w:type="character" w:customStyle="1" w:styleId="212">
    <w:name w:val="Char Char332"/>
    <w:qFormat/>
    <w:uiPriority w:val="0"/>
    <w:rPr>
      <w:rFonts w:ascii="Arial" w:hAnsi="Arial" w:eastAsia="黑体"/>
      <w:b/>
      <w:bCs/>
      <w:kern w:val="2"/>
      <w:sz w:val="32"/>
      <w:szCs w:val="32"/>
      <w:lang w:val="en-US" w:eastAsia="zh-CN" w:bidi="ar-SA"/>
    </w:rPr>
  </w:style>
  <w:style w:type="character" w:customStyle="1" w:styleId="213">
    <w:name w:val="注释标题 Char"/>
    <w:link w:val="214"/>
    <w:qFormat/>
    <w:uiPriority w:val="0"/>
    <w:rPr>
      <w:rFonts w:eastAsia="宋体"/>
      <w:sz w:val="28"/>
      <w:szCs w:val="24"/>
    </w:rPr>
  </w:style>
  <w:style w:type="paragraph" w:customStyle="1" w:styleId="214">
    <w:name w:val="注释标题1"/>
    <w:basedOn w:val="1"/>
    <w:next w:val="1"/>
    <w:link w:val="213"/>
    <w:qFormat/>
    <w:uiPriority w:val="0"/>
    <w:pPr>
      <w:jc w:val="center"/>
    </w:pPr>
    <w:rPr>
      <w:sz w:val="28"/>
      <w:szCs w:val="24"/>
    </w:rPr>
  </w:style>
  <w:style w:type="character" w:customStyle="1" w:styleId="215">
    <w:name w:val="(use for tables) Char4"/>
    <w:qFormat/>
    <w:uiPriority w:val="0"/>
    <w:rPr>
      <w:rFonts w:eastAsia="宋体"/>
      <w:kern w:val="2"/>
      <w:sz w:val="28"/>
      <w:szCs w:val="24"/>
      <w:lang w:val="en-US" w:eastAsia="zh-CN" w:bidi="ar-SA"/>
    </w:rPr>
  </w:style>
  <w:style w:type="character" w:customStyle="1" w:styleId="216">
    <w:name w:val="Char Char661"/>
    <w:qFormat/>
    <w:uiPriority w:val="0"/>
    <w:rPr>
      <w:rFonts w:eastAsia="宋体"/>
      <w:b/>
      <w:bCs/>
      <w:kern w:val="2"/>
      <w:sz w:val="32"/>
      <w:szCs w:val="32"/>
      <w:lang w:val="en-US" w:eastAsia="zh-CN" w:bidi="ar-SA"/>
    </w:rPr>
  </w:style>
  <w:style w:type="character" w:customStyle="1" w:styleId="217">
    <w:name w:val="自动2 Char Char"/>
    <w:link w:val="218"/>
    <w:qFormat/>
    <w:uiPriority w:val="0"/>
    <w:rPr>
      <w:rFonts w:ascii="黑体" w:hAnsi="Times New Roman" w:eastAsia="黑体"/>
      <w:b/>
      <w:bCs/>
      <w:color w:val="000000"/>
      <w:kern w:val="2"/>
      <w:sz w:val="28"/>
      <w:szCs w:val="28"/>
    </w:rPr>
  </w:style>
  <w:style w:type="paragraph" w:customStyle="1" w:styleId="218">
    <w:name w:val="自动2"/>
    <w:basedOn w:val="219"/>
    <w:link w:val="217"/>
    <w:qFormat/>
    <w:uiPriority w:val="0"/>
    <w:pPr>
      <w:tabs>
        <w:tab w:val="left" w:pos="630"/>
      </w:tabs>
      <w:spacing w:before="50" w:beforeLines="0" w:after="50" w:afterLines="0"/>
      <w:ind w:left="1050" w:hanging="1050"/>
    </w:pPr>
    <w:rPr>
      <w:color w:val="000000"/>
    </w:rPr>
  </w:style>
  <w:style w:type="paragraph" w:customStyle="1" w:styleId="219">
    <w:name w:val="二级标题"/>
    <w:basedOn w:val="5"/>
    <w:qFormat/>
    <w:uiPriority w:val="0"/>
    <w:pPr>
      <w:spacing w:before="156" w:beforeLines="50" w:after="156" w:afterLines="50"/>
    </w:pPr>
    <w:rPr>
      <w:rFonts w:ascii="黑体"/>
      <w:szCs w:val="28"/>
    </w:rPr>
  </w:style>
  <w:style w:type="character" w:customStyle="1" w:styleId="220">
    <w:name w:val="tpc_content1"/>
    <w:qFormat/>
    <w:uiPriority w:val="0"/>
    <w:rPr>
      <w:sz w:val="20"/>
      <w:szCs w:val="20"/>
    </w:rPr>
  </w:style>
  <w:style w:type="character" w:customStyle="1" w:styleId="221">
    <w:name w:val="Char Char64"/>
    <w:qFormat/>
    <w:uiPriority w:val="0"/>
    <w:rPr>
      <w:rFonts w:ascii="Arial Unicode MS" w:hAnsi="Arial Unicode MS" w:eastAsia="Calibri" w:cs="Times NewRoman"/>
      <w:b/>
      <w:bCs/>
      <w:kern w:val="2"/>
      <w:sz w:val="32"/>
      <w:szCs w:val="32"/>
      <w:lang w:val="en-US" w:eastAsia="zh-CN" w:bidi="ar-SA"/>
    </w:rPr>
  </w:style>
  <w:style w:type="character" w:customStyle="1" w:styleId="222">
    <w:name w:val="正文文字缩进 31 Char2"/>
    <w:qFormat/>
    <w:uiPriority w:val="0"/>
    <w:rPr>
      <w:rFonts w:ascii="宋体" w:hAnsi="宋体"/>
      <w:sz w:val="16"/>
      <w:szCs w:val="16"/>
      <w:lang w:bidi="ar-SA"/>
    </w:rPr>
  </w:style>
  <w:style w:type="character" w:customStyle="1" w:styleId="223">
    <w:name w:val="段落样式 Char"/>
    <w:link w:val="224"/>
    <w:qFormat/>
    <w:uiPriority w:val="0"/>
    <w:rPr>
      <w:rFonts w:ascii="Times New Roman" w:hAnsi="Times New Roman" w:eastAsia="宋体" w:cs="Times New Roman"/>
      <w:snapToGrid w:val="0"/>
      <w:w w:val="90"/>
      <w:kern w:val="0"/>
      <w:sz w:val="28"/>
      <w:szCs w:val="20"/>
    </w:rPr>
  </w:style>
  <w:style w:type="paragraph" w:customStyle="1" w:styleId="224">
    <w:name w:val="段落样式"/>
    <w:basedOn w:val="1"/>
    <w:link w:val="223"/>
    <w:qFormat/>
    <w:uiPriority w:val="0"/>
    <w:pPr>
      <w:keepNext/>
      <w:suppressLineNumbers/>
      <w:suppressAutoHyphens/>
      <w:topLinePunct/>
      <w:adjustRightInd w:val="0"/>
      <w:snapToGrid w:val="0"/>
      <w:spacing w:line="480" w:lineRule="atLeast"/>
      <w:ind w:firstLine="482"/>
      <w:textAlignment w:val="baseline"/>
    </w:pPr>
    <w:rPr>
      <w:rFonts w:ascii="Times New Roman" w:hAnsi="Times New Roman"/>
      <w:snapToGrid w:val="0"/>
      <w:w w:val="90"/>
      <w:kern w:val="0"/>
      <w:sz w:val="28"/>
      <w:szCs w:val="20"/>
    </w:rPr>
  </w:style>
  <w:style w:type="character" w:customStyle="1" w:styleId="225">
    <w:name w:val="Char Char7121"/>
    <w:qFormat/>
    <w:locked/>
    <w:uiPriority w:val="0"/>
    <w:rPr>
      <w:rFonts w:ascii="宋体" w:hAnsi="宋体" w:eastAsia="宋体"/>
      <w:sz w:val="18"/>
      <w:szCs w:val="18"/>
      <w:lang w:bidi="ar-SA"/>
    </w:rPr>
  </w:style>
  <w:style w:type="character" w:customStyle="1" w:styleId="226">
    <w:name w:val="Char Char4"/>
    <w:qFormat/>
    <w:uiPriority w:val="0"/>
    <w:rPr>
      <w:rFonts w:ascii="Arial" w:hAnsi="Arial" w:eastAsia="黑体"/>
      <w:b/>
      <w:bCs/>
      <w:kern w:val="2"/>
      <w:sz w:val="28"/>
      <w:szCs w:val="28"/>
      <w:lang w:val="en-US" w:eastAsia="zh-CN"/>
    </w:rPr>
  </w:style>
  <w:style w:type="character" w:customStyle="1" w:styleId="227">
    <w:name w:val="标题 12 Char1"/>
    <w:qFormat/>
    <w:uiPriority w:val="0"/>
    <w:rPr>
      <w:rFonts w:ascii="Arial" w:hAnsi="Arial" w:eastAsia="黑体"/>
      <w:b/>
      <w:bCs/>
      <w:kern w:val="2"/>
      <w:sz w:val="28"/>
      <w:szCs w:val="32"/>
      <w:lang w:val="en-US" w:eastAsia="zh-CN" w:bidi="ar-SA"/>
    </w:rPr>
  </w:style>
  <w:style w:type="character" w:customStyle="1" w:styleId="228">
    <w:name w:val="Char Char60"/>
    <w:qFormat/>
    <w:uiPriority w:val="0"/>
    <w:rPr>
      <w:rFonts w:ascii="Times NewRoman" w:hAnsi="Times NewRoman" w:eastAsia="Arial Narrow" w:cs="Times NewRoman"/>
      <w:bCs/>
      <w:kern w:val="2"/>
      <w:sz w:val="24"/>
      <w:szCs w:val="24"/>
      <w:lang w:val="en-US" w:eastAsia="zh-CN" w:bidi="ar-SA"/>
    </w:rPr>
  </w:style>
  <w:style w:type="character" w:customStyle="1" w:styleId="229">
    <w:name w:val="Char Char312"/>
    <w:qFormat/>
    <w:uiPriority w:val="0"/>
    <w:rPr>
      <w:rFonts w:ascii="Arial" w:hAnsi="Arial" w:eastAsia="黑体"/>
      <w:b/>
      <w:bCs/>
      <w:kern w:val="2"/>
      <w:sz w:val="28"/>
      <w:szCs w:val="28"/>
      <w:lang w:val="en-US" w:eastAsia="zh-CN" w:bidi="ar-SA"/>
    </w:rPr>
  </w:style>
  <w:style w:type="character" w:customStyle="1" w:styleId="230">
    <w:name w:val="HTML 预设格式 Char6"/>
    <w:semiHidden/>
    <w:qFormat/>
    <w:uiPriority w:val="99"/>
    <w:rPr>
      <w:rFonts w:ascii="Courier New" w:hAnsi="Courier New" w:cs="Courier New"/>
      <w:sz w:val="20"/>
      <w:szCs w:val="20"/>
    </w:rPr>
  </w:style>
  <w:style w:type="character" w:customStyle="1" w:styleId="231">
    <w:name w:val="Char Char241"/>
    <w:qFormat/>
    <w:uiPriority w:val="0"/>
    <w:rPr>
      <w:rFonts w:ascii="Arial" w:hAnsi="Arial" w:eastAsia="黑体"/>
      <w:b/>
      <w:bCs/>
      <w:kern w:val="2"/>
      <w:sz w:val="32"/>
      <w:szCs w:val="32"/>
      <w:lang w:val="en-US" w:eastAsia="zh-CN" w:bidi="ar-SA"/>
    </w:rPr>
  </w:style>
  <w:style w:type="character" w:customStyle="1" w:styleId="232">
    <w:name w:val="样式2 Char Char Char"/>
    <w:qFormat/>
    <w:uiPriority w:val="0"/>
    <w:rPr>
      <w:rFonts w:ascii="Arial" w:hAnsi="Arial" w:eastAsia="黑体" w:cs="Arial"/>
      <w:kern w:val="44"/>
      <w:sz w:val="28"/>
      <w:szCs w:val="44"/>
      <w:lang w:val="en-US" w:eastAsia="zh-CN" w:bidi="ar-SA"/>
    </w:rPr>
  </w:style>
  <w:style w:type="character" w:customStyle="1" w:styleId="233">
    <w:name w:val="Char Char831"/>
    <w:qFormat/>
    <w:uiPriority w:val="0"/>
    <w:rPr>
      <w:rFonts w:eastAsia="宋体"/>
      <w:kern w:val="2"/>
      <w:sz w:val="21"/>
      <w:szCs w:val="24"/>
      <w:lang w:val="en-US" w:eastAsia="zh-CN" w:bidi="ar-SA"/>
    </w:rPr>
  </w:style>
  <w:style w:type="character" w:customStyle="1" w:styleId="234">
    <w:name w:val="Char Char2121"/>
    <w:qFormat/>
    <w:uiPriority w:val="0"/>
    <w:rPr>
      <w:rFonts w:eastAsia="宋体"/>
      <w:b/>
      <w:kern w:val="2"/>
      <w:sz w:val="27"/>
      <w:szCs w:val="24"/>
      <w:lang w:val="en-US" w:eastAsia="zh-CN" w:bidi="ar-SA"/>
    </w:rPr>
  </w:style>
  <w:style w:type="character" w:customStyle="1" w:styleId="235">
    <w:name w:val="Char Char4511"/>
    <w:qFormat/>
    <w:uiPriority w:val="0"/>
    <w:rPr>
      <w:rFonts w:ascii="仿宋体" w:hAnsi="仿宋体" w:eastAsia="Calibri" w:cs="Times NewRoman"/>
      <w:b/>
      <w:bCs/>
      <w:sz w:val="28"/>
      <w:szCs w:val="32"/>
    </w:rPr>
  </w:style>
  <w:style w:type="character" w:customStyle="1" w:styleId="236">
    <w:name w:val="正文缩进1 Char Char Char1 Char Char Char"/>
    <w:qFormat/>
    <w:uiPriority w:val="0"/>
    <w:rPr>
      <w:rFonts w:eastAsia="宋体"/>
      <w:kern w:val="2"/>
      <w:sz w:val="21"/>
      <w:szCs w:val="24"/>
      <w:lang w:val="en-US" w:eastAsia="zh-CN" w:bidi="ar-SA"/>
    </w:rPr>
  </w:style>
  <w:style w:type="character" w:customStyle="1" w:styleId="237">
    <w:name w:val="电子邮件签名 Char2"/>
    <w:qFormat/>
    <w:uiPriority w:val="0"/>
  </w:style>
  <w:style w:type="character" w:customStyle="1" w:styleId="238">
    <w:name w:val="尾注文本 Char4"/>
    <w:qFormat/>
    <w:uiPriority w:val="0"/>
    <w:rPr>
      <w:kern w:val="2"/>
      <w:sz w:val="21"/>
    </w:rPr>
  </w:style>
  <w:style w:type="character" w:customStyle="1" w:styleId="239">
    <w:name w:val="纯文本 Char3"/>
    <w:qFormat/>
    <w:uiPriority w:val="0"/>
    <w:rPr>
      <w:rFonts w:ascii="宋体" w:hAnsi="Courier New" w:eastAsia="宋体" w:cs="Courier New"/>
      <w:szCs w:val="21"/>
    </w:rPr>
  </w:style>
  <w:style w:type="character" w:customStyle="1" w:styleId="240">
    <w:name w:val="自动A Char Char"/>
    <w:link w:val="241"/>
    <w:qFormat/>
    <w:uiPriority w:val="0"/>
    <w:rPr>
      <w:rFonts w:eastAsia="宋体"/>
      <w:color w:val="000000"/>
      <w:sz w:val="24"/>
    </w:rPr>
  </w:style>
  <w:style w:type="paragraph" w:customStyle="1" w:styleId="241">
    <w:name w:val="自动A"/>
    <w:basedOn w:val="242"/>
    <w:link w:val="240"/>
    <w:qFormat/>
    <w:uiPriority w:val="0"/>
    <w:pPr>
      <w:spacing w:before="156" w:beforeLines="50" w:after="156" w:afterLines="50" w:line="360" w:lineRule="auto"/>
      <w:ind w:firstLine="480"/>
    </w:pPr>
    <w:rPr>
      <w:rFonts w:ascii="Calibri" w:hAnsi="Calibri"/>
      <w:color w:val="000000"/>
      <w:sz w:val="24"/>
      <w:szCs w:val="22"/>
    </w:rPr>
  </w:style>
  <w:style w:type="paragraph" w:customStyle="1" w:styleId="242">
    <w:name w:val="样式1"/>
    <w:basedOn w:val="1"/>
    <w:link w:val="243"/>
    <w:qFormat/>
    <w:uiPriority w:val="0"/>
    <w:pPr>
      <w:spacing w:line="460" w:lineRule="exact"/>
      <w:ind w:firstLine="560" w:firstLineChars="200"/>
    </w:pPr>
    <w:rPr>
      <w:rFonts w:ascii="Times New Roman" w:hAnsi="Times New Roman"/>
      <w:sz w:val="28"/>
      <w:szCs w:val="24"/>
    </w:rPr>
  </w:style>
  <w:style w:type="character" w:customStyle="1" w:styleId="243">
    <w:name w:val="样式1 Char Char"/>
    <w:link w:val="242"/>
    <w:qFormat/>
    <w:uiPriority w:val="0"/>
    <w:rPr>
      <w:rFonts w:ascii="Times New Roman" w:hAnsi="Times New Roman" w:eastAsia="宋体" w:cs="Times New Roman"/>
      <w:sz w:val="28"/>
      <w:szCs w:val="24"/>
    </w:rPr>
  </w:style>
  <w:style w:type="character" w:customStyle="1" w:styleId="244">
    <w:name w:val="标题 Char3"/>
    <w:qFormat/>
    <w:uiPriority w:val="0"/>
    <w:rPr>
      <w:rFonts w:ascii="Cambria" w:hAnsi="Cambria" w:eastAsia="宋体" w:cs="Times New Roman"/>
      <w:b/>
      <w:bCs/>
      <w:sz w:val="32"/>
      <w:szCs w:val="32"/>
    </w:rPr>
  </w:style>
  <w:style w:type="character" w:customStyle="1" w:styleId="245">
    <w:name w:val="正文文本 Char4"/>
    <w:qFormat/>
    <w:uiPriority w:val="0"/>
    <w:rPr>
      <w:rFonts w:ascii="Times New Roman" w:hAnsi="Times New Roman"/>
      <w:kern w:val="2"/>
      <w:sz w:val="21"/>
    </w:rPr>
  </w:style>
  <w:style w:type="character" w:customStyle="1" w:styleId="246">
    <w:name w:val="样式4 Char"/>
    <w:link w:val="247"/>
    <w:qFormat/>
    <w:uiPriority w:val="0"/>
    <w:rPr>
      <w:rFonts w:ascii="黑体" w:hAnsi="Times New Roman" w:eastAsia="黑体"/>
      <w:b/>
      <w:kern w:val="44"/>
      <w:sz w:val="32"/>
      <w14:shadow w14:blurRad="50800" w14:dist="38100" w14:dir="2700000" w14:sx="100000" w14:sy="100000" w14:kx="0" w14:ky="0" w14:algn="tl">
        <w14:srgbClr w14:val="000000">
          <w14:alpha w14:val="60000"/>
        </w14:srgbClr>
      </w14:shadow>
    </w:rPr>
  </w:style>
  <w:style w:type="paragraph" w:customStyle="1" w:styleId="247">
    <w:name w:val="样式4"/>
    <w:basedOn w:val="248"/>
    <w:link w:val="246"/>
    <w:qFormat/>
    <w:uiPriority w:val="0"/>
    <w:pPr>
      <w:tabs>
        <w:tab w:val="left" w:pos="360"/>
        <w:tab w:val="left" w:pos="1280"/>
      </w:tabs>
    </w:pPr>
  </w:style>
  <w:style w:type="paragraph" w:customStyle="1" w:styleId="248">
    <w:name w:val="标题11"/>
    <w:basedOn w:val="4"/>
    <w:qFormat/>
    <w:uiPriority w:val="0"/>
    <w:pPr>
      <w:pageBreakBefore/>
      <w:widowControl/>
      <w:tabs>
        <w:tab w:val="left" w:pos="360"/>
        <w:tab w:val="left" w:pos="1280"/>
      </w:tabs>
      <w:spacing w:after="120" w:line="200" w:lineRule="atLeast"/>
      <w:ind w:left="425" w:hanging="425"/>
    </w:pPr>
    <w:rPr>
      <w:rFonts w:ascii="黑体"/>
      <w:bCs w:val="0"/>
      <w:sz w:val="32"/>
      <w:szCs w:val="20"/>
      <w14:shadow w14:blurRad="50800" w14:dist="38100" w14:dir="2700000" w14:sx="100000" w14:sy="100000" w14:kx="0" w14:ky="0" w14:algn="tl">
        <w14:srgbClr w14:val="000000">
          <w14:alpha w14:val="60000"/>
        </w14:srgbClr>
      </w14:shadow>
    </w:rPr>
  </w:style>
  <w:style w:type="character" w:customStyle="1" w:styleId="249">
    <w:name w:val="unnamed1"/>
    <w:qFormat/>
    <w:uiPriority w:val="0"/>
  </w:style>
  <w:style w:type="character" w:customStyle="1" w:styleId="250">
    <w:name w:val="txtcontent11"/>
    <w:qFormat/>
    <w:uiPriority w:val="0"/>
    <w:rPr>
      <w:rFonts w:hint="default" w:ascii="ˎ̥" w:hAnsi="ˎ̥"/>
      <w:color w:val="000000"/>
      <w:sz w:val="21"/>
      <w:szCs w:val="21"/>
    </w:rPr>
  </w:style>
  <w:style w:type="character" w:customStyle="1" w:styleId="251">
    <w:name w:val="Char Char5511"/>
    <w:qFormat/>
    <w:uiPriority w:val="0"/>
    <w:rPr>
      <w:rFonts w:hint="default" w:ascii="Times New Roman" w:hAnsi="Times New Roman" w:eastAsia="宋体" w:cs="Times New Roman"/>
      <w:b/>
      <w:bCs/>
      <w:kern w:val="44"/>
      <w:sz w:val="44"/>
      <w:szCs w:val="44"/>
    </w:rPr>
  </w:style>
  <w:style w:type="character" w:customStyle="1" w:styleId="252">
    <w:name w:val="样式1 Char"/>
    <w:qFormat/>
    <w:uiPriority w:val="0"/>
    <w:rPr>
      <w:b/>
      <w:bCs/>
      <w:sz w:val="30"/>
      <w:szCs w:val="30"/>
    </w:rPr>
  </w:style>
  <w:style w:type="character" w:customStyle="1" w:styleId="253">
    <w:name w:val="shangbiao2"/>
    <w:qFormat/>
    <w:uiPriority w:val="0"/>
    <w:rPr>
      <w:rFonts w:ascii="Verdana" w:hAnsi="Verdana"/>
      <w:sz w:val="19"/>
      <w:vertAlign w:val="superscript"/>
    </w:rPr>
  </w:style>
  <w:style w:type="character" w:customStyle="1" w:styleId="254">
    <w:name w:val="postbody1"/>
    <w:qFormat/>
    <w:uiPriority w:val="0"/>
    <w:rPr>
      <w:sz w:val="21"/>
      <w:szCs w:val="21"/>
    </w:rPr>
  </w:style>
  <w:style w:type="character" w:customStyle="1" w:styleId="255">
    <w:name w:val="样式 hb3 + Char"/>
    <w:qFormat/>
    <w:uiPriority w:val="0"/>
    <w:rPr>
      <w:rFonts w:eastAsia="宋体"/>
      <w:b/>
      <w:bCs/>
      <w:sz w:val="24"/>
      <w:szCs w:val="24"/>
      <w:lang w:val="en-US" w:eastAsia="zh-CN" w:bidi="ar-SA"/>
    </w:rPr>
  </w:style>
  <w:style w:type="character" w:customStyle="1" w:styleId="256">
    <w:name w:val="Char Char6"/>
    <w:qFormat/>
    <w:uiPriority w:val="0"/>
    <w:rPr>
      <w:kern w:val="2"/>
      <w:sz w:val="18"/>
      <w:szCs w:val="18"/>
    </w:rPr>
  </w:style>
  <w:style w:type="character" w:customStyle="1" w:styleId="257">
    <w:name w:val="称呼 Char2"/>
    <w:qFormat/>
    <w:uiPriority w:val="0"/>
  </w:style>
  <w:style w:type="character" w:customStyle="1" w:styleId="258">
    <w:name w:val="Char Char2511"/>
    <w:qFormat/>
    <w:uiPriority w:val="0"/>
    <w:rPr>
      <w:rFonts w:eastAsia="宋体"/>
      <w:b/>
      <w:bCs/>
      <w:kern w:val="44"/>
      <w:sz w:val="44"/>
      <w:szCs w:val="44"/>
      <w:lang w:val="en-US" w:eastAsia="zh-CN" w:bidi="ar-SA"/>
    </w:rPr>
  </w:style>
  <w:style w:type="character" w:customStyle="1" w:styleId="259">
    <w:name w:val="标题3 Char Char1"/>
    <w:qFormat/>
    <w:uiPriority w:val="0"/>
    <w:rPr>
      <w:rFonts w:ascii="仿宋体" w:hAnsi="仿宋体" w:eastAsia="Calibri" w:cs="Times NewRoman"/>
      <w:b/>
      <w:bCs/>
      <w:sz w:val="24"/>
      <w:szCs w:val="32"/>
    </w:rPr>
  </w:style>
  <w:style w:type="character" w:customStyle="1" w:styleId="260">
    <w:name w:val="段落1 Char1"/>
    <w:link w:val="261"/>
    <w:qFormat/>
    <w:uiPriority w:val="0"/>
    <w:rPr>
      <w:rFonts w:ascii="Calibri" w:hAnsi="Calibri" w:eastAsia="宋体" w:cs="Times New Roman"/>
      <w:spacing w:val="6"/>
      <w:sz w:val="24"/>
      <w:szCs w:val="24"/>
      <w:lang w:val="zh-CN"/>
    </w:rPr>
  </w:style>
  <w:style w:type="paragraph" w:customStyle="1" w:styleId="261">
    <w:name w:val="段落1"/>
    <w:basedOn w:val="1"/>
    <w:link w:val="260"/>
    <w:qFormat/>
    <w:uiPriority w:val="0"/>
    <w:pPr>
      <w:adjustRightInd w:val="0"/>
      <w:spacing w:line="360" w:lineRule="auto"/>
      <w:ind w:firstLine="504" w:firstLineChars="200"/>
      <w:textAlignment w:val="baseline"/>
    </w:pPr>
    <w:rPr>
      <w:spacing w:val="6"/>
      <w:sz w:val="24"/>
      <w:szCs w:val="24"/>
      <w:lang w:val="zh-CN"/>
    </w:rPr>
  </w:style>
  <w:style w:type="character" w:customStyle="1" w:styleId="262">
    <w:name w:val="11"/>
    <w:qFormat/>
    <w:uiPriority w:val="0"/>
    <w:rPr>
      <w:color w:val="FFCC00"/>
      <w:sz w:val="18"/>
      <w:szCs w:val="18"/>
    </w:rPr>
  </w:style>
  <w:style w:type="character" w:customStyle="1" w:styleId="263">
    <w:name w:val="纯文本 Char4"/>
    <w:qFormat/>
    <w:uiPriority w:val="0"/>
    <w:rPr>
      <w:rFonts w:ascii="宋体" w:hAnsi="Courier New" w:cs="Courier New"/>
      <w:kern w:val="2"/>
      <w:sz w:val="21"/>
      <w:szCs w:val="21"/>
    </w:rPr>
  </w:style>
  <w:style w:type="character" w:customStyle="1" w:styleId="264">
    <w:name w:val="Char Char Char"/>
    <w:qFormat/>
    <w:uiPriority w:val="0"/>
    <w:rPr>
      <w:rFonts w:ascii="宋体" w:hAnsi="宋体" w:eastAsia="宋体" w:cs="宋体"/>
      <w:color w:val="000000"/>
      <w:kern w:val="2"/>
      <w:sz w:val="24"/>
      <w:szCs w:val="28"/>
      <w:lang w:val="en-US" w:eastAsia="zh-CN" w:bidi="ar-SA"/>
    </w:rPr>
  </w:style>
  <w:style w:type="character" w:customStyle="1" w:styleId="265">
    <w:name w:val="样式 标题 3标题 13 + (中文) 宋体 小四 行距: 1.5 倍行距 Char Char"/>
    <w:qFormat/>
    <w:uiPriority w:val="0"/>
    <w:rPr>
      <w:rFonts w:eastAsia="宋体" w:cs="宋体"/>
      <w:b/>
      <w:bCs/>
      <w:kern w:val="2"/>
      <w:sz w:val="24"/>
      <w:szCs w:val="24"/>
      <w:lang w:val="en-US" w:eastAsia="zh-CN" w:bidi="ar-SA"/>
    </w:rPr>
  </w:style>
  <w:style w:type="character" w:customStyle="1" w:styleId="266">
    <w:name w:val="样式98 Char"/>
    <w:link w:val="267"/>
    <w:qFormat/>
    <w:uiPriority w:val="0"/>
    <w:rPr>
      <w:rFonts w:eastAsia="宋体"/>
      <w:sz w:val="24"/>
      <w:szCs w:val="24"/>
    </w:rPr>
  </w:style>
  <w:style w:type="paragraph" w:customStyle="1" w:styleId="267">
    <w:name w:val="样式98"/>
    <w:basedOn w:val="1"/>
    <w:link w:val="266"/>
    <w:qFormat/>
    <w:uiPriority w:val="0"/>
    <w:pPr>
      <w:spacing w:before="156" w:beforeLines="50" w:after="156" w:afterLines="50" w:line="360" w:lineRule="auto"/>
      <w:ind w:firstLine="480" w:firstLineChars="200"/>
    </w:pPr>
    <w:rPr>
      <w:sz w:val="24"/>
      <w:szCs w:val="24"/>
    </w:rPr>
  </w:style>
  <w:style w:type="character" w:customStyle="1" w:styleId="268">
    <w:name w:val="日期 Char6"/>
    <w:semiHidden/>
    <w:qFormat/>
    <w:uiPriority w:val="99"/>
  </w:style>
  <w:style w:type="character" w:customStyle="1" w:styleId="269">
    <w:name w:val="Char Char214"/>
    <w:qFormat/>
    <w:uiPriority w:val="0"/>
    <w:rPr>
      <w:rFonts w:eastAsia="宋体"/>
      <w:b/>
      <w:kern w:val="2"/>
      <w:sz w:val="27"/>
      <w:szCs w:val="24"/>
      <w:lang w:val="en-US" w:eastAsia="zh-CN" w:bidi="ar-SA"/>
    </w:rPr>
  </w:style>
  <w:style w:type="character" w:customStyle="1" w:styleId="270">
    <w:name w:val="number"/>
    <w:qFormat/>
    <w:uiPriority w:val="0"/>
  </w:style>
  <w:style w:type="character" w:customStyle="1" w:styleId="271">
    <w:name w:val="Char Char71"/>
    <w:qFormat/>
    <w:uiPriority w:val="0"/>
    <w:rPr>
      <w:rFonts w:ascii="宋体" w:hAnsi="Courier New" w:eastAsia="宋体"/>
      <w:sz w:val="21"/>
      <w:lang w:val="en-US" w:eastAsia="zh-CN" w:bidi="ar-SA"/>
    </w:rPr>
  </w:style>
  <w:style w:type="character" w:customStyle="1" w:styleId="272">
    <w:name w:val="正文段落 Char1"/>
    <w:qFormat/>
    <w:uiPriority w:val="0"/>
    <w:rPr>
      <w:rFonts w:eastAsia="宋体"/>
      <w:sz w:val="28"/>
      <w:lang w:val="en-US" w:eastAsia="zh-CN" w:bidi="ar-SA"/>
    </w:rPr>
  </w:style>
  <w:style w:type="character" w:customStyle="1" w:styleId="273">
    <w:name w:val="2级 Char"/>
    <w:link w:val="274"/>
    <w:qFormat/>
    <w:locked/>
    <w:uiPriority w:val="0"/>
    <w:rPr>
      <w:rFonts w:ascii="宋体"/>
      <w:b/>
      <w:kern w:val="44"/>
      <w:sz w:val="28"/>
      <w:szCs w:val="44"/>
    </w:rPr>
  </w:style>
  <w:style w:type="paragraph" w:customStyle="1" w:styleId="274">
    <w:name w:val="2级"/>
    <w:link w:val="273"/>
    <w:qFormat/>
    <w:uiPriority w:val="0"/>
    <w:pPr>
      <w:adjustRightInd w:val="0"/>
      <w:snapToGrid w:val="0"/>
      <w:spacing w:line="360" w:lineRule="auto"/>
      <w:outlineLvl w:val="1"/>
    </w:pPr>
    <w:rPr>
      <w:rFonts w:ascii="宋体" w:hAnsi="Calibri" w:eastAsia="宋体" w:cs="Times New Roman"/>
      <w:b/>
      <w:kern w:val="44"/>
      <w:sz w:val="28"/>
      <w:szCs w:val="44"/>
      <w:lang w:val="en-US" w:eastAsia="zh-CN" w:bidi="ar-SA"/>
    </w:rPr>
  </w:style>
  <w:style w:type="character" w:customStyle="1" w:styleId="275">
    <w:name w:val="Char Char57"/>
    <w:qFormat/>
    <w:uiPriority w:val="0"/>
    <w:rPr>
      <w:rFonts w:ascii="Times NewRoman" w:hAnsi="Times NewRoman" w:eastAsia="宋体" w:cs="Times NewRoman"/>
      <w:kern w:val="2"/>
      <w:sz w:val="28"/>
      <w:szCs w:val="24"/>
      <w:lang w:val="en-US" w:eastAsia="zh-CN" w:bidi="ar-SA"/>
    </w:rPr>
  </w:style>
  <w:style w:type="character" w:customStyle="1" w:styleId="276">
    <w:name w:val="Char Char46"/>
    <w:qFormat/>
    <w:uiPriority w:val="0"/>
    <w:rPr>
      <w:rFonts w:ascii="Arial" w:hAnsi="Arial" w:eastAsia="黑体"/>
      <w:b/>
      <w:bCs/>
      <w:kern w:val="2"/>
      <w:sz w:val="32"/>
      <w:szCs w:val="32"/>
      <w:lang w:val="en-US" w:eastAsia="zh-CN" w:bidi="ar-SA"/>
    </w:rPr>
  </w:style>
  <w:style w:type="character" w:customStyle="1" w:styleId="277">
    <w:name w:val="g Char"/>
    <w:qFormat/>
    <w:uiPriority w:val="0"/>
    <w:rPr>
      <w:rFonts w:eastAsia="宋体"/>
      <w:kern w:val="2"/>
      <w:sz w:val="18"/>
      <w:szCs w:val="18"/>
      <w:lang w:val="en-US" w:eastAsia="zh-CN" w:bidi="ar-SA"/>
    </w:rPr>
  </w:style>
  <w:style w:type="character" w:customStyle="1" w:styleId="278">
    <w:name w:val="日期 Char4"/>
    <w:qFormat/>
    <w:uiPriority w:val="0"/>
    <w:rPr>
      <w:kern w:val="2"/>
      <w:sz w:val="21"/>
    </w:rPr>
  </w:style>
  <w:style w:type="character" w:customStyle="1" w:styleId="279">
    <w:name w:val="Char Char254"/>
    <w:qFormat/>
    <w:uiPriority w:val="0"/>
    <w:rPr>
      <w:rFonts w:eastAsia="宋体"/>
      <w:b/>
      <w:bCs/>
      <w:kern w:val="44"/>
      <w:sz w:val="44"/>
      <w:szCs w:val="44"/>
      <w:lang w:val="en-US" w:eastAsia="zh-CN" w:bidi="ar-SA"/>
    </w:rPr>
  </w:style>
  <w:style w:type="character" w:customStyle="1" w:styleId="280">
    <w:name w:val="报告表文字 Char"/>
    <w:link w:val="281"/>
    <w:qFormat/>
    <w:uiPriority w:val="0"/>
    <w:rPr>
      <w:kern w:val="10"/>
      <w:sz w:val="24"/>
      <w:szCs w:val="24"/>
    </w:rPr>
  </w:style>
  <w:style w:type="paragraph" w:customStyle="1" w:styleId="281">
    <w:name w:val="报告表文字"/>
    <w:basedOn w:val="70"/>
    <w:link w:val="280"/>
    <w:qFormat/>
    <w:uiPriority w:val="0"/>
    <w:pPr>
      <w:spacing w:after="120"/>
      <w:ind w:left="420" w:leftChars="200" w:firstLine="0"/>
    </w:pPr>
    <w:rPr>
      <w:kern w:val="10"/>
      <w:szCs w:val="24"/>
    </w:rPr>
  </w:style>
  <w:style w:type="character" w:customStyle="1" w:styleId="282">
    <w:name w:val="图表正文 Char Char"/>
    <w:link w:val="283"/>
    <w:qFormat/>
    <w:uiPriority w:val="0"/>
    <w:rPr>
      <w:rFonts w:ascii="宋体" w:hAnsi="宋体" w:eastAsia="宋体"/>
      <w:snapToGrid w:val="0"/>
      <w:szCs w:val="24"/>
    </w:rPr>
  </w:style>
  <w:style w:type="paragraph" w:customStyle="1" w:styleId="283">
    <w:name w:val="图表正文"/>
    <w:basedOn w:val="1"/>
    <w:link w:val="282"/>
    <w:qFormat/>
    <w:uiPriority w:val="0"/>
    <w:pPr>
      <w:spacing w:line="360" w:lineRule="atLeast"/>
      <w:jc w:val="center"/>
    </w:pPr>
    <w:rPr>
      <w:rFonts w:ascii="宋体" w:hAnsi="宋体"/>
      <w:snapToGrid w:val="0"/>
      <w:szCs w:val="24"/>
    </w:rPr>
  </w:style>
  <w:style w:type="character" w:customStyle="1" w:styleId="284">
    <w:name w:val="样式 宋体 13.5 磅1"/>
    <w:qFormat/>
    <w:uiPriority w:val="0"/>
    <w:rPr>
      <w:rFonts w:ascii="宋体" w:hAnsi="宋体"/>
      <w:sz w:val="28"/>
    </w:rPr>
  </w:style>
  <w:style w:type="character" w:customStyle="1" w:styleId="285">
    <w:name w:val="表文字 Char1"/>
    <w:qFormat/>
    <w:uiPriority w:val="0"/>
    <w:rPr>
      <w:rFonts w:ascii="Times New Roman" w:hAnsi="Times New Roman" w:eastAsia="宋体" w:cs="Times New Roman"/>
      <w:kern w:val="0"/>
      <w:szCs w:val="20"/>
    </w:rPr>
  </w:style>
  <w:style w:type="character" w:customStyle="1" w:styleId="286">
    <w:name w:val="称呼 Char6"/>
    <w:semiHidden/>
    <w:qFormat/>
    <w:uiPriority w:val="99"/>
  </w:style>
  <w:style w:type="character" w:customStyle="1" w:styleId="287">
    <w:name w:val="表格内正文 Char1"/>
    <w:link w:val="288"/>
    <w:qFormat/>
    <w:locked/>
    <w:uiPriority w:val="0"/>
    <w:rPr>
      <w:rFonts w:ascii="宋体" w:hAnsi="宋体"/>
      <w:spacing w:val="4"/>
      <w:kern w:val="18"/>
      <w:sz w:val="24"/>
      <w:szCs w:val="24"/>
    </w:rPr>
  </w:style>
  <w:style w:type="paragraph" w:customStyle="1" w:styleId="288">
    <w:name w:val="表格内正文"/>
    <w:basedOn w:val="1"/>
    <w:link w:val="287"/>
    <w:qFormat/>
    <w:uiPriority w:val="0"/>
    <w:pPr>
      <w:spacing w:line="360" w:lineRule="auto"/>
      <w:ind w:firstLine="499"/>
    </w:pPr>
    <w:rPr>
      <w:rFonts w:ascii="宋体" w:hAnsi="宋体"/>
      <w:spacing w:val="4"/>
      <w:kern w:val="18"/>
      <w:sz w:val="24"/>
      <w:szCs w:val="24"/>
    </w:rPr>
  </w:style>
  <w:style w:type="character" w:customStyle="1" w:styleId="289">
    <w:name w:val="样式 标题 1 + 黑体 小三 非加粗 Char"/>
    <w:qFormat/>
    <w:uiPriority w:val="0"/>
    <w:rPr>
      <w:rFonts w:ascii="黑体" w:hAnsi="黑体" w:eastAsia="黑体"/>
      <w:kern w:val="44"/>
      <w:sz w:val="30"/>
      <w:szCs w:val="44"/>
      <w:lang w:val="en-US" w:eastAsia="zh-CN" w:bidi="ar-SA"/>
    </w:rPr>
  </w:style>
  <w:style w:type="character" w:customStyle="1" w:styleId="290">
    <w:name w:val="正文文字缩进 31 Char4"/>
    <w:qFormat/>
    <w:uiPriority w:val="0"/>
    <w:rPr>
      <w:rFonts w:eastAsia="宋体"/>
      <w:kern w:val="2"/>
      <w:sz w:val="24"/>
      <w:lang w:val="en-US" w:eastAsia="zh-CN" w:bidi="ar-SA"/>
    </w:rPr>
  </w:style>
  <w:style w:type="character" w:customStyle="1" w:styleId="291">
    <w:name w:val="标题7"/>
    <w:qFormat/>
    <w:uiPriority w:val="0"/>
  </w:style>
  <w:style w:type="character" w:customStyle="1" w:styleId="292">
    <w:name w:val="Char Char591"/>
    <w:qFormat/>
    <w:uiPriority w:val="0"/>
    <w:rPr>
      <w:rFonts w:ascii="Times NewRoman" w:hAnsi="Times NewRoman" w:eastAsia="宋体" w:cs="Times NewRoman"/>
      <w:kern w:val="2"/>
      <w:sz w:val="28"/>
      <w:szCs w:val="24"/>
      <w:lang w:val="en-US" w:eastAsia="zh-CN" w:bidi="ar-SA"/>
    </w:rPr>
  </w:style>
  <w:style w:type="character" w:customStyle="1" w:styleId="293">
    <w:name w:val="标准样式 Char"/>
    <w:qFormat/>
    <w:uiPriority w:val="0"/>
    <w:rPr>
      <w:rFonts w:ascii="宋体" w:eastAsia="宋体"/>
      <w:sz w:val="28"/>
      <w:szCs w:val="28"/>
      <w:lang w:val="en-US" w:eastAsia="zh-CN" w:bidi="ar-SA"/>
    </w:rPr>
  </w:style>
  <w:style w:type="character" w:customStyle="1" w:styleId="294">
    <w:name w:val="HTML 地址 Char1"/>
    <w:qFormat/>
    <w:uiPriority w:val="99"/>
    <w:rPr>
      <w:i/>
      <w:iCs/>
    </w:rPr>
  </w:style>
  <w:style w:type="character" w:customStyle="1" w:styleId="295">
    <w:name w:val="样式 hb3 + Char Char Char"/>
    <w:qFormat/>
    <w:uiPriority w:val="0"/>
    <w:rPr>
      <w:rFonts w:eastAsia="宋体"/>
      <w:b/>
      <w:bCs/>
      <w:sz w:val="24"/>
      <w:szCs w:val="24"/>
      <w:lang w:val="en-US" w:eastAsia="zh-CN" w:bidi="ar-SA"/>
    </w:rPr>
  </w:style>
  <w:style w:type="character" w:customStyle="1" w:styleId="296">
    <w:name w:val="Char Char531"/>
    <w:qFormat/>
    <w:uiPriority w:val="0"/>
    <w:rPr>
      <w:rFonts w:hint="default" w:ascii="Times New Roman" w:hAnsi="Times New Roman" w:eastAsia="宋体" w:cs="Times New Roman"/>
      <w:b/>
      <w:bCs/>
      <w:sz w:val="32"/>
      <w:szCs w:val="32"/>
    </w:rPr>
  </w:style>
  <w:style w:type="character" w:customStyle="1" w:styleId="297">
    <w:name w:val="样式 样式 宋体 四号 黑色 左侧:  0.32 厘米 行距: 1.5 倍行距 + 首行缩进:  2 字符2 Char"/>
    <w:link w:val="298"/>
    <w:qFormat/>
    <w:locked/>
    <w:uiPriority w:val="0"/>
    <w:rPr>
      <w:rFonts w:ascii="宋体" w:hAnsi="宋体" w:eastAsia="宋体" w:cs="宋体"/>
      <w:sz w:val="28"/>
      <w:szCs w:val="28"/>
    </w:rPr>
  </w:style>
  <w:style w:type="paragraph" w:customStyle="1" w:styleId="298">
    <w:name w:val="样式 样式 宋体 四号 黑色 左侧:  0.32 厘米 行距: 1.5 倍行距 + 首行缩进:  2 字符2"/>
    <w:basedOn w:val="1"/>
    <w:link w:val="297"/>
    <w:qFormat/>
    <w:uiPriority w:val="0"/>
    <w:pPr>
      <w:spacing w:line="360" w:lineRule="auto"/>
      <w:ind w:firstLine="560" w:firstLineChars="200"/>
    </w:pPr>
    <w:rPr>
      <w:rFonts w:ascii="宋体" w:hAnsi="宋体" w:cs="宋体"/>
      <w:sz w:val="28"/>
      <w:szCs w:val="28"/>
    </w:rPr>
  </w:style>
  <w:style w:type="character" w:customStyle="1" w:styleId="299">
    <w:name w:val="正文文本 Char1"/>
    <w:qFormat/>
    <w:uiPriority w:val="99"/>
    <w:rPr>
      <w:rFonts w:eastAsia="宋体"/>
      <w:kern w:val="2"/>
      <w:sz w:val="24"/>
      <w:szCs w:val="24"/>
      <w:lang w:val="en-US" w:eastAsia="zh-CN" w:bidi="ar-SA"/>
    </w:rPr>
  </w:style>
  <w:style w:type="character" w:customStyle="1" w:styleId="300">
    <w:name w:val="样式 (中文) 仿宋_GB2312 四号"/>
    <w:qFormat/>
    <w:uiPriority w:val="0"/>
    <w:rPr>
      <w:rFonts w:eastAsia="宋体"/>
      <w:sz w:val="28"/>
    </w:rPr>
  </w:style>
  <w:style w:type="character" w:customStyle="1" w:styleId="301">
    <w:name w:val="普通文字 Char Char1"/>
    <w:qFormat/>
    <w:uiPriority w:val="0"/>
    <w:rPr>
      <w:rFonts w:ascii="宋体" w:hAnsi="Courier New" w:cs="Courier New"/>
      <w:kern w:val="0"/>
      <w:sz w:val="21"/>
      <w:szCs w:val="21"/>
    </w:rPr>
  </w:style>
  <w:style w:type="character" w:customStyle="1" w:styleId="302">
    <w:name w:val="正文首行缩进 Char7"/>
    <w:semiHidden/>
    <w:qFormat/>
    <w:uiPriority w:val="99"/>
  </w:style>
  <w:style w:type="character" w:customStyle="1" w:styleId="303">
    <w:name w:val="正文文本 Char6"/>
    <w:qFormat/>
    <w:uiPriority w:val="0"/>
  </w:style>
  <w:style w:type="character" w:customStyle="1" w:styleId="304">
    <w:name w:val="页眉1 Char1"/>
    <w:qFormat/>
    <w:locked/>
    <w:uiPriority w:val="0"/>
    <w:rPr>
      <w:rFonts w:ascii="宋体" w:hAnsi="宋体" w:eastAsia="宋体"/>
      <w:kern w:val="2"/>
      <w:sz w:val="18"/>
      <w:szCs w:val="18"/>
      <w:lang w:val="en-US" w:eastAsia="zh-CN" w:bidi="ar-SA"/>
    </w:rPr>
  </w:style>
  <w:style w:type="character" w:customStyle="1" w:styleId="305">
    <w:name w:val="样式6 Char Char Char"/>
    <w:qFormat/>
    <w:uiPriority w:val="0"/>
    <w:rPr>
      <w:rFonts w:ascii="宋体" w:eastAsia="汉鼎简书宋"/>
      <w:kern w:val="2"/>
      <w:sz w:val="28"/>
      <w:lang w:val="en-US" w:eastAsia="zh-CN" w:bidi="ar-SA"/>
    </w:rPr>
  </w:style>
  <w:style w:type="character" w:customStyle="1" w:styleId="306">
    <w:name w:val="报告表  段 Char Char"/>
    <w:link w:val="307"/>
    <w:qFormat/>
    <w:uiPriority w:val="0"/>
    <w:rPr>
      <w:rFonts w:ascii="宋体"/>
      <w:sz w:val="24"/>
    </w:rPr>
  </w:style>
  <w:style w:type="paragraph" w:customStyle="1" w:styleId="307">
    <w:name w:val="报告表  段"/>
    <w:basedOn w:val="1"/>
    <w:link w:val="306"/>
    <w:qFormat/>
    <w:uiPriority w:val="0"/>
    <w:pPr>
      <w:adjustRightInd w:val="0"/>
      <w:spacing w:line="360" w:lineRule="auto"/>
      <w:ind w:firstLine="505"/>
      <w:textAlignment w:val="baseline"/>
    </w:pPr>
    <w:rPr>
      <w:rFonts w:ascii="宋体"/>
      <w:sz w:val="24"/>
    </w:rPr>
  </w:style>
  <w:style w:type="character" w:customStyle="1" w:styleId="308">
    <w:name w:val="正文文本缩进 2 Char Char Char"/>
    <w:qFormat/>
    <w:uiPriority w:val="0"/>
    <w:rPr>
      <w:rFonts w:eastAsia="宋体"/>
      <w:sz w:val="24"/>
      <w:szCs w:val="24"/>
      <w:lang w:bidi="ar-SA"/>
    </w:rPr>
  </w:style>
  <w:style w:type="character" w:customStyle="1" w:styleId="309">
    <w:name w:val="Char Char40"/>
    <w:qFormat/>
    <w:uiPriority w:val="0"/>
    <w:rPr>
      <w:rFonts w:hint="eastAsia" w:ascii="宋体" w:hAnsi="宋体" w:eastAsia="宋体"/>
      <w:kern w:val="2"/>
      <w:sz w:val="28"/>
      <w:szCs w:val="24"/>
      <w:lang w:val="en-US" w:eastAsia="zh-CN" w:bidi="ar-SA"/>
    </w:rPr>
  </w:style>
  <w:style w:type="character" w:customStyle="1" w:styleId="310">
    <w:name w:val="正文文本缩进 2 Char3"/>
    <w:qFormat/>
    <w:uiPriority w:val="0"/>
  </w:style>
  <w:style w:type="character" w:customStyle="1" w:styleId="311">
    <w:name w:val="hb2 Char"/>
    <w:qFormat/>
    <w:uiPriority w:val="0"/>
    <w:rPr>
      <w:rFonts w:eastAsia="宋体"/>
      <w:b/>
      <w:bCs/>
      <w:sz w:val="24"/>
      <w:szCs w:val="24"/>
      <w:lang w:val="en-US" w:eastAsia="zh-CN" w:bidi="ar-SA"/>
    </w:rPr>
  </w:style>
  <w:style w:type="character" w:customStyle="1" w:styleId="312">
    <w:name w:val="taxxh"/>
    <w:qFormat/>
    <w:uiPriority w:val="0"/>
  </w:style>
  <w:style w:type="character" w:customStyle="1" w:styleId="313">
    <w:name w:val="Char Char651"/>
    <w:qFormat/>
    <w:uiPriority w:val="0"/>
    <w:rPr>
      <w:rFonts w:ascii="Times NewRoman" w:hAnsi="Times NewRoman" w:eastAsia="幼圆" w:cs="Times NewRoman"/>
      <w:b/>
      <w:bCs/>
      <w:kern w:val="44"/>
      <w:sz w:val="44"/>
      <w:szCs w:val="44"/>
      <w:lang w:val="en-US" w:eastAsia="zh-CN" w:bidi="ar-SA"/>
    </w:rPr>
  </w:style>
  <w:style w:type="character" w:customStyle="1" w:styleId="314">
    <w:name w:val="三级标题 Char Char"/>
    <w:qFormat/>
    <w:uiPriority w:val="0"/>
    <w:rPr>
      <w:rFonts w:ascii="宋体" w:hAnsi="宋体" w:eastAsia="宋体" w:cs="Arial Unicode MS"/>
      <w:b/>
      <w:kern w:val="2"/>
      <w:sz w:val="24"/>
      <w:szCs w:val="24"/>
      <w:lang w:val="en-US" w:eastAsia="zh-CN" w:bidi="ar-SA"/>
    </w:rPr>
  </w:style>
  <w:style w:type="character" w:customStyle="1" w:styleId="315">
    <w:name w:val="Char Char93"/>
    <w:qFormat/>
    <w:uiPriority w:val="0"/>
    <w:rPr>
      <w:rFonts w:eastAsia="宋体"/>
      <w:kern w:val="2"/>
      <w:sz w:val="21"/>
      <w:szCs w:val="24"/>
      <w:lang w:val="en-US" w:eastAsia="zh-CN" w:bidi="ar-SA"/>
    </w:rPr>
  </w:style>
  <w:style w:type="character" w:customStyle="1" w:styleId="316">
    <w:name w:val="我的正文 Char Char"/>
    <w:qFormat/>
    <w:uiPriority w:val="0"/>
    <w:rPr>
      <w:rFonts w:ascii="宋体" w:hAnsi="宋体" w:eastAsia="宋体" w:cs="宋体"/>
      <w:kern w:val="2"/>
      <w:sz w:val="28"/>
      <w:szCs w:val="24"/>
      <w:lang w:val="en-US" w:eastAsia="zh-CN" w:bidi="ar-SA"/>
    </w:rPr>
  </w:style>
  <w:style w:type="character" w:customStyle="1" w:styleId="317">
    <w:name w:val="aaa Char Char"/>
    <w:qFormat/>
    <w:uiPriority w:val="0"/>
    <w:rPr>
      <w:rFonts w:eastAsia="宋体"/>
      <w:sz w:val="24"/>
      <w:lang w:val="en-US" w:eastAsia="zh-CN" w:bidi="ar-SA"/>
    </w:rPr>
  </w:style>
  <w:style w:type="character" w:customStyle="1" w:styleId="318">
    <w:name w:val="正文小四首缩1.5行距 Char"/>
    <w:link w:val="319"/>
    <w:qFormat/>
    <w:uiPriority w:val="0"/>
    <w:rPr>
      <w:rFonts w:eastAsia="宋体"/>
      <w:sz w:val="24"/>
      <w:szCs w:val="24"/>
    </w:rPr>
  </w:style>
  <w:style w:type="paragraph" w:customStyle="1" w:styleId="319">
    <w:name w:val="正文小四首缩1.5行距"/>
    <w:basedOn w:val="1"/>
    <w:link w:val="318"/>
    <w:qFormat/>
    <w:uiPriority w:val="0"/>
    <w:pPr>
      <w:spacing w:line="360" w:lineRule="auto"/>
      <w:ind w:firstLine="425" w:firstLineChars="177"/>
    </w:pPr>
    <w:rPr>
      <w:sz w:val="24"/>
      <w:szCs w:val="24"/>
    </w:rPr>
  </w:style>
  <w:style w:type="character" w:customStyle="1" w:styleId="320">
    <w:name w:val="正文文本缩进 2 Char Char"/>
    <w:qFormat/>
    <w:uiPriority w:val="0"/>
    <w:rPr>
      <w:rFonts w:eastAsia="宋体"/>
      <w:kern w:val="2"/>
      <w:sz w:val="21"/>
      <w:szCs w:val="24"/>
      <w:lang w:val="en-US" w:eastAsia="zh-CN" w:bidi="ar-SA"/>
    </w:rPr>
  </w:style>
  <w:style w:type="character" w:customStyle="1" w:styleId="321">
    <w:name w:val="Char Char221"/>
    <w:qFormat/>
    <w:uiPriority w:val="0"/>
    <w:rPr>
      <w:rFonts w:ascii="Arial" w:hAnsi="Arial" w:eastAsia="黑体"/>
      <w:b/>
      <w:bCs/>
      <w:kern w:val="2"/>
      <w:sz w:val="28"/>
      <w:szCs w:val="28"/>
      <w:lang w:val="en-US" w:eastAsia="zh-CN" w:bidi="ar-SA"/>
    </w:rPr>
  </w:style>
  <w:style w:type="character" w:customStyle="1" w:styleId="322">
    <w:name w:val="表格(张曦) Char"/>
    <w:link w:val="323"/>
    <w:qFormat/>
    <w:uiPriority w:val="0"/>
    <w:rPr>
      <w:rFonts w:ascii="Arial" w:hAnsi="Arial"/>
      <w:kern w:val="2"/>
      <w:sz w:val="21"/>
      <w:szCs w:val="24"/>
    </w:rPr>
  </w:style>
  <w:style w:type="paragraph" w:customStyle="1" w:styleId="323">
    <w:name w:val="表格(张曦)"/>
    <w:basedOn w:val="1"/>
    <w:link w:val="322"/>
    <w:qFormat/>
    <w:uiPriority w:val="0"/>
    <w:pPr>
      <w:snapToGrid w:val="0"/>
      <w:jc w:val="center"/>
    </w:pPr>
    <w:rPr>
      <w:rFonts w:ascii="Arial" w:hAnsi="Arial"/>
      <w:szCs w:val="24"/>
    </w:rPr>
  </w:style>
  <w:style w:type="character" w:customStyle="1" w:styleId="324">
    <w:name w:val="普通文字 Char Char Char Char5"/>
    <w:qFormat/>
    <w:uiPriority w:val="0"/>
    <w:rPr>
      <w:rFonts w:ascii="宋体" w:hAnsi="Courier New" w:eastAsia="宋体"/>
      <w:kern w:val="2"/>
      <w:sz w:val="21"/>
      <w:lang w:val="en-US" w:eastAsia="zh-CN" w:bidi="ar-SA"/>
    </w:rPr>
  </w:style>
  <w:style w:type="character" w:customStyle="1" w:styleId="325">
    <w:name w:val="h31"/>
    <w:qFormat/>
    <w:uiPriority w:val="0"/>
    <w:rPr>
      <w:sz w:val="21"/>
      <w:szCs w:val="21"/>
    </w:rPr>
  </w:style>
  <w:style w:type="character" w:customStyle="1" w:styleId="326">
    <w:name w:val="表格正文 Char Char"/>
    <w:qFormat/>
    <w:uiPriority w:val="0"/>
    <w:rPr>
      <w:rFonts w:ascii="宋体" w:hAnsi="宋体" w:eastAsia="宋体"/>
      <w:b/>
      <w:bCs/>
      <w:kern w:val="2"/>
      <w:sz w:val="21"/>
      <w:szCs w:val="21"/>
      <w:lang w:val="en-US" w:eastAsia="zh-CN" w:bidi="ar-SA"/>
    </w:rPr>
  </w:style>
  <w:style w:type="character" w:customStyle="1" w:styleId="327">
    <w:name w:val="zhou11"/>
    <w:qFormat/>
    <w:uiPriority w:val="0"/>
    <w:rPr>
      <w:color w:val="000000"/>
      <w:sz w:val="21"/>
      <w:szCs w:val="21"/>
    </w:rPr>
  </w:style>
  <w:style w:type="character" w:customStyle="1" w:styleId="328">
    <w:name w:val="7表格(治) Char"/>
    <w:qFormat/>
    <w:uiPriority w:val="0"/>
    <w:rPr>
      <w:rFonts w:eastAsia="宋体" w:cs="宋体"/>
      <w:kern w:val="2"/>
      <w:sz w:val="21"/>
      <w:szCs w:val="36"/>
      <w:lang w:val="en-US" w:eastAsia="zh-CN" w:bidi="ar-SA"/>
    </w:rPr>
  </w:style>
  <w:style w:type="character" w:customStyle="1" w:styleId="329">
    <w:name w:val="z-窗体底端 Char"/>
    <w:link w:val="330"/>
    <w:qFormat/>
    <w:uiPriority w:val="0"/>
    <w:rPr>
      <w:rFonts w:ascii="Arial" w:hAnsi="Arial"/>
      <w:vanish/>
      <w:sz w:val="16"/>
      <w:szCs w:val="16"/>
    </w:rPr>
  </w:style>
  <w:style w:type="paragraph" w:customStyle="1" w:styleId="330">
    <w:name w:val="z-窗体底端1"/>
    <w:basedOn w:val="1"/>
    <w:next w:val="1"/>
    <w:link w:val="329"/>
    <w:qFormat/>
    <w:uiPriority w:val="0"/>
    <w:pPr>
      <w:widowControl/>
      <w:pBdr>
        <w:top w:val="single" w:color="auto" w:sz="6" w:space="1"/>
      </w:pBdr>
      <w:jc w:val="center"/>
    </w:pPr>
    <w:rPr>
      <w:rFonts w:ascii="Arial" w:hAnsi="Arial"/>
      <w:vanish/>
      <w:kern w:val="0"/>
      <w:sz w:val="16"/>
      <w:szCs w:val="16"/>
    </w:rPr>
  </w:style>
  <w:style w:type="character" w:customStyle="1" w:styleId="331">
    <w:name w:val="Char Char341"/>
    <w:qFormat/>
    <w:uiPriority w:val="0"/>
    <w:rPr>
      <w:rFonts w:eastAsia="宋体"/>
      <w:b/>
      <w:bCs/>
      <w:kern w:val="44"/>
      <w:sz w:val="44"/>
      <w:szCs w:val="44"/>
      <w:lang w:val="en-US" w:eastAsia="zh-CN" w:bidi="ar-SA"/>
    </w:rPr>
  </w:style>
  <w:style w:type="character" w:customStyle="1" w:styleId="332">
    <w:name w:val="表内格式[858D7CFB-ED40-4347-BF05-701D383B685F]1"/>
    <w:qFormat/>
    <w:uiPriority w:val="0"/>
    <w:rPr>
      <w:rFonts w:eastAsia="仿宋_GB2312"/>
    </w:rPr>
  </w:style>
  <w:style w:type="character" w:customStyle="1" w:styleId="333">
    <w:name w:val="Char Char243"/>
    <w:qFormat/>
    <w:uiPriority w:val="0"/>
    <w:rPr>
      <w:rFonts w:ascii="宋体" w:hAnsi="宋体" w:eastAsia="宋体"/>
      <w:b/>
      <w:kern w:val="2"/>
      <w:sz w:val="28"/>
      <w:szCs w:val="24"/>
      <w:lang w:val="en-US" w:eastAsia="zh-CN" w:bidi="ar-SA"/>
    </w:rPr>
  </w:style>
  <w:style w:type="character" w:customStyle="1" w:styleId="334">
    <w:name w:val="三级标题 Char"/>
    <w:link w:val="335"/>
    <w:qFormat/>
    <w:locked/>
    <w:uiPriority w:val="0"/>
    <w:rPr>
      <w:rFonts w:ascii="宋体" w:hAnsi="宋体" w:eastAsia="黑体" w:cs="Arial Unicode MS"/>
      <w:b/>
      <w:kern w:val="2"/>
      <w:sz w:val="24"/>
      <w:szCs w:val="24"/>
    </w:rPr>
  </w:style>
  <w:style w:type="paragraph" w:customStyle="1" w:styleId="335">
    <w:name w:val="三级标题"/>
    <w:basedOn w:val="6"/>
    <w:link w:val="334"/>
    <w:qFormat/>
    <w:uiPriority w:val="0"/>
    <w:pPr>
      <w:spacing w:before="156" w:beforeLines="50" w:after="156" w:afterLines="50"/>
    </w:pPr>
    <w:rPr>
      <w:rFonts w:ascii="宋体" w:hAnsi="宋体" w:cs="Arial Unicode MS"/>
      <w:bCs w:val="0"/>
      <w:szCs w:val="24"/>
    </w:rPr>
  </w:style>
  <w:style w:type="character" w:customStyle="1" w:styleId="336">
    <w:name w:val="样式11111 Char"/>
    <w:qFormat/>
    <w:uiPriority w:val="0"/>
    <w:rPr>
      <w:rFonts w:eastAsia="宋体"/>
      <w:color w:val="000000"/>
      <w:kern w:val="2"/>
      <w:sz w:val="24"/>
      <w:szCs w:val="24"/>
      <w:lang w:val="en-US" w:eastAsia="zh-CN" w:bidi="ar-SA"/>
    </w:rPr>
  </w:style>
  <w:style w:type="character" w:customStyle="1" w:styleId="337">
    <w:name w:val="Char Char2911"/>
    <w:qFormat/>
    <w:locked/>
    <w:uiPriority w:val="0"/>
    <w:rPr>
      <w:rFonts w:hint="eastAsia" w:ascii="宋体" w:hAnsi="宋体" w:eastAsia="宋体"/>
      <w:kern w:val="2"/>
      <w:sz w:val="16"/>
      <w:szCs w:val="16"/>
      <w:lang w:val="en-US" w:eastAsia="zh-CN" w:bidi="ar-SA"/>
    </w:rPr>
  </w:style>
  <w:style w:type="character" w:customStyle="1" w:styleId="338">
    <w:name w:val="批注主题 Char Char"/>
    <w:qFormat/>
    <w:uiPriority w:val="0"/>
    <w:rPr>
      <w:rFonts w:eastAsia="宋体"/>
      <w:b/>
      <w:bCs/>
      <w:kern w:val="2"/>
      <w:sz w:val="21"/>
      <w:szCs w:val="24"/>
      <w:lang w:val="en-US" w:eastAsia="zh-CN" w:bidi="ar-SA"/>
    </w:rPr>
  </w:style>
  <w:style w:type="character" w:customStyle="1" w:styleId="339">
    <w:name w:val="二级标题 Char Char"/>
    <w:qFormat/>
    <w:uiPriority w:val="0"/>
    <w:rPr>
      <w:rFonts w:ascii="黑体" w:hAnsi="Arial" w:eastAsia="黑体"/>
      <w:b/>
      <w:bCs/>
      <w:kern w:val="2"/>
      <w:sz w:val="28"/>
      <w:szCs w:val="28"/>
      <w:lang w:val="en-US" w:eastAsia="zh-CN" w:bidi="ar-SA"/>
    </w:rPr>
  </w:style>
  <w:style w:type="character" w:customStyle="1" w:styleId="340">
    <w:name w:val="批注框文本 Char4"/>
    <w:qFormat/>
    <w:uiPriority w:val="0"/>
    <w:rPr>
      <w:kern w:val="2"/>
      <w:sz w:val="18"/>
      <w:szCs w:val="18"/>
    </w:rPr>
  </w:style>
  <w:style w:type="character" w:customStyle="1" w:styleId="341">
    <w:name w:val="Char Char4011"/>
    <w:qFormat/>
    <w:uiPriority w:val="0"/>
    <w:rPr>
      <w:rFonts w:ascii="Times NewRoman" w:hAnsi="Times NewRoman" w:eastAsia="幼圆" w:cs="Times NewRoman"/>
      <w:sz w:val="28"/>
      <w:szCs w:val="24"/>
    </w:rPr>
  </w:style>
  <w:style w:type="character" w:customStyle="1" w:styleId="342">
    <w:name w:val="自动A Char Char Char"/>
    <w:qFormat/>
    <w:uiPriority w:val="0"/>
    <w:rPr>
      <w:rFonts w:eastAsia="宋体"/>
      <w:color w:val="000000"/>
      <w:sz w:val="24"/>
      <w:lang w:val="en-US" w:eastAsia="zh-CN" w:bidi="ar-SA"/>
    </w:rPr>
  </w:style>
  <w:style w:type="character" w:customStyle="1" w:styleId="343">
    <w:name w:val="正文文本缩进 2 Char2"/>
    <w:qFormat/>
    <w:uiPriority w:val="0"/>
    <w:rPr>
      <w:rFonts w:ascii="Times New Roman" w:hAnsi="Times New Roman" w:eastAsia="宋体" w:cs="Times New Roman"/>
      <w:szCs w:val="20"/>
    </w:rPr>
  </w:style>
  <w:style w:type="character" w:customStyle="1" w:styleId="344">
    <w:name w:val="Char Char3211"/>
    <w:qFormat/>
    <w:uiPriority w:val="0"/>
    <w:rPr>
      <w:rFonts w:ascii="Arial" w:hAnsi="Arial" w:eastAsia="宋体" w:cs="Arial"/>
      <w:b/>
      <w:bCs/>
      <w:sz w:val="32"/>
      <w:szCs w:val="32"/>
    </w:rPr>
  </w:style>
  <w:style w:type="character" w:customStyle="1" w:styleId="345">
    <w:name w:val="Char Char283"/>
    <w:qFormat/>
    <w:uiPriority w:val="0"/>
    <w:rPr>
      <w:rFonts w:ascii="Arial" w:hAnsi="Arial" w:eastAsia="黑体" w:cs="Arial"/>
      <w:kern w:val="44"/>
      <w:sz w:val="30"/>
      <w:szCs w:val="44"/>
      <w:lang w:val="en-US" w:eastAsia="zh-CN" w:bidi="ar-SA"/>
    </w:rPr>
  </w:style>
  <w:style w:type="character" w:customStyle="1" w:styleId="346">
    <w:name w:val="明显引用 Char5"/>
    <w:qFormat/>
    <w:uiPriority w:val="30"/>
    <w:rPr>
      <w:b/>
      <w:bCs/>
      <w:i/>
      <w:iCs/>
      <w:color w:val="4F81BD"/>
    </w:rPr>
  </w:style>
  <w:style w:type="character" w:customStyle="1" w:styleId="347">
    <w:name w:val="引用 Char Char"/>
    <w:qFormat/>
    <w:uiPriority w:val="0"/>
    <w:rPr>
      <w:rFonts w:ascii="Calibri" w:hAnsi="Calibri" w:eastAsia="宋体"/>
      <w:i/>
      <w:iCs/>
      <w:color w:val="000000"/>
      <w:sz w:val="22"/>
      <w:szCs w:val="22"/>
      <w:lang w:val="en-US" w:eastAsia="en-US" w:bidi="en-US"/>
    </w:rPr>
  </w:style>
  <w:style w:type="character" w:customStyle="1" w:styleId="348">
    <w:name w:val="Char Char4911"/>
    <w:qFormat/>
    <w:uiPriority w:val="0"/>
    <w:rPr>
      <w:rFonts w:hint="default" w:ascii="Times New Roman" w:hAnsi="Times New Roman" w:eastAsia="宋体" w:cs="Times New Roman"/>
      <w:sz w:val="28"/>
      <w:szCs w:val="24"/>
    </w:rPr>
  </w:style>
  <w:style w:type="character" w:customStyle="1" w:styleId="349">
    <w:name w:val="引用 Char2"/>
    <w:qFormat/>
    <w:uiPriority w:val="0"/>
    <w:rPr>
      <w:i/>
      <w:iCs/>
      <w:color w:val="000000"/>
    </w:rPr>
  </w:style>
  <w:style w:type="character" w:customStyle="1" w:styleId="350">
    <w:name w:val="批注框文本 Char Char"/>
    <w:qFormat/>
    <w:uiPriority w:val="0"/>
    <w:rPr>
      <w:rFonts w:eastAsia="宋体"/>
      <w:kern w:val="2"/>
      <w:sz w:val="18"/>
      <w:szCs w:val="18"/>
      <w:lang w:val="en-US" w:eastAsia="zh-CN" w:bidi="ar-SA"/>
    </w:rPr>
  </w:style>
  <w:style w:type="character" w:customStyle="1" w:styleId="351">
    <w:name w:val="Char Char391"/>
    <w:qFormat/>
    <w:uiPriority w:val="0"/>
    <w:rPr>
      <w:rFonts w:hint="eastAsia" w:ascii="宋体" w:hAnsi="宋体" w:eastAsia="宋体"/>
      <w:kern w:val="2"/>
      <w:sz w:val="28"/>
      <w:szCs w:val="24"/>
      <w:lang w:val="en-US" w:eastAsia="zh-CN" w:bidi="ar-SA"/>
    </w:rPr>
  </w:style>
  <w:style w:type="character" w:customStyle="1" w:styleId="352">
    <w:name w:val="应急预案正文 Char"/>
    <w:link w:val="353"/>
    <w:qFormat/>
    <w:uiPriority w:val="0"/>
    <w:rPr>
      <w:rFonts w:hAnsi="宋体"/>
      <w:sz w:val="28"/>
      <w:szCs w:val="28"/>
    </w:rPr>
  </w:style>
  <w:style w:type="paragraph" w:customStyle="1" w:styleId="353">
    <w:name w:val="应急预案正文"/>
    <w:basedOn w:val="1"/>
    <w:link w:val="352"/>
    <w:qFormat/>
    <w:uiPriority w:val="0"/>
    <w:pPr>
      <w:spacing w:line="520" w:lineRule="exact"/>
      <w:ind w:firstLine="560" w:firstLineChars="200"/>
    </w:pPr>
    <w:rPr>
      <w:rFonts w:ascii="Times New Roman" w:hAnsi="宋体"/>
      <w:kern w:val="0"/>
      <w:sz w:val="28"/>
      <w:szCs w:val="28"/>
    </w:rPr>
  </w:style>
  <w:style w:type="character" w:customStyle="1" w:styleId="354">
    <w:name w:val="批注引用2"/>
    <w:qFormat/>
    <w:uiPriority w:val="0"/>
    <w:rPr>
      <w:sz w:val="21"/>
      <w:szCs w:val="21"/>
    </w:rPr>
  </w:style>
  <w:style w:type="character" w:customStyle="1" w:styleId="355">
    <w:name w:val="样式 宋体 小四 加粗 行距: 1.5 倍行距 Char"/>
    <w:link w:val="356"/>
    <w:qFormat/>
    <w:uiPriority w:val="0"/>
    <w:rPr>
      <w:rFonts w:ascii="宋体" w:hAnsi="宋体" w:eastAsia="宋体"/>
      <w:sz w:val="24"/>
      <w:szCs w:val="18"/>
      <w:lang w:val="zh-CN"/>
    </w:rPr>
  </w:style>
  <w:style w:type="paragraph" w:customStyle="1" w:styleId="356">
    <w:name w:val="样式 宋体 小四 加粗 行距: 1.5 倍行距"/>
    <w:basedOn w:val="1"/>
    <w:link w:val="355"/>
    <w:qFormat/>
    <w:uiPriority w:val="0"/>
    <w:pPr>
      <w:spacing w:line="360" w:lineRule="auto"/>
      <w:ind w:left="122" w:leftChars="49" w:right="249" w:rightChars="100" w:firstLine="488" w:firstLineChars="196"/>
    </w:pPr>
    <w:rPr>
      <w:rFonts w:ascii="宋体" w:hAnsi="宋体"/>
      <w:sz w:val="24"/>
      <w:szCs w:val="18"/>
      <w:lang w:val="zh-CN"/>
    </w:rPr>
  </w:style>
  <w:style w:type="character" w:customStyle="1" w:styleId="357">
    <w:name w:val="样式 hb1 + Times New Roman Char Char Char"/>
    <w:qFormat/>
    <w:uiPriority w:val="0"/>
    <w:rPr>
      <w:rFonts w:eastAsia="宋体"/>
      <w:b/>
      <w:kern w:val="2"/>
      <w:sz w:val="32"/>
      <w:szCs w:val="32"/>
      <w:lang w:val="en-US" w:eastAsia="zh-CN" w:bidi="ar-SA"/>
    </w:rPr>
  </w:style>
  <w:style w:type="character" w:customStyle="1" w:styleId="358">
    <w:name w:val="Char Char621"/>
    <w:qFormat/>
    <w:uiPriority w:val="0"/>
    <w:rPr>
      <w:rFonts w:ascii="Arial Unicode MS" w:hAnsi="Arial Unicode MS" w:eastAsia="Calibri" w:cs="Times NewRoman"/>
      <w:b/>
      <w:bCs/>
      <w:kern w:val="2"/>
      <w:sz w:val="28"/>
      <w:szCs w:val="28"/>
      <w:lang w:val="en-US" w:eastAsia="zh-CN" w:bidi="ar-SA"/>
    </w:rPr>
  </w:style>
  <w:style w:type="character" w:customStyle="1" w:styleId="359">
    <w:name w:val="样式 样式 样式 样式 样式 样式 样式 123 + 自动设置 首行缩进:  2 字符 + 首行缩进:  2 字符 + 黑色 首... Char Char"/>
    <w:qFormat/>
    <w:uiPriority w:val="0"/>
    <w:rPr>
      <w:rFonts w:ascii="宋体" w:hAnsi="宋体" w:eastAsia="宋体" w:cs="宋体"/>
      <w:kern w:val="2"/>
      <w:sz w:val="28"/>
      <w:szCs w:val="28"/>
      <w:lang w:val="en-US" w:eastAsia="zh-CN" w:bidi="ar-SA"/>
    </w:rPr>
  </w:style>
  <w:style w:type="character" w:customStyle="1" w:styleId="360">
    <w:name w:val="Char Char273"/>
    <w:qFormat/>
    <w:uiPriority w:val="0"/>
    <w:rPr>
      <w:rFonts w:eastAsia="黑体"/>
      <w:b/>
      <w:bCs/>
      <w:kern w:val="2"/>
      <w:sz w:val="24"/>
      <w:szCs w:val="32"/>
      <w:lang w:val="en-US" w:eastAsia="zh-CN" w:bidi="ar-SA"/>
    </w:rPr>
  </w:style>
  <w:style w:type="character" w:customStyle="1" w:styleId="361">
    <w:name w:val="表头样式1 Char Char"/>
    <w:link w:val="362"/>
    <w:qFormat/>
    <w:uiPriority w:val="0"/>
    <w:rPr>
      <w:rFonts w:eastAsia="黑体"/>
      <w:b/>
      <w:sz w:val="24"/>
    </w:rPr>
  </w:style>
  <w:style w:type="paragraph" w:customStyle="1" w:styleId="362">
    <w:name w:val="表头样式1"/>
    <w:basedOn w:val="1"/>
    <w:link w:val="361"/>
    <w:qFormat/>
    <w:uiPriority w:val="0"/>
    <w:pPr>
      <w:spacing w:after="80" w:line="480" w:lineRule="atLeast"/>
      <w:jc w:val="center"/>
    </w:pPr>
    <w:rPr>
      <w:rFonts w:eastAsia="黑体"/>
      <w:b/>
      <w:sz w:val="24"/>
    </w:rPr>
  </w:style>
  <w:style w:type="character" w:customStyle="1" w:styleId="363">
    <w:name w:val="正文部分 Char Char"/>
    <w:qFormat/>
    <w:uiPriority w:val="0"/>
    <w:rPr>
      <w:rFonts w:ascii="宋体" w:hAnsi="宋体" w:eastAsia="宋体" w:cs="宋体"/>
      <w:bCs/>
      <w:sz w:val="32"/>
      <w:szCs w:val="32"/>
      <w:lang w:val="en-US" w:eastAsia="zh-CN" w:bidi="ar-SA"/>
    </w:rPr>
  </w:style>
  <w:style w:type="character" w:customStyle="1" w:styleId="364">
    <w:name w:val="002 Char Char"/>
    <w:qFormat/>
    <w:uiPriority w:val="0"/>
    <w:rPr>
      <w:rFonts w:ascii="Times NewRoman" w:hAnsi="Times NewRoman" w:eastAsia="Calibri" w:cs="汉鼎简书宋"/>
      <w:b/>
      <w:bCs/>
      <w:spacing w:val="-2"/>
      <w:kern w:val="2"/>
      <w:sz w:val="28"/>
      <w:szCs w:val="32"/>
    </w:rPr>
  </w:style>
  <w:style w:type="character" w:customStyle="1" w:styleId="365">
    <w:name w:val="正文文字缩进 31 Char1"/>
    <w:qFormat/>
    <w:uiPriority w:val="0"/>
    <w:rPr>
      <w:rFonts w:ascii="宋体" w:hAnsi="宋体"/>
      <w:sz w:val="16"/>
      <w:szCs w:val="16"/>
      <w:lang w:bidi="ar-SA"/>
    </w:rPr>
  </w:style>
  <w:style w:type="character" w:customStyle="1" w:styleId="366">
    <w:name w:val="hei141"/>
    <w:qFormat/>
    <w:uiPriority w:val="0"/>
    <w:rPr>
      <w:color w:val="000000"/>
      <w:sz w:val="23"/>
      <w:szCs w:val="23"/>
    </w:rPr>
  </w:style>
  <w:style w:type="character" w:customStyle="1" w:styleId="367">
    <w:name w:val="Char Char50"/>
    <w:qFormat/>
    <w:uiPriority w:val="0"/>
    <w:rPr>
      <w:rFonts w:ascii="Times New Roman" w:hAnsi="Times New Roman" w:eastAsia="仿宋_GB2312" w:cs="Times New Roman"/>
      <w:bCs/>
      <w:sz w:val="24"/>
      <w:szCs w:val="24"/>
    </w:rPr>
  </w:style>
  <w:style w:type="character" w:customStyle="1" w:styleId="368">
    <w:name w:val="质表名"/>
    <w:qFormat/>
    <w:uiPriority w:val="0"/>
    <w:rPr>
      <w:rFonts w:ascii="宋体" w:hAnsi="宋体" w:eastAsia="黑体"/>
      <w:sz w:val="28"/>
    </w:rPr>
  </w:style>
  <w:style w:type="character" w:customStyle="1" w:styleId="369">
    <w:name w:val="默认段落字体 New New"/>
    <w:qFormat/>
    <w:uiPriority w:val="0"/>
    <w:rPr>
      <w:rFonts w:eastAsia="宋体"/>
      <w:b/>
      <w:kern w:val="2"/>
      <w:sz w:val="30"/>
      <w:szCs w:val="30"/>
      <w:lang w:val="en-US" w:eastAsia="zh-CN" w:bidi="ar-SA"/>
    </w:rPr>
  </w:style>
  <w:style w:type="character" w:customStyle="1" w:styleId="370">
    <w:name w:val="正文BG Char"/>
    <w:link w:val="371"/>
    <w:qFormat/>
    <w:uiPriority w:val="0"/>
    <w:rPr>
      <w:rFonts w:eastAsia="Times New Roman"/>
      <w:snapToGrid w:val="0"/>
      <w:sz w:val="24"/>
      <w:szCs w:val="24"/>
    </w:rPr>
  </w:style>
  <w:style w:type="paragraph" w:customStyle="1" w:styleId="371">
    <w:name w:val="BG正文"/>
    <w:link w:val="370"/>
    <w:qFormat/>
    <w:uiPriority w:val="0"/>
    <w:pPr>
      <w:adjustRightInd w:val="0"/>
      <w:snapToGrid w:val="0"/>
      <w:spacing w:line="360" w:lineRule="auto"/>
      <w:ind w:firstLine="480" w:firstLineChars="200"/>
      <w:jc w:val="both"/>
    </w:pPr>
    <w:rPr>
      <w:rFonts w:ascii="Calibri" w:hAnsi="Calibri" w:eastAsia="Times New Roman" w:cs="Times New Roman"/>
      <w:snapToGrid w:val="0"/>
      <w:kern w:val="2"/>
      <w:sz w:val="24"/>
      <w:szCs w:val="24"/>
      <w:lang w:val="en-US" w:eastAsia="zh-CN" w:bidi="ar-SA"/>
    </w:rPr>
  </w:style>
  <w:style w:type="character" w:customStyle="1" w:styleId="372">
    <w:name w:val="Char Char14"/>
    <w:qFormat/>
    <w:locked/>
    <w:uiPriority w:val="0"/>
    <w:rPr>
      <w:rFonts w:ascii="宋体" w:hAnsi="宋体" w:eastAsia="宋体"/>
      <w:kern w:val="2"/>
      <w:sz w:val="21"/>
      <w:szCs w:val="24"/>
      <w:lang w:val="en-US" w:eastAsia="zh-CN" w:bidi="ar-SA"/>
    </w:rPr>
  </w:style>
  <w:style w:type="character" w:customStyle="1" w:styleId="373">
    <w:name w:val="正文首行缩进 2 Char2"/>
    <w:qFormat/>
    <w:uiPriority w:val="0"/>
  </w:style>
  <w:style w:type="character" w:customStyle="1" w:styleId="374">
    <w:name w:val="正文文本缩进 3 Char4"/>
    <w:qFormat/>
    <w:uiPriority w:val="0"/>
    <w:rPr>
      <w:kern w:val="2"/>
      <w:sz w:val="16"/>
      <w:szCs w:val="16"/>
    </w:rPr>
  </w:style>
  <w:style w:type="character" w:customStyle="1" w:styleId="375">
    <w:name w:val="Char Char242"/>
    <w:qFormat/>
    <w:uiPriority w:val="0"/>
    <w:rPr>
      <w:rFonts w:ascii="Arial" w:hAnsi="Arial" w:eastAsia="黑体"/>
      <w:b/>
      <w:bCs/>
      <w:kern w:val="2"/>
      <w:sz w:val="32"/>
      <w:szCs w:val="32"/>
      <w:lang w:val="en-US" w:eastAsia="zh-CN" w:bidi="ar-SA"/>
    </w:rPr>
  </w:style>
  <w:style w:type="character" w:customStyle="1" w:styleId="376">
    <w:name w:val="fontstyle01"/>
    <w:qFormat/>
    <w:uiPriority w:val="0"/>
    <w:rPr>
      <w:rFonts w:hint="eastAsia" w:ascii="仿宋_GB2312" w:eastAsia="仿宋_GB2312"/>
      <w:color w:val="000000"/>
      <w:sz w:val="28"/>
      <w:szCs w:val="28"/>
    </w:rPr>
  </w:style>
  <w:style w:type="character" w:customStyle="1" w:styleId="377">
    <w:name w:val="标题 21 Char2"/>
    <w:qFormat/>
    <w:uiPriority w:val="0"/>
    <w:rPr>
      <w:rFonts w:ascii="Arial" w:hAnsi="Arial" w:eastAsia="黑体"/>
      <w:b/>
      <w:bCs/>
      <w:kern w:val="2"/>
      <w:sz w:val="32"/>
      <w:szCs w:val="32"/>
      <w:lang w:val="en-US" w:eastAsia="zh-CN" w:bidi="ar-SA"/>
    </w:rPr>
  </w:style>
  <w:style w:type="character" w:customStyle="1" w:styleId="378">
    <w:name w:val="样式 样式 标题 2 + 小四 段前: 0 磅 段后: 0 磅 行距: 固定值 25 磅 + Times New Roman Char"/>
    <w:link w:val="379"/>
    <w:qFormat/>
    <w:uiPriority w:val="0"/>
    <w:rPr>
      <w:rFonts w:ascii="宋体" w:hAnsi="宋体"/>
      <w:b/>
      <w:bCs/>
      <w:kern w:val="2"/>
      <w:sz w:val="24"/>
      <w:szCs w:val="32"/>
    </w:rPr>
  </w:style>
  <w:style w:type="paragraph" w:customStyle="1" w:styleId="379">
    <w:name w:val="样式 样式 标题 2 + 小四 段前: 0 磅 段后: 0 磅 行距: 固定值 25 磅 + Times New Roman"/>
    <w:basedOn w:val="380"/>
    <w:link w:val="378"/>
    <w:qFormat/>
    <w:uiPriority w:val="0"/>
    <w:rPr>
      <w:sz w:val="24"/>
    </w:rPr>
  </w:style>
  <w:style w:type="paragraph" w:customStyle="1" w:styleId="380">
    <w:name w:val="样式 标题 2 + 小四 段前: 0 磅 段后: 0 磅 行距: 固定值 25 磅"/>
    <w:basedOn w:val="5"/>
    <w:link w:val="381"/>
    <w:qFormat/>
    <w:uiPriority w:val="0"/>
    <w:pPr>
      <w:spacing w:before="60" w:after="60"/>
    </w:pPr>
    <w:rPr>
      <w:rFonts w:ascii="宋体" w:hAnsi="宋体" w:eastAsia="宋体"/>
    </w:rPr>
  </w:style>
  <w:style w:type="character" w:customStyle="1" w:styleId="381">
    <w:name w:val="样式 标题 2 + 小四 段前: 0 磅 段后: 0 磅 行距: 固定值 25 磅 Char"/>
    <w:link w:val="380"/>
    <w:qFormat/>
    <w:uiPriority w:val="0"/>
    <w:rPr>
      <w:rFonts w:ascii="宋体" w:hAnsi="宋体"/>
      <w:b/>
      <w:bCs/>
      <w:kern w:val="2"/>
      <w:sz w:val="28"/>
      <w:szCs w:val="32"/>
    </w:rPr>
  </w:style>
  <w:style w:type="character" w:customStyle="1" w:styleId="382">
    <w:name w:val="style91"/>
    <w:qFormat/>
    <w:uiPriority w:val="0"/>
    <w:rPr>
      <w:sz w:val="18"/>
      <w:szCs w:val="18"/>
    </w:rPr>
  </w:style>
  <w:style w:type="character" w:customStyle="1" w:styleId="383">
    <w:name w:val="style181"/>
    <w:qFormat/>
    <w:uiPriority w:val="0"/>
    <w:rPr>
      <w:color w:val="000000"/>
    </w:rPr>
  </w:style>
  <w:style w:type="character" w:customStyle="1" w:styleId="384">
    <w:name w:val="font01"/>
    <w:qFormat/>
    <w:uiPriority w:val="0"/>
    <w:rPr>
      <w:rFonts w:hint="eastAsia" w:ascii="宋体" w:hAnsi="宋体" w:eastAsia="宋体"/>
      <w:color w:val="000000"/>
      <w:sz w:val="21"/>
      <w:szCs w:val="21"/>
      <w:u w:val="none"/>
      <w:vertAlign w:val="superscript"/>
    </w:rPr>
  </w:style>
  <w:style w:type="character" w:customStyle="1" w:styleId="385">
    <w:name w:val="报告标题2 Char Char"/>
    <w:link w:val="386"/>
    <w:qFormat/>
    <w:uiPriority w:val="0"/>
    <w:rPr>
      <w:rFonts w:ascii="Times New Roman" w:hAnsi="Times New Roman"/>
      <w:b/>
      <w:color w:val="000000"/>
      <w:kern w:val="2"/>
      <w:sz w:val="28"/>
      <w:szCs w:val="32"/>
    </w:rPr>
  </w:style>
  <w:style w:type="paragraph" w:customStyle="1" w:styleId="386">
    <w:name w:val="报告标题2"/>
    <w:basedOn w:val="5"/>
    <w:link w:val="385"/>
    <w:qFormat/>
    <w:uiPriority w:val="0"/>
    <w:pPr>
      <w:tabs>
        <w:tab w:val="left" w:pos="0"/>
      </w:tabs>
      <w:spacing w:before="156" w:beforeLines="50"/>
      <w:jc w:val="left"/>
    </w:pPr>
    <w:rPr>
      <w:rFonts w:eastAsia="宋体"/>
      <w:bCs w:val="0"/>
      <w:color w:val="000000"/>
    </w:rPr>
  </w:style>
  <w:style w:type="character" w:customStyle="1" w:styleId="387">
    <w:name w:val="ca-21"/>
    <w:qFormat/>
    <w:uiPriority w:val="0"/>
    <w:rPr>
      <w:rFonts w:hint="default" w:ascii="Times New Roman" w:hAnsi="Times New Roman" w:cs="Times New Roman"/>
      <w:color w:val="000000"/>
      <w:sz w:val="24"/>
      <w:szCs w:val="24"/>
    </w:rPr>
  </w:style>
  <w:style w:type="character" w:customStyle="1" w:styleId="388">
    <w:name w:val="新 5 Char1"/>
    <w:qFormat/>
    <w:uiPriority w:val="0"/>
    <w:rPr>
      <w:rFonts w:eastAsia="仿宋_GB2312"/>
      <w:kern w:val="2"/>
      <w:sz w:val="24"/>
      <w:szCs w:val="28"/>
      <w:lang w:val="en-US" w:eastAsia="zh-CN" w:bidi="ar-SA"/>
    </w:rPr>
  </w:style>
  <w:style w:type="character" w:customStyle="1" w:styleId="389">
    <w:name w:val="large1"/>
    <w:qFormat/>
    <w:uiPriority w:val="0"/>
    <w:rPr>
      <w:rFonts w:hint="eastAsia" w:ascii="宋体" w:hAnsi="宋体" w:eastAsia="宋体"/>
      <w:sz w:val="22"/>
      <w:szCs w:val="22"/>
    </w:rPr>
  </w:style>
  <w:style w:type="character" w:customStyle="1" w:styleId="390">
    <w:name w:val="HTML 预设格式 Char2"/>
    <w:qFormat/>
    <w:uiPriority w:val="0"/>
    <w:rPr>
      <w:rFonts w:ascii="Courier New" w:hAnsi="Courier New" w:cs="Courier New"/>
      <w:sz w:val="20"/>
      <w:szCs w:val="20"/>
    </w:rPr>
  </w:style>
  <w:style w:type="character" w:customStyle="1" w:styleId="391">
    <w:name w:val="标题9"/>
    <w:qFormat/>
    <w:uiPriority w:val="0"/>
    <w:rPr>
      <w:rFonts w:ascii="宋体" w:hAnsi="宋体" w:eastAsia="宋体" w:cs="宋体"/>
      <w:kern w:val="2"/>
      <w:sz w:val="24"/>
      <w:szCs w:val="24"/>
      <w:lang w:val="en-US" w:eastAsia="zh-CN" w:bidi="ar-SA"/>
    </w:rPr>
  </w:style>
  <w:style w:type="character" w:customStyle="1" w:styleId="392">
    <w:name w:val="批注主题 Char4"/>
    <w:qFormat/>
    <w:uiPriority w:val="0"/>
    <w:rPr>
      <w:b/>
      <w:bCs/>
      <w:kern w:val="2"/>
      <w:sz w:val="21"/>
    </w:rPr>
  </w:style>
  <w:style w:type="character" w:customStyle="1" w:styleId="393">
    <w:name w:val="标题 2 Char Char Char Char"/>
    <w:qFormat/>
    <w:uiPriority w:val="0"/>
    <w:rPr>
      <w:rFonts w:ascii="宋体" w:hAnsi="宋体" w:eastAsia="宋体" w:cs="Arial"/>
      <w:b/>
      <w:bCs/>
      <w:spacing w:val="6"/>
      <w:kern w:val="2"/>
      <w:sz w:val="30"/>
      <w:szCs w:val="30"/>
      <w:lang w:val="en-US" w:eastAsia="zh-CN" w:bidi="ar-SA"/>
    </w:rPr>
  </w:style>
  <w:style w:type="character" w:customStyle="1" w:styleId="394">
    <w:name w:val="新 5 Char Char"/>
    <w:qFormat/>
    <w:uiPriority w:val="0"/>
    <w:rPr>
      <w:rFonts w:ascii="宋体" w:hAnsi="宋体" w:eastAsia="宋体"/>
      <w:b/>
      <w:bCs/>
      <w:spacing w:val="-2"/>
      <w:kern w:val="2"/>
      <w:sz w:val="24"/>
      <w:szCs w:val="28"/>
      <w:lang w:val="en-US" w:eastAsia="zh-CN" w:bidi="ar-SA"/>
    </w:rPr>
  </w:style>
  <w:style w:type="character" w:customStyle="1" w:styleId="395">
    <w:name w:val="文章正文 Char Char Char"/>
    <w:link w:val="396"/>
    <w:qFormat/>
    <w:uiPriority w:val="0"/>
    <w:rPr>
      <w:rFonts w:ascii="宋体" w:hAnsi="宋体" w:eastAsia="宋体"/>
      <w:sz w:val="24"/>
      <w:szCs w:val="24"/>
    </w:rPr>
  </w:style>
  <w:style w:type="paragraph" w:customStyle="1" w:styleId="396">
    <w:name w:val="文章正文"/>
    <w:basedOn w:val="1"/>
    <w:link w:val="395"/>
    <w:qFormat/>
    <w:uiPriority w:val="0"/>
    <w:pPr>
      <w:spacing w:before="156" w:beforeLines="50" w:after="156" w:afterLines="50" w:line="360" w:lineRule="auto"/>
      <w:ind w:firstLine="480" w:firstLineChars="200"/>
    </w:pPr>
    <w:rPr>
      <w:rFonts w:ascii="宋体" w:hAnsi="宋体"/>
      <w:sz w:val="24"/>
      <w:szCs w:val="24"/>
    </w:rPr>
  </w:style>
  <w:style w:type="character" w:customStyle="1" w:styleId="397">
    <w:name w:val="环评正文 Char"/>
    <w:link w:val="398"/>
    <w:qFormat/>
    <w:uiPriority w:val="0"/>
    <w:rPr>
      <w:rFonts w:ascii="宋体" w:hAnsi="Times New Roman" w:eastAsia="宋体" w:cs="宋体"/>
      <w:bCs/>
      <w:color w:val="000000"/>
      <w:sz w:val="24"/>
      <w:szCs w:val="24"/>
    </w:rPr>
  </w:style>
  <w:style w:type="paragraph" w:customStyle="1" w:styleId="398">
    <w:name w:val="环评正文"/>
    <w:link w:val="397"/>
    <w:qFormat/>
    <w:uiPriority w:val="0"/>
    <w:pPr>
      <w:spacing w:line="440" w:lineRule="exact"/>
      <w:ind w:firstLine="200" w:firstLineChars="200"/>
    </w:pPr>
    <w:rPr>
      <w:rFonts w:ascii="宋体" w:hAnsi="Calibri" w:eastAsia="宋体" w:cs="宋体"/>
      <w:bCs/>
      <w:color w:val="000000"/>
      <w:kern w:val="2"/>
      <w:sz w:val="24"/>
      <w:szCs w:val="24"/>
      <w:lang w:val="en-US" w:eastAsia="zh-CN" w:bidi="ar-SA"/>
    </w:rPr>
  </w:style>
  <w:style w:type="character" w:customStyle="1" w:styleId="399">
    <w:name w:val="首行缩进 Char Char"/>
    <w:link w:val="400"/>
    <w:qFormat/>
    <w:uiPriority w:val="0"/>
    <w:rPr>
      <w:rFonts w:ascii="宋体" w:hAnsi="Times" w:eastAsia="宋体"/>
      <w:bCs/>
      <w:kern w:val="44"/>
      <w:sz w:val="24"/>
      <w:szCs w:val="24"/>
    </w:rPr>
  </w:style>
  <w:style w:type="paragraph" w:customStyle="1" w:styleId="400">
    <w:name w:val="首行缩进"/>
    <w:basedOn w:val="1"/>
    <w:link w:val="399"/>
    <w:qFormat/>
    <w:uiPriority w:val="0"/>
    <w:pPr>
      <w:adjustRightInd w:val="0"/>
      <w:spacing w:line="360" w:lineRule="auto"/>
      <w:ind w:firstLine="200" w:firstLineChars="200"/>
      <w:jc w:val="left"/>
      <w:textAlignment w:val="baseline"/>
    </w:pPr>
    <w:rPr>
      <w:rFonts w:ascii="宋体" w:hAnsi="Times"/>
      <w:bCs/>
      <w:kern w:val="44"/>
      <w:sz w:val="24"/>
      <w:szCs w:val="24"/>
    </w:rPr>
  </w:style>
  <w:style w:type="character" w:customStyle="1" w:styleId="401">
    <w:name w:val="注释标题 Char6"/>
    <w:semiHidden/>
    <w:qFormat/>
    <w:uiPriority w:val="99"/>
  </w:style>
  <w:style w:type="character" w:customStyle="1" w:styleId="402">
    <w:name w:val="hb1 Char Char"/>
    <w:link w:val="403"/>
    <w:qFormat/>
    <w:uiPriority w:val="0"/>
    <w:rPr>
      <w:rFonts w:eastAsia="黑体"/>
      <w:b/>
      <w:sz w:val="32"/>
      <w:szCs w:val="32"/>
    </w:rPr>
  </w:style>
  <w:style w:type="paragraph" w:customStyle="1" w:styleId="403">
    <w:name w:val="hb1"/>
    <w:link w:val="402"/>
    <w:qFormat/>
    <w:uiPriority w:val="0"/>
    <w:pPr>
      <w:spacing w:before="312" w:beforeLines="100" w:after="312" w:afterLines="100"/>
      <w:jc w:val="center"/>
      <w:outlineLvl w:val="0"/>
    </w:pPr>
    <w:rPr>
      <w:rFonts w:ascii="Calibri" w:hAnsi="Calibri" w:eastAsia="黑体" w:cs="Times New Roman"/>
      <w:b/>
      <w:kern w:val="2"/>
      <w:sz w:val="32"/>
      <w:szCs w:val="32"/>
      <w:lang w:val="en-US" w:eastAsia="zh-CN" w:bidi="ar-SA"/>
    </w:rPr>
  </w:style>
  <w:style w:type="character" w:customStyle="1" w:styleId="404">
    <w:name w:val="样式11111 Char Char"/>
    <w:link w:val="405"/>
    <w:qFormat/>
    <w:uiPriority w:val="0"/>
    <w:rPr>
      <w:rFonts w:eastAsia="宋体"/>
      <w:color w:val="000000"/>
      <w:sz w:val="24"/>
      <w:szCs w:val="24"/>
    </w:rPr>
  </w:style>
  <w:style w:type="paragraph" w:customStyle="1" w:styleId="405">
    <w:name w:val="样式11111"/>
    <w:basedOn w:val="1"/>
    <w:link w:val="404"/>
    <w:qFormat/>
    <w:uiPriority w:val="0"/>
    <w:pPr>
      <w:spacing w:before="156" w:beforeLines="50" w:after="156" w:afterLines="50" w:line="360" w:lineRule="auto"/>
      <w:ind w:firstLine="480" w:firstLineChars="200"/>
    </w:pPr>
    <w:rPr>
      <w:color w:val="000000"/>
      <w:sz w:val="24"/>
      <w:szCs w:val="24"/>
    </w:rPr>
  </w:style>
  <w:style w:type="character" w:customStyle="1" w:styleId="406">
    <w:name w:val="fontstyle11"/>
    <w:qFormat/>
    <w:uiPriority w:val="0"/>
    <w:rPr>
      <w:rFonts w:hint="eastAsia" w:ascii="宋体" w:hAnsi="宋体" w:eastAsia="宋体"/>
      <w:color w:val="000000"/>
      <w:sz w:val="24"/>
      <w:szCs w:val="24"/>
    </w:rPr>
  </w:style>
  <w:style w:type="character" w:customStyle="1" w:styleId="407">
    <w:name w:val="标题3 Char Char"/>
    <w:qFormat/>
    <w:uiPriority w:val="0"/>
    <w:rPr>
      <w:rFonts w:ascii="宋体" w:hAnsi="宋体" w:eastAsia="宋体"/>
      <w:b/>
      <w:kern w:val="2"/>
      <w:sz w:val="28"/>
      <w:lang w:val="en-US" w:eastAsia="zh-CN" w:bidi="ar-SA"/>
    </w:rPr>
  </w:style>
  <w:style w:type="character" w:customStyle="1" w:styleId="408">
    <w:name w:val="正式文本 Char Char Char"/>
    <w:qFormat/>
    <w:uiPriority w:val="0"/>
    <w:rPr>
      <w:rFonts w:ascii="Arial Narrow" w:hAnsi="Arial Narrow" w:eastAsia="汉鼎简书宋"/>
      <w:kern w:val="2"/>
      <w:sz w:val="24"/>
      <w:szCs w:val="24"/>
      <w:lang w:val="en-US" w:eastAsia="zh-CN" w:bidi="ar-SA"/>
    </w:rPr>
  </w:style>
  <w:style w:type="character" w:customStyle="1" w:styleId="409">
    <w:name w:val="正文 + 首行缩进:  2 字符 Char Char"/>
    <w:qFormat/>
    <w:uiPriority w:val="0"/>
    <w:rPr>
      <w:rFonts w:ascii="宋体" w:hAnsi="宋体" w:eastAsia="宋体" w:cs="宋体"/>
      <w:kern w:val="2"/>
      <w:sz w:val="24"/>
      <w:szCs w:val="24"/>
      <w:lang w:val="en-US" w:eastAsia="zh-CN" w:bidi="ar-SA"/>
    </w:rPr>
  </w:style>
  <w:style w:type="character" w:customStyle="1" w:styleId="410">
    <w:name w:val="Char Char"/>
    <w:qFormat/>
    <w:uiPriority w:val="0"/>
    <w:rPr>
      <w:rFonts w:ascii="宋体" w:hAnsi="宋体" w:eastAsia="宋体" w:cs="宋体"/>
      <w:color w:val="000000"/>
      <w:kern w:val="2"/>
      <w:sz w:val="24"/>
      <w:szCs w:val="28"/>
      <w:lang w:val="en-US" w:eastAsia="zh-CN" w:bidi="ar-SA"/>
    </w:rPr>
  </w:style>
  <w:style w:type="character" w:customStyle="1" w:styleId="411">
    <w:name w:val="正文文本缩进 Char3"/>
    <w:qFormat/>
    <w:uiPriority w:val="0"/>
  </w:style>
  <w:style w:type="character" w:customStyle="1" w:styleId="412">
    <w:name w:val="hui141"/>
    <w:qFormat/>
    <w:uiPriority w:val="0"/>
    <w:rPr>
      <w:color w:val="B3B2B2"/>
      <w:sz w:val="21"/>
      <w:szCs w:val="21"/>
    </w:rPr>
  </w:style>
  <w:style w:type="character" w:customStyle="1" w:styleId="413">
    <w:name w:val="正文段落 Char"/>
    <w:link w:val="414"/>
    <w:qFormat/>
    <w:uiPriority w:val="0"/>
    <w:rPr>
      <w:rFonts w:ascii="Times New Roman" w:hAnsi="Times New Roman" w:eastAsia="宋体" w:cs="Times New Roman"/>
      <w:sz w:val="24"/>
      <w:szCs w:val="24"/>
    </w:rPr>
  </w:style>
  <w:style w:type="paragraph" w:customStyle="1" w:styleId="414">
    <w:name w:val="正文段落"/>
    <w:basedOn w:val="1"/>
    <w:link w:val="413"/>
    <w:qFormat/>
    <w:uiPriority w:val="0"/>
    <w:pPr>
      <w:spacing w:line="500" w:lineRule="exact"/>
      <w:ind w:firstLine="200" w:firstLineChars="200"/>
    </w:pPr>
    <w:rPr>
      <w:rFonts w:ascii="Times New Roman" w:hAnsi="Times New Roman"/>
      <w:sz w:val="24"/>
      <w:szCs w:val="24"/>
    </w:rPr>
  </w:style>
  <w:style w:type="character" w:customStyle="1" w:styleId="415">
    <w:name w:val="标题 4 字符"/>
    <w:qFormat/>
    <w:uiPriority w:val="0"/>
    <w:rPr>
      <w:rFonts w:ascii="Times New Roman" w:hAnsi="Times New Roman" w:eastAsia="宋体" w:cs="Times New Roman"/>
      <w:bCs/>
      <w:sz w:val="24"/>
      <w:szCs w:val="28"/>
    </w:rPr>
  </w:style>
  <w:style w:type="character" w:customStyle="1" w:styleId="416">
    <w:name w:val="HBZW"/>
    <w:qFormat/>
    <w:uiPriority w:val="0"/>
    <w:rPr>
      <w:rFonts w:ascii="宋体" w:hAnsi="宋体" w:eastAsia="宋体" w:cs="宋体"/>
      <w:kern w:val="0"/>
      <w:sz w:val="24"/>
      <w:szCs w:val="24"/>
      <w:lang w:val="en-US" w:eastAsia="zh-CN" w:bidi="ar-SA"/>
    </w:rPr>
  </w:style>
  <w:style w:type="character" w:customStyle="1" w:styleId="417">
    <w:name w:val="正文文本缩进 3 Char3"/>
    <w:qFormat/>
    <w:uiPriority w:val="0"/>
    <w:rPr>
      <w:sz w:val="16"/>
      <w:szCs w:val="16"/>
    </w:rPr>
  </w:style>
  <w:style w:type="character" w:customStyle="1" w:styleId="418">
    <w:name w:val="Char Char482"/>
    <w:qFormat/>
    <w:uiPriority w:val="0"/>
    <w:rPr>
      <w:rFonts w:eastAsia="宋体"/>
      <w:b/>
      <w:bCs/>
      <w:kern w:val="44"/>
      <w:sz w:val="44"/>
      <w:szCs w:val="44"/>
      <w:lang w:val="en-US" w:eastAsia="zh-CN" w:bidi="ar-SA"/>
    </w:rPr>
  </w:style>
  <w:style w:type="character" w:customStyle="1" w:styleId="419">
    <w:name w:val="正文文字 Char1"/>
    <w:link w:val="420"/>
    <w:qFormat/>
    <w:uiPriority w:val="0"/>
    <w:rPr>
      <w:rFonts w:eastAsia="宋体"/>
      <w:sz w:val="18"/>
      <w:szCs w:val="18"/>
    </w:rPr>
  </w:style>
  <w:style w:type="paragraph" w:customStyle="1" w:styleId="420">
    <w:name w:val="正文文字"/>
    <w:basedOn w:val="1"/>
    <w:link w:val="419"/>
    <w:qFormat/>
    <w:uiPriority w:val="0"/>
    <w:rPr>
      <w:sz w:val="18"/>
      <w:szCs w:val="18"/>
    </w:rPr>
  </w:style>
  <w:style w:type="character" w:customStyle="1" w:styleId="421">
    <w:name w:val="正文文本 Char3"/>
    <w:qFormat/>
    <w:uiPriority w:val="0"/>
  </w:style>
  <w:style w:type="character" w:customStyle="1" w:styleId="422">
    <w:name w:val="表格 Char Char Char"/>
    <w:qFormat/>
    <w:uiPriority w:val="0"/>
    <w:rPr>
      <w:rFonts w:eastAsia="宋体"/>
      <w:kern w:val="2"/>
      <w:sz w:val="21"/>
      <w:lang w:val="en-US" w:eastAsia="zh-CN" w:bidi="ar-SA"/>
    </w:rPr>
  </w:style>
  <w:style w:type="character" w:customStyle="1" w:styleId="423">
    <w:name w:val="Char Char641"/>
    <w:qFormat/>
    <w:uiPriority w:val="0"/>
    <w:rPr>
      <w:rFonts w:ascii="Arial Unicode MS" w:hAnsi="Arial Unicode MS" w:eastAsia="Calibri" w:cs="Times NewRoman"/>
      <w:b/>
      <w:bCs/>
      <w:kern w:val="2"/>
      <w:sz w:val="32"/>
      <w:szCs w:val="32"/>
      <w:lang w:val="en-US" w:eastAsia="zh-CN" w:bidi="ar-SA"/>
    </w:rPr>
  </w:style>
  <w:style w:type="character" w:customStyle="1" w:styleId="424">
    <w:name w:val="表格YHY Char"/>
    <w:qFormat/>
    <w:uiPriority w:val="0"/>
    <w:rPr>
      <w:bCs/>
      <w:kern w:val="2"/>
      <w:sz w:val="21"/>
      <w:szCs w:val="21"/>
    </w:rPr>
  </w:style>
  <w:style w:type="character" w:customStyle="1" w:styleId="425">
    <w:name w:val="6表(图)头(治) Char Char"/>
    <w:link w:val="426"/>
    <w:qFormat/>
    <w:uiPriority w:val="0"/>
    <w:rPr>
      <w:rFonts w:eastAsia="黑体"/>
      <w:b/>
      <w:sz w:val="28"/>
      <w:szCs w:val="28"/>
    </w:rPr>
  </w:style>
  <w:style w:type="paragraph" w:customStyle="1" w:styleId="426">
    <w:name w:val="6表(图)头(治)"/>
    <w:next w:val="1"/>
    <w:link w:val="425"/>
    <w:qFormat/>
    <w:uiPriority w:val="0"/>
    <w:pPr>
      <w:widowControl w:val="0"/>
      <w:jc w:val="center"/>
    </w:pPr>
    <w:rPr>
      <w:rFonts w:ascii="Calibri" w:hAnsi="Calibri" w:eastAsia="黑体" w:cs="Times New Roman"/>
      <w:b/>
      <w:kern w:val="2"/>
      <w:sz w:val="28"/>
      <w:szCs w:val="28"/>
      <w:lang w:val="en-US" w:eastAsia="zh-CN" w:bidi="ar-SA"/>
    </w:rPr>
  </w:style>
  <w:style w:type="character" w:customStyle="1" w:styleId="427">
    <w:name w:val="标题 13 Char4"/>
    <w:qFormat/>
    <w:uiPriority w:val="0"/>
    <w:rPr>
      <w:rFonts w:eastAsia="宋体"/>
      <w:b/>
      <w:bCs/>
      <w:kern w:val="2"/>
      <w:sz w:val="32"/>
      <w:szCs w:val="32"/>
      <w:lang w:val="en-US" w:eastAsia="zh-CN" w:bidi="ar-SA"/>
    </w:rPr>
  </w:style>
  <w:style w:type="character" w:customStyle="1" w:styleId="428">
    <w:name w:val="正文文字缩进 Char1"/>
    <w:qFormat/>
    <w:uiPriority w:val="0"/>
    <w:rPr>
      <w:rFonts w:eastAsia="宋体"/>
      <w:kern w:val="2"/>
      <w:sz w:val="21"/>
      <w:szCs w:val="24"/>
      <w:lang w:val="en-US" w:eastAsia="zh-CN" w:bidi="ar-SA"/>
    </w:rPr>
  </w:style>
  <w:style w:type="character" w:customStyle="1" w:styleId="429">
    <w:name w:val="nors1"/>
    <w:qFormat/>
    <w:uiPriority w:val="0"/>
    <w:rPr>
      <w:rFonts w:ascii="宋体" w:hAnsi="宋体" w:eastAsia="宋体"/>
      <w:sz w:val="21"/>
    </w:rPr>
  </w:style>
  <w:style w:type="character" w:customStyle="1" w:styleId="430">
    <w:name w:val="普通文字 Char Char Char Char Char Char Char Char"/>
    <w:qFormat/>
    <w:uiPriority w:val="0"/>
    <w:rPr>
      <w:rFonts w:ascii="宋体" w:hAnsi="Courier New" w:eastAsia="宋体"/>
      <w:kern w:val="2"/>
      <w:sz w:val="21"/>
      <w:lang w:val="en-US" w:eastAsia="zh-CN" w:bidi="ar-SA"/>
    </w:rPr>
  </w:style>
  <w:style w:type="character" w:customStyle="1" w:styleId="431">
    <w:name w:val="表格的标题 Char"/>
    <w:link w:val="432"/>
    <w:qFormat/>
    <w:uiPriority w:val="0"/>
    <w:rPr>
      <w:rFonts w:eastAsia="黑体"/>
      <w:color w:val="000000"/>
      <w:kern w:val="24"/>
      <w:sz w:val="24"/>
      <w:szCs w:val="24"/>
    </w:rPr>
  </w:style>
  <w:style w:type="paragraph" w:customStyle="1" w:styleId="432">
    <w:name w:val="表格的标题"/>
    <w:basedOn w:val="1"/>
    <w:link w:val="431"/>
    <w:qFormat/>
    <w:uiPriority w:val="0"/>
    <w:pPr>
      <w:tabs>
        <w:tab w:val="left" w:pos="1021"/>
      </w:tabs>
      <w:adjustRightInd w:val="0"/>
      <w:spacing w:afterLines="10" w:line="460" w:lineRule="exact"/>
      <w:jc w:val="center"/>
      <w:textAlignment w:val="baseline"/>
    </w:pPr>
    <w:rPr>
      <w:rFonts w:ascii="Times New Roman" w:hAnsi="Times New Roman" w:eastAsia="黑体"/>
      <w:color w:val="000000"/>
      <w:kern w:val="24"/>
      <w:sz w:val="24"/>
      <w:szCs w:val="24"/>
    </w:rPr>
  </w:style>
  <w:style w:type="character" w:customStyle="1" w:styleId="433">
    <w:name w:val="Char Char3811"/>
    <w:qFormat/>
    <w:uiPriority w:val="0"/>
    <w:rPr>
      <w:rFonts w:ascii="Times NewRoman" w:hAnsi="Times NewRoman" w:eastAsia="幼圆" w:cs="Times NewRoman"/>
      <w:sz w:val="28"/>
      <w:szCs w:val="24"/>
    </w:rPr>
  </w:style>
  <w:style w:type="character" w:customStyle="1" w:styleId="434">
    <w:name w:val="puntext"/>
    <w:qFormat/>
    <w:uiPriority w:val="0"/>
    <w:rPr>
      <w:sz w:val="21"/>
    </w:rPr>
  </w:style>
  <w:style w:type="character" w:customStyle="1" w:styleId="435">
    <w:name w:val="样式 13.5 磅"/>
    <w:qFormat/>
    <w:uiPriority w:val="0"/>
    <w:rPr>
      <w:sz w:val="28"/>
    </w:rPr>
  </w:style>
  <w:style w:type="character" w:customStyle="1" w:styleId="436">
    <w:name w:val="正文9 Char"/>
    <w:link w:val="437"/>
    <w:qFormat/>
    <w:uiPriority w:val="0"/>
    <w:rPr>
      <w:rFonts w:eastAsia="宋体"/>
      <w:sz w:val="24"/>
      <w:szCs w:val="24"/>
    </w:rPr>
  </w:style>
  <w:style w:type="paragraph" w:customStyle="1" w:styleId="437">
    <w:name w:val="正文9"/>
    <w:basedOn w:val="1"/>
    <w:link w:val="436"/>
    <w:qFormat/>
    <w:uiPriority w:val="0"/>
    <w:pPr>
      <w:adjustRightInd w:val="0"/>
      <w:spacing w:line="360" w:lineRule="auto"/>
      <w:ind w:firstLine="200" w:firstLineChars="200"/>
    </w:pPr>
    <w:rPr>
      <w:sz w:val="24"/>
      <w:szCs w:val="24"/>
    </w:rPr>
  </w:style>
  <w:style w:type="character" w:customStyle="1" w:styleId="438">
    <w:name w:val="正文文本缩进 Char2"/>
    <w:qFormat/>
    <w:uiPriority w:val="99"/>
    <w:rPr>
      <w:rFonts w:ascii="Times New Roman" w:hAnsi="Times New Roman" w:eastAsia="宋体" w:cs="Times New Roman"/>
      <w:szCs w:val="20"/>
    </w:rPr>
  </w:style>
  <w:style w:type="character" w:customStyle="1" w:styleId="439">
    <w:name w:val="正文文本缩进 Char8"/>
    <w:semiHidden/>
    <w:qFormat/>
    <w:uiPriority w:val="99"/>
  </w:style>
  <w:style w:type="character" w:customStyle="1" w:styleId="440">
    <w:name w:val="表头文字 Char"/>
    <w:link w:val="441"/>
    <w:qFormat/>
    <w:uiPriority w:val="0"/>
    <w:rPr>
      <w:rFonts w:ascii="黑体" w:hAnsi="宋体" w:eastAsia="黑体"/>
      <w:sz w:val="24"/>
    </w:rPr>
  </w:style>
  <w:style w:type="paragraph" w:customStyle="1" w:styleId="441">
    <w:name w:val="表头文字"/>
    <w:basedOn w:val="1"/>
    <w:link w:val="440"/>
    <w:qFormat/>
    <w:uiPriority w:val="0"/>
    <w:pPr>
      <w:spacing w:before="312" w:beforeLines="100" w:line="400" w:lineRule="exact"/>
      <w:jc w:val="center"/>
    </w:pPr>
    <w:rPr>
      <w:rFonts w:ascii="黑体" w:hAnsi="宋体" w:eastAsia="黑体"/>
      <w:sz w:val="24"/>
    </w:rPr>
  </w:style>
  <w:style w:type="character" w:customStyle="1" w:styleId="442">
    <w:name w:val="Char Char244"/>
    <w:qFormat/>
    <w:uiPriority w:val="0"/>
    <w:rPr>
      <w:rFonts w:ascii="Arial" w:hAnsi="Arial" w:eastAsia="黑体"/>
      <w:b/>
      <w:bCs/>
      <w:kern w:val="2"/>
      <w:sz w:val="32"/>
      <w:szCs w:val="32"/>
      <w:lang w:val="en-US" w:eastAsia="zh-CN" w:bidi="ar-SA"/>
    </w:rPr>
  </w:style>
  <w:style w:type="character" w:customStyle="1" w:styleId="443">
    <w:name w:val="注释标题 Char Char"/>
    <w:qFormat/>
    <w:uiPriority w:val="0"/>
    <w:rPr>
      <w:rFonts w:eastAsia="宋体"/>
      <w:sz w:val="28"/>
      <w:szCs w:val="24"/>
      <w:lang w:bidi="ar-SA"/>
    </w:rPr>
  </w:style>
  <w:style w:type="character" w:customStyle="1" w:styleId="444">
    <w:name w:val="5文章(治) Char Char Char"/>
    <w:qFormat/>
    <w:uiPriority w:val="0"/>
    <w:rPr>
      <w:rFonts w:eastAsia="宋体"/>
      <w:kern w:val="2"/>
      <w:sz w:val="24"/>
      <w:lang w:val="en-US" w:eastAsia="zh-CN" w:bidi="ar-SA"/>
    </w:rPr>
  </w:style>
  <w:style w:type="character" w:customStyle="1" w:styleId="445">
    <w:name w:val="省表头 Char"/>
    <w:link w:val="446"/>
    <w:qFormat/>
    <w:uiPriority w:val="0"/>
    <w:rPr>
      <w:rFonts w:ascii="宋体" w:hAnsi="宋体" w:eastAsia="黑体"/>
      <w:bCs/>
      <w:szCs w:val="21"/>
    </w:rPr>
  </w:style>
  <w:style w:type="paragraph" w:customStyle="1" w:styleId="446">
    <w:name w:val="省表头"/>
    <w:basedOn w:val="447"/>
    <w:link w:val="445"/>
    <w:qFormat/>
    <w:uiPriority w:val="0"/>
    <w:pPr>
      <w:widowControl w:val="0"/>
      <w:spacing w:beforeLines="50" w:afterLines="50" w:line="300" w:lineRule="auto"/>
      <w:ind w:firstLine="400" w:firstLineChars="200"/>
      <w:jc w:val="center"/>
    </w:pPr>
    <w:rPr>
      <w:rFonts w:ascii="宋体" w:hAnsi="宋体" w:eastAsia="黑体"/>
      <w:bCs/>
      <w:sz w:val="20"/>
      <w:szCs w:val="21"/>
    </w:rPr>
  </w:style>
  <w:style w:type="paragraph" w:customStyle="1" w:styleId="447">
    <w:name w:val="无间隔1"/>
    <w:qFormat/>
    <w:uiPriority w:val="1"/>
    <w:rPr>
      <w:rFonts w:ascii="Calibri" w:hAnsi="Calibri" w:eastAsia="宋体" w:cs="Times New Roman"/>
      <w:sz w:val="22"/>
      <w:lang w:val="en-US" w:eastAsia="zh-CN" w:bidi="ar-SA"/>
    </w:rPr>
  </w:style>
  <w:style w:type="character" w:customStyle="1" w:styleId="448">
    <w:name w:val="Char Char551"/>
    <w:qFormat/>
    <w:uiPriority w:val="0"/>
    <w:rPr>
      <w:rFonts w:ascii="Times New Roman" w:hAnsi="Times New Roman" w:eastAsia="宋体" w:cs="Times New Roman"/>
      <w:b/>
      <w:bCs/>
      <w:kern w:val="44"/>
      <w:sz w:val="44"/>
      <w:szCs w:val="44"/>
    </w:rPr>
  </w:style>
  <w:style w:type="character" w:customStyle="1" w:styleId="449">
    <w:name w:val="f12_0000_1"/>
    <w:qFormat/>
    <w:uiPriority w:val="0"/>
  </w:style>
  <w:style w:type="character" w:customStyle="1" w:styleId="450">
    <w:name w:val="文档结构图 Char2"/>
    <w:qFormat/>
    <w:uiPriority w:val="0"/>
    <w:rPr>
      <w:rFonts w:ascii="宋体" w:hAnsi="Times New Roman" w:eastAsia="宋体" w:cs="Times New Roman"/>
      <w:sz w:val="18"/>
      <w:szCs w:val="18"/>
    </w:rPr>
  </w:style>
  <w:style w:type="character" w:customStyle="1" w:styleId="451">
    <w:name w:val="环评证文 Char"/>
    <w:link w:val="452"/>
    <w:qFormat/>
    <w:uiPriority w:val="0"/>
    <w:rPr>
      <w:rFonts w:ascii="宋体" w:hAnsi="宋体" w:eastAsia="宋体"/>
      <w:color w:val="000000"/>
      <w:sz w:val="24"/>
      <w:szCs w:val="24"/>
    </w:rPr>
  </w:style>
  <w:style w:type="paragraph" w:customStyle="1" w:styleId="452">
    <w:name w:val="环评证文"/>
    <w:basedOn w:val="1"/>
    <w:link w:val="451"/>
    <w:qFormat/>
    <w:uiPriority w:val="0"/>
    <w:pPr>
      <w:spacing w:line="440" w:lineRule="exact"/>
      <w:ind w:firstLine="480" w:firstLineChars="200"/>
    </w:pPr>
    <w:rPr>
      <w:rFonts w:ascii="宋体" w:hAnsi="宋体"/>
      <w:color w:val="000000"/>
      <w:sz w:val="24"/>
      <w:szCs w:val="24"/>
    </w:rPr>
  </w:style>
  <w:style w:type="character" w:customStyle="1" w:styleId="453">
    <w:name w:val="省表体 Char Char"/>
    <w:qFormat/>
    <w:uiPriority w:val="0"/>
    <w:rPr>
      <w:rFonts w:ascii="Times New Roman" w:hAnsi="Times New Roman" w:eastAsia="宋体" w:cs="Times New Roman"/>
      <w:snapToGrid/>
      <w:kern w:val="0"/>
      <w:sz w:val="18"/>
      <w:szCs w:val="18"/>
    </w:rPr>
  </w:style>
  <w:style w:type="character" w:customStyle="1" w:styleId="454">
    <w:name w:val="批注主题 Char"/>
    <w:link w:val="455"/>
    <w:qFormat/>
    <w:uiPriority w:val="0"/>
    <w:rPr>
      <w:rFonts w:eastAsia="宋体"/>
      <w:b/>
      <w:bCs/>
      <w:szCs w:val="24"/>
    </w:rPr>
  </w:style>
  <w:style w:type="paragraph" w:customStyle="1" w:styleId="455">
    <w:name w:val="批注主题1"/>
    <w:basedOn w:val="28"/>
    <w:next w:val="28"/>
    <w:link w:val="454"/>
    <w:qFormat/>
    <w:uiPriority w:val="0"/>
    <w:rPr>
      <w:b/>
      <w:bCs/>
      <w:szCs w:val="24"/>
    </w:rPr>
  </w:style>
  <w:style w:type="character" w:customStyle="1" w:styleId="456">
    <w:name w:val="小节标题 Char"/>
    <w:qFormat/>
    <w:uiPriority w:val="0"/>
    <w:rPr>
      <w:rFonts w:eastAsia="宋体"/>
      <w:bCs/>
      <w:kern w:val="2"/>
      <w:sz w:val="28"/>
      <w:szCs w:val="32"/>
      <w:lang w:val="en-US" w:eastAsia="zh-CN" w:bidi="ar-SA"/>
    </w:rPr>
  </w:style>
  <w:style w:type="character" w:customStyle="1" w:styleId="457">
    <w:name w:val="样式 样式 正文 +1 + 宋体 黑色 Char Char"/>
    <w:link w:val="458"/>
    <w:qFormat/>
    <w:uiPriority w:val="0"/>
    <w:rPr>
      <w:rFonts w:ascii="宋体" w:hAnsi="宋体" w:eastAsia="宋体"/>
      <w:color w:val="000000"/>
      <w:spacing w:val="5"/>
      <w:sz w:val="24"/>
      <w:szCs w:val="24"/>
    </w:rPr>
  </w:style>
  <w:style w:type="paragraph" w:customStyle="1" w:styleId="458">
    <w:name w:val="样式 样式 正文 +1 + 宋体 黑色"/>
    <w:basedOn w:val="1"/>
    <w:link w:val="457"/>
    <w:qFormat/>
    <w:uiPriority w:val="0"/>
    <w:pPr>
      <w:spacing w:line="329" w:lineRule="auto"/>
    </w:pPr>
    <w:rPr>
      <w:rFonts w:ascii="宋体" w:hAnsi="宋体"/>
      <w:color w:val="000000"/>
      <w:spacing w:val="5"/>
      <w:sz w:val="24"/>
      <w:szCs w:val="24"/>
    </w:rPr>
  </w:style>
  <w:style w:type="character" w:customStyle="1" w:styleId="459">
    <w:name w:val="引用 Char4"/>
    <w:qFormat/>
    <w:uiPriority w:val="0"/>
    <w:rPr>
      <w:rFonts w:ascii="Calibri" w:hAnsi="Calibri" w:eastAsia="宋体"/>
      <w:i/>
      <w:iCs/>
      <w:color w:val="000000"/>
      <w:sz w:val="22"/>
      <w:szCs w:val="22"/>
      <w:lang w:val="en-US" w:eastAsia="en-US" w:bidi="en-US"/>
    </w:rPr>
  </w:style>
  <w:style w:type="character" w:customStyle="1" w:styleId="460">
    <w:name w:val="明显引用 字符"/>
    <w:link w:val="461"/>
    <w:qFormat/>
    <w:uiPriority w:val="30"/>
    <w:rPr>
      <w:rFonts w:ascii="Calibri" w:hAnsi="Calibri" w:eastAsia="宋体"/>
      <w:b/>
      <w:bCs/>
      <w:i/>
      <w:iCs/>
      <w:color w:val="4F81BD"/>
      <w:sz w:val="22"/>
      <w:lang w:eastAsia="en-US" w:bidi="en-US"/>
    </w:rPr>
  </w:style>
  <w:style w:type="paragraph" w:styleId="461">
    <w:name w:val="Intense Quote"/>
    <w:basedOn w:val="1"/>
    <w:next w:val="1"/>
    <w:link w:val="460"/>
    <w:qFormat/>
    <w:uiPriority w:val="0"/>
    <w:pPr>
      <w:widowControl/>
      <w:pBdr>
        <w:bottom w:val="single" w:color="4F81BD" w:sz="4" w:space="4"/>
      </w:pBdr>
      <w:spacing w:before="200" w:after="280" w:line="276" w:lineRule="auto"/>
      <w:ind w:left="936" w:right="936"/>
      <w:jc w:val="left"/>
    </w:pPr>
    <w:rPr>
      <w:b/>
      <w:bCs/>
      <w:i/>
      <w:iCs/>
      <w:color w:val="4F81BD"/>
      <w:sz w:val="22"/>
      <w:lang w:eastAsia="en-US" w:bidi="en-US"/>
    </w:rPr>
  </w:style>
  <w:style w:type="character" w:customStyle="1" w:styleId="462">
    <w:name w:val="tpc_title1"/>
    <w:qFormat/>
    <w:uiPriority w:val="0"/>
    <w:rPr>
      <w:b/>
      <w:bCs/>
      <w:sz w:val="18"/>
      <w:szCs w:val="18"/>
    </w:rPr>
  </w:style>
  <w:style w:type="character" w:customStyle="1" w:styleId="463">
    <w:name w:val="Char Char133"/>
    <w:qFormat/>
    <w:uiPriority w:val="0"/>
    <w:rPr>
      <w:rFonts w:eastAsia="宋体"/>
      <w:kern w:val="2"/>
      <w:sz w:val="24"/>
      <w:szCs w:val="28"/>
      <w:lang w:val="en-US" w:eastAsia="zh-CN" w:bidi="ar-SA"/>
    </w:rPr>
  </w:style>
  <w:style w:type="character" w:customStyle="1" w:styleId="464">
    <w:name w:val="p0 Char"/>
    <w:link w:val="465"/>
    <w:qFormat/>
    <w:uiPriority w:val="0"/>
    <w:rPr>
      <w:rFonts w:eastAsia="宋体"/>
      <w:szCs w:val="21"/>
    </w:rPr>
  </w:style>
  <w:style w:type="paragraph" w:customStyle="1" w:styleId="465">
    <w:name w:val="p0"/>
    <w:basedOn w:val="1"/>
    <w:link w:val="464"/>
    <w:qFormat/>
    <w:uiPriority w:val="0"/>
    <w:pPr>
      <w:widowControl/>
    </w:pPr>
    <w:rPr>
      <w:szCs w:val="21"/>
    </w:rPr>
  </w:style>
  <w:style w:type="character" w:customStyle="1" w:styleId="466">
    <w:name w:val="Char Char272"/>
    <w:qFormat/>
    <w:uiPriority w:val="0"/>
    <w:rPr>
      <w:rFonts w:eastAsia="黑体"/>
      <w:b/>
      <w:bCs/>
      <w:kern w:val="2"/>
      <w:sz w:val="24"/>
      <w:szCs w:val="32"/>
      <w:lang w:val="en-US" w:eastAsia="zh-CN" w:bidi="ar-SA"/>
    </w:rPr>
  </w:style>
  <w:style w:type="character" w:customStyle="1" w:styleId="467">
    <w:name w:val="纯文本 Char7"/>
    <w:semiHidden/>
    <w:qFormat/>
    <w:uiPriority w:val="99"/>
    <w:rPr>
      <w:rFonts w:ascii="宋体" w:hAnsi="Courier New" w:eastAsia="宋体" w:cs="Courier New"/>
      <w:szCs w:val="21"/>
    </w:rPr>
  </w:style>
  <w:style w:type="character" w:customStyle="1" w:styleId="468">
    <w:name w:val="Char Char21"/>
    <w:qFormat/>
    <w:uiPriority w:val="0"/>
    <w:rPr>
      <w:rFonts w:eastAsia="宋体"/>
      <w:b/>
      <w:kern w:val="2"/>
      <w:sz w:val="27"/>
      <w:szCs w:val="24"/>
      <w:lang w:val="en-US" w:eastAsia="zh-CN" w:bidi="ar-SA"/>
    </w:rPr>
  </w:style>
  <w:style w:type="character" w:customStyle="1" w:styleId="469">
    <w:name w:val="表文字-lxc Char"/>
    <w:link w:val="470"/>
    <w:qFormat/>
    <w:uiPriority w:val="0"/>
    <w:rPr>
      <w:sz w:val="18"/>
    </w:rPr>
  </w:style>
  <w:style w:type="paragraph" w:customStyle="1" w:styleId="470">
    <w:name w:val="表文字-lxc"/>
    <w:basedOn w:val="1"/>
    <w:link w:val="469"/>
    <w:qFormat/>
    <w:uiPriority w:val="0"/>
    <w:pPr>
      <w:overflowPunct w:val="0"/>
      <w:autoSpaceDE w:val="0"/>
      <w:autoSpaceDN w:val="0"/>
      <w:adjustRightInd w:val="0"/>
      <w:snapToGrid w:val="0"/>
      <w:jc w:val="center"/>
      <w:textAlignment w:val="baseline"/>
    </w:pPr>
    <w:rPr>
      <w:rFonts w:ascii="Times New Roman" w:hAnsi="Times New Roman"/>
      <w:kern w:val="0"/>
      <w:sz w:val="18"/>
      <w:szCs w:val="20"/>
    </w:rPr>
  </w:style>
  <w:style w:type="character" w:customStyle="1" w:styleId="471">
    <w:name w:val="脚注文本 Char4"/>
    <w:qFormat/>
    <w:uiPriority w:val="0"/>
    <w:rPr>
      <w:kern w:val="2"/>
      <w:sz w:val="18"/>
      <w:szCs w:val="18"/>
    </w:rPr>
  </w:style>
  <w:style w:type="character" w:customStyle="1" w:styleId="472">
    <w:name w:val="我的正文 Char"/>
    <w:link w:val="473"/>
    <w:qFormat/>
    <w:locked/>
    <w:uiPriority w:val="0"/>
    <w:rPr>
      <w:rFonts w:eastAsia="宋体"/>
      <w:sz w:val="28"/>
      <w:szCs w:val="24"/>
    </w:rPr>
  </w:style>
  <w:style w:type="paragraph" w:customStyle="1" w:styleId="473">
    <w:name w:val="我的正文"/>
    <w:basedOn w:val="1"/>
    <w:link w:val="472"/>
    <w:qFormat/>
    <w:uiPriority w:val="0"/>
    <w:pPr>
      <w:ind w:firstLine="538" w:firstLineChars="192"/>
    </w:pPr>
    <w:rPr>
      <w:sz w:val="28"/>
      <w:szCs w:val="24"/>
    </w:rPr>
  </w:style>
  <w:style w:type="character" w:customStyle="1" w:styleId="474">
    <w:name w:val="Char Char20111"/>
    <w:qFormat/>
    <w:uiPriority w:val="0"/>
    <w:rPr>
      <w:rFonts w:eastAsia="宋体"/>
      <w:kern w:val="2"/>
      <w:sz w:val="24"/>
      <w:szCs w:val="24"/>
      <w:lang w:val="en-US" w:eastAsia="zh-CN" w:bidi="ar-SA"/>
    </w:rPr>
  </w:style>
  <w:style w:type="character" w:customStyle="1" w:styleId="475">
    <w:name w:val="正文文本缩进 字符1"/>
    <w:semiHidden/>
    <w:qFormat/>
    <w:uiPriority w:val="99"/>
    <w:rPr>
      <w:rFonts w:ascii="Times New Roman" w:hAnsi="Times New Roman" w:cs="Times New Roman"/>
      <w:sz w:val="24"/>
      <w:szCs w:val="24"/>
    </w:rPr>
  </w:style>
  <w:style w:type="character" w:customStyle="1" w:styleId="476">
    <w:name w:val="样式 标题 3 + Char Char"/>
    <w:link w:val="477"/>
    <w:qFormat/>
    <w:uiPriority w:val="0"/>
    <w:rPr>
      <w:b/>
      <w:bCs/>
      <w:kern w:val="2"/>
      <w:sz w:val="24"/>
      <w:szCs w:val="32"/>
    </w:rPr>
  </w:style>
  <w:style w:type="paragraph" w:customStyle="1" w:styleId="477">
    <w:name w:val="样式 标题 3 +"/>
    <w:basedOn w:val="6"/>
    <w:link w:val="476"/>
    <w:qFormat/>
    <w:uiPriority w:val="0"/>
    <w:pPr>
      <w:spacing w:before="120"/>
    </w:pPr>
    <w:rPr>
      <w:rFonts w:ascii="Calibri" w:hAnsi="Calibri" w:eastAsia="宋体"/>
    </w:rPr>
  </w:style>
  <w:style w:type="character" w:customStyle="1" w:styleId="478">
    <w:name w:val="ljx正文1 Char"/>
    <w:link w:val="479"/>
    <w:qFormat/>
    <w:uiPriority w:val="0"/>
    <w:rPr>
      <w:sz w:val="28"/>
    </w:rPr>
  </w:style>
  <w:style w:type="paragraph" w:customStyle="1" w:styleId="479">
    <w:name w:val="ljx正文1"/>
    <w:basedOn w:val="1"/>
    <w:link w:val="478"/>
    <w:qFormat/>
    <w:uiPriority w:val="0"/>
    <w:pPr>
      <w:adjustRightInd w:val="0"/>
      <w:textAlignment w:val="baseline"/>
    </w:pPr>
    <w:rPr>
      <w:rFonts w:ascii="Times New Roman" w:hAnsi="Times New Roman"/>
      <w:kern w:val="0"/>
      <w:sz w:val="28"/>
      <w:szCs w:val="20"/>
    </w:rPr>
  </w:style>
  <w:style w:type="character" w:customStyle="1" w:styleId="480">
    <w:name w:val="Char Char2111"/>
    <w:qFormat/>
    <w:uiPriority w:val="0"/>
    <w:rPr>
      <w:rFonts w:eastAsia="宋体"/>
      <w:b/>
      <w:kern w:val="2"/>
      <w:sz w:val="27"/>
      <w:szCs w:val="24"/>
      <w:lang w:val="en-US" w:eastAsia="zh-CN" w:bidi="ar-SA"/>
    </w:rPr>
  </w:style>
  <w:style w:type="character" w:customStyle="1" w:styleId="481">
    <w:name w:val="Char Char2221"/>
    <w:qFormat/>
    <w:uiPriority w:val="0"/>
    <w:rPr>
      <w:rFonts w:ascii="Arial" w:hAnsi="Arial" w:eastAsia="黑体"/>
      <w:b/>
      <w:bCs/>
      <w:kern w:val="2"/>
      <w:sz w:val="32"/>
      <w:szCs w:val="32"/>
      <w:lang w:val="en-US" w:eastAsia="zh-CN" w:bidi="ar-SA"/>
    </w:rPr>
  </w:style>
  <w:style w:type="character" w:customStyle="1" w:styleId="482">
    <w:name w:val="Char Char33"/>
    <w:qFormat/>
    <w:uiPriority w:val="0"/>
    <w:rPr>
      <w:rFonts w:ascii="Arial" w:hAnsi="Arial" w:eastAsia="黑体"/>
      <w:b/>
      <w:bCs/>
      <w:kern w:val="2"/>
      <w:sz w:val="32"/>
      <w:szCs w:val="32"/>
      <w:lang w:val="en-US" w:eastAsia="zh-CN" w:bidi="ar-SA"/>
    </w:rPr>
  </w:style>
  <w:style w:type="character" w:customStyle="1" w:styleId="483">
    <w:name w:val="样式 样式 样式 样式 样式 样式 样式 123 + 自动设置 首行缩进:  2 字符 + 首行缩进:  2 字符 + 黑色 首... Char Char Char Char"/>
    <w:qFormat/>
    <w:uiPriority w:val="0"/>
    <w:rPr>
      <w:rFonts w:ascii="宋体" w:hAnsi="宋体" w:eastAsia="宋体" w:cs="宋体"/>
      <w:kern w:val="2"/>
      <w:sz w:val="28"/>
      <w:szCs w:val="28"/>
      <w:lang w:val="en-US" w:eastAsia="zh-CN" w:bidi="ar-SA"/>
    </w:rPr>
  </w:style>
  <w:style w:type="character" w:customStyle="1" w:styleId="484">
    <w:name w:val="电子邮件签名 Char1"/>
    <w:qFormat/>
    <w:uiPriority w:val="0"/>
  </w:style>
  <w:style w:type="character" w:customStyle="1" w:styleId="485">
    <w:name w:val="表头(G) Char"/>
    <w:link w:val="486"/>
    <w:qFormat/>
    <w:uiPriority w:val="0"/>
    <w:rPr>
      <w:rFonts w:eastAsia="黑体"/>
      <w:b/>
      <w:color w:val="000000"/>
      <w:kern w:val="24"/>
      <w:sz w:val="24"/>
      <w:szCs w:val="24"/>
    </w:rPr>
  </w:style>
  <w:style w:type="paragraph" w:customStyle="1" w:styleId="486">
    <w:name w:val="表头(G)"/>
    <w:basedOn w:val="1"/>
    <w:link w:val="485"/>
    <w:qFormat/>
    <w:uiPriority w:val="0"/>
    <w:pPr>
      <w:tabs>
        <w:tab w:val="left" w:pos="1021"/>
      </w:tabs>
      <w:spacing w:line="288" w:lineRule="auto"/>
      <w:jc w:val="center"/>
    </w:pPr>
    <w:rPr>
      <w:rFonts w:ascii="Times New Roman" w:hAnsi="Times New Roman" w:eastAsia="黑体"/>
      <w:b/>
      <w:color w:val="000000"/>
      <w:kern w:val="24"/>
      <w:sz w:val="24"/>
      <w:szCs w:val="24"/>
    </w:rPr>
  </w:style>
  <w:style w:type="character" w:customStyle="1" w:styleId="487">
    <w:name w:val="4标题(治) Char"/>
    <w:link w:val="488"/>
    <w:qFormat/>
    <w:uiPriority w:val="0"/>
    <w:rPr>
      <w:rFonts w:eastAsia="黑体"/>
      <w:b/>
      <w:sz w:val="24"/>
    </w:rPr>
  </w:style>
  <w:style w:type="paragraph" w:customStyle="1" w:styleId="488">
    <w:name w:val="4标题(治)"/>
    <w:basedOn w:val="1"/>
    <w:next w:val="1"/>
    <w:link w:val="487"/>
    <w:qFormat/>
    <w:uiPriority w:val="0"/>
    <w:pPr>
      <w:adjustRightInd w:val="0"/>
      <w:snapToGrid w:val="0"/>
      <w:spacing w:line="360" w:lineRule="auto"/>
      <w:textAlignment w:val="baseline"/>
      <w:outlineLvl w:val="2"/>
    </w:pPr>
    <w:rPr>
      <w:rFonts w:eastAsia="黑体"/>
      <w:b/>
      <w:sz w:val="24"/>
    </w:rPr>
  </w:style>
  <w:style w:type="character" w:customStyle="1" w:styleId="489">
    <w:name w:val="样式 仿宋_GB2312 小四"/>
    <w:qFormat/>
    <w:uiPriority w:val="0"/>
    <w:rPr>
      <w:rFonts w:ascii="仿宋_GB2312" w:hAnsi="仿宋_GB2312" w:eastAsia="宋体"/>
      <w:sz w:val="21"/>
    </w:rPr>
  </w:style>
  <w:style w:type="character" w:customStyle="1" w:styleId="490">
    <w:name w:val="Char Char3111"/>
    <w:qFormat/>
    <w:uiPriority w:val="0"/>
    <w:rPr>
      <w:rFonts w:hint="default" w:ascii="Arial" w:hAnsi="Arial" w:eastAsia="黑体" w:cs="Arial"/>
      <w:b/>
      <w:bCs/>
      <w:kern w:val="2"/>
      <w:sz w:val="28"/>
      <w:szCs w:val="28"/>
      <w:lang w:val="en-US" w:eastAsia="zh-CN" w:bidi="ar-SA"/>
    </w:rPr>
  </w:style>
  <w:style w:type="character" w:customStyle="1" w:styleId="491">
    <w:name w:val="正文文字缩进 31 Char3"/>
    <w:qFormat/>
    <w:uiPriority w:val="0"/>
    <w:rPr>
      <w:rFonts w:eastAsia="宋体"/>
      <w:kern w:val="2"/>
      <w:sz w:val="24"/>
      <w:lang w:val="en-US" w:eastAsia="zh-CN" w:bidi="ar-SA"/>
    </w:rPr>
  </w:style>
  <w:style w:type="character" w:customStyle="1" w:styleId="492">
    <w:name w:val="Char Char9"/>
    <w:qFormat/>
    <w:uiPriority w:val="0"/>
    <w:rPr>
      <w:rFonts w:eastAsia="宋体"/>
      <w:kern w:val="2"/>
      <w:sz w:val="21"/>
      <w:szCs w:val="24"/>
      <w:lang w:val="en-US" w:eastAsia="zh-CN" w:bidi="ar-SA"/>
    </w:rPr>
  </w:style>
  <w:style w:type="character" w:customStyle="1" w:styleId="493">
    <w:name w:val="(use for tables) Char1"/>
    <w:qFormat/>
    <w:uiPriority w:val="0"/>
    <w:rPr>
      <w:rFonts w:ascii="Arial" w:hAnsi="Arial" w:eastAsia="黑体"/>
      <w:sz w:val="21"/>
      <w:szCs w:val="21"/>
      <w:lang w:val="en-US" w:eastAsia="zh-CN" w:bidi="ar-SA"/>
    </w:rPr>
  </w:style>
  <w:style w:type="character" w:customStyle="1" w:styleId="494">
    <w:name w:val="标题1"/>
    <w:qFormat/>
    <w:uiPriority w:val="0"/>
    <w:rPr>
      <w:rFonts w:ascii="宋体" w:hAnsi="宋体" w:eastAsia="宋体" w:cs="宋体"/>
      <w:kern w:val="2"/>
      <w:sz w:val="24"/>
      <w:szCs w:val="24"/>
      <w:lang w:val="en-US" w:eastAsia="zh-CN" w:bidi="ar-SA"/>
    </w:rPr>
  </w:style>
  <w:style w:type="character" w:customStyle="1" w:styleId="495">
    <w:name w:val="君邦正文 Char1"/>
    <w:link w:val="496"/>
    <w:qFormat/>
    <w:uiPriority w:val="0"/>
    <w:rPr>
      <w:rFonts w:eastAsia="Times New Roman"/>
      <w:bCs/>
      <w:snapToGrid w:val="0"/>
      <w:sz w:val="24"/>
    </w:rPr>
  </w:style>
  <w:style w:type="paragraph" w:customStyle="1" w:styleId="496">
    <w:name w:val="君邦正文"/>
    <w:link w:val="495"/>
    <w:qFormat/>
    <w:uiPriority w:val="0"/>
    <w:pPr>
      <w:spacing w:after="60" w:line="360" w:lineRule="auto"/>
      <w:ind w:firstLine="480" w:firstLineChars="200"/>
      <w:jc w:val="both"/>
    </w:pPr>
    <w:rPr>
      <w:rFonts w:ascii="Calibri" w:hAnsi="Calibri" w:eastAsia="Times New Roman" w:cs="Times New Roman"/>
      <w:bCs/>
      <w:snapToGrid w:val="0"/>
      <w:kern w:val="2"/>
      <w:sz w:val="24"/>
      <w:szCs w:val="22"/>
      <w:lang w:val="en-US" w:eastAsia="zh-CN" w:bidi="ar-SA"/>
    </w:rPr>
  </w:style>
  <w:style w:type="character" w:customStyle="1" w:styleId="497">
    <w:name w:val="Char Char5311"/>
    <w:qFormat/>
    <w:uiPriority w:val="0"/>
    <w:rPr>
      <w:rFonts w:hint="default" w:ascii="Times New Roman" w:hAnsi="Times New Roman" w:eastAsia="宋体" w:cs="Times New Roman"/>
      <w:b/>
      <w:bCs/>
      <w:sz w:val="32"/>
      <w:szCs w:val="32"/>
    </w:rPr>
  </w:style>
  <w:style w:type="character" w:customStyle="1" w:styleId="498">
    <w:name w:val="正文文本缩进 Char5"/>
    <w:semiHidden/>
    <w:qFormat/>
    <w:uiPriority w:val="0"/>
    <w:rPr>
      <w:kern w:val="2"/>
      <w:sz w:val="21"/>
    </w:rPr>
  </w:style>
  <w:style w:type="character" w:customStyle="1" w:styleId="499">
    <w:name w:val="正文 + 首行缩进:  2 字符 Char Char Char Char"/>
    <w:qFormat/>
    <w:uiPriority w:val="0"/>
    <w:rPr>
      <w:rFonts w:ascii="宋体" w:hAnsi="宋体" w:eastAsia="宋体" w:cs="宋体"/>
      <w:kern w:val="2"/>
      <w:sz w:val="24"/>
      <w:szCs w:val="24"/>
      <w:lang w:val="en-US" w:eastAsia="zh-CN" w:bidi="ar-SA"/>
    </w:rPr>
  </w:style>
  <w:style w:type="character" w:customStyle="1" w:styleId="500">
    <w:name w:val="标题 13 Char Char1"/>
    <w:qFormat/>
    <w:uiPriority w:val="0"/>
    <w:rPr>
      <w:rFonts w:hint="eastAsia" w:ascii="Arial Unicode MS" w:hAnsi="Arial Unicode MS" w:eastAsia="Arial Unicode MS" w:cs="Arial Unicode MS"/>
      <w:b/>
      <w:bCs/>
      <w:color w:val="000000"/>
      <w:kern w:val="2"/>
      <w:sz w:val="27"/>
      <w:szCs w:val="27"/>
      <w:lang w:val="en-US" w:eastAsia="zh-CN" w:bidi="ar-SA"/>
    </w:rPr>
  </w:style>
  <w:style w:type="character" w:customStyle="1" w:styleId="501">
    <w:name w:val="Char Char5011"/>
    <w:qFormat/>
    <w:uiPriority w:val="0"/>
    <w:rPr>
      <w:rFonts w:hint="default" w:ascii="Times New Roman" w:hAnsi="Times New Roman" w:eastAsia="仿宋_GB2312" w:cs="Times New Roman"/>
      <w:bCs/>
      <w:sz w:val="24"/>
      <w:szCs w:val="24"/>
    </w:rPr>
  </w:style>
  <w:style w:type="character" w:customStyle="1" w:styleId="502">
    <w:name w:val="样式 小四 加粗"/>
    <w:qFormat/>
    <w:uiPriority w:val="0"/>
    <w:rPr>
      <w:rFonts w:ascii="宋体" w:hAnsi="宋体" w:eastAsia="宋体" w:cs="宋体"/>
      <w:b/>
      <w:bCs/>
      <w:kern w:val="2"/>
      <w:sz w:val="24"/>
      <w:szCs w:val="24"/>
      <w:lang w:val="en-US" w:eastAsia="zh-CN" w:bidi="ar-SA"/>
    </w:rPr>
  </w:style>
  <w:style w:type="character" w:customStyle="1" w:styleId="503">
    <w:name w:val="标题 Char Char Char Char Char Char Char Char Char Char Char Char Char Char Char Char Char Char Char Char Char Char Char Char Char"/>
    <w:qFormat/>
    <w:uiPriority w:val="0"/>
    <w:rPr>
      <w:rFonts w:eastAsia="黑体"/>
      <w:kern w:val="2"/>
      <w:sz w:val="32"/>
      <w:szCs w:val="24"/>
      <w:lang w:val="en-US" w:eastAsia="zh-CN" w:bidi="ar-SA"/>
    </w:rPr>
  </w:style>
  <w:style w:type="character" w:customStyle="1" w:styleId="504">
    <w:name w:val="font11"/>
    <w:qFormat/>
    <w:uiPriority w:val="0"/>
    <w:rPr>
      <w:rFonts w:hint="default" w:ascii="Times New Roman" w:hAnsi="Times New Roman" w:cs="Times New Roman"/>
      <w:color w:val="FF0000"/>
      <w:sz w:val="21"/>
      <w:szCs w:val="21"/>
      <w:u w:val="single"/>
      <w:vertAlign w:val="superscript"/>
    </w:rPr>
  </w:style>
  <w:style w:type="character" w:customStyle="1" w:styleId="505">
    <w:name w:val="签名 Char2"/>
    <w:qFormat/>
    <w:uiPriority w:val="0"/>
  </w:style>
  <w:style w:type="character" w:customStyle="1" w:styleId="506">
    <w:name w:val="标题 8 Char"/>
    <w:qFormat/>
    <w:uiPriority w:val="0"/>
    <w:rPr>
      <w:rFonts w:ascii="Cambria" w:hAnsi="Cambria" w:eastAsia="宋体" w:cs="Times New Roman"/>
      <w:sz w:val="24"/>
      <w:szCs w:val="24"/>
    </w:rPr>
  </w:style>
  <w:style w:type="character" w:customStyle="1" w:styleId="507">
    <w:name w:val="批注框文本 Char"/>
    <w:qFormat/>
    <w:uiPriority w:val="99"/>
    <w:rPr>
      <w:rFonts w:eastAsia="宋体"/>
      <w:kern w:val="2"/>
      <w:sz w:val="18"/>
      <w:szCs w:val="18"/>
      <w:lang w:val="en-US" w:eastAsia="zh-CN" w:bidi="ar-SA"/>
    </w:rPr>
  </w:style>
  <w:style w:type="character" w:customStyle="1" w:styleId="508">
    <w:name w:val="Char Char72"/>
    <w:qFormat/>
    <w:uiPriority w:val="0"/>
    <w:rPr>
      <w:rFonts w:ascii="宋体" w:hAnsi="Courier New" w:eastAsia="宋体"/>
      <w:sz w:val="21"/>
      <w:lang w:val="en-US" w:eastAsia="zh-CN" w:bidi="ar-SA"/>
    </w:rPr>
  </w:style>
  <w:style w:type="character" w:customStyle="1" w:styleId="509">
    <w:name w:val="6表(图)头(治) Char"/>
    <w:qFormat/>
    <w:uiPriority w:val="0"/>
    <w:rPr>
      <w:rFonts w:eastAsia="黑体"/>
      <w:b/>
      <w:bCs/>
      <w:sz w:val="28"/>
      <w:lang w:val="en-US" w:eastAsia="zh-CN" w:bidi="ar-SA"/>
    </w:rPr>
  </w:style>
  <w:style w:type="character" w:customStyle="1" w:styleId="510">
    <w:name w:val="自动A Char"/>
    <w:qFormat/>
    <w:uiPriority w:val="0"/>
    <w:rPr>
      <w:rFonts w:eastAsia="宋体"/>
      <w:color w:val="000000"/>
      <w:sz w:val="24"/>
      <w:lang w:val="en-US" w:eastAsia="zh-CN" w:bidi="ar-SA"/>
    </w:rPr>
  </w:style>
  <w:style w:type="character" w:customStyle="1" w:styleId="511">
    <w:name w:val="批注框文本 Char1"/>
    <w:qFormat/>
    <w:uiPriority w:val="99"/>
    <w:rPr>
      <w:rFonts w:ascii="幼圆" w:hAnsi="幼圆" w:eastAsia="幼圆" w:cs="汉鼎简书宋"/>
      <w:spacing w:val="-2"/>
      <w:kern w:val="2"/>
      <w:sz w:val="18"/>
      <w:szCs w:val="18"/>
      <w:lang w:val="en-US" w:eastAsia="zh-CN" w:bidi="ar-SA"/>
    </w:rPr>
  </w:style>
  <w:style w:type="character" w:customStyle="1" w:styleId="512">
    <w:name w:val="标题 6 Char"/>
    <w:qFormat/>
    <w:uiPriority w:val="0"/>
    <w:rPr>
      <w:rFonts w:ascii="Cambria" w:hAnsi="Cambria" w:eastAsia="宋体" w:cs="Times New Roman"/>
      <w:b/>
      <w:bCs/>
      <w:sz w:val="24"/>
      <w:szCs w:val="24"/>
    </w:rPr>
  </w:style>
  <w:style w:type="character" w:customStyle="1" w:styleId="513">
    <w:name w:val="表号 Char2"/>
    <w:link w:val="514"/>
    <w:qFormat/>
    <w:uiPriority w:val="0"/>
    <w:rPr>
      <w:rFonts w:eastAsia="Times New Roman"/>
    </w:rPr>
  </w:style>
  <w:style w:type="paragraph" w:customStyle="1" w:styleId="514">
    <w:name w:val="表号"/>
    <w:link w:val="513"/>
    <w:qFormat/>
    <w:uiPriority w:val="0"/>
    <w:pPr>
      <w:outlineLvl w:val="4"/>
    </w:pPr>
    <w:rPr>
      <w:rFonts w:ascii="Calibri" w:hAnsi="Calibri" w:eastAsia="Times New Roman" w:cs="Times New Roman"/>
      <w:kern w:val="2"/>
      <w:sz w:val="21"/>
      <w:szCs w:val="22"/>
      <w:lang w:val="en-US" w:eastAsia="zh-CN" w:bidi="ar-SA"/>
    </w:rPr>
  </w:style>
  <w:style w:type="character" w:customStyle="1" w:styleId="515">
    <w:name w:val="Char Char7"/>
    <w:qFormat/>
    <w:uiPriority w:val="0"/>
    <w:rPr>
      <w:rFonts w:ascii="宋体" w:hAnsi="Courier New" w:eastAsia="宋体"/>
      <w:sz w:val="21"/>
      <w:lang w:val="en-US" w:eastAsia="zh-CN" w:bidi="ar-SA"/>
    </w:rPr>
  </w:style>
  <w:style w:type="character" w:customStyle="1" w:styleId="516">
    <w:name w:val="Char1 Char"/>
    <w:link w:val="517"/>
    <w:qFormat/>
    <w:uiPriority w:val="0"/>
    <w:rPr>
      <w:rFonts w:ascii="Arial" w:hAnsi="Arial"/>
      <w:b/>
      <w:bCs/>
      <w:color w:val="000000"/>
      <w:spacing w:val="20"/>
      <w:kern w:val="2"/>
      <w:sz w:val="21"/>
      <w:szCs w:val="24"/>
    </w:rPr>
  </w:style>
  <w:style w:type="paragraph" w:customStyle="1" w:styleId="517">
    <w:name w:val="Char121"/>
    <w:basedOn w:val="9"/>
    <w:link w:val="516"/>
    <w:qFormat/>
    <w:uiPriority w:val="0"/>
    <w:pPr>
      <w:keepNext/>
      <w:keepLines/>
      <w:tabs>
        <w:tab w:val="left" w:pos="1440"/>
      </w:tabs>
      <w:autoSpaceDE/>
      <w:autoSpaceDN/>
      <w:adjustRightInd/>
      <w:snapToGrid/>
      <w:spacing w:before="240" w:after="64" w:line="319" w:lineRule="auto"/>
      <w:textAlignment w:val="auto"/>
    </w:pPr>
    <w:rPr>
      <w:rFonts w:ascii="Arial" w:hAnsi="Arial"/>
      <w:color w:val="000000"/>
      <w:spacing w:val="20"/>
    </w:rPr>
  </w:style>
  <w:style w:type="character" w:customStyle="1" w:styleId="518">
    <w:name w:val="自动表头 Char Char"/>
    <w:link w:val="519"/>
    <w:qFormat/>
    <w:uiPriority w:val="0"/>
    <w:rPr>
      <w:rFonts w:ascii="黑体" w:eastAsia="宋体"/>
      <w:b/>
      <w:bCs/>
      <w:szCs w:val="21"/>
    </w:rPr>
  </w:style>
  <w:style w:type="paragraph" w:customStyle="1" w:styleId="519">
    <w:name w:val="自动表头"/>
    <w:basedOn w:val="520"/>
    <w:link w:val="518"/>
    <w:qFormat/>
    <w:uiPriority w:val="0"/>
    <w:pPr>
      <w:spacing w:before="156" w:beforeLines="50" w:after="156" w:afterLines="50" w:line="240" w:lineRule="auto"/>
      <w:ind w:firstLine="422"/>
    </w:pPr>
    <w:rPr>
      <w:rFonts w:ascii="黑体" w:hAnsi="Calibri" w:cs="Times New Roman"/>
      <w:bCs/>
      <w:kern w:val="2"/>
      <w:sz w:val="21"/>
      <w:szCs w:val="21"/>
    </w:rPr>
  </w:style>
  <w:style w:type="paragraph" w:customStyle="1" w:styleId="520">
    <w:name w:val="表头"/>
    <w:basedOn w:val="1"/>
    <w:link w:val="521"/>
    <w:qFormat/>
    <w:uiPriority w:val="0"/>
    <w:pPr>
      <w:autoSpaceDE w:val="0"/>
      <w:autoSpaceDN w:val="0"/>
      <w:adjustRightInd w:val="0"/>
      <w:spacing w:line="360" w:lineRule="auto"/>
      <w:ind w:firstLine="480" w:firstLineChars="200"/>
    </w:pPr>
    <w:rPr>
      <w:rFonts w:ascii="宋体" w:hAnsi="宋体" w:cs="宋体"/>
      <w:b/>
      <w:kern w:val="32"/>
      <w:sz w:val="24"/>
      <w:szCs w:val="24"/>
    </w:rPr>
  </w:style>
  <w:style w:type="character" w:customStyle="1" w:styleId="521">
    <w:name w:val="表头 Char Char"/>
    <w:link w:val="520"/>
    <w:qFormat/>
    <w:uiPriority w:val="0"/>
    <w:rPr>
      <w:rFonts w:ascii="宋体" w:hAnsi="宋体" w:eastAsia="宋体" w:cs="宋体"/>
      <w:b/>
      <w:kern w:val="32"/>
      <w:sz w:val="24"/>
      <w:szCs w:val="24"/>
    </w:rPr>
  </w:style>
  <w:style w:type="character" w:customStyle="1" w:styleId="522">
    <w:name w:val="页眉 Char1"/>
    <w:qFormat/>
    <w:uiPriority w:val="0"/>
    <w:rPr>
      <w:rFonts w:eastAsia="宋体"/>
      <w:kern w:val="2"/>
      <w:sz w:val="18"/>
      <w:lang w:val="en-US" w:eastAsia="zh-CN" w:bidi="ar-SA"/>
    </w:rPr>
  </w:style>
  <w:style w:type="character" w:customStyle="1" w:styleId="523">
    <w:name w:val="标题3.9 Char"/>
    <w:link w:val="524"/>
    <w:qFormat/>
    <w:uiPriority w:val="0"/>
    <w:rPr>
      <w:rFonts w:eastAsia="黑体"/>
      <w:b/>
      <w:sz w:val="24"/>
      <w:szCs w:val="24"/>
    </w:rPr>
  </w:style>
  <w:style w:type="paragraph" w:customStyle="1" w:styleId="524">
    <w:name w:val="标题3.9"/>
    <w:link w:val="523"/>
    <w:qFormat/>
    <w:uiPriority w:val="0"/>
    <w:pPr>
      <w:spacing w:before="156" w:beforeLines="50" w:line="360" w:lineRule="auto"/>
      <w:outlineLvl w:val="2"/>
    </w:pPr>
    <w:rPr>
      <w:rFonts w:ascii="Calibri" w:hAnsi="Calibri" w:eastAsia="黑体" w:cs="Times New Roman"/>
      <w:b/>
      <w:kern w:val="2"/>
      <w:sz w:val="24"/>
      <w:szCs w:val="24"/>
      <w:lang w:val="en-US" w:eastAsia="zh-CN" w:bidi="ar-SA"/>
    </w:rPr>
  </w:style>
  <w:style w:type="character" w:customStyle="1" w:styleId="525">
    <w:name w:val="t141"/>
    <w:qFormat/>
    <w:uiPriority w:val="0"/>
    <w:rPr>
      <w:rFonts w:hint="default" w:ascii="ˎ̥" w:hAnsi="ˎ̥"/>
      <w:sz w:val="21"/>
      <w:szCs w:val="21"/>
    </w:rPr>
  </w:style>
  <w:style w:type="character" w:customStyle="1" w:styleId="526">
    <w:name w:val="报告标题1 Char Char"/>
    <w:link w:val="527"/>
    <w:qFormat/>
    <w:uiPriority w:val="0"/>
    <w:rPr>
      <w:rFonts w:ascii="宋体" w:hAnsi="宋体"/>
      <w:b/>
      <w:bCs/>
      <w:color w:val="000000"/>
      <w:kern w:val="2"/>
      <w:sz w:val="30"/>
      <w:szCs w:val="24"/>
    </w:rPr>
  </w:style>
  <w:style w:type="paragraph" w:customStyle="1" w:styleId="527">
    <w:name w:val="报告标题1"/>
    <w:basedOn w:val="4"/>
    <w:link w:val="526"/>
    <w:qFormat/>
    <w:uiPriority w:val="0"/>
    <w:pPr>
      <w:keepLines w:val="0"/>
      <w:tabs>
        <w:tab w:val="left" w:pos="0"/>
      </w:tabs>
      <w:adjustRightInd w:val="0"/>
      <w:snapToGrid w:val="0"/>
      <w:spacing w:beforeLines="50"/>
      <w:jc w:val="left"/>
    </w:pPr>
    <w:rPr>
      <w:rFonts w:ascii="宋体" w:hAnsi="宋体" w:eastAsia="宋体"/>
      <w:color w:val="000000"/>
      <w:kern w:val="2"/>
      <w:szCs w:val="24"/>
    </w:rPr>
  </w:style>
  <w:style w:type="character" w:customStyle="1" w:styleId="528">
    <w:name w:val="普通文字 Char Char Char Char1"/>
    <w:qFormat/>
    <w:uiPriority w:val="0"/>
    <w:rPr>
      <w:rFonts w:ascii="宋体" w:hAnsi="Courier New" w:eastAsia="宋体"/>
      <w:kern w:val="2"/>
      <w:sz w:val="28"/>
      <w:lang w:val="en-US" w:eastAsia="zh-CN" w:bidi="ar-SA"/>
    </w:rPr>
  </w:style>
  <w:style w:type="character" w:customStyle="1" w:styleId="529">
    <w:name w:val="表中文字 Char"/>
    <w:qFormat/>
    <w:uiPriority w:val="0"/>
    <w:rPr>
      <w:rFonts w:eastAsia="宋体"/>
      <w:kern w:val="2"/>
      <w:sz w:val="21"/>
      <w:szCs w:val="24"/>
      <w:lang w:val="en-US" w:eastAsia="zh-CN" w:bidi="ar-SA"/>
    </w:rPr>
  </w:style>
  <w:style w:type="character" w:customStyle="1" w:styleId="530">
    <w:name w:val="txt41"/>
    <w:qFormat/>
    <w:uiPriority w:val="0"/>
    <w:rPr>
      <w:color w:val="000000"/>
      <w:sz w:val="40"/>
      <w:szCs w:val="40"/>
      <w:bdr w:val="single" w:color="000000" w:sz="8" w:space="0"/>
    </w:rPr>
  </w:style>
  <w:style w:type="character" w:customStyle="1" w:styleId="531">
    <w:name w:val="Char Char103"/>
    <w:qFormat/>
    <w:uiPriority w:val="0"/>
    <w:rPr>
      <w:rFonts w:eastAsia="宋体"/>
      <w:b/>
      <w:bCs/>
      <w:kern w:val="44"/>
      <w:sz w:val="44"/>
      <w:szCs w:val="44"/>
      <w:lang w:val="en-US" w:eastAsia="zh-CN" w:bidi="ar-SA"/>
    </w:rPr>
  </w:style>
  <w:style w:type="character" w:customStyle="1" w:styleId="532">
    <w:name w:val="style3"/>
    <w:qFormat/>
    <w:uiPriority w:val="0"/>
  </w:style>
  <w:style w:type="character" w:customStyle="1" w:styleId="533">
    <w:name w:val="样式 宋体 小四"/>
    <w:qFormat/>
    <w:uiPriority w:val="0"/>
    <w:rPr>
      <w:rFonts w:ascii="宋体" w:hAnsi="宋体"/>
      <w:sz w:val="24"/>
    </w:rPr>
  </w:style>
  <w:style w:type="character" w:customStyle="1" w:styleId="534">
    <w:name w:val="标题 8 Char Char"/>
    <w:qFormat/>
    <w:uiPriority w:val="0"/>
    <w:rPr>
      <w:rFonts w:ascii="Arial" w:hAnsi="Arial" w:eastAsia="黑体" w:cs="Arial"/>
      <w:kern w:val="22"/>
      <w:sz w:val="24"/>
      <w:szCs w:val="24"/>
      <w:lang w:val="en-US" w:eastAsia="zh-CN" w:bidi="ar-SA"/>
    </w:rPr>
  </w:style>
  <w:style w:type="character" w:customStyle="1" w:styleId="535">
    <w:name w:val="三级标题 Char Char Char"/>
    <w:qFormat/>
    <w:uiPriority w:val="0"/>
    <w:rPr>
      <w:rFonts w:ascii="宋体" w:hAnsi="宋体" w:eastAsia="宋体" w:cs="Arial Unicode MS"/>
      <w:b/>
      <w:kern w:val="2"/>
      <w:sz w:val="24"/>
      <w:szCs w:val="24"/>
      <w:lang w:val="en-US" w:eastAsia="zh-CN" w:bidi="ar-SA"/>
    </w:rPr>
  </w:style>
  <w:style w:type="character" w:customStyle="1" w:styleId="536">
    <w:name w:val="样式 hb1 + Times New Roman Char Char"/>
    <w:link w:val="537"/>
    <w:qFormat/>
    <w:uiPriority w:val="0"/>
    <w:rPr>
      <w:rFonts w:eastAsia="宋体"/>
      <w:b/>
      <w:sz w:val="32"/>
      <w:szCs w:val="32"/>
    </w:rPr>
  </w:style>
  <w:style w:type="paragraph" w:customStyle="1" w:styleId="537">
    <w:name w:val="样式 hb1 + Times New Roman"/>
    <w:basedOn w:val="403"/>
    <w:link w:val="536"/>
    <w:qFormat/>
    <w:uiPriority w:val="0"/>
    <w:pPr>
      <w:keepNext/>
      <w:keepLines/>
      <w:widowControl w:val="0"/>
      <w:topLinePunct/>
      <w:adjustRightInd w:val="0"/>
      <w:spacing w:before="360" w:beforeLines="0" w:after="360" w:afterLines="0" w:line="240" w:lineRule="atLeast"/>
      <w:textAlignment w:val="baseline"/>
    </w:pPr>
    <w:rPr>
      <w:rFonts w:eastAsia="宋体"/>
    </w:rPr>
  </w:style>
  <w:style w:type="character" w:customStyle="1" w:styleId="538">
    <w:name w:val="标题 3 字符"/>
    <w:qFormat/>
    <w:uiPriority w:val="0"/>
    <w:rPr>
      <w:bCs/>
      <w:sz w:val="24"/>
      <w:szCs w:val="32"/>
    </w:rPr>
  </w:style>
  <w:style w:type="character" w:customStyle="1" w:styleId="539">
    <w:name w:val="Footer-Even Char"/>
    <w:qFormat/>
    <w:uiPriority w:val="0"/>
    <w:rPr>
      <w:rFonts w:eastAsia="宋体"/>
      <w:kern w:val="2"/>
      <w:sz w:val="18"/>
      <w:szCs w:val="18"/>
      <w:lang w:val="en-US" w:eastAsia="zh-CN" w:bidi="ar-SA"/>
    </w:rPr>
  </w:style>
  <w:style w:type="character" w:customStyle="1" w:styleId="540">
    <w:name w:val="bsharetext"/>
    <w:qFormat/>
    <w:uiPriority w:val="0"/>
  </w:style>
  <w:style w:type="character" w:customStyle="1" w:styleId="541">
    <w:name w:val="Char Char671"/>
    <w:qFormat/>
    <w:uiPriority w:val="0"/>
    <w:rPr>
      <w:rFonts w:ascii="宋体" w:hAnsi="宋体" w:eastAsia="宋体"/>
      <w:b/>
      <w:kern w:val="2"/>
      <w:sz w:val="28"/>
      <w:szCs w:val="24"/>
      <w:lang w:val="en-US" w:eastAsia="zh-CN" w:bidi="ar-SA"/>
    </w:rPr>
  </w:style>
  <w:style w:type="character" w:customStyle="1" w:styleId="542">
    <w:name w:val="w101"/>
    <w:qFormat/>
    <w:uiPriority w:val="0"/>
    <w:rPr>
      <w:rFonts w:hint="default" w:ascii="Arial" w:hAnsi="Arial" w:cs="Arial"/>
      <w:spacing w:val="460"/>
      <w:sz w:val="24"/>
      <w:szCs w:val="24"/>
    </w:rPr>
  </w:style>
  <w:style w:type="character" w:customStyle="1" w:styleId="543">
    <w:name w:val="信息标题 Char3"/>
    <w:qFormat/>
    <w:uiPriority w:val="0"/>
    <w:rPr>
      <w:rFonts w:ascii="Cambria" w:hAnsi="Cambria" w:eastAsia="宋体" w:cs="Times New Roman"/>
      <w:kern w:val="2"/>
      <w:sz w:val="24"/>
      <w:szCs w:val="24"/>
      <w:shd w:val="pct20" w:color="auto" w:fill="auto"/>
    </w:rPr>
  </w:style>
  <w:style w:type="character" w:customStyle="1" w:styleId="544">
    <w:name w:val="Char Char2411"/>
    <w:qFormat/>
    <w:uiPriority w:val="0"/>
    <w:rPr>
      <w:rFonts w:ascii="宋体" w:hAnsi="宋体" w:eastAsia="宋体"/>
      <w:b/>
      <w:kern w:val="2"/>
      <w:sz w:val="28"/>
      <w:szCs w:val="24"/>
      <w:lang w:val="en-US" w:eastAsia="zh-CN" w:bidi="ar-SA"/>
    </w:rPr>
  </w:style>
  <w:style w:type="character" w:customStyle="1" w:styleId="545">
    <w:name w:val="Char Char Char21"/>
    <w:qFormat/>
    <w:uiPriority w:val="0"/>
    <w:rPr>
      <w:rFonts w:eastAsia="宋体"/>
      <w:kern w:val="2"/>
      <w:sz w:val="21"/>
      <w:lang w:val="en-US" w:eastAsia="zh-CN" w:bidi="ar-SA"/>
    </w:rPr>
  </w:style>
  <w:style w:type="character" w:customStyle="1" w:styleId="546">
    <w:name w:val="3级大纲"/>
    <w:qFormat/>
    <w:uiPriority w:val="0"/>
    <w:rPr>
      <w:rFonts w:eastAsia="黑体"/>
      <w:b/>
      <w:bCs/>
      <w:sz w:val="24"/>
    </w:rPr>
  </w:style>
  <w:style w:type="character" w:customStyle="1" w:styleId="547">
    <w:name w:val="Char Char161"/>
    <w:qFormat/>
    <w:locked/>
    <w:uiPriority w:val="0"/>
    <w:rPr>
      <w:rFonts w:ascii="宋体" w:hAnsi="宋体" w:eastAsia="宋体"/>
      <w:kern w:val="2"/>
      <w:sz w:val="21"/>
      <w:szCs w:val="24"/>
      <w:lang w:val="en-US" w:eastAsia="zh-CN" w:bidi="ar-SA"/>
    </w:rPr>
  </w:style>
  <w:style w:type="character" w:customStyle="1" w:styleId="548">
    <w:name w:val="正文文本 3 Char Char"/>
    <w:qFormat/>
    <w:uiPriority w:val="0"/>
    <w:rPr>
      <w:rFonts w:eastAsia="宋体"/>
      <w:lang w:bidi="ar-SA"/>
    </w:rPr>
  </w:style>
  <w:style w:type="character" w:customStyle="1" w:styleId="549">
    <w:name w:val="Char Char83"/>
    <w:qFormat/>
    <w:uiPriority w:val="0"/>
    <w:rPr>
      <w:rFonts w:eastAsia="宋体"/>
      <w:kern w:val="2"/>
      <w:sz w:val="21"/>
      <w:szCs w:val="24"/>
      <w:lang w:val="en-US" w:eastAsia="zh-CN" w:bidi="ar-SA"/>
    </w:rPr>
  </w:style>
  <w:style w:type="character" w:customStyle="1" w:styleId="550">
    <w:name w:val="样式6 Char"/>
    <w:qFormat/>
    <w:uiPriority w:val="0"/>
    <w:rPr>
      <w:rFonts w:ascii="宋体" w:hAnsi="宋体" w:eastAsia="宋体"/>
      <w:color w:val="000000"/>
      <w:kern w:val="6"/>
      <w:sz w:val="24"/>
      <w:szCs w:val="24"/>
      <w:lang w:val="en-GB" w:eastAsia="zh-CN" w:bidi="ar-SA"/>
    </w:rPr>
  </w:style>
  <w:style w:type="character" w:customStyle="1" w:styleId="551">
    <w:name w:val="Char Char34"/>
    <w:qFormat/>
    <w:uiPriority w:val="0"/>
    <w:rPr>
      <w:rFonts w:eastAsia="宋体"/>
      <w:b/>
      <w:bCs/>
      <w:kern w:val="44"/>
      <w:sz w:val="44"/>
      <w:szCs w:val="44"/>
      <w:lang w:val="en-US" w:eastAsia="zh-CN" w:bidi="ar-SA"/>
    </w:rPr>
  </w:style>
  <w:style w:type="character" w:customStyle="1" w:styleId="552">
    <w:name w:val="apple-converted-space"/>
    <w:qFormat/>
    <w:uiPriority w:val="0"/>
  </w:style>
  <w:style w:type="character" w:customStyle="1" w:styleId="553">
    <w:name w:val="Char Char24"/>
    <w:qFormat/>
    <w:uiPriority w:val="0"/>
    <w:rPr>
      <w:rFonts w:ascii="Arial" w:hAnsi="Arial" w:eastAsia="黑体"/>
      <w:b/>
      <w:bCs/>
      <w:kern w:val="2"/>
      <w:sz w:val="32"/>
      <w:szCs w:val="32"/>
      <w:lang w:val="en-US" w:eastAsia="zh-CN" w:bidi="ar-SA"/>
    </w:rPr>
  </w:style>
  <w:style w:type="character" w:customStyle="1" w:styleId="554">
    <w:name w:val="f141"/>
    <w:qFormat/>
    <w:uiPriority w:val="0"/>
    <w:rPr>
      <w:color w:val="000000"/>
      <w:sz w:val="25"/>
      <w:szCs w:val="25"/>
    </w:rPr>
  </w:style>
  <w:style w:type="character" w:customStyle="1" w:styleId="555">
    <w:name w:val="称呼 Char5"/>
    <w:qFormat/>
    <w:uiPriority w:val="0"/>
    <w:rPr>
      <w:rFonts w:ascii="Times New Roman" w:hAnsi="Times New Roman" w:eastAsia="宋体" w:cs="Times New Roman"/>
      <w:szCs w:val="24"/>
    </w:rPr>
  </w:style>
  <w:style w:type="character" w:customStyle="1" w:styleId="556">
    <w:name w:val="txt18"/>
    <w:qFormat/>
    <w:uiPriority w:val="0"/>
    <w:rPr>
      <w:sz w:val="21"/>
    </w:rPr>
  </w:style>
  <w:style w:type="character" w:customStyle="1" w:styleId="557">
    <w:name w:val="s"/>
    <w:qFormat/>
    <w:uiPriority w:val="0"/>
  </w:style>
  <w:style w:type="character" w:customStyle="1" w:styleId="558">
    <w:name w:val="样式 Char4 Char Char Char + Times New Roman Char"/>
    <w:link w:val="559"/>
    <w:qFormat/>
    <w:uiPriority w:val="0"/>
    <w:rPr>
      <w:rFonts w:eastAsia="宋体" w:cs="宋体"/>
      <w:sz w:val="24"/>
      <w:szCs w:val="26"/>
    </w:rPr>
  </w:style>
  <w:style w:type="paragraph" w:customStyle="1" w:styleId="559">
    <w:name w:val="样式 Char4 Char Char Char + Times New Roman"/>
    <w:basedOn w:val="560"/>
    <w:link w:val="558"/>
    <w:qFormat/>
    <w:uiPriority w:val="0"/>
    <w:pPr>
      <w:spacing w:line="400" w:lineRule="exact"/>
    </w:pPr>
    <w:rPr>
      <w:rFonts w:ascii="Calibri" w:hAnsi="Calibri"/>
    </w:rPr>
  </w:style>
  <w:style w:type="paragraph" w:customStyle="1" w:styleId="560">
    <w:name w:val="Char4 Char Char Char111"/>
    <w:basedOn w:val="1"/>
    <w:qFormat/>
    <w:uiPriority w:val="0"/>
    <w:pPr>
      <w:adjustRightInd w:val="0"/>
      <w:snapToGrid w:val="0"/>
      <w:spacing w:line="360" w:lineRule="auto"/>
      <w:ind w:firstLine="200" w:firstLineChars="200"/>
    </w:pPr>
    <w:rPr>
      <w:rFonts w:ascii="宋体" w:hAnsi="宋体" w:cs="宋体"/>
      <w:sz w:val="24"/>
      <w:szCs w:val="26"/>
    </w:rPr>
  </w:style>
  <w:style w:type="character" w:customStyle="1" w:styleId="561">
    <w:name w:val="Char Char441"/>
    <w:qFormat/>
    <w:uiPriority w:val="0"/>
    <w:rPr>
      <w:rFonts w:hint="default" w:ascii="Arial" w:hAnsi="Arial" w:eastAsia="黑体" w:cs="Arial"/>
      <w:b/>
      <w:bCs/>
      <w:kern w:val="2"/>
      <w:sz w:val="28"/>
      <w:szCs w:val="28"/>
      <w:lang w:val="en-US" w:eastAsia="zh-CN" w:bidi="ar-SA"/>
    </w:rPr>
  </w:style>
  <w:style w:type="character" w:customStyle="1" w:styleId="562">
    <w:name w:val="Char Char541"/>
    <w:qFormat/>
    <w:uiPriority w:val="0"/>
    <w:rPr>
      <w:rFonts w:ascii="Arial" w:hAnsi="Arial" w:eastAsia="黑体" w:cs="Times New Roman"/>
      <w:b/>
      <w:bCs/>
      <w:sz w:val="32"/>
      <w:szCs w:val="32"/>
    </w:rPr>
  </w:style>
  <w:style w:type="character" w:customStyle="1" w:styleId="563">
    <w:name w:val="style9"/>
    <w:qFormat/>
    <w:uiPriority w:val="0"/>
    <w:rPr>
      <w:rFonts w:ascii="宋体" w:hAnsi="宋体" w:eastAsia="宋体" w:cs="宋体"/>
      <w:kern w:val="2"/>
      <w:sz w:val="24"/>
      <w:szCs w:val="24"/>
      <w:lang w:val="en-US" w:eastAsia="zh-CN" w:bidi="ar-SA"/>
    </w:rPr>
  </w:style>
  <w:style w:type="character" w:customStyle="1" w:styleId="564">
    <w:name w:val="Char Char333"/>
    <w:qFormat/>
    <w:uiPriority w:val="0"/>
    <w:rPr>
      <w:rFonts w:ascii="Arial" w:hAnsi="Arial" w:eastAsia="黑体"/>
      <w:b/>
      <w:bCs/>
      <w:kern w:val="2"/>
      <w:sz w:val="32"/>
      <w:szCs w:val="32"/>
      <w:lang w:val="en-US" w:eastAsia="zh-CN" w:bidi="ar-SA"/>
    </w:rPr>
  </w:style>
  <w:style w:type="character" w:customStyle="1" w:styleId="565">
    <w:name w:val="标题6"/>
    <w:qFormat/>
    <w:uiPriority w:val="0"/>
    <w:rPr>
      <w:rFonts w:ascii="宋体" w:hAnsi="宋体" w:eastAsia="宋体" w:cs="宋体"/>
      <w:kern w:val="2"/>
      <w:sz w:val="24"/>
      <w:szCs w:val="24"/>
      <w:lang w:val="en-US" w:eastAsia="zh-CN" w:bidi="ar-SA"/>
    </w:rPr>
  </w:style>
  <w:style w:type="character" w:customStyle="1" w:styleId="566">
    <w:name w:val="(一) Char3"/>
    <w:qFormat/>
    <w:uiPriority w:val="0"/>
    <w:rPr>
      <w:rFonts w:ascii="Arial" w:hAnsi="Arial" w:eastAsia="黑体"/>
      <w:b/>
      <w:bCs/>
      <w:kern w:val="2"/>
      <w:sz w:val="28"/>
      <w:szCs w:val="28"/>
      <w:lang w:val="en-US" w:eastAsia="zh-CN" w:bidi="ar-SA"/>
    </w:rPr>
  </w:style>
  <w:style w:type="character" w:customStyle="1" w:styleId="567">
    <w:name w:val="Char Char59"/>
    <w:qFormat/>
    <w:uiPriority w:val="0"/>
    <w:rPr>
      <w:rFonts w:ascii="Times NewRoman" w:hAnsi="Times NewRoman" w:eastAsia="宋体" w:cs="Times NewRoman"/>
      <w:kern w:val="2"/>
      <w:sz w:val="28"/>
      <w:szCs w:val="24"/>
      <w:lang w:val="en-US" w:eastAsia="zh-CN" w:bidi="ar-SA"/>
    </w:rPr>
  </w:style>
  <w:style w:type="character" w:customStyle="1" w:styleId="568">
    <w:name w:val="z Char Char"/>
    <w:link w:val="569"/>
    <w:qFormat/>
    <w:uiPriority w:val="0"/>
    <w:rPr>
      <w:rFonts w:ascii="宋体" w:hAnsi="宋体" w:eastAsia="宋体" w:cs="宋体"/>
      <w:sz w:val="24"/>
      <w:szCs w:val="20"/>
    </w:rPr>
  </w:style>
  <w:style w:type="paragraph" w:customStyle="1" w:styleId="569">
    <w:name w:val="z"/>
    <w:basedOn w:val="1"/>
    <w:link w:val="568"/>
    <w:qFormat/>
    <w:uiPriority w:val="0"/>
    <w:pPr>
      <w:spacing w:line="360" w:lineRule="auto"/>
      <w:ind w:firstLine="200" w:firstLineChars="200"/>
    </w:pPr>
    <w:rPr>
      <w:rFonts w:ascii="宋体" w:hAnsi="宋体" w:cs="宋体"/>
      <w:sz w:val="24"/>
      <w:szCs w:val="20"/>
    </w:rPr>
  </w:style>
  <w:style w:type="character" w:customStyle="1" w:styleId="570">
    <w:name w:val="正文（首行缩进两字） Char4"/>
    <w:qFormat/>
    <w:uiPriority w:val="0"/>
    <w:rPr>
      <w:rFonts w:eastAsia="宋体"/>
      <w:kern w:val="2"/>
      <w:sz w:val="21"/>
      <w:lang w:val="en-US" w:eastAsia="zh-CN" w:bidi="ar-SA"/>
    </w:rPr>
  </w:style>
  <w:style w:type="character" w:customStyle="1" w:styleId="571">
    <w:name w:val="引用 Char6"/>
    <w:qFormat/>
    <w:uiPriority w:val="0"/>
    <w:rPr>
      <w:rFonts w:ascii="Calibri" w:hAnsi="Calibri" w:eastAsia="宋体" w:cs="Times New Roman"/>
      <w:i/>
      <w:iCs/>
      <w:color w:val="000000"/>
      <w:kern w:val="0"/>
      <w:sz w:val="22"/>
      <w:lang w:eastAsia="en-US" w:bidi="en-US"/>
    </w:rPr>
  </w:style>
  <w:style w:type="character" w:customStyle="1" w:styleId="572">
    <w:name w:val="Char Char49"/>
    <w:qFormat/>
    <w:uiPriority w:val="0"/>
    <w:rPr>
      <w:rFonts w:ascii="Times New Roman" w:hAnsi="Times New Roman" w:eastAsia="宋体" w:cs="Times New Roman"/>
      <w:sz w:val="28"/>
      <w:szCs w:val="24"/>
    </w:rPr>
  </w:style>
  <w:style w:type="character" w:customStyle="1" w:styleId="573">
    <w:name w:val="red1"/>
    <w:qFormat/>
    <w:uiPriority w:val="0"/>
    <w:rPr>
      <w:color w:val="FF3300"/>
    </w:rPr>
  </w:style>
  <w:style w:type="character" w:customStyle="1" w:styleId="574">
    <w:name w:val="表头 Char2"/>
    <w:qFormat/>
    <w:uiPriority w:val="0"/>
    <w:rPr>
      <w:rFonts w:eastAsia="黑体"/>
      <w:sz w:val="21"/>
      <w:szCs w:val="21"/>
      <w:lang w:val="en-US" w:eastAsia="zh-CN" w:bidi="ar-SA"/>
    </w:rPr>
  </w:style>
  <w:style w:type="character" w:customStyle="1" w:styleId="575">
    <w:name w:val="Char Char2321"/>
    <w:qFormat/>
    <w:uiPriority w:val="0"/>
    <w:rPr>
      <w:rFonts w:eastAsia="宋体"/>
      <w:b/>
      <w:bCs/>
      <w:kern w:val="2"/>
      <w:sz w:val="32"/>
      <w:szCs w:val="32"/>
      <w:lang w:val="en-US" w:eastAsia="zh-CN" w:bidi="ar-SA"/>
    </w:rPr>
  </w:style>
  <w:style w:type="character" w:customStyle="1" w:styleId="576">
    <w:name w:val="新 5 Char2"/>
    <w:qFormat/>
    <w:uiPriority w:val="0"/>
    <w:rPr>
      <w:rFonts w:eastAsia="仿宋_GB2312"/>
      <w:kern w:val="2"/>
      <w:sz w:val="24"/>
      <w:szCs w:val="28"/>
      <w:lang w:val="en-US" w:eastAsia="zh-CN" w:bidi="ar-SA"/>
    </w:rPr>
  </w:style>
  <w:style w:type="character" w:customStyle="1" w:styleId="577">
    <w:name w:val="标题 14 Char2"/>
    <w:qFormat/>
    <w:uiPriority w:val="0"/>
    <w:rPr>
      <w:rFonts w:ascii="宋体" w:hAnsi="宋体" w:eastAsia="宋体"/>
      <w:b/>
      <w:kern w:val="2"/>
      <w:sz w:val="24"/>
      <w:szCs w:val="24"/>
      <w:lang w:val="en-US" w:eastAsia="zh-CN" w:bidi="ar-SA"/>
    </w:rPr>
  </w:style>
  <w:style w:type="character" w:customStyle="1" w:styleId="578">
    <w:name w:val="font61"/>
    <w:qFormat/>
    <w:uiPriority w:val="0"/>
    <w:rPr>
      <w:rFonts w:hint="eastAsia" w:ascii="宋体" w:hAnsi="宋体" w:eastAsia="宋体"/>
      <w:color w:val="000000"/>
      <w:sz w:val="24"/>
      <w:szCs w:val="24"/>
      <w:u w:val="none"/>
    </w:rPr>
  </w:style>
  <w:style w:type="character" w:customStyle="1" w:styleId="579">
    <w:name w:val="正文首行缩进 Char5"/>
    <w:qFormat/>
    <w:uiPriority w:val="0"/>
    <w:rPr>
      <w:rFonts w:eastAsia="宋体"/>
      <w:kern w:val="2"/>
      <w:sz w:val="21"/>
      <w:szCs w:val="24"/>
      <w:lang w:val="en-US" w:eastAsia="zh-CN" w:bidi="ar-SA"/>
    </w:rPr>
  </w:style>
  <w:style w:type="character" w:customStyle="1" w:styleId="580">
    <w:name w:val="asg1"/>
    <w:qFormat/>
    <w:uiPriority w:val="0"/>
    <w:rPr>
      <w:spacing w:val="375"/>
      <w:sz w:val="18"/>
      <w:szCs w:val="18"/>
    </w:rPr>
  </w:style>
  <w:style w:type="character" w:customStyle="1" w:styleId="581">
    <w:name w:val="j12"/>
    <w:qFormat/>
    <w:uiPriority w:val="0"/>
    <w:rPr>
      <w:sz w:val="21"/>
    </w:rPr>
  </w:style>
  <w:style w:type="character" w:customStyle="1" w:styleId="582">
    <w:name w:val="p11"/>
    <w:qFormat/>
    <w:uiPriority w:val="0"/>
    <w:rPr>
      <w:color w:val="000000"/>
      <w:sz w:val="29"/>
      <w:szCs w:val="29"/>
    </w:rPr>
  </w:style>
  <w:style w:type="character" w:customStyle="1" w:styleId="583">
    <w:name w:val="正文文本缩进 2 Char4"/>
    <w:qFormat/>
    <w:uiPriority w:val="0"/>
    <w:rPr>
      <w:rFonts w:ascii="Times New Roman" w:hAnsi="Times New Roman"/>
      <w:kern w:val="2"/>
      <w:sz w:val="21"/>
    </w:rPr>
  </w:style>
  <w:style w:type="character" w:customStyle="1" w:styleId="584">
    <w:name w:val="样式 四号"/>
    <w:qFormat/>
    <w:uiPriority w:val="0"/>
    <w:rPr>
      <w:sz w:val="24"/>
      <w:szCs w:val="24"/>
    </w:rPr>
  </w:style>
  <w:style w:type="character" w:customStyle="1" w:styleId="585">
    <w:name w:val="页脚 Char3"/>
    <w:qFormat/>
    <w:locked/>
    <w:uiPriority w:val="0"/>
    <w:rPr>
      <w:rFonts w:eastAsia="宋体"/>
      <w:kern w:val="2"/>
      <w:sz w:val="18"/>
      <w:lang w:val="en-US" w:eastAsia="zh-CN" w:bidi="ar-SA"/>
    </w:rPr>
  </w:style>
  <w:style w:type="character" w:customStyle="1" w:styleId="586">
    <w:name w:val="称呼 Char4"/>
    <w:qFormat/>
    <w:uiPriority w:val="0"/>
    <w:rPr>
      <w:kern w:val="2"/>
      <w:sz w:val="21"/>
    </w:rPr>
  </w:style>
  <w:style w:type="character" w:customStyle="1" w:styleId="587">
    <w:name w:val="段落 Char"/>
    <w:link w:val="588"/>
    <w:qFormat/>
    <w:uiPriority w:val="0"/>
    <w:rPr>
      <w:kern w:val="2"/>
      <w:sz w:val="24"/>
      <w:szCs w:val="24"/>
    </w:rPr>
  </w:style>
  <w:style w:type="paragraph" w:customStyle="1" w:styleId="588">
    <w:name w:val="段落"/>
    <w:basedOn w:val="1"/>
    <w:link w:val="587"/>
    <w:qFormat/>
    <w:uiPriority w:val="0"/>
    <w:pPr>
      <w:spacing w:line="360" w:lineRule="auto"/>
    </w:pPr>
    <w:rPr>
      <w:rFonts w:ascii="Times New Roman" w:hAnsi="Times New Roman"/>
      <w:sz w:val="24"/>
      <w:szCs w:val="24"/>
    </w:rPr>
  </w:style>
  <w:style w:type="character" w:customStyle="1" w:styleId="589">
    <w:name w:val="正文文本 Char2"/>
    <w:qFormat/>
    <w:uiPriority w:val="0"/>
    <w:rPr>
      <w:rFonts w:ascii="Times NewRoman" w:hAnsi="Times NewRoman" w:eastAsia="幼圆" w:cs="Times NewRoman"/>
      <w:sz w:val="24"/>
      <w:szCs w:val="24"/>
    </w:rPr>
  </w:style>
  <w:style w:type="character" w:customStyle="1" w:styleId="590">
    <w:name w:val="Char Char351"/>
    <w:qFormat/>
    <w:uiPriority w:val="0"/>
    <w:rPr>
      <w:rFonts w:ascii="Times New Roman" w:hAnsi="Times New Roman" w:eastAsia="宋体" w:cs="Times New Roman"/>
      <w:color w:val="000000"/>
      <w:sz w:val="28"/>
      <w:szCs w:val="28"/>
    </w:rPr>
  </w:style>
  <w:style w:type="character" w:customStyle="1" w:styleId="591">
    <w:name w:val="Char Char47"/>
    <w:qFormat/>
    <w:uiPriority w:val="0"/>
    <w:rPr>
      <w:rFonts w:eastAsia="宋体"/>
      <w:b/>
      <w:bCs/>
      <w:kern w:val="44"/>
      <w:sz w:val="44"/>
      <w:szCs w:val="44"/>
      <w:lang w:val="en-US" w:eastAsia="zh-CN" w:bidi="ar-SA"/>
    </w:rPr>
  </w:style>
  <w:style w:type="character" w:customStyle="1" w:styleId="592">
    <w:name w:val="标题 2 Char"/>
    <w:qFormat/>
    <w:uiPriority w:val="9"/>
    <w:rPr>
      <w:rFonts w:ascii="Cambria" w:hAnsi="Cambria" w:eastAsia="宋体" w:cs="Times New Roman"/>
      <w:b/>
      <w:bCs/>
      <w:sz w:val="32"/>
      <w:szCs w:val="32"/>
    </w:rPr>
  </w:style>
  <w:style w:type="character" w:customStyle="1" w:styleId="593">
    <w:name w:val="12h"/>
    <w:qFormat/>
    <w:uiPriority w:val="0"/>
  </w:style>
  <w:style w:type="character" w:customStyle="1" w:styleId="594">
    <w:name w:val="Char Char23"/>
    <w:qFormat/>
    <w:uiPriority w:val="0"/>
    <w:rPr>
      <w:rFonts w:eastAsia="宋体"/>
      <w:b/>
      <w:bCs/>
      <w:kern w:val="2"/>
      <w:sz w:val="32"/>
      <w:szCs w:val="32"/>
      <w:lang w:val="en-US" w:eastAsia="zh-CN" w:bidi="ar-SA"/>
    </w:rPr>
  </w:style>
  <w:style w:type="character" w:customStyle="1" w:styleId="595">
    <w:name w:val="Char Char542"/>
    <w:qFormat/>
    <w:uiPriority w:val="0"/>
    <w:rPr>
      <w:rFonts w:ascii="Arial" w:hAnsi="Arial" w:eastAsia="黑体" w:cs="Times New Roman"/>
      <w:b/>
      <w:bCs/>
      <w:sz w:val="32"/>
      <w:szCs w:val="32"/>
    </w:rPr>
  </w:style>
  <w:style w:type="character" w:customStyle="1" w:styleId="596">
    <w:name w:val="文档结构图 Char6"/>
    <w:qFormat/>
    <w:uiPriority w:val="0"/>
    <w:rPr>
      <w:rFonts w:ascii="宋体" w:eastAsia="宋体"/>
      <w:sz w:val="18"/>
      <w:szCs w:val="18"/>
    </w:rPr>
  </w:style>
  <w:style w:type="character" w:customStyle="1" w:styleId="597">
    <w:name w:val="Char Char252"/>
    <w:qFormat/>
    <w:uiPriority w:val="0"/>
    <w:rPr>
      <w:rFonts w:eastAsia="宋体"/>
      <w:b/>
      <w:bCs/>
      <w:kern w:val="44"/>
      <w:sz w:val="44"/>
      <w:szCs w:val="44"/>
      <w:lang w:val="en-US" w:eastAsia="zh-CN" w:bidi="ar-SA"/>
    </w:rPr>
  </w:style>
  <w:style w:type="character" w:customStyle="1" w:styleId="598">
    <w:name w:val="标题 1 Char"/>
    <w:qFormat/>
    <w:uiPriority w:val="9"/>
    <w:rPr>
      <w:b/>
      <w:bCs/>
      <w:kern w:val="44"/>
      <w:sz w:val="44"/>
      <w:szCs w:val="44"/>
    </w:rPr>
  </w:style>
  <w:style w:type="character" w:customStyle="1" w:styleId="599">
    <w:name w:val="Char Char68"/>
    <w:qFormat/>
    <w:uiPriority w:val="0"/>
    <w:rPr>
      <w:rFonts w:ascii="宋体" w:hAnsi="宋体" w:eastAsia="宋体"/>
      <w:b/>
      <w:bCs/>
      <w:kern w:val="2"/>
      <w:sz w:val="24"/>
      <w:szCs w:val="24"/>
      <w:lang w:val="en-US" w:eastAsia="zh-CN" w:bidi="ar-SA"/>
    </w:rPr>
  </w:style>
  <w:style w:type="character" w:customStyle="1" w:styleId="600">
    <w:name w:val="批注文字 Char"/>
    <w:qFormat/>
    <w:uiPriority w:val="99"/>
    <w:rPr>
      <w:rFonts w:eastAsia="宋体"/>
      <w:kern w:val="2"/>
      <w:sz w:val="21"/>
      <w:lang w:val="en-US" w:eastAsia="zh-CN" w:bidi="ar-SA"/>
    </w:rPr>
  </w:style>
  <w:style w:type="character" w:customStyle="1" w:styleId="601">
    <w:name w:val="Char Char203"/>
    <w:qFormat/>
    <w:uiPriority w:val="0"/>
    <w:rPr>
      <w:rFonts w:eastAsia="宋体"/>
      <w:kern w:val="2"/>
      <w:sz w:val="24"/>
      <w:szCs w:val="24"/>
      <w:lang w:val="en-US" w:eastAsia="zh-CN" w:bidi="ar-SA"/>
    </w:rPr>
  </w:style>
  <w:style w:type="character" w:customStyle="1" w:styleId="602">
    <w:name w:val="font31"/>
    <w:qFormat/>
    <w:uiPriority w:val="0"/>
    <w:rPr>
      <w:rFonts w:hint="eastAsia" w:ascii="宋体" w:hAnsi="宋体" w:eastAsia="宋体"/>
      <w:color w:val="FF0000"/>
      <w:sz w:val="21"/>
      <w:szCs w:val="21"/>
      <w:u w:val="single"/>
    </w:rPr>
  </w:style>
  <w:style w:type="character" w:customStyle="1" w:styleId="603">
    <w:name w:val="4标题(治) Char Char"/>
    <w:qFormat/>
    <w:uiPriority w:val="0"/>
    <w:rPr>
      <w:rFonts w:eastAsia="黑体"/>
      <w:b/>
      <w:sz w:val="24"/>
      <w:lang w:val="en-US" w:eastAsia="zh-CN" w:bidi="ar-SA"/>
    </w:rPr>
  </w:style>
  <w:style w:type="character" w:customStyle="1" w:styleId="604">
    <w:name w:val="Char Char1 Char2"/>
    <w:link w:val="605"/>
    <w:qFormat/>
    <w:uiPriority w:val="0"/>
    <w:rPr>
      <w:rFonts w:ascii="宋体" w:hAnsi="宋体" w:eastAsia="宋体" w:cs="宋体"/>
      <w:sz w:val="24"/>
      <w:szCs w:val="24"/>
    </w:rPr>
  </w:style>
  <w:style w:type="paragraph" w:customStyle="1" w:styleId="605">
    <w:name w:val="Char Char113"/>
    <w:basedOn w:val="1"/>
    <w:link w:val="604"/>
    <w:qFormat/>
    <w:uiPriority w:val="0"/>
    <w:pPr>
      <w:spacing w:line="360" w:lineRule="auto"/>
      <w:ind w:firstLine="200" w:firstLineChars="200"/>
    </w:pPr>
    <w:rPr>
      <w:rFonts w:ascii="宋体" w:hAnsi="宋体" w:cs="宋体"/>
      <w:sz w:val="24"/>
      <w:szCs w:val="24"/>
    </w:rPr>
  </w:style>
  <w:style w:type="character" w:customStyle="1" w:styleId="606">
    <w:name w:val="样式 (西文) 仿宋_GB2312 (中文) 宋体"/>
    <w:qFormat/>
    <w:uiPriority w:val="0"/>
    <w:rPr>
      <w:rFonts w:ascii="仿宋_GB2312" w:hAnsi="仿宋_GB2312" w:eastAsia="仿宋_GB2312"/>
      <w:color w:val="00FF00"/>
    </w:rPr>
  </w:style>
  <w:style w:type="character" w:customStyle="1" w:styleId="607">
    <w:name w:val="t_tag"/>
    <w:qFormat/>
    <w:uiPriority w:val="0"/>
  </w:style>
  <w:style w:type="character" w:customStyle="1" w:styleId="608">
    <w:name w:val="Char Char571"/>
    <w:qFormat/>
    <w:uiPriority w:val="0"/>
    <w:rPr>
      <w:rFonts w:ascii="Times NewRoman" w:hAnsi="Times NewRoman" w:eastAsia="宋体" w:cs="Times NewRoman"/>
      <w:kern w:val="2"/>
      <w:sz w:val="28"/>
      <w:szCs w:val="24"/>
      <w:lang w:val="en-US" w:eastAsia="zh-CN" w:bidi="ar-SA"/>
    </w:rPr>
  </w:style>
  <w:style w:type="character" w:customStyle="1" w:styleId="609">
    <w:name w:val="段 Char"/>
    <w:link w:val="610"/>
    <w:qFormat/>
    <w:locked/>
    <w:uiPriority w:val="0"/>
    <w:rPr>
      <w:rFonts w:ascii="宋体" w:hAnsi="宋体" w:eastAsia="Times New Roman"/>
    </w:rPr>
  </w:style>
  <w:style w:type="paragraph" w:customStyle="1" w:styleId="610">
    <w:name w:val="段"/>
    <w:link w:val="609"/>
    <w:qFormat/>
    <w:uiPriority w:val="0"/>
    <w:pPr>
      <w:autoSpaceDE w:val="0"/>
      <w:autoSpaceDN w:val="0"/>
      <w:ind w:firstLine="200" w:firstLineChars="200"/>
      <w:jc w:val="both"/>
    </w:pPr>
    <w:rPr>
      <w:rFonts w:ascii="宋体" w:hAnsi="宋体" w:eastAsia="Times New Roman" w:cs="Times New Roman"/>
      <w:kern w:val="2"/>
      <w:sz w:val="21"/>
      <w:szCs w:val="22"/>
      <w:lang w:val="en-US" w:eastAsia="zh-CN" w:bidi="ar-SA"/>
    </w:rPr>
  </w:style>
  <w:style w:type="character" w:customStyle="1" w:styleId="611">
    <w:name w:val="Char Char211"/>
    <w:qFormat/>
    <w:uiPriority w:val="0"/>
    <w:rPr>
      <w:rFonts w:eastAsia="宋体"/>
      <w:b/>
      <w:kern w:val="2"/>
      <w:sz w:val="27"/>
      <w:szCs w:val="24"/>
      <w:lang w:val="en-US" w:eastAsia="zh-CN" w:bidi="ar-SA"/>
    </w:rPr>
  </w:style>
  <w:style w:type="character" w:customStyle="1" w:styleId="612">
    <w:name w:val="正文内容 Char"/>
    <w:link w:val="613"/>
    <w:qFormat/>
    <w:locked/>
    <w:uiPriority w:val="0"/>
  </w:style>
  <w:style w:type="paragraph" w:customStyle="1" w:styleId="613">
    <w:name w:val="正文内容"/>
    <w:basedOn w:val="1"/>
    <w:link w:val="612"/>
    <w:qFormat/>
    <w:uiPriority w:val="0"/>
    <w:pPr>
      <w:spacing w:line="360" w:lineRule="auto"/>
      <w:ind w:firstLine="420" w:firstLineChars="200"/>
    </w:pPr>
  </w:style>
  <w:style w:type="character" w:customStyle="1" w:styleId="614">
    <w:name w:val="文章正文 Char Char"/>
    <w:link w:val="615"/>
    <w:qFormat/>
    <w:uiPriority w:val="0"/>
    <w:rPr>
      <w:rFonts w:ascii="宋体" w:hAnsi="宋体" w:eastAsia="宋体"/>
      <w:sz w:val="24"/>
      <w:szCs w:val="24"/>
    </w:rPr>
  </w:style>
  <w:style w:type="paragraph" w:customStyle="1" w:styleId="615">
    <w:name w:val="文章正文 Char"/>
    <w:basedOn w:val="1"/>
    <w:link w:val="614"/>
    <w:qFormat/>
    <w:uiPriority w:val="0"/>
    <w:pPr>
      <w:spacing w:before="156" w:beforeLines="50" w:after="156" w:afterLines="50" w:line="360" w:lineRule="auto"/>
      <w:ind w:firstLine="480" w:firstLineChars="200"/>
    </w:pPr>
    <w:rPr>
      <w:rFonts w:ascii="宋体" w:hAnsi="宋体"/>
      <w:sz w:val="24"/>
      <w:szCs w:val="24"/>
    </w:rPr>
  </w:style>
  <w:style w:type="character" w:customStyle="1" w:styleId="616">
    <w:name w:val="正文文本 2 Char1"/>
    <w:qFormat/>
    <w:uiPriority w:val="0"/>
    <w:rPr>
      <w:rFonts w:ascii="Times New Roman" w:hAnsi="Times New Roman" w:eastAsia="宋体" w:cs="Times New Roman"/>
      <w:szCs w:val="20"/>
    </w:rPr>
  </w:style>
  <w:style w:type="character" w:customStyle="1" w:styleId="617">
    <w:name w:val="武正文 Char Char"/>
    <w:qFormat/>
    <w:uiPriority w:val="0"/>
    <w:rPr>
      <w:rFonts w:hAnsi="宋体" w:eastAsia="宋体"/>
      <w:color w:val="000000"/>
      <w:sz w:val="28"/>
      <w:szCs w:val="24"/>
      <w:lang w:val="en-US" w:eastAsia="zh-CN" w:bidi="ar-SA"/>
    </w:rPr>
  </w:style>
  <w:style w:type="character" w:customStyle="1" w:styleId="618">
    <w:name w:val="Char Char552"/>
    <w:qFormat/>
    <w:uiPriority w:val="0"/>
    <w:rPr>
      <w:rFonts w:ascii="Times New Roman" w:hAnsi="Times New Roman" w:eastAsia="宋体" w:cs="Times New Roman"/>
      <w:b/>
      <w:bCs/>
      <w:kern w:val="44"/>
      <w:sz w:val="44"/>
      <w:szCs w:val="44"/>
    </w:rPr>
  </w:style>
  <w:style w:type="character" w:customStyle="1" w:styleId="619">
    <w:name w:val="Char Char31"/>
    <w:qFormat/>
    <w:uiPriority w:val="0"/>
    <w:rPr>
      <w:rFonts w:ascii="Arial" w:hAnsi="Arial" w:eastAsia="黑体"/>
      <w:b/>
      <w:bCs/>
      <w:kern w:val="2"/>
      <w:sz w:val="28"/>
      <w:szCs w:val="28"/>
      <w:lang w:val="en-US" w:eastAsia="zh-CN" w:bidi="ar-SA"/>
    </w:rPr>
  </w:style>
  <w:style w:type="character" w:customStyle="1" w:styleId="620">
    <w:name w:val="注释标题 Char2"/>
    <w:qFormat/>
    <w:uiPriority w:val="0"/>
    <w:rPr>
      <w:rFonts w:ascii="Times New Roman" w:hAnsi="Times New Roman" w:eastAsia="宋体" w:cs="Times New Roman"/>
      <w:szCs w:val="20"/>
    </w:rPr>
  </w:style>
  <w:style w:type="character" w:customStyle="1" w:styleId="621">
    <w:name w:val="Char Char322"/>
    <w:qFormat/>
    <w:uiPriority w:val="0"/>
    <w:rPr>
      <w:rFonts w:eastAsia="宋体"/>
      <w:b/>
      <w:bCs/>
      <w:kern w:val="2"/>
      <w:sz w:val="32"/>
      <w:szCs w:val="32"/>
      <w:lang w:val="en-US" w:eastAsia="zh-CN" w:bidi="ar-SA"/>
    </w:rPr>
  </w:style>
  <w:style w:type="character" w:customStyle="1" w:styleId="622">
    <w:name w:val="表头 Char1"/>
    <w:qFormat/>
    <w:uiPriority w:val="0"/>
    <w:rPr>
      <w:rFonts w:eastAsia="宋体"/>
      <w:b/>
      <w:kern w:val="2"/>
      <w:sz w:val="24"/>
      <w:szCs w:val="24"/>
      <w:lang w:val="en-US" w:eastAsia="zh-CN" w:bidi="ar-SA"/>
    </w:rPr>
  </w:style>
  <w:style w:type="character" w:customStyle="1" w:styleId="623">
    <w:name w:val="样式 样式 样式 样式 标题 3 + 宋体 四号 段前: 6 磅 段后: 0 磅 行距: 1.5 倍行距 + Times New... Char Char Char Char Char Char Char Char Char Char Char Char Char Char Char Char Char Char Char Char Char Char Char Char Char Char Char Char Char Char Char Char Char Char Char Char Char1"/>
    <w:link w:val="624"/>
    <w:qFormat/>
    <w:uiPriority w:val="0"/>
    <w:rPr>
      <w:rFonts w:eastAsia="仿宋_GB2312"/>
      <w:b/>
      <w:bCs/>
      <w:sz w:val="28"/>
      <w:szCs w:val="28"/>
    </w:rPr>
  </w:style>
  <w:style w:type="paragraph" w:customStyle="1" w:styleId="624">
    <w:name w:val="样式 样式 样式 样式 标题 3 + 宋体 四号 段前: 6 磅 段后: 0 磅 行距: 1.5 倍行距 + Times New... Char Char Char Char Char Char Char Char Char Char Char Char Char Char Char Char Char Char Char Char Char Char Char Char Char Char Char Char Char Char Char Char Char Char Char Char Char2"/>
    <w:basedOn w:val="1"/>
    <w:link w:val="623"/>
    <w:qFormat/>
    <w:uiPriority w:val="0"/>
    <w:pPr>
      <w:keepNext/>
      <w:keepLines/>
      <w:spacing w:line="360" w:lineRule="auto"/>
      <w:ind w:firstLine="200" w:firstLineChars="200"/>
      <w:jc w:val="left"/>
      <w:outlineLvl w:val="3"/>
    </w:pPr>
    <w:rPr>
      <w:rFonts w:eastAsia="仿宋_GB2312"/>
      <w:b/>
      <w:bCs/>
      <w:sz w:val="28"/>
      <w:szCs w:val="28"/>
    </w:rPr>
  </w:style>
  <w:style w:type="character" w:customStyle="1" w:styleId="625">
    <w:name w:val="标题 1 Char Char Char Char Char Char Char Char Char Char Char Char Char Char Char Char Char Char Char Char Char Char Char Char Char Char Char Char Char Char Char Char Char Char Char Char Char Char Char Char Char Char Char Char Char Char Char Char Char"/>
    <w:qFormat/>
    <w:uiPriority w:val="0"/>
    <w:rPr>
      <w:rFonts w:ascii="黑体" w:hAnsi="Arial Unicode MS" w:eastAsia="黑体"/>
      <w:kern w:val="44"/>
      <w:sz w:val="28"/>
      <w:szCs w:val="28"/>
      <w:lang w:val="en-US" w:eastAsia="zh-CN" w:bidi="ar-SA"/>
    </w:rPr>
  </w:style>
  <w:style w:type="character" w:customStyle="1" w:styleId="626">
    <w:name w:val="样式hb4 Char Char"/>
    <w:link w:val="627"/>
    <w:qFormat/>
    <w:uiPriority w:val="0"/>
    <w:rPr>
      <w:bCs/>
      <w:snapToGrid w:val="0"/>
      <w:sz w:val="24"/>
      <w:szCs w:val="24"/>
    </w:rPr>
  </w:style>
  <w:style w:type="paragraph" w:customStyle="1" w:styleId="627">
    <w:name w:val="样式hb4"/>
    <w:basedOn w:val="1"/>
    <w:link w:val="626"/>
    <w:qFormat/>
    <w:uiPriority w:val="0"/>
    <w:pPr>
      <w:keepNext/>
      <w:keepLines/>
      <w:topLinePunct/>
      <w:adjustRightInd w:val="0"/>
      <w:snapToGrid w:val="0"/>
      <w:spacing w:before="156" w:after="156"/>
      <w:outlineLvl w:val="3"/>
    </w:pPr>
    <w:rPr>
      <w:bCs/>
      <w:snapToGrid w:val="0"/>
      <w:sz w:val="24"/>
      <w:szCs w:val="24"/>
    </w:rPr>
  </w:style>
  <w:style w:type="character" w:customStyle="1" w:styleId="628">
    <w:name w:val="Body Text 2 Char Char"/>
    <w:qFormat/>
    <w:uiPriority w:val="0"/>
    <w:rPr>
      <w:rFonts w:ascii="宋体" w:hAnsi="宋体" w:eastAsia="宋体"/>
      <w:kern w:val="2"/>
      <w:sz w:val="24"/>
      <w:szCs w:val="24"/>
      <w:lang w:val="en-US" w:eastAsia="zh-CN" w:bidi="ar-SA"/>
    </w:rPr>
  </w:style>
  <w:style w:type="character" w:customStyle="1" w:styleId="629">
    <w:name w:val="t_tag1"/>
    <w:qFormat/>
    <w:uiPriority w:val="0"/>
  </w:style>
  <w:style w:type="character" w:customStyle="1" w:styleId="630">
    <w:name w:val="标题 Char Char"/>
    <w:qFormat/>
    <w:uiPriority w:val="0"/>
    <w:rPr>
      <w:rFonts w:ascii="Arial" w:hAnsi="Arial" w:eastAsia="宋体" w:cs="Arial"/>
      <w:b/>
      <w:bCs/>
      <w:color w:val="000000"/>
      <w:kern w:val="2"/>
      <w:sz w:val="32"/>
      <w:szCs w:val="32"/>
      <w:lang w:val="en-US" w:eastAsia="zh-CN" w:bidi="ar-SA"/>
    </w:rPr>
  </w:style>
  <w:style w:type="character" w:customStyle="1" w:styleId="631">
    <w:name w:val="尾注文本 Char2"/>
    <w:qFormat/>
    <w:uiPriority w:val="0"/>
    <w:rPr>
      <w:rFonts w:ascii="Times New Roman" w:hAnsi="Times New Roman"/>
      <w:kern w:val="2"/>
      <w:sz w:val="21"/>
    </w:rPr>
  </w:style>
  <w:style w:type="character" w:customStyle="1" w:styleId="632">
    <w:name w:val="(一) Char"/>
    <w:qFormat/>
    <w:uiPriority w:val="0"/>
    <w:rPr>
      <w:rFonts w:ascii="Arial" w:hAnsi="Arial" w:eastAsia="黑体"/>
      <w:b/>
      <w:bCs/>
      <w:kern w:val="2"/>
      <w:sz w:val="28"/>
      <w:szCs w:val="28"/>
      <w:lang w:val="en-US" w:eastAsia="zh-CN" w:bidi="ar-SA"/>
    </w:rPr>
  </w:style>
  <w:style w:type="character" w:customStyle="1" w:styleId="633">
    <w:name w:val="Char Char17"/>
    <w:qFormat/>
    <w:locked/>
    <w:uiPriority w:val="0"/>
    <w:rPr>
      <w:rFonts w:ascii="宋体" w:hAnsi="宋体" w:eastAsia="宋体"/>
      <w:kern w:val="2"/>
      <w:sz w:val="24"/>
      <w:lang w:val="en-US" w:eastAsia="zh-CN" w:bidi="ar-SA"/>
    </w:rPr>
  </w:style>
  <w:style w:type="character" w:customStyle="1" w:styleId="634">
    <w:name w:val="标题 3 Char"/>
    <w:qFormat/>
    <w:uiPriority w:val="0"/>
    <w:rPr>
      <w:b/>
      <w:bCs/>
      <w:sz w:val="32"/>
      <w:szCs w:val="32"/>
    </w:rPr>
  </w:style>
  <w:style w:type="character" w:customStyle="1" w:styleId="635">
    <w:name w:val="引用 Char5"/>
    <w:qFormat/>
    <w:uiPriority w:val="29"/>
    <w:rPr>
      <w:i/>
      <w:iCs/>
      <w:color w:val="000000"/>
    </w:rPr>
  </w:style>
  <w:style w:type="character" w:customStyle="1" w:styleId="636">
    <w:name w:val="表题注 Char"/>
    <w:link w:val="637"/>
    <w:qFormat/>
    <w:uiPriority w:val="0"/>
    <w:rPr>
      <w:rFonts w:hAnsi="宋体"/>
      <w:b/>
      <w:bCs/>
      <w:szCs w:val="24"/>
    </w:rPr>
  </w:style>
  <w:style w:type="paragraph" w:customStyle="1" w:styleId="637">
    <w:name w:val="表题注"/>
    <w:basedOn w:val="1"/>
    <w:link w:val="636"/>
    <w:qFormat/>
    <w:uiPriority w:val="0"/>
    <w:pPr>
      <w:tabs>
        <w:tab w:val="left" w:pos="3626"/>
      </w:tabs>
      <w:spacing w:line="400" w:lineRule="exact"/>
      <w:ind w:firstLine="480"/>
      <w:jc w:val="center"/>
    </w:pPr>
    <w:rPr>
      <w:rFonts w:ascii="Times New Roman" w:hAnsi="宋体"/>
      <w:b/>
      <w:bCs/>
      <w:kern w:val="0"/>
      <w:sz w:val="20"/>
      <w:szCs w:val="24"/>
    </w:rPr>
  </w:style>
  <w:style w:type="character" w:customStyle="1" w:styleId="638">
    <w:name w:val="正文文本 2 字符1"/>
    <w:semiHidden/>
    <w:qFormat/>
    <w:uiPriority w:val="99"/>
    <w:rPr>
      <w:rFonts w:ascii="Times New Roman" w:hAnsi="Times New Roman" w:cs="Times New Roman"/>
      <w:sz w:val="24"/>
      <w:szCs w:val="24"/>
    </w:rPr>
  </w:style>
  <w:style w:type="character" w:customStyle="1" w:styleId="639">
    <w:name w:val="样式 样式 样式 仿宋_GB2312 黑色 行距: 固定值 30 磅 + 首行缩进:  2 字符 + 首行缩进:  2 字符 Char Char"/>
    <w:link w:val="640"/>
    <w:qFormat/>
    <w:uiPriority w:val="0"/>
    <w:rPr>
      <w:rFonts w:eastAsia="仿宋_GB2312"/>
      <w:sz w:val="28"/>
    </w:rPr>
  </w:style>
  <w:style w:type="paragraph" w:customStyle="1" w:styleId="640">
    <w:name w:val="样式 样式 样式 仿宋_GB2312 黑色 行距: 固定值 30 磅 + 首行缩进:  2 字符 + 首行缩进:  2 字符"/>
    <w:basedOn w:val="1"/>
    <w:link w:val="639"/>
    <w:qFormat/>
    <w:uiPriority w:val="0"/>
    <w:pPr>
      <w:spacing w:line="600" w:lineRule="exact"/>
      <w:ind w:firstLine="600" w:firstLineChars="200"/>
    </w:pPr>
    <w:rPr>
      <w:rFonts w:eastAsia="仿宋_GB2312"/>
      <w:sz w:val="28"/>
    </w:rPr>
  </w:style>
  <w:style w:type="character" w:customStyle="1" w:styleId="641">
    <w:name w:val="表号 Char"/>
    <w:qFormat/>
    <w:uiPriority w:val="0"/>
    <w:rPr>
      <w:kern w:val="2"/>
      <w:sz w:val="21"/>
      <w:szCs w:val="22"/>
    </w:rPr>
  </w:style>
  <w:style w:type="character" w:customStyle="1" w:styleId="642">
    <w:name w:val="样式 首行缩进:  1.01 厘米 Char Char"/>
    <w:qFormat/>
    <w:uiPriority w:val="0"/>
    <w:rPr>
      <w:rFonts w:ascii="宋体" w:hAnsi="宋体" w:eastAsia="宋体" w:cs="宋体"/>
      <w:kern w:val="2"/>
      <w:sz w:val="24"/>
      <w:szCs w:val="24"/>
      <w:lang w:val="en-US" w:eastAsia="zh-CN" w:bidi="ar-SA"/>
    </w:rPr>
  </w:style>
  <w:style w:type="character" w:customStyle="1" w:styleId="643">
    <w:name w:val="自动表头 Char"/>
    <w:qFormat/>
    <w:uiPriority w:val="0"/>
    <w:rPr>
      <w:rFonts w:ascii="黑体" w:eastAsia="宋体"/>
      <w:b/>
      <w:bCs/>
      <w:kern w:val="2"/>
      <w:sz w:val="21"/>
      <w:szCs w:val="21"/>
      <w:lang w:val="en-US" w:eastAsia="zh-CN" w:bidi="ar-SA"/>
    </w:rPr>
  </w:style>
  <w:style w:type="character" w:customStyle="1" w:styleId="644">
    <w:name w:val="明显引用 Char Char Char"/>
    <w:qFormat/>
    <w:uiPriority w:val="0"/>
    <w:rPr>
      <w:rFonts w:ascii="Calibri" w:hAnsi="Calibri" w:eastAsia="宋体"/>
      <w:b/>
      <w:bCs/>
      <w:i/>
      <w:iCs/>
      <w:color w:val="4F81BD"/>
      <w:sz w:val="22"/>
      <w:szCs w:val="22"/>
      <w:lang w:val="en-US" w:eastAsia="en-US" w:bidi="en-US"/>
    </w:rPr>
  </w:style>
  <w:style w:type="character" w:customStyle="1" w:styleId="645">
    <w:name w:val="正文文字 Char Char Char3"/>
    <w:qFormat/>
    <w:uiPriority w:val="0"/>
    <w:rPr>
      <w:rFonts w:eastAsia="宋体"/>
      <w:kern w:val="2"/>
      <w:sz w:val="24"/>
      <w:szCs w:val="24"/>
      <w:lang w:val="en-US" w:eastAsia="zh-CN" w:bidi="ar-SA"/>
    </w:rPr>
  </w:style>
  <w:style w:type="character" w:customStyle="1" w:styleId="646">
    <w:name w:val="Char Char311"/>
    <w:qFormat/>
    <w:uiPriority w:val="0"/>
    <w:rPr>
      <w:rFonts w:hint="default" w:ascii="Arial" w:hAnsi="Arial" w:eastAsia="黑体" w:cs="Arial"/>
      <w:b/>
      <w:bCs/>
      <w:kern w:val="2"/>
      <w:sz w:val="28"/>
      <w:szCs w:val="28"/>
      <w:lang w:val="en-US" w:eastAsia="zh-CN" w:bidi="ar-SA"/>
    </w:rPr>
  </w:style>
  <w:style w:type="character" w:customStyle="1" w:styleId="647">
    <w:name w:val="unnamed11"/>
    <w:qFormat/>
    <w:uiPriority w:val="0"/>
    <w:rPr>
      <w:rFonts w:ascii="宋体" w:hAnsi="宋体" w:eastAsia="宋体" w:cs="宋体"/>
      <w:color w:val="000000"/>
      <w:kern w:val="2"/>
      <w:sz w:val="21"/>
      <w:szCs w:val="21"/>
      <w:lang w:val="en-US" w:eastAsia="zh-CN" w:bidi="ar-SA"/>
    </w:rPr>
  </w:style>
  <w:style w:type="character" w:customStyle="1" w:styleId="648">
    <w:name w:val="dxj表头 Char"/>
    <w:qFormat/>
    <w:uiPriority w:val="0"/>
    <w:rPr>
      <w:rFonts w:eastAsia="黑体"/>
      <w:kern w:val="2"/>
      <w:sz w:val="21"/>
      <w:szCs w:val="21"/>
      <w:lang w:val="en-US" w:eastAsia="zh-CN" w:bidi="ar-SA"/>
    </w:rPr>
  </w:style>
  <w:style w:type="character" w:customStyle="1" w:styleId="649">
    <w:name w:val="keyword"/>
    <w:qFormat/>
    <w:uiPriority w:val="0"/>
  </w:style>
  <w:style w:type="character" w:customStyle="1" w:styleId="650">
    <w:name w:val="Char Char63"/>
    <w:qFormat/>
    <w:uiPriority w:val="0"/>
    <w:rPr>
      <w:rFonts w:ascii="Times NewRoman" w:hAnsi="Times NewRoman" w:eastAsia="幼圆" w:cs="Times NewRoman"/>
      <w:b/>
      <w:bCs/>
      <w:kern w:val="2"/>
      <w:sz w:val="32"/>
      <w:szCs w:val="32"/>
      <w:lang w:val="en-US" w:eastAsia="zh-CN" w:bidi="ar-SA"/>
    </w:rPr>
  </w:style>
  <w:style w:type="character" w:customStyle="1" w:styleId="651">
    <w:name w:val="标题8"/>
    <w:qFormat/>
    <w:uiPriority w:val="0"/>
    <w:rPr>
      <w:rFonts w:ascii="宋体" w:hAnsi="宋体" w:eastAsia="宋体" w:cs="宋体"/>
      <w:kern w:val="2"/>
      <w:sz w:val="24"/>
      <w:szCs w:val="24"/>
      <w:lang w:val="en-US" w:eastAsia="zh-CN" w:bidi="ar-SA"/>
    </w:rPr>
  </w:style>
  <w:style w:type="character" w:customStyle="1" w:styleId="652">
    <w:name w:val="标题 1 Char Char Char"/>
    <w:qFormat/>
    <w:uiPriority w:val="0"/>
    <w:rPr>
      <w:rFonts w:eastAsia="宋体"/>
      <w:b/>
      <w:bCs/>
      <w:kern w:val="44"/>
      <w:sz w:val="44"/>
      <w:szCs w:val="44"/>
      <w:lang w:val="en-US" w:eastAsia="zh-CN" w:bidi="ar-SA"/>
    </w:rPr>
  </w:style>
  <w:style w:type="character" w:customStyle="1" w:styleId="653">
    <w:name w:val="标题 Char2"/>
    <w:qFormat/>
    <w:uiPriority w:val="0"/>
    <w:rPr>
      <w:rFonts w:ascii="Cambria" w:hAnsi="Cambria" w:eastAsia="宋体" w:cs="Times New Roman"/>
      <w:b/>
      <w:bCs/>
      <w:sz w:val="32"/>
      <w:szCs w:val="32"/>
    </w:rPr>
  </w:style>
  <w:style w:type="character" w:customStyle="1" w:styleId="654">
    <w:name w:val="maintext"/>
    <w:qFormat/>
    <w:uiPriority w:val="0"/>
  </w:style>
  <w:style w:type="character" w:customStyle="1" w:styleId="655">
    <w:name w:val="我的正文 Char Char Char"/>
    <w:qFormat/>
    <w:uiPriority w:val="0"/>
    <w:rPr>
      <w:rFonts w:eastAsia="宋体"/>
      <w:kern w:val="2"/>
      <w:sz w:val="28"/>
      <w:szCs w:val="24"/>
      <w:lang w:val="en-US" w:eastAsia="zh-CN" w:bidi="ar-SA"/>
    </w:rPr>
  </w:style>
  <w:style w:type="character" w:customStyle="1" w:styleId="656">
    <w:name w:val="标题 3 Char Char1"/>
    <w:qFormat/>
    <w:uiPriority w:val="0"/>
    <w:rPr>
      <w:rFonts w:eastAsia="宋体"/>
      <w:b/>
      <w:color w:val="000000"/>
      <w:kern w:val="2"/>
      <w:sz w:val="26"/>
      <w:lang w:val="en-US" w:eastAsia="zh-CN" w:bidi="ar-SA"/>
    </w:rPr>
  </w:style>
  <w:style w:type="character" w:customStyle="1" w:styleId="657">
    <w:name w:val="表格正文 Char"/>
    <w:link w:val="658"/>
    <w:qFormat/>
    <w:uiPriority w:val="0"/>
    <w:rPr>
      <w:rFonts w:ascii="宋体" w:hAnsi="宋体" w:eastAsia="宋体"/>
      <w:b/>
      <w:bCs/>
      <w:szCs w:val="21"/>
    </w:rPr>
  </w:style>
  <w:style w:type="paragraph" w:customStyle="1" w:styleId="658">
    <w:name w:val="表格正文"/>
    <w:basedOn w:val="1"/>
    <w:link w:val="657"/>
    <w:qFormat/>
    <w:uiPriority w:val="0"/>
    <w:pPr>
      <w:topLinePunct/>
      <w:spacing w:line="420" w:lineRule="exact"/>
      <w:jc w:val="center"/>
    </w:pPr>
    <w:rPr>
      <w:rFonts w:ascii="宋体" w:hAnsi="宋体"/>
      <w:b/>
      <w:bCs/>
      <w:szCs w:val="21"/>
    </w:rPr>
  </w:style>
  <w:style w:type="character" w:customStyle="1" w:styleId="659">
    <w:name w:val="四级标题 Char Char"/>
    <w:qFormat/>
    <w:uiPriority w:val="0"/>
    <w:rPr>
      <w:rFonts w:ascii="宋体" w:hAnsi="宋体" w:eastAsia="宋体"/>
      <w:bCs/>
      <w:kern w:val="2"/>
      <w:sz w:val="24"/>
      <w:szCs w:val="24"/>
      <w:lang w:val="en-US" w:eastAsia="zh-CN" w:bidi="ar-SA"/>
    </w:rPr>
  </w:style>
  <w:style w:type="character" w:customStyle="1" w:styleId="660">
    <w:name w:val="正文文本 3 Char6"/>
    <w:semiHidden/>
    <w:qFormat/>
    <w:uiPriority w:val="99"/>
    <w:rPr>
      <w:sz w:val="16"/>
      <w:szCs w:val="16"/>
    </w:rPr>
  </w:style>
  <w:style w:type="character" w:customStyle="1" w:styleId="661">
    <w:name w:val="Char Char18"/>
    <w:qFormat/>
    <w:locked/>
    <w:uiPriority w:val="0"/>
    <w:rPr>
      <w:rFonts w:ascii="宋体" w:hAnsi="宋体" w:eastAsia="宋体"/>
      <w:kern w:val="2"/>
      <w:sz w:val="24"/>
      <w:szCs w:val="24"/>
      <w:lang w:val="en-US" w:eastAsia="zh-CN" w:bidi="ar-SA"/>
    </w:rPr>
  </w:style>
  <w:style w:type="character" w:customStyle="1" w:styleId="662">
    <w:name w:val="标题 5 Char1"/>
    <w:qFormat/>
    <w:uiPriority w:val="0"/>
    <w:rPr>
      <w:rFonts w:ascii="Times New Roman" w:hAnsi="Times New Roman" w:eastAsia="仿宋_GB2312"/>
      <w:kern w:val="2"/>
      <w:sz w:val="24"/>
      <w:szCs w:val="28"/>
    </w:rPr>
  </w:style>
  <w:style w:type="character" w:customStyle="1" w:styleId="663">
    <w:name w:val="Char Char3421"/>
    <w:qFormat/>
    <w:uiPriority w:val="0"/>
    <w:rPr>
      <w:rFonts w:eastAsia="宋体"/>
      <w:b/>
      <w:bCs/>
      <w:kern w:val="44"/>
      <w:sz w:val="44"/>
      <w:szCs w:val="44"/>
      <w:lang w:val="en-US" w:eastAsia="zh-CN" w:bidi="ar-SA"/>
    </w:rPr>
  </w:style>
  <w:style w:type="character" w:customStyle="1" w:styleId="664">
    <w:name w:val="bt Char"/>
    <w:link w:val="665"/>
    <w:qFormat/>
    <w:uiPriority w:val="0"/>
    <w:rPr>
      <w:rFonts w:ascii="黑体" w:hAnsi="黑体" w:eastAsia="黑体"/>
      <w:color w:val="000000"/>
      <w:sz w:val="24"/>
    </w:rPr>
  </w:style>
  <w:style w:type="paragraph" w:customStyle="1" w:styleId="665">
    <w:name w:val="bt"/>
    <w:basedOn w:val="1"/>
    <w:link w:val="664"/>
    <w:qFormat/>
    <w:uiPriority w:val="0"/>
    <w:pPr>
      <w:spacing w:beforeLines="50" w:line="240" w:lineRule="exact"/>
      <w:ind w:firstLine="100" w:firstLineChars="100"/>
    </w:pPr>
    <w:rPr>
      <w:rFonts w:ascii="黑体" w:hAnsi="黑体" w:eastAsia="黑体"/>
      <w:color w:val="000000"/>
      <w:sz w:val="24"/>
    </w:rPr>
  </w:style>
  <w:style w:type="character" w:customStyle="1" w:styleId="666">
    <w:name w:val="样式 样式 仿宋_GB2312 四号 黑色 首行缩进:  0.99 厘米 行距: 1.5 倍行距 + 首行缩进:  2 字符 Char Char"/>
    <w:qFormat/>
    <w:uiPriority w:val="0"/>
    <w:rPr>
      <w:rFonts w:ascii="仿宋_GB2312" w:eastAsia="仿宋_GB2312" w:cs="宋体"/>
      <w:color w:val="000000"/>
      <w:kern w:val="2"/>
      <w:sz w:val="24"/>
      <w:lang w:val="en-US" w:eastAsia="zh-CN" w:bidi="ar-SA"/>
    </w:rPr>
  </w:style>
  <w:style w:type="character" w:customStyle="1" w:styleId="667">
    <w:name w:val="表、图名 Char Char"/>
    <w:qFormat/>
    <w:uiPriority w:val="0"/>
    <w:rPr>
      <w:rFonts w:eastAsia="黑体"/>
      <w:color w:val="000000"/>
      <w:kern w:val="2"/>
      <w:sz w:val="21"/>
      <w:szCs w:val="21"/>
      <w:lang w:val="en-US" w:eastAsia="zh-CN" w:bidi="ar-SA"/>
    </w:rPr>
  </w:style>
  <w:style w:type="character" w:customStyle="1" w:styleId="668">
    <w:name w:val="批注主题 Char5"/>
    <w:qFormat/>
    <w:uiPriority w:val="0"/>
    <w:rPr>
      <w:rFonts w:ascii="Times New Roman" w:hAnsi="Times New Roman" w:eastAsia="宋体" w:cs="Times New Roman"/>
      <w:b/>
      <w:bCs/>
      <w:szCs w:val="24"/>
    </w:rPr>
  </w:style>
  <w:style w:type="character" w:customStyle="1" w:styleId="669">
    <w:name w:val="p12b1"/>
    <w:qFormat/>
    <w:uiPriority w:val="0"/>
    <w:rPr>
      <w:rFonts w:hint="default" w:ascii="ˎ̥" w:hAnsi="ˎ̥"/>
      <w:color w:val="000000"/>
      <w:sz w:val="18"/>
      <w:szCs w:val="18"/>
      <w:u w:val="none"/>
    </w:rPr>
  </w:style>
  <w:style w:type="character" w:customStyle="1" w:styleId="670">
    <w:name w:val="正文缩进 Char Char Char"/>
    <w:qFormat/>
    <w:uiPriority w:val="0"/>
    <w:rPr>
      <w:rFonts w:eastAsia="幼圆"/>
      <w:sz w:val="24"/>
      <w:lang w:bidi="ar-SA"/>
    </w:rPr>
  </w:style>
  <w:style w:type="character" w:customStyle="1" w:styleId="671">
    <w:name w:val="正文文本缩进 Char Char"/>
    <w:qFormat/>
    <w:uiPriority w:val="0"/>
    <w:rPr>
      <w:rFonts w:eastAsia="宋体"/>
      <w:kern w:val="2"/>
      <w:sz w:val="21"/>
      <w:szCs w:val="24"/>
      <w:lang w:val="en-US" w:eastAsia="zh-CN" w:bidi="ar-SA"/>
    </w:rPr>
  </w:style>
  <w:style w:type="character" w:customStyle="1" w:styleId="672">
    <w:name w:val="Char Char44"/>
    <w:qFormat/>
    <w:uiPriority w:val="0"/>
    <w:rPr>
      <w:rFonts w:hint="default" w:ascii="Arial" w:hAnsi="Arial" w:eastAsia="黑体" w:cs="Arial"/>
      <w:b/>
      <w:bCs/>
      <w:kern w:val="2"/>
      <w:sz w:val="28"/>
      <w:szCs w:val="28"/>
      <w:lang w:val="en-US" w:eastAsia="zh-CN" w:bidi="ar-SA"/>
    </w:rPr>
  </w:style>
  <w:style w:type="character" w:customStyle="1" w:styleId="673">
    <w:name w:val="样式 正文文本缩进 + 非加宽量 / 紧缩量 Char Char"/>
    <w:qFormat/>
    <w:uiPriority w:val="0"/>
    <w:rPr>
      <w:rFonts w:eastAsia="宋体"/>
      <w:kern w:val="2"/>
      <w:sz w:val="28"/>
      <w:szCs w:val="28"/>
      <w:lang w:val="en-US" w:eastAsia="zh-CN" w:bidi="ar-SA"/>
    </w:rPr>
  </w:style>
  <w:style w:type="character" w:customStyle="1" w:styleId="674">
    <w:name w:val="Char Char84"/>
    <w:qFormat/>
    <w:uiPriority w:val="0"/>
    <w:rPr>
      <w:rFonts w:eastAsia="宋体"/>
      <w:kern w:val="2"/>
      <w:sz w:val="21"/>
      <w:szCs w:val="24"/>
      <w:lang w:val="en-US" w:eastAsia="zh-CN" w:bidi="ar-SA"/>
    </w:rPr>
  </w:style>
  <w:style w:type="character" w:customStyle="1" w:styleId="675">
    <w:name w:val="正文缩进 Char"/>
    <w:qFormat/>
    <w:uiPriority w:val="0"/>
    <w:rPr>
      <w:rFonts w:ascii="宋体" w:hAnsi="宋体" w:eastAsia="宋体"/>
      <w:spacing w:val="-6"/>
      <w:kern w:val="2"/>
      <w:sz w:val="24"/>
      <w:szCs w:val="24"/>
      <w:lang w:val="en-US" w:eastAsia="zh-CN" w:bidi="ar-SA"/>
    </w:rPr>
  </w:style>
  <w:style w:type="character" w:customStyle="1" w:styleId="676">
    <w:name w:val="标题 11 Char5"/>
    <w:qFormat/>
    <w:uiPriority w:val="0"/>
    <w:rPr>
      <w:rFonts w:eastAsia="宋体"/>
      <w:b/>
      <w:bCs/>
      <w:kern w:val="44"/>
      <w:sz w:val="44"/>
      <w:szCs w:val="44"/>
      <w:lang w:val="en-US" w:eastAsia="zh-CN" w:bidi="ar-SA"/>
    </w:rPr>
  </w:style>
  <w:style w:type="character" w:customStyle="1" w:styleId="677">
    <w:name w:val="bodyfont1"/>
    <w:qFormat/>
    <w:uiPriority w:val="0"/>
    <w:rPr>
      <w:rFonts w:ascii="宋体" w:hAnsi="宋体" w:eastAsia="宋体" w:cs="宋体"/>
      <w:kern w:val="2"/>
      <w:sz w:val="21"/>
      <w:szCs w:val="21"/>
      <w:lang w:val="en-US" w:eastAsia="zh-CN" w:bidi="ar-SA"/>
    </w:rPr>
  </w:style>
  <w:style w:type="character" w:customStyle="1" w:styleId="678">
    <w:name w:val="【图片】 Char"/>
    <w:link w:val="679"/>
    <w:qFormat/>
    <w:locked/>
    <w:uiPriority w:val="0"/>
    <w:rPr>
      <w:rFonts w:ascii="宋体" w:hAnsi="宋体" w:eastAsia="Times New Roman"/>
      <w:sz w:val="24"/>
    </w:rPr>
  </w:style>
  <w:style w:type="paragraph" w:customStyle="1" w:styleId="679">
    <w:name w:val="【图片】"/>
    <w:next w:val="86"/>
    <w:link w:val="678"/>
    <w:qFormat/>
    <w:uiPriority w:val="0"/>
    <w:pPr>
      <w:jc w:val="center"/>
    </w:pPr>
    <w:rPr>
      <w:rFonts w:ascii="宋体" w:hAnsi="宋体" w:eastAsia="Times New Roman" w:cs="Times New Roman"/>
      <w:kern w:val="2"/>
      <w:sz w:val="24"/>
      <w:szCs w:val="22"/>
      <w:lang w:val="en-US" w:eastAsia="zh-CN" w:bidi="ar-SA"/>
    </w:rPr>
  </w:style>
  <w:style w:type="character" w:customStyle="1" w:styleId="680">
    <w:name w:val="(use for figures) Char1"/>
    <w:qFormat/>
    <w:uiPriority w:val="0"/>
    <w:rPr>
      <w:rFonts w:ascii="Arial" w:hAnsi="Arial" w:eastAsia="黑体"/>
      <w:sz w:val="24"/>
      <w:szCs w:val="24"/>
      <w:lang w:val="en-US" w:eastAsia="zh-CN" w:bidi="ar-SA"/>
    </w:rPr>
  </w:style>
  <w:style w:type="character" w:customStyle="1" w:styleId="681">
    <w:name w:val="图名 Char"/>
    <w:link w:val="682"/>
    <w:qFormat/>
    <w:uiPriority w:val="0"/>
    <w:rPr>
      <w:rFonts w:ascii="Arial" w:hAnsi="Arial" w:eastAsia="黑体"/>
      <w:b/>
      <w:kern w:val="2"/>
      <w:sz w:val="24"/>
      <w:szCs w:val="24"/>
    </w:rPr>
  </w:style>
  <w:style w:type="paragraph" w:customStyle="1" w:styleId="682">
    <w:name w:val="图名"/>
    <w:basedOn w:val="1"/>
    <w:link w:val="681"/>
    <w:qFormat/>
    <w:uiPriority w:val="0"/>
    <w:pPr>
      <w:spacing w:line="360" w:lineRule="auto"/>
      <w:jc w:val="center"/>
    </w:pPr>
    <w:rPr>
      <w:rFonts w:ascii="Arial" w:hAnsi="Arial" w:eastAsia="黑体"/>
      <w:b/>
      <w:sz w:val="24"/>
      <w:szCs w:val="24"/>
    </w:rPr>
  </w:style>
  <w:style w:type="character" w:customStyle="1" w:styleId="683">
    <w:name w:val="尾注文本 Char1"/>
    <w:qFormat/>
    <w:uiPriority w:val="0"/>
    <w:rPr>
      <w:rFonts w:ascii="Times New Roman" w:hAnsi="Times New Roman" w:eastAsia="Times New Roman" w:cs="Times New Roman"/>
      <w:sz w:val="24"/>
      <w:szCs w:val="24"/>
    </w:rPr>
  </w:style>
  <w:style w:type="character" w:customStyle="1" w:styleId="684">
    <w:name w:val="表头YHY Char Char"/>
    <w:link w:val="685"/>
    <w:qFormat/>
    <w:uiPriority w:val="0"/>
    <w:rPr>
      <w:rFonts w:ascii="黑体" w:eastAsia="黑体"/>
      <w:b/>
      <w:bCs/>
      <w:kern w:val="2"/>
      <w:sz w:val="21"/>
      <w:szCs w:val="21"/>
    </w:rPr>
  </w:style>
  <w:style w:type="paragraph" w:customStyle="1" w:styleId="685">
    <w:name w:val="表头YHY"/>
    <w:basedOn w:val="8"/>
    <w:link w:val="684"/>
    <w:qFormat/>
    <w:uiPriority w:val="0"/>
    <w:pPr>
      <w:tabs>
        <w:tab w:val="clear" w:pos="927"/>
      </w:tabs>
      <w:autoSpaceDE/>
      <w:autoSpaceDN/>
      <w:adjustRightInd/>
      <w:snapToGrid/>
      <w:spacing w:line="240" w:lineRule="auto"/>
      <w:textAlignment w:val="auto"/>
    </w:pPr>
    <w:rPr>
      <w:rFonts w:ascii="黑体" w:hAnsi="Calibri" w:eastAsia="黑体"/>
      <w:bCs/>
      <w:szCs w:val="21"/>
    </w:rPr>
  </w:style>
  <w:style w:type="character" w:customStyle="1" w:styleId="686">
    <w:name w:val="1正文段落 Char Char"/>
    <w:qFormat/>
    <w:uiPriority w:val="0"/>
    <w:rPr>
      <w:rFonts w:eastAsia="宋体"/>
      <w:snapToGrid w:val="0"/>
      <w:sz w:val="24"/>
      <w:szCs w:val="24"/>
      <w:lang w:val="en-US" w:eastAsia="zh-CN" w:bidi="ar-SA"/>
    </w:rPr>
  </w:style>
  <w:style w:type="character" w:customStyle="1" w:styleId="687">
    <w:name w:val="Char Char233"/>
    <w:qFormat/>
    <w:uiPriority w:val="0"/>
    <w:rPr>
      <w:rFonts w:eastAsia="宋体"/>
      <w:b/>
      <w:bCs/>
      <w:kern w:val="2"/>
      <w:sz w:val="32"/>
      <w:szCs w:val="32"/>
      <w:lang w:val="en-US" w:eastAsia="zh-CN" w:bidi="ar-SA"/>
    </w:rPr>
  </w:style>
  <w:style w:type="character" w:customStyle="1" w:styleId="688">
    <w:name w:val="样式 宋体 四号1"/>
    <w:qFormat/>
    <w:uiPriority w:val="0"/>
    <w:rPr>
      <w:rFonts w:ascii="Times New Roman" w:hAnsi="Times New Roman"/>
      <w:sz w:val="28"/>
    </w:rPr>
  </w:style>
  <w:style w:type="character" w:customStyle="1" w:styleId="689">
    <w:name w:val="标题 4 Char Char Char Char Char Char Char Char Char Char Char Char Char Char Char Char Char Char Char"/>
    <w:qFormat/>
    <w:uiPriority w:val="0"/>
    <w:rPr>
      <w:rFonts w:ascii="Arial" w:hAnsi="Arial" w:eastAsia="黑体"/>
      <w:b/>
      <w:bCs/>
      <w:snapToGrid w:val="0"/>
      <w:sz w:val="24"/>
      <w:szCs w:val="28"/>
      <w:lang w:val="en-US" w:eastAsia="zh-CN" w:bidi="ar-SA"/>
    </w:rPr>
  </w:style>
  <w:style w:type="character" w:customStyle="1" w:styleId="690">
    <w:name w:val="pro_hover"/>
    <w:qFormat/>
    <w:uiPriority w:val="0"/>
  </w:style>
  <w:style w:type="character" w:customStyle="1" w:styleId="691">
    <w:name w:val="表内格式 Char Char"/>
    <w:link w:val="692"/>
    <w:qFormat/>
    <w:uiPriority w:val="0"/>
    <w:rPr>
      <w:sz w:val="18"/>
    </w:rPr>
  </w:style>
  <w:style w:type="paragraph" w:customStyle="1" w:styleId="692">
    <w:name w:val="表内格式"/>
    <w:basedOn w:val="1"/>
    <w:link w:val="691"/>
    <w:qFormat/>
    <w:uiPriority w:val="0"/>
    <w:pPr>
      <w:jc w:val="center"/>
    </w:pPr>
    <w:rPr>
      <w:sz w:val="18"/>
    </w:rPr>
  </w:style>
  <w:style w:type="character" w:customStyle="1" w:styleId="693">
    <w:name w:val="正文首行缩进 Char8"/>
    <w:qFormat/>
    <w:uiPriority w:val="0"/>
  </w:style>
  <w:style w:type="character" w:customStyle="1" w:styleId="694">
    <w:name w:val="正文小四首缩1.3行距 Char"/>
    <w:link w:val="695"/>
    <w:qFormat/>
    <w:uiPriority w:val="0"/>
    <w:rPr>
      <w:sz w:val="24"/>
      <w:szCs w:val="24"/>
    </w:rPr>
  </w:style>
  <w:style w:type="paragraph" w:customStyle="1" w:styleId="695">
    <w:name w:val="正文小四首缩1.3行距"/>
    <w:basedOn w:val="1"/>
    <w:link w:val="694"/>
    <w:qFormat/>
    <w:uiPriority w:val="0"/>
    <w:pPr>
      <w:spacing w:line="312" w:lineRule="auto"/>
      <w:ind w:firstLine="420" w:firstLineChars="200"/>
    </w:pPr>
    <w:rPr>
      <w:sz w:val="24"/>
      <w:szCs w:val="24"/>
    </w:rPr>
  </w:style>
  <w:style w:type="character" w:customStyle="1" w:styleId="696">
    <w:name w:val="Char Char261"/>
    <w:qFormat/>
    <w:uiPriority w:val="0"/>
    <w:rPr>
      <w:rFonts w:ascii="Arial" w:hAnsi="Arial" w:eastAsia="黑体"/>
      <w:b/>
      <w:bCs/>
      <w:kern w:val="2"/>
      <w:sz w:val="28"/>
      <w:szCs w:val="28"/>
      <w:lang w:val="en-US" w:eastAsia="zh-CN" w:bidi="ar-SA"/>
    </w:rPr>
  </w:style>
  <w:style w:type="character" w:customStyle="1" w:styleId="697">
    <w:name w:val="样式2 Char Char"/>
    <w:qFormat/>
    <w:uiPriority w:val="0"/>
    <w:rPr>
      <w:rFonts w:ascii="仿宋_GB2312" w:hAnsi="宋体" w:eastAsia="仿宋_GB2312"/>
      <w:color w:val="000000"/>
      <w:kern w:val="2"/>
      <w:sz w:val="28"/>
      <w:szCs w:val="28"/>
      <w:lang w:val="en-US" w:eastAsia="zh-CN" w:bidi="ar-SA"/>
    </w:rPr>
  </w:style>
  <w:style w:type="character" w:customStyle="1" w:styleId="698">
    <w:name w:val="样式90 Char"/>
    <w:link w:val="699"/>
    <w:qFormat/>
    <w:uiPriority w:val="0"/>
    <w:rPr>
      <w:rFonts w:ascii="宋体" w:hAnsi="宋体" w:eastAsia="宋体"/>
      <w:sz w:val="24"/>
      <w:szCs w:val="24"/>
    </w:rPr>
  </w:style>
  <w:style w:type="paragraph" w:customStyle="1" w:styleId="699">
    <w:name w:val="样式90"/>
    <w:basedOn w:val="1"/>
    <w:link w:val="698"/>
    <w:qFormat/>
    <w:uiPriority w:val="0"/>
    <w:pPr>
      <w:snapToGrid w:val="0"/>
      <w:spacing w:before="156" w:beforeLines="50" w:after="156" w:afterLines="50" w:line="360" w:lineRule="auto"/>
      <w:ind w:firstLine="480" w:firstLineChars="200"/>
    </w:pPr>
    <w:rPr>
      <w:rFonts w:ascii="宋体" w:hAnsi="宋体"/>
      <w:sz w:val="24"/>
      <w:szCs w:val="24"/>
    </w:rPr>
  </w:style>
  <w:style w:type="character" w:customStyle="1" w:styleId="700">
    <w:name w:val="注释标题 Char3"/>
    <w:qFormat/>
    <w:uiPriority w:val="0"/>
    <w:rPr>
      <w:rFonts w:ascii="Times New Roman" w:hAnsi="Times New Roman"/>
      <w:kern w:val="2"/>
      <w:sz w:val="21"/>
    </w:rPr>
  </w:style>
  <w:style w:type="character" w:customStyle="1" w:styleId="701">
    <w:name w:val="headline-content"/>
    <w:qFormat/>
    <w:uiPriority w:val="0"/>
    <w:rPr>
      <w:sz w:val="21"/>
    </w:rPr>
  </w:style>
  <w:style w:type="character" w:customStyle="1" w:styleId="702">
    <w:name w:val="二级标题 Char"/>
    <w:qFormat/>
    <w:uiPriority w:val="0"/>
    <w:rPr>
      <w:rFonts w:ascii="黑体" w:hAnsi="Arial" w:eastAsia="黑体"/>
      <w:b/>
      <w:bCs/>
      <w:kern w:val="2"/>
      <w:sz w:val="28"/>
      <w:szCs w:val="28"/>
      <w:lang w:val="en-US" w:eastAsia="zh-CN" w:bidi="ar-SA"/>
    </w:rPr>
  </w:style>
  <w:style w:type="character" w:customStyle="1" w:styleId="703">
    <w:name w:val="正文文本 2 Char3"/>
    <w:qFormat/>
    <w:uiPriority w:val="0"/>
    <w:rPr>
      <w:rFonts w:ascii="Times New Roman" w:hAnsi="Times New Roman"/>
      <w:kern w:val="2"/>
      <w:sz w:val="21"/>
    </w:rPr>
  </w:style>
  <w:style w:type="character" w:customStyle="1" w:styleId="704">
    <w:name w:val="副标题 Char2"/>
    <w:qFormat/>
    <w:uiPriority w:val="0"/>
    <w:rPr>
      <w:rFonts w:ascii="Cambria" w:hAnsi="Cambria" w:cs="Times New Roman"/>
      <w:b/>
      <w:bCs/>
      <w:kern w:val="28"/>
      <w:sz w:val="32"/>
      <w:szCs w:val="32"/>
    </w:rPr>
  </w:style>
  <w:style w:type="character" w:customStyle="1" w:styleId="705">
    <w:name w:val="Char Char4711"/>
    <w:qFormat/>
    <w:uiPriority w:val="0"/>
    <w:rPr>
      <w:rFonts w:ascii="Arial" w:hAnsi="Arial" w:eastAsia="黑体"/>
      <w:b/>
      <w:bCs/>
      <w:kern w:val="2"/>
      <w:sz w:val="32"/>
      <w:szCs w:val="32"/>
      <w:lang w:val="en-US" w:eastAsia="zh-CN" w:bidi="ar-SA"/>
    </w:rPr>
  </w:style>
  <w:style w:type="character" w:customStyle="1" w:styleId="706">
    <w:name w:val="Char Char401"/>
    <w:qFormat/>
    <w:uiPriority w:val="0"/>
    <w:rPr>
      <w:rFonts w:eastAsia="宋体"/>
      <w:kern w:val="2"/>
      <w:sz w:val="28"/>
      <w:szCs w:val="24"/>
      <w:lang w:val="en-US" w:eastAsia="zh-CN" w:bidi="ar-SA"/>
    </w:rPr>
  </w:style>
  <w:style w:type="character" w:customStyle="1" w:styleId="707">
    <w:name w:val="fontstyle31"/>
    <w:qFormat/>
    <w:uiPriority w:val="0"/>
    <w:rPr>
      <w:rFonts w:hint="default" w:ascii="TimesNewRomanPSMT" w:hAnsi="TimesNewRomanPSMT"/>
      <w:color w:val="000000"/>
      <w:sz w:val="24"/>
      <w:szCs w:val="24"/>
    </w:rPr>
  </w:style>
  <w:style w:type="character" w:customStyle="1" w:styleId="708">
    <w:name w:val="pro_hover_s"/>
    <w:qFormat/>
    <w:uiPriority w:val="0"/>
  </w:style>
  <w:style w:type="character" w:customStyle="1" w:styleId="709">
    <w:name w:val="Char Char342"/>
    <w:qFormat/>
    <w:uiPriority w:val="0"/>
    <w:rPr>
      <w:rFonts w:eastAsia="宋体"/>
      <w:b/>
      <w:bCs/>
      <w:kern w:val="44"/>
      <w:sz w:val="44"/>
      <w:szCs w:val="44"/>
      <w:lang w:val="en-US" w:eastAsia="zh-CN" w:bidi="ar-SA"/>
    </w:rPr>
  </w:style>
  <w:style w:type="character" w:customStyle="1" w:styleId="710">
    <w:name w:val="@他1"/>
    <w:unhideWhenUsed/>
    <w:qFormat/>
    <w:uiPriority w:val="99"/>
    <w:rPr>
      <w:color w:val="2B579A"/>
      <w:shd w:val="clear" w:color="auto" w:fill="E6E6E6"/>
    </w:rPr>
  </w:style>
  <w:style w:type="character" w:customStyle="1" w:styleId="711">
    <w:name w:val="头 Char Char1"/>
    <w:qFormat/>
    <w:uiPriority w:val="0"/>
    <w:rPr>
      <w:rFonts w:ascii="宋体" w:hAnsi="宋体" w:eastAsia="宋体"/>
      <w:b/>
      <w:bCs/>
      <w:color w:val="0000FF"/>
      <w:sz w:val="28"/>
      <w:lang w:val="en-US" w:eastAsia="zh-CN" w:bidi="ar-SA"/>
    </w:rPr>
  </w:style>
  <w:style w:type="character" w:customStyle="1" w:styleId="712">
    <w:name w:val="正文首行缩进 Char4"/>
    <w:qFormat/>
    <w:uiPriority w:val="0"/>
  </w:style>
  <w:style w:type="character" w:customStyle="1" w:styleId="713">
    <w:name w:val="Char Char4811"/>
    <w:qFormat/>
    <w:uiPriority w:val="0"/>
    <w:rPr>
      <w:rFonts w:hint="default" w:ascii="Times New Roman" w:hAnsi="Times New Roman" w:eastAsia="宋体" w:cs="Times New Roman"/>
      <w:sz w:val="28"/>
      <w:szCs w:val="24"/>
    </w:rPr>
  </w:style>
  <w:style w:type="character" w:customStyle="1" w:styleId="714">
    <w:name w:val="unnamed21"/>
    <w:qFormat/>
    <w:uiPriority w:val="0"/>
    <w:rPr>
      <w:rFonts w:ascii="宋体" w:hAnsi="宋体" w:eastAsia="宋体" w:cs="宋体"/>
      <w:color w:val="000000"/>
      <w:kern w:val="2"/>
      <w:sz w:val="21"/>
      <w:szCs w:val="21"/>
      <w:u w:val="none"/>
      <w:lang w:val="en-US" w:eastAsia="zh-CN" w:bidi="ar-SA"/>
    </w:rPr>
  </w:style>
  <w:style w:type="character" w:customStyle="1" w:styleId="715">
    <w:name w:val="样式 13 磅 行距: 固定值 23 磅 Char"/>
    <w:qFormat/>
    <w:uiPriority w:val="0"/>
    <w:rPr>
      <w:rFonts w:eastAsia="宋体" w:cs="宋体"/>
      <w:kern w:val="2"/>
      <w:sz w:val="26"/>
      <w:lang w:val="en-US" w:eastAsia="zh-CN" w:bidi="ar-SA"/>
    </w:rPr>
  </w:style>
  <w:style w:type="character" w:customStyle="1" w:styleId="716">
    <w:name w:val="页码111"/>
    <w:qFormat/>
    <w:uiPriority w:val="0"/>
    <w:rPr>
      <w:rFonts w:ascii="宋体" w:hAnsi="宋体" w:cs="Courier New"/>
      <w:spacing w:val="-2"/>
      <w:sz w:val="21"/>
      <w:szCs w:val="32"/>
    </w:rPr>
  </w:style>
  <w:style w:type="character" w:customStyle="1" w:styleId="717">
    <w:name w:val="表头BG Char"/>
    <w:link w:val="718"/>
    <w:qFormat/>
    <w:uiPriority w:val="0"/>
    <w:rPr>
      <w:rFonts w:eastAsia="Times New Roman"/>
      <w:b/>
      <w:snapToGrid w:val="0"/>
      <w:szCs w:val="21"/>
    </w:rPr>
  </w:style>
  <w:style w:type="paragraph" w:customStyle="1" w:styleId="718">
    <w:name w:val="BG表头"/>
    <w:link w:val="717"/>
    <w:qFormat/>
    <w:uiPriority w:val="0"/>
    <w:pPr>
      <w:adjustRightInd w:val="0"/>
      <w:snapToGrid w:val="0"/>
      <w:jc w:val="center"/>
    </w:pPr>
    <w:rPr>
      <w:rFonts w:ascii="Calibri" w:hAnsi="Calibri" w:eastAsia="Times New Roman" w:cs="Times New Roman"/>
      <w:b/>
      <w:snapToGrid w:val="0"/>
      <w:kern w:val="2"/>
      <w:sz w:val="21"/>
      <w:szCs w:val="21"/>
      <w:lang w:val="en-US" w:eastAsia="zh-CN" w:bidi="ar-SA"/>
    </w:rPr>
  </w:style>
  <w:style w:type="character" w:styleId="719">
    <w:name w:val="Placeholder Text"/>
    <w:unhideWhenUsed/>
    <w:qFormat/>
    <w:uiPriority w:val="0"/>
    <w:rPr>
      <w:color w:val="808080"/>
    </w:rPr>
  </w:style>
  <w:style w:type="character" w:customStyle="1" w:styleId="720">
    <w:name w:val="HTML 预设格式 Char"/>
    <w:link w:val="721"/>
    <w:qFormat/>
    <w:uiPriority w:val="99"/>
    <w:rPr>
      <w:rFonts w:ascii="Arial" w:hAnsi="Arial" w:eastAsia="宋体"/>
      <w:sz w:val="24"/>
      <w:szCs w:val="24"/>
    </w:rPr>
  </w:style>
  <w:style w:type="paragraph" w:customStyle="1" w:styleId="721">
    <w:name w:val="HTML 预设格式1"/>
    <w:basedOn w:val="1"/>
    <w:link w:val="72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sz w:val="24"/>
      <w:szCs w:val="24"/>
    </w:rPr>
  </w:style>
  <w:style w:type="character" w:customStyle="1" w:styleId="722">
    <w:name w:val="Char Char56"/>
    <w:qFormat/>
    <w:uiPriority w:val="0"/>
    <w:rPr>
      <w:rFonts w:eastAsia="幼圆"/>
      <w:kern w:val="2"/>
      <w:sz w:val="24"/>
      <w:lang w:val="en-US" w:eastAsia="zh-CN" w:bidi="ar-SA"/>
    </w:rPr>
  </w:style>
  <w:style w:type="character" w:customStyle="1" w:styleId="723">
    <w:name w:val="Z Char Char"/>
    <w:link w:val="724"/>
    <w:qFormat/>
    <w:uiPriority w:val="0"/>
    <w:rPr>
      <w:rFonts w:ascii="仿宋_GB2312" w:hAnsi="宋体" w:eastAsia="仿宋_GB2312"/>
      <w:sz w:val="28"/>
      <w:szCs w:val="24"/>
    </w:rPr>
  </w:style>
  <w:style w:type="paragraph" w:customStyle="1" w:styleId="724">
    <w:name w:val="Z"/>
    <w:basedOn w:val="1"/>
    <w:link w:val="723"/>
    <w:qFormat/>
    <w:uiPriority w:val="0"/>
    <w:pPr>
      <w:spacing w:line="360" w:lineRule="auto"/>
      <w:ind w:firstLine="200" w:firstLineChars="200"/>
    </w:pPr>
    <w:rPr>
      <w:rFonts w:ascii="仿宋_GB2312" w:hAnsi="宋体" w:eastAsia="仿宋_GB2312"/>
      <w:sz w:val="28"/>
      <w:szCs w:val="24"/>
    </w:rPr>
  </w:style>
  <w:style w:type="character" w:customStyle="1" w:styleId="725">
    <w:name w:val="Char Char3"/>
    <w:qFormat/>
    <w:locked/>
    <w:uiPriority w:val="0"/>
    <w:rPr>
      <w:rFonts w:eastAsia="宋体"/>
      <w:kern w:val="2"/>
      <w:sz w:val="16"/>
      <w:szCs w:val="16"/>
      <w:lang w:val="en-US" w:eastAsia="zh-CN" w:bidi="ar-SA"/>
    </w:rPr>
  </w:style>
  <w:style w:type="character" w:customStyle="1" w:styleId="726">
    <w:name w:val="标准正文 Char"/>
    <w:qFormat/>
    <w:uiPriority w:val="0"/>
    <w:rPr>
      <w:rFonts w:eastAsia="宋体"/>
      <w:bCs/>
      <w:kern w:val="2"/>
      <w:sz w:val="24"/>
      <w:u w:val="single"/>
      <w:lang w:val="en-US" w:eastAsia="zh-CN" w:bidi="ar-SA"/>
    </w:rPr>
  </w:style>
  <w:style w:type="character" w:customStyle="1" w:styleId="727">
    <w:name w:val="Char Char66"/>
    <w:qFormat/>
    <w:uiPriority w:val="0"/>
    <w:rPr>
      <w:rFonts w:eastAsia="宋体"/>
      <w:b/>
      <w:bCs/>
      <w:kern w:val="2"/>
      <w:sz w:val="32"/>
      <w:szCs w:val="32"/>
      <w:lang w:val="en-US" w:eastAsia="zh-CN" w:bidi="ar-SA"/>
    </w:rPr>
  </w:style>
  <w:style w:type="character" w:customStyle="1" w:styleId="728">
    <w:name w:val="题注 字符"/>
    <w:qFormat/>
    <w:uiPriority w:val="0"/>
    <w:rPr>
      <w:rFonts w:ascii="Arial" w:hAnsi="Arial" w:eastAsia="黑体" w:cs="Arial"/>
      <w:kern w:val="2"/>
    </w:rPr>
  </w:style>
  <w:style w:type="character" w:customStyle="1" w:styleId="729">
    <w:name w:val="正文缩进1 Char Char Char Char"/>
    <w:qFormat/>
    <w:uiPriority w:val="0"/>
    <w:rPr>
      <w:rFonts w:eastAsia="宋体"/>
      <w:sz w:val="24"/>
      <w:lang w:val="en-US" w:eastAsia="zh-CN" w:bidi="ar-SA"/>
    </w:rPr>
  </w:style>
  <w:style w:type="character" w:customStyle="1" w:styleId="730">
    <w:name w:val="样式 图号 + 宋体 Char"/>
    <w:qFormat/>
    <w:uiPriority w:val="0"/>
    <w:rPr>
      <w:rFonts w:ascii="宋体" w:hAnsi="宋体" w:eastAsia="宋体" w:cs="宋体"/>
      <w:b/>
      <w:bCs/>
      <w:kern w:val="32"/>
      <w:sz w:val="24"/>
      <w:szCs w:val="24"/>
      <w:lang w:val="en-US" w:eastAsia="zh-CN" w:bidi="ar-SA"/>
    </w:rPr>
  </w:style>
  <w:style w:type="character" w:customStyle="1" w:styleId="731">
    <w:name w:val="正式文本 Char Char"/>
    <w:link w:val="732"/>
    <w:qFormat/>
    <w:uiPriority w:val="0"/>
    <w:rPr>
      <w:rFonts w:ascii="Arial Narrow" w:hAnsi="Arial Narrow" w:eastAsia="汉鼎简书宋"/>
      <w:sz w:val="24"/>
      <w:szCs w:val="24"/>
    </w:rPr>
  </w:style>
  <w:style w:type="paragraph" w:customStyle="1" w:styleId="732">
    <w:name w:val="正式文本"/>
    <w:basedOn w:val="1"/>
    <w:link w:val="731"/>
    <w:qFormat/>
    <w:uiPriority w:val="0"/>
    <w:pPr>
      <w:spacing w:line="500" w:lineRule="exact"/>
      <w:ind w:firstLine="200" w:firstLineChars="200"/>
    </w:pPr>
    <w:rPr>
      <w:rFonts w:ascii="Arial Narrow" w:hAnsi="Arial Narrow" w:eastAsia="汉鼎简书宋"/>
      <w:sz w:val="24"/>
      <w:szCs w:val="24"/>
    </w:rPr>
  </w:style>
  <w:style w:type="character" w:customStyle="1" w:styleId="733">
    <w:name w:val="新 5 Char"/>
    <w:qFormat/>
    <w:uiPriority w:val="0"/>
    <w:rPr>
      <w:rFonts w:ascii="宋体" w:hAnsi="宋体" w:eastAsia="宋体"/>
      <w:b/>
      <w:bCs/>
      <w:sz w:val="24"/>
      <w:szCs w:val="28"/>
      <w:lang w:val="en-US" w:eastAsia="zh-CN" w:bidi="ar-SA"/>
    </w:rPr>
  </w:style>
  <w:style w:type="character" w:customStyle="1" w:styleId="734">
    <w:name w:val="页眉1 Char"/>
    <w:qFormat/>
    <w:uiPriority w:val="0"/>
    <w:rPr>
      <w:rFonts w:eastAsia="宋体"/>
      <w:kern w:val="2"/>
      <w:sz w:val="18"/>
      <w:szCs w:val="18"/>
      <w:lang w:val="en-US" w:eastAsia="zh-CN" w:bidi="ar-SA"/>
    </w:rPr>
  </w:style>
  <w:style w:type="character" w:customStyle="1" w:styleId="735">
    <w:name w:val="Char Char421"/>
    <w:qFormat/>
    <w:uiPriority w:val="0"/>
    <w:rPr>
      <w:rFonts w:ascii="Arial" w:hAnsi="Arial" w:eastAsia="黑体"/>
      <w:b/>
      <w:bCs/>
      <w:kern w:val="2"/>
      <w:sz w:val="28"/>
      <w:szCs w:val="28"/>
      <w:lang w:val="en-US" w:eastAsia="zh-CN"/>
    </w:rPr>
  </w:style>
  <w:style w:type="character" w:customStyle="1" w:styleId="736">
    <w:name w:val="Char Char511"/>
    <w:qFormat/>
    <w:uiPriority w:val="0"/>
    <w:rPr>
      <w:rFonts w:eastAsia="宋体"/>
      <w:kern w:val="2"/>
      <w:sz w:val="21"/>
      <w:szCs w:val="24"/>
      <w:lang w:val="en-US" w:eastAsia="zh-CN" w:bidi="ar-SA"/>
    </w:rPr>
  </w:style>
  <w:style w:type="character" w:customStyle="1" w:styleId="737">
    <w:name w:val="脚注文本 Char3"/>
    <w:qFormat/>
    <w:uiPriority w:val="0"/>
    <w:rPr>
      <w:rFonts w:ascii="Times New Roman" w:hAnsi="Times New Roman"/>
      <w:kern w:val="2"/>
      <w:sz w:val="18"/>
      <w:szCs w:val="18"/>
    </w:rPr>
  </w:style>
  <w:style w:type="character" w:customStyle="1" w:styleId="738">
    <w:name w:val="Char Char681"/>
    <w:qFormat/>
    <w:uiPriority w:val="0"/>
    <w:rPr>
      <w:rFonts w:ascii="宋体" w:hAnsi="宋体" w:eastAsia="宋体"/>
      <w:b/>
      <w:bCs/>
      <w:kern w:val="2"/>
      <w:sz w:val="24"/>
      <w:szCs w:val="24"/>
      <w:lang w:val="en-US" w:eastAsia="zh-CN" w:bidi="ar-SA"/>
    </w:rPr>
  </w:style>
  <w:style w:type="character" w:customStyle="1" w:styleId="739">
    <w:name w:val="Char Char2821"/>
    <w:qFormat/>
    <w:uiPriority w:val="0"/>
    <w:rPr>
      <w:rFonts w:ascii="Arial" w:hAnsi="Arial" w:eastAsia="黑体" w:cs="Arial"/>
      <w:kern w:val="44"/>
      <w:sz w:val="30"/>
      <w:szCs w:val="44"/>
      <w:lang w:val="en-US" w:eastAsia="zh-CN" w:bidi="ar-SA"/>
    </w:rPr>
  </w:style>
  <w:style w:type="character" w:customStyle="1" w:styleId="740">
    <w:name w:val="样式 宋体 四号"/>
    <w:qFormat/>
    <w:uiPriority w:val="0"/>
    <w:rPr>
      <w:rFonts w:ascii="宋体" w:hAnsi="宋体"/>
      <w:sz w:val="28"/>
      <w:szCs w:val="28"/>
    </w:rPr>
  </w:style>
  <w:style w:type="character" w:customStyle="1" w:styleId="741">
    <w:name w:val="武正文 Char"/>
    <w:link w:val="742"/>
    <w:qFormat/>
    <w:locked/>
    <w:uiPriority w:val="0"/>
    <w:rPr>
      <w:rFonts w:ascii="宋体" w:hAnsi="宋体" w:eastAsia="宋体"/>
      <w:color w:val="000000"/>
      <w:sz w:val="28"/>
      <w:szCs w:val="24"/>
    </w:rPr>
  </w:style>
  <w:style w:type="paragraph" w:customStyle="1" w:styleId="742">
    <w:name w:val="武正文"/>
    <w:basedOn w:val="1"/>
    <w:link w:val="741"/>
    <w:qFormat/>
    <w:uiPriority w:val="0"/>
    <w:pPr>
      <w:spacing w:line="600" w:lineRule="exact"/>
      <w:ind w:firstLine="200" w:firstLineChars="200"/>
    </w:pPr>
    <w:rPr>
      <w:rFonts w:ascii="宋体" w:hAnsi="宋体"/>
      <w:color w:val="000000"/>
      <w:sz w:val="28"/>
      <w:szCs w:val="24"/>
    </w:rPr>
  </w:style>
  <w:style w:type="character" w:customStyle="1" w:styleId="743">
    <w:name w:val="Char Char212"/>
    <w:qFormat/>
    <w:uiPriority w:val="0"/>
    <w:rPr>
      <w:rFonts w:eastAsia="宋体"/>
      <w:b/>
      <w:kern w:val="2"/>
      <w:sz w:val="27"/>
      <w:szCs w:val="24"/>
      <w:lang w:val="en-US" w:eastAsia="zh-CN" w:bidi="ar-SA"/>
    </w:rPr>
  </w:style>
  <w:style w:type="character" w:customStyle="1" w:styleId="744">
    <w:name w:val="样式 图号 + 宋体 Char Char"/>
    <w:link w:val="745"/>
    <w:qFormat/>
    <w:uiPriority w:val="0"/>
    <w:rPr>
      <w:rFonts w:ascii="宋体" w:hAnsi="宋体" w:eastAsia="宋体" w:cs="宋体"/>
      <w:b/>
      <w:bCs/>
      <w:kern w:val="32"/>
      <w:sz w:val="24"/>
      <w:szCs w:val="24"/>
    </w:rPr>
  </w:style>
  <w:style w:type="paragraph" w:customStyle="1" w:styleId="745">
    <w:name w:val="样式 图号 + 宋体"/>
    <w:basedOn w:val="746"/>
    <w:link w:val="744"/>
    <w:qFormat/>
    <w:uiPriority w:val="0"/>
    <w:pPr>
      <w:ind w:firstLine="200" w:firstLineChars="200"/>
    </w:pPr>
  </w:style>
  <w:style w:type="paragraph" w:customStyle="1" w:styleId="746">
    <w:name w:val="图号"/>
    <w:basedOn w:val="63"/>
    <w:link w:val="747"/>
    <w:qFormat/>
    <w:uiPriority w:val="0"/>
    <w:pPr>
      <w:adjustRightInd w:val="0"/>
      <w:spacing w:line="529" w:lineRule="exact"/>
      <w:ind w:left="198"/>
      <w:textAlignment w:val="baseline"/>
    </w:pPr>
    <w:rPr>
      <w:rFonts w:ascii="宋体" w:hAnsi="宋体" w:cs="宋体"/>
      <w:b/>
      <w:bCs/>
      <w:kern w:val="32"/>
      <w:sz w:val="24"/>
      <w:szCs w:val="24"/>
    </w:rPr>
  </w:style>
  <w:style w:type="character" w:customStyle="1" w:styleId="747">
    <w:name w:val="图号 Char Char"/>
    <w:link w:val="746"/>
    <w:qFormat/>
    <w:uiPriority w:val="0"/>
    <w:rPr>
      <w:rFonts w:ascii="宋体" w:hAnsi="宋体" w:eastAsia="宋体" w:cs="宋体"/>
      <w:b/>
      <w:bCs/>
      <w:kern w:val="32"/>
      <w:sz w:val="24"/>
      <w:szCs w:val="24"/>
    </w:rPr>
  </w:style>
  <w:style w:type="character" w:customStyle="1" w:styleId="748">
    <w:name w:val="正文首行缩进 Char"/>
    <w:qFormat/>
    <w:uiPriority w:val="99"/>
    <w:rPr>
      <w:rFonts w:eastAsia="宋体"/>
      <w:kern w:val="2"/>
      <w:sz w:val="21"/>
      <w:szCs w:val="24"/>
      <w:lang w:val="en-US" w:eastAsia="zh-CN" w:bidi="ar-SA"/>
    </w:rPr>
  </w:style>
  <w:style w:type="character" w:customStyle="1" w:styleId="749">
    <w:name w:val="页眉1 Char2"/>
    <w:qFormat/>
    <w:uiPriority w:val="0"/>
    <w:rPr>
      <w:rFonts w:ascii="宋体" w:hAnsi="宋体" w:cs="Courier New"/>
      <w:spacing w:val="-2"/>
      <w:kern w:val="2"/>
      <w:sz w:val="18"/>
      <w:szCs w:val="18"/>
    </w:rPr>
  </w:style>
  <w:style w:type="character" w:customStyle="1" w:styleId="750">
    <w:name w:val="称呼 Char Char"/>
    <w:qFormat/>
    <w:uiPriority w:val="0"/>
    <w:rPr>
      <w:rFonts w:eastAsia="宋体"/>
      <w:szCs w:val="24"/>
      <w:lang w:bidi="ar-SA"/>
    </w:rPr>
  </w:style>
  <w:style w:type="character" w:customStyle="1" w:styleId="751">
    <w:name w:val="新 5 Char3"/>
    <w:qFormat/>
    <w:uiPriority w:val="0"/>
    <w:rPr>
      <w:rFonts w:eastAsia="仿宋_GB2312"/>
      <w:kern w:val="2"/>
      <w:sz w:val="24"/>
      <w:szCs w:val="28"/>
      <w:lang w:val="en-US" w:eastAsia="zh-CN" w:bidi="ar-SA"/>
    </w:rPr>
  </w:style>
  <w:style w:type="character" w:customStyle="1" w:styleId="752">
    <w:name w:val="txt181"/>
    <w:qFormat/>
    <w:uiPriority w:val="0"/>
    <w:rPr>
      <w:rFonts w:hint="eastAsia" w:ascii="宋体" w:hAnsi="宋体" w:eastAsia="宋体"/>
      <w:b/>
      <w:bCs/>
      <w:sz w:val="38"/>
      <w:szCs w:val="38"/>
      <w:u w:val="none"/>
    </w:rPr>
  </w:style>
  <w:style w:type="character" w:customStyle="1" w:styleId="753">
    <w:name w:val="正文缩进 Char4"/>
    <w:qFormat/>
    <w:uiPriority w:val="0"/>
    <w:rPr>
      <w:rFonts w:eastAsia="宋体"/>
      <w:b/>
      <w:color w:val="000000"/>
      <w:kern w:val="24"/>
      <w:sz w:val="24"/>
      <w:szCs w:val="24"/>
      <w:lang w:val="en-US" w:eastAsia="zh-CN" w:bidi="ar-SA"/>
    </w:rPr>
  </w:style>
  <w:style w:type="character" w:customStyle="1" w:styleId="754">
    <w:name w:val="Char Char281"/>
    <w:qFormat/>
    <w:uiPriority w:val="0"/>
    <w:rPr>
      <w:rFonts w:ascii="Arial" w:hAnsi="Arial" w:eastAsia="黑体" w:cs="Arial"/>
      <w:kern w:val="44"/>
      <w:sz w:val="30"/>
      <w:szCs w:val="44"/>
      <w:lang w:val="en-US" w:eastAsia="zh-CN" w:bidi="ar-SA"/>
    </w:rPr>
  </w:style>
  <w:style w:type="character" w:customStyle="1" w:styleId="755">
    <w:name w:val="文章正文样式 Char Char Char Char"/>
    <w:link w:val="756"/>
    <w:qFormat/>
    <w:uiPriority w:val="0"/>
    <w:rPr>
      <w:rFonts w:ascii="宋体" w:hAnsi="宋体"/>
      <w:sz w:val="24"/>
    </w:rPr>
  </w:style>
  <w:style w:type="paragraph" w:customStyle="1" w:styleId="756">
    <w:name w:val="文章正文样式 Char Char Char"/>
    <w:basedOn w:val="1"/>
    <w:link w:val="755"/>
    <w:qFormat/>
    <w:uiPriority w:val="0"/>
    <w:pPr>
      <w:spacing w:line="520" w:lineRule="exact"/>
      <w:ind w:firstLine="480" w:firstLineChars="200"/>
      <w:jc w:val="left"/>
    </w:pPr>
    <w:rPr>
      <w:rFonts w:ascii="宋体" w:hAnsi="宋体"/>
      <w:sz w:val="24"/>
    </w:rPr>
  </w:style>
  <w:style w:type="character" w:customStyle="1" w:styleId="757">
    <w:name w:val="消息标题标签"/>
    <w:qFormat/>
    <w:uiPriority w:val="0"/>
    <w:rPr>
      <w:rFonts w:ascii="Arial Black" w:hAnsi="Arial Black" w:eastAsia="黑体"/>
      <w:b/>
      <w:sz w:val="18"/>
      <w:lang w:eastAsia="zh-CN"/>
    </w:rPr>
  </w:style>
  <w:style w:type="character" w:customStyle="1" w:styleId="758">
    <w:name w:val="批注文字 Char5"/>
    <w:qFormat/>
    <w:uiPriority w:val="0"/>
    <w:rPr>
      <w:rFonts w:ascii="Times New Roman" w:hAnsi="Times New Roman" w:eastAsia="宋体" w:cs="Times New Roman"/>
    </w:rPr>
  </w:style>
  <w:style w:type="character" w:customStyle="1" w:styleId="759">
    <w:name w:val="Char Char43"/>
    <w:qFormat/>
    <w:uiPriority w:val="0"/>
    <w:rPr>
      <w:rFonts w:hint="eastAsia" w:ascii="仿宋_GB2312" w:eastAsia="仿宋_GB2312"/>
      <w:kern w:val="2"/>
      <w:sz w:val="24"/>
      <w:szCs w:val="28"/>
      <w:lang w:val="en-US" w:eastAsia="zh-CN" w:bidi="ar-SA"/>
    </w:rPr>
  </w:style>
  <w:style w:type="character" w:customStyle="1" w:styleId="760">
    <w:name w:val="hx21"/>
    <w:qFormat/>
    <w:uiPriority w:val="0"/>
    <w:rPr>
      <w:sz w:val="18"/>
      <w:szCs w:val="18"/>
    </w:rPr>
  </w:style>
  <w:style w:type="character" w:customStyle="1" w:styleId="761">
    <w:name w:val="纯文本 字符"/>
    <w:qFormat/>
    <w:uiPriority w:val="99"/>
    <w:rPr>
      <w:rFonts w:ascii="宋体" w:hAnsi="Courier New" w:eastAsia="宋体" w:cs="Times New Roman"/>
      <w:sz w:val="18"/>
      <w:szCs w:val="20"/>
    </w:rPr>
  </w:style>
  <w:style w:type="character" w:customStyle="1" w:styleId="762">
    <w:name w:val="无间隔 Char Char Char"/>
    <w:qFormat/>
    <w:uiPriority w:val="0"/>
    <w:rPr>
      <w:rFonts w:ascii="Calibri" w:hAnsi="Calibri" w:eastAsia="宋体"/>
      <w:sz w:val="22"/>
      <w:szCs w:val="22"/>
      <w:lang w:val="en-US" w:eastAsia="zh-CN" w:bidi="ar-SA"/>
    </w:rPr>
  </w:style>
  <w:style w:type="character" w:customStyle="1" w:styleId="763">
    <w:name w:val="正文文本缩进 2 Char5"/>
    <w:qFormat/>
    <w:uiPriority w:val="0"/>
    <w:rPr>
      <w:kern w:val="2"/>
      <w:sz w:val="21"/>
    </w:rPr>
  </w:style>
  <w:style w:type="character" w:customStyle="1" w:styleId="764">
    <w:name w:val="style4"/>
    <w:qFormat/>
    <w:uiPriority w:val="0"/>
  </w:style>
  <w:style w:type="character" w:customStyle="1" w:styleId="765">
    <w:name w:val="Char Char Char1"/>
    <w:qFormat/>
    <w:uiPriority w:val="0"/>
    <w:rPr>
      <w:rFonts w:eastAsia="宋体"/>
      <w:b/>
      <w:bCs/>
      <w:kern w:val="2"/>
      <w:sz w:val="32"/>
      <w:szCs w:val="32"/>
      <w:lang w:val="en-US" w:eastAsia="zh-CN" w:bidi="ar-SA"/>
    </w:rPr>
  </w:style>
  <w:style w:type="character" w:customStyle="1" w:styleId="766">
    <w:name w:val="Char Char30"/>
    <w:qFormat/>
    <w:locked/>
    <w:uiPriority w:val="0"/>
    <w:rPr>
      <w:rFonts w:hint="eastAsia" w:ascii="宋体" w:hAnsi="宋体" w:eastAsia="宋体"/>
      <w:kern w:val="2"/>
      <w:sz w:val="21"/>
      <w:szCs w:val="24"/>
      <w:lang w:val="en-US" w:eastAsia="zh-CN" w:bidi="ar-SA"/>
    </w:rPr>
  </w:style>
  <w:style w:type="character" w:customStyle="1" w:styleId="767">
    <w:name w:val="信息标题 Char1"/>
    <w:qFormat/>
    <w:uiPriority w:val="0"/>
    <w:rPr>
      <w:rFonts w:ascii="Cambria" w:hAnsi="Cambria" w:eastAsia="宋体" w:cs="Times New Roman"/>
      <w:kern w:val="2"/>
      <w:sz w:val="24"/>
      <w:szCs w:val="24"/>
      <w:shd w:val="pct20" w:color="auto" w:fill="auto"/>
    </w:rPr>
  </w:style>
  <w:style w:type="character" w:customStyle="1" w:styleId="768">
    <w:name w:val="标准样式1 Char"/>
    <w:link w:val="769"/>
    <w:qFormat/>
    <w:uiPriority w:val="0"/>
    <w:rPr>
      <w:rFonts w:ascii="宋体" w:hAnsi="宋体" w:eastAsia="宋体"/>
      <w:bCs/>
      <w:sz w:val="28"/>
      <w:szCs w:val="24"/>
    </w:rPr>
  </w:style>
  <w:style w:type="paragraph" w:customStyle="1" w:styleId="769">
    <w:name w:val="标准样式1"/>
    <w:basedOn w:val="1"/>
    <w:link w:val="768"/>
    <w:qFormat/>
    <w:uiPriority w:val="0"/>
    <w:pPr>
      <w:spacing w:line="600" w:lineRule="exact"/>
      <w:ind w:firstLine="150" w:firstLineChars="150"/>
    </w:pPr>
    <w:rPr>
      <w:rFonts w:ascii="宋体" w:hAnsi="宋体"/>
      <w:bCs/>
      <w:sz w:val="28"/>
      <w:szCs w:val="24"/>
    </w:rPr>
  </w:style>
  <w:style w:type="character" w:customStyle="1" w:styleId="770">
    <w:name w:val="页眉 Char Char"/>
    <w:qFormat/>
    <w:uiPriority w:val="0"/>
    <w:rPr>
      <w:rFonts w:eastAsia="宋体"/>
      <w:kern w:val="2"/>
      <w:sz w:val="18"/>
      <w:szCs w:val="18"/>
      <w:lang w:val="en-US" w:eastAsia="zh-CN" w:bidi="ar-SA"/>
    </w:rPr>
  </w:style>
  <w:style w:type="character" w:customStyle="1" w:styleId="771">
    <w:name w:val="Char Char3911"/>
    <w:qFormat/>
    <w:uiPriority w:val="0"/>
    <w:rPr>
      <w:rFonts w:ascii="Times NewRoman" w:hAnsi="Times NewRoman" w:eastAsia="幼圆" w:cs="Times NewRoman"/>
      <w:sz w:val="28"/>
      <w:szCs w:val="24"/>
    </w:rPr>
  </w:style>
  <w:style w:type="character" w:customStyle="1" w:styleId="772">
    <w:name w:val="称呼 Char"/>
    <w:link w:val="773"/>
    <w:qFormat/>
    <w:uiPriority w:val="0"/>
    <w:rPr>
      <w:rFonts w:eastAsia="宋体"/>
      <w:szCs w:val="24"/>
    </w:rPr>
  </w:style>
  <w:style w:type="paragraph" w:customStyle="1" w:styleId="773">
    <w:name w:val="称呼1"/>
    <w:basedOn w:val="1"/>
    <w:next w:val="1"/>
    <w:link w:val="772"/>
    <w:qFormat/>
    <w:uiPriority w:val="0"/>
    <w:rPr>
      <w:szCs w:val="24"/>
    </w:rPr>
  </w:style>
  <w:style w:type="character" w:customStyle="1" w:styleId="774">
    <w:name w:val="页码11"/>
    <w:qFormat/>
    <w:uiPriority w:val="0"/>
    <w:rPr>
      <w:rFonts w:ascii="宋体" w:hAnsi="宋体" w:cs="Courier New"/>
      <w:spacing w:val="-2"/>
      <w:sz w:val="21"/>
      <w:szCs w:val="32"/>
    </w:rPr>
  </w:style>
  <w:style w:type="character" w:customStyle="1" w:styleId="775">
    <w:name w:val="样式 正文 + 首行缩进:  2 字符 + 宋体 四号 Char"/>
    <w:qFormat/>
    <w:uiPriority w:val="0"/>
    <w:rPr>
      <w:rFonts w:ascii="宋体" w:hAnsi="宋体" w:eastAsia="宋体" w:cs="宋体"/>
      <w:kern w:val="2"/>
      <w:sz w:val="28"/>
      <w:szCs w:val="24"/>
      <w:lang w:val="en-US" w:eastAsia="zh-CN" w:bidi="ar-SA"/>
    </w:rPr>
  </w:style>
  <w:style w:type="character" w:customStyle="1" w:styleId="776">
    <w:name w:val="Char Char4211"/>
    <w:qFormat/>
    <w:uiPriority w:val="0"/>
    <w:rPr>
      <w:rFonts w:ascii="Times NewRoman" w:hAnsi="Times NewRoman" w:eastAsia="Arial Narrow" w:cs="Times NewRoman"/>
      <w:sz w:val="24"/>
      <w:szCs w:val="28"/>
    </w:rPr>
  </w:style>
  <w:style w:type="character" w:customStyle="1" w:styleId="777">
    <w:name w:val="表内格式[858D7CFB-ED40-4347-BF05-701D383B685F]"/>
    <w:qFormat/>
    <w:uiPriority w:val="0"/>
    <w:rPr>
      <w:rFonts w:eastAsia="仿宋_GB2312"/>
      <w:sz w:val="21"/>
      <w:lang w:bidi="ar-SA"/>
    </w:rPr>
  </w:style>
  <w:style w:type="character" w:customStyle="1" w:styleId="778">
    <w:name w:val="Footer-Even Char3"/>
    <w:qFormat/>
    <w:uiPriority w:val="0"/>
    <w:rPr>
      <w:rFonts w:eastAsia="宋体"/>
      <w:kern w:val="2"/>
      <w:sz w:val="18"/>
      <w:szCs w:val="18"/>
      <w:lang w:val="en-US" w:eastAsia="zh-CN" w:bidi="ar-SA"/>
    </w:rPr>
  </w:style>
  <w:style w:type="character" w:customStyle="1" w:styleId="779">
    <w:name w:val="split-word"/>
    <w:qFormat/>
    <w:uiPriority w:val="0"/>
  </w:style>
  <w:style w:type="character" w:customStyle="1" w:styleId="780">
    <w:name w:val="t11"/>
    <w:qFormat/>
    <w:uiPriority w:val="0"/>
    <w:rPr>
      <w:color w:val="000000"/>
      <w:sz w:val="18"/>
      <w:szCs w:val="18"/>
    </w:rPr>
  </w:style>
  <w:style w:type="character" w:customStyle="1" w:styleId="781">
    <w:name w:val="正文首行缩进 2 Char5"/>
    <w:qFormat/>
    <w:uiPriority w:val="0"/>
  </w:style>
  <w:style w:type="character" w:customStyle="1" w:styleId="782">
    <w:name w:val="正文部分 Char"/>
    <w:link w:val="783"/>
    <w:qFormat/>
    <w:locked/>
    <w:uiPriority w:val="0"/>
    <w:rPr>
      <w:rFonts w:ascii="宋体" w:hAnsi="宋体" w:eastAsia="宋体" w:cs="宋体"/>
      <w:bCs/>
      <w:sz w:val="32"/>
      <w:szCs w:val="32"/>
    </w:rPr>
  </w:style>
  <w:style w:type="paragraph" w:customStyle="1" w:styleId="783">
    <w:name w:val="正文部分"/>
    <w:basedOn w:val="1"/>
    <w:link w:val="782"/>
    <w:qFormat/>
    <w:uiPriority w:val="0"/>
    <w:pPr>
      <w:adjustRightInd w:val="0"/>
      <w:snapToGrid w:val="0"/>
      <w:spacing w:line="500" w:lineRule="exact"/>
      <w:ind w:firstLine="200" w:firstLineChars="200"/>
      <w:jc w:val="left"/>
    </w:pPr>
    <w:rPr>
      <w:rFonts w:ascii="宋体" w:hAnsi="宋体" w:cs="宋体"/>
      <w:bCs/>
      <w:sz w:val="32"/>
      <w:szCs w:val="32"/>
    </w:rPr>
  </w:style>
  <w:style w:type="character" w:customStyle="1" w:styleId="784">
    <w:name w:val="批注文字 Char1"/>
    <w:qFormat/>
    <w:uiPriority w:val="99"/>
    <w:rPr>
      <w:rFonts w:ascii="幼圆" w:hAnsi="幼圆" w:eastAsia="幼圆" w:cs="汉鼎简书宋"/>
      <w:spacing w:val="-2"/>
      <w:kern w:val="2"/>
      <w:sz w:val="21"/>
      <w:szCs w:val="24"/>
      <w:lang w:val="en-US" w:eastAsia="zh-CN" w:bidi="ar-SA"/>
    </w:rPr>
  </w:style>
  <w:style w:type="character" w:customStyle="1" w:styleId="785">
    <w:name w:val="表格文字 Char Char Char"/>
    <w:qFormat/>
    <w:uiPriority w:val="0"/>
    <w:rPr>
      <w:rFonts w:eastAsia="宋体"/>
      <w:kern w:val="2"/>
      <w:sz w:val="21"/>
      <w:lang w:val="en-US" w:eastAsia="zh-CN" w:bidi="ar-SA"/>
    </w:rPr>
  </w:style>
  <w:style w:type="character" w:customStyle="1" w:styleId="786">
    <w:name w:val="font81"/>
    <w:qFormat/>
    <w:uiPriority w:val="0"/>
    <w:rPr>
      <w:rFonts w:hint="default" w:ascii="Times New Roman" w:hAnsi="Times New Roman" w:cs="Times New Roman"/>
      <w:color w:val="auto"/>
      <w:sz w:val="21"/>
      <w:szCs w:val="21"/>
      <w:u w:val="single"/>
    </w:rPr>
  </w:style>
  <w:style w:type="character" w:customStyle="1" w:styleId="787">
    <w:name w:val="明显参考1"/>
    <w:qFormat/>
    <w:uiPriority w:val="32"/>
    <w:rPr>
      <w:rFonts w:ascii="黑体" w:hAnsi="Arial" w:eastAsia="黑体" w:cs="宋体"/>
      <w:b/>
      <w:bCs/>
      <w:color w:val="000000"/>
      <w:kern w:val="2"/>
      <w:sz w:val="24"/>
      <w:szCs w:val="24"/>
      <w:lang w:val="en-US" w:eastAsia="zh-CN" w:bidi="ar-SA"/>
    </w:rPr>
  </w:style>
  <w:style w:type="character" w:customStyle="1" w:styleId="788">
    <w:name w:val="Char Char251"/>
    <w:qFormat/>
    <w:uiPriority w:val="0"/>
    <w:rPr>
      <w:rFonts w:eastAsia="宋体"/>
      <w:b/>
      <w:bCs/>
      <w:kern w:val="44"/>
      <w:sz w:val="44"/>
      <w:szCs w:val="44"/>
      <w:lang w:val="en-US" w:eastAsia="zh-CN" w:bidi="ar-SA"/>
    </w:rPr>
  </w:style>
  <w:style w:type="character" w:customStyle="1" w:styleId="789">
    <w:name w:val="Body Text 2 Char4"/>
    <w:qFormat/>
    <w:uiPriority w:val="0"/>
    <w:rPr>
      <w:rFonts w:ascii="宋体" w:hAnsi="宋体" w:eastAsia="宋体"/>
      <w:kern w:val="2"/>
      <w:sz w:val="24"/>
      <w:szCs w:val="24"/>
      <w:lang w:val="en-US" w:eastAsia="zh-CN" w:bidi="ar-SA"/>
    </w:rPr>
  </w:style>
  <w:style w:type="character" w:customStyle="1" w:styleId="790">
    <w:name w:val="Char Char512"/>
    <w:qFormat/>
    <w:uiPriority w:val="0"/>
    <w:rPr>
      <w:rFonts w:eastAsia="宋体"/>
      <w:kern w:val="2"/>
      <w:sz w:val="21"/>
      <w:szCs w:val="24"/>
      <w:lang w:val="en-US" w:eastAsia="zh-CN" w:bidi="ar-SA"/>
    </w:rPr>
  </w:style>
  <w:style w:type="character" w:customStyle="1" w:styleId="791">
    <w:name w:val="hb2 Char Char Char"/>
    <w:qFormat/>
    <w:uiPriority w:val="0"/>
    <w:rPr>
      <w:rFonts w:eastAsia="宋体"/>
      <w:b/>
      <w:bCs/>
      <w:sz w:val="24"/>
      <w:szCs w:val="24"/>
      <w:lang w:val="en-US" w:eastAsia="zh-CN" w:bidi="ar-SA"/>
    </w:rPr>
  </w:style>
  <w:style w:type="character" w:customStyle="1" w:styleId="792">
    <w:name w:val="Char Char55"/>
    <w:qFormat/>
    <w:uiPriority w:val="0"/>
    <w:rPr>
      <w:rFonts w:ascii="Times New Roman" w:hAnsi="Times New Roman" w:eastAsia="宋体" w:cs="Times New Roman"/>
      <w:b/>
      <w:bCs/>
      <w:kern w:val="44"/>
      <w:sz w:val="44"/>
      <w:szCs w:val="44"/>
    </w:rPr>
  </w:style>
  <w:style w:type="character" w:customStyle="1" w:styleId="793">
    <w:name w:val="样式 (中文) 新宋体"/>
    <w:qFormat/>
    <w:uiPriority w:val="0"/>
    <w:rPr>
      <w:rFonts w:eastAsia="宋体"/>
      <w:spacing w:val="0"/>
      <w:w w:val="100"/>
      <w:position w:val="0"/>
      <w:sz w:val="28"/>
    </w:rPr>
  </w:style>
  <w:style w:type="character" w:customStyle="1" w:styleId="794">
    <w:name w:val="明显引用 Char2"/>
    <w:qFormat/>
    <w:uiPriority w:val="0"/>
    <w:rPr>
      <w:b/>
      <w:bCs/>
      <w:i/>
      <w:iCs/>
      <w:color w:val="4F81BD"/>
    </w:rPr>
  </w:style>
  <w:style w:type="character" w:customStyle="1" w:styleId="795">
    <w:name w:val="首行缩进 Char"/>
    <w:qFormat/>
    <w:uiPriority w:val="0"/>
    <w:rPr>
      <w:rFonts w:ascii="宋体" w:hAnsi="Times" w:eastAsia="宋体"/>
      <w:bCs/>
      <w:kern w:val="44"/>
      <w:sz w:val="24"/>
      <w:szCs w:val="24"/>
      <w:lang w:val="en-US" w:eastAsia="zh-CN" w:bidi="ar-SA"/>
    </w:rPr>
  </w:style>
  <w:style w:type="character" w:customStyle="1" w:styleId="796">
    <w:name w:val="批注引用1"/>
    <w:qFormat/>
    <w:uiPriority w:val="0"/>
    <w:rPr>
      <w:sz w:val="21"/>
      <w:szCs w:val="21"/>
    </w:rPr>
  </w:style>
  <w:style w:type="character" w:customStyle="1" w:styleId="797">
    <w:name w:val="文档结构图 Char3"/>
    <w:qFormat/>
    <w:uiPriority w:val="0"/>
    <w:rPr>
      <w:rFonts w:ascii="宋体" w:eastAsia="宋体"/>
      <w:sz w:val="18"/>
      <w:szCs w:val="18"/>
    </w:rPr>
  </w:style>
  <w:style w:type="character" w:customStyle="1" w:styleId="798">
    <w:name w:val="Char Char5"/>
    <w:qFormat/>
    <w:locked/>
    <w:uiPriority w:val="0"/>
    <w:rPr>
      <w:rFonts w:eastAsia="宋体"/>
      <w:kern w:val="2"/>
      <w:sz w:val="21"/>
      <w:szCs w:val="24"/>
      <w:lang w:val="en-US" w:eastAsia="zh-CN" w:bidi="ar-SA"/>
    </w:rPr>
  </w:style>
  <w:style w:type="character" w:customStyle="1" w:styleId="799">
    <w:name w:val="样式 正文 + 首行缩进:  2 字符 + 宋体 四号 Char Char"/>
    <w:qFormat/>
    <w:uiPriority w:val="0"/>
    <w:rPr>
      <w:rFonts w:ascii="宋体" w:hAnsi="宋体" w:eastAsia="宋体" w:cs="宋体"/>
      <w:kern w:val="2"/>
      <w:sz w:val="28"/>
      <w:szCs w:val="24"/>
      <w:lang w:val="en-US" w:eastAsia="zh-CN" w:bidi="ar-SA"/>
    </w:rPr>
  </w:style>
  <w:style w:type="character" w:customStyle="1" w:styleId="800">
    <w:name w:val="称呼 Char7"/>
    <w:qFormat/>
    <w:uiPriority w:val="0"/>
    <w:rPr>
      <w:rFonts w:ascii="Times New Roman" w:hAnsi="Times New Roman" w:eastAsia="宋体" w:cs="Times New Roman"/>
      <w:szCs w:val="24"/>
    </w:rPr>
  </w:style>
  <w:style w:type="character" w:customStyle="1" w:styleId="801">
    <w:name w:val="hb4 Char1"/>
    <w:link w:val="802"/>
    <w:qFormat/>
    <w:uiPriority w:val="0"/>
    <w:rPr>
      <w:rFonts w:ascii="Times New Roman" w:hAnsi="Times New Roman" w:eastAsia="宋体" w:cs="Times New Roman"/>
      <w:bCs/>
      <w:kern w:val="24"/>
      <w:sz w:val="24"/>
      <w:szCs w:val="24"/>
    </w:rPr>
  </w:style>
  <w:style w:type="paragraph" w:customStyle="1" w:styleId="802">
    <w:name w:val="hb4"/>
    <w:link w:val="801"/>
    <w:qFormat/>
    <w:uiPriority w:val="0"/>
    <w:pPr>
      <w:keepNext/>
      <w:keepLines/>
      <w:spacing w:before="156" w:beforeLines="50" w:after="156" w:afterLines="50" w:line="240" w:lineRule="atLeast"/>
      <w:outlineLvl w:val="3"/>
    </w:pPr>
    <w:rPr>
      <w:rFonts w:ascii="Calibri" w:hAnsi="Calibri" w:eastAsia="宋体" w:cs="Times New Roman"/>
      <w:bCs/>
      <w:kern w:val="24"/>
      <w:sz w:val="24"/>
      <w:szCs w:val="24"/>
      <w:lang w:val="en-US" w:eastAsia="zh-CN" w:bidi="ar-SA"/>
    </w:rPr>
  </w:style>
  <w:style w:type="character" w:customStyle="1" w:styleId="803">
    <w:name w:val="正文文本 Char"/>
    <w:qFormat/>
    <w:uiPriority w:val="99"/>
    <w:rPr>
      <w:rFonts w:ascii="Times New Roman" w:hAnsi="Times New Roman" w:eastAsia="宋体" w:cs="Times New Roman"/>
      <w:sz w:val="21"/>
      <w:szCs w:val="24"/>
    </w:rPr>
  </w:style>
  <w:style w:type="character" w:customStyle="1" w:styleId="804">
    <w:name w:val="样式 样式 样式 仿宋_GB2312 黑色 行距: 固定值 30 磅 + 首行缩进:  2 字符 + (符号) 宋体 加粗 Char Char"/>
    <w:link w:val="805"/>
    <w:qFormat/>
    <w:uiPriority w:val="0"/>
    <w:rPr>
      <w:rFonts w:ascii="仿宋_GB2312" w:hAnsi="仿宋_GB2312" w:eastAsia="仿宋_GB2312"/>
      <w:b/>
      <w:bCs/>
      <w:sz w:val="28"/>
      <w:szCs w:val="28"/>
    </w:rPr>
  </w:style>
  <w:style w:type="paragraph" w:customStyle="1" w:styleId="805">
    <w:name w:val="样式 样式 样式 仿宋_GB2312 黑色 行距: 固定值 30 磅 + 首行缩进:  2 字符 + (符号) 宋体 加粗"/>
    <w:basedOn w:val="1"/>
    <w:link w:val="804"/>
    <w:qFormat/>
    <w:uiPriority w:val="0"/>
    <w:pPr>
      <w:spacing w:line="600" w:lineRule="exact"/>
      <w:ind w:firstLine="200" w:firstLineChars="200"/>
    </w:pPr>
    <w:rPr>
      <w:rFonts w:ascii="仿宋_GB2312" w:hAnsi="仿宋_GB2312" w:eastAsia="仿宋_GB2312"/>
      <w:b/>
      <w:bCs/>
      <w:sz w:val="28"/>
      <w:szCs w:val="28"/>
    </w:rPr>
  </w:style>
  <w:style w:type="character" w:customStyle="1" w:styleId="806">
    <w:name w:val="style6"/>
    <w:qFormat/>
    <w:uiPriority w:val="0"/>
  </w:style>
  <w:style w:type="character" w:customStyle="1" w:styleId="807">
    <w:name w:val="(use for figures) Char3"/>
    <w:qFormat/>
    <w:uiPriority w:val="0"/>
    <w:rPr>
      <w:rFonts w:eastAsia="宋体"/>
      <w:kern w:val="2"/>
      <w:sz w:val="28"/>
      <w:szCs w:val="24"/>
      <w:lang w:val="en-US" w:eastAsia="zh-CN" w:bidi="ar-SA"/>
    </w:rPr>
  </w:style>
  <w:style w:type="character" w:customStyle="1" w:styleId="808">
    <w:name w:val="尾注文本 Char6"/>
    <w:semiHidden/>
    <w:qFormat/>
    <w:uiPriority w:val="99"/>
  </w:style>
  <w:style w:type="character" w:customStyle="1" w:styleId="809">
    <w:name w:val="ztltext1"/>
    <w:qFormat/>
    <w:uiPriority w:val="0"/>
  </w:style>
  <w:style w:type="character" w:customStyle="1" w:styleId="810">
    <w:name w:val="Char Char131"/>
    <w:qFormat/>
    <w:uiPriority w:val="0"/>
    <w:rPr>
      <w:rFonts w:eastAsia="宋体"/>
      <w:kern w:val="2"/>
      <w:sz w:val="24"/>
      <w:szCs w:val="28"/>
      <w:lang w:val="en-US" w:eastAsia="zh-CN" w:bidi="ar-SA"/>
    </w:rPr>
  </w:style>
  <w:style w:type="character" w:customStyle="1" w:styleId="811">
    <w:name w:val="Char Char331"/>
    <w:qFormat/>
    <w:uiPriority w:val="0"/>
    <w:rPr>
      <w:rFonts w:ascii="Arial" w:hAnsi="Arial" w:eastAsia="黑体"/>
      <w:b/>
      <w:bCs/>
      <w:kern w:val="2"/>
      <w:sz w:val="32"/>
      <w:szCs w:val="32"/>
      <w:lang w:val="en-US" w:eastAsia="zh-CN" w:bidi="ar-SA"/>
    </w:rPr>
  </w:style>
  <w:style w:type="character" w:customStyle="1" w:styleId="812">
    <w:name w:val="样式 样式 样式 正文 +1 + 宋体 黑色 + 四号1 Char Char"/>
    <w:link w:val="813"/>
    <w:qFormat/>
    <w:uiPriority w:val="0"/>
    <w:rPr>
      <w:rFonts w:eastAsia="宋体"/>
    </w:rPr>
  </w:style>
  <w:style w:type="paragraph" w:customStyle="1" w:styleId="813">
    <w:name w:val="样式 样式 样式 正文 +1 + 宋体 黑色 + 四号1"/>
    <w:basedOn w:val="458"/>
    <w:link w:val="812"/>
    <w:qFormat/>
    <w:uiPriority w:val="0"/>
    <w:rPr>
      <w:rFonts w:ascii="Calibri" w:hAnsi="Calibri"/>
      <w:color w:val="auto"/>
      <w:spacing w:val="0"/>
      <w:sz w:val="21"/>
      <w:szCs w:val="22"/>
    </w:rPr>
  </w:style>
  <w:style w:type="character" w:customStyle="1" w:styleId="814">
    <w:name w:val="表头 Char"/>
    <w:qFormat/>
    <w:uiPriority w:val="0"/>
    <w:rPr>
      <w:rFonts w:ascii="宋体" w:hAnsi="宋体" w:eastAsia="宋体"/>
      <w:bCs/>
      <w:kern w:val="2"/>
      <w:sz w:val="21"/>
      <w:szCs w:val="21"/>
      <w:lang w:val="en-US" w:eastAsia="zh-CN" w:bidi="ar-SA"/>
    </w:rPr>
  </w:style>
  <w:style w:type="character" w:customStyle="1" w:styleId="815">
    <w:name w:val="正文文本缩进 3 Char"/>
    <w:link w:val="816"/>
    <w:qFormat/>
    <w:uiPriority w:val="0"/>
    <w:rPr>
      <w:rFonts w:eastAsia="宋体"/>
      <w:sz w:val="28"/>
      <w:szCs w:val="24"/>
    </w:rPr>
  </w:style>
  <w:style w:type="paragraph" w:customStyle="1" w:styleId="816">
    <w:name w:val="正文文本缩进 31"/>
    <w:basedOn w:val="1"/>
    <w:link w:val="815"/>
    <w:qFormat/>
    <w:uiPriority w:val="0"/>
    <w:pPr>
      <w:spacing w:line="540" w:lineRule="exact"/>
      <w:ind w:firstLine="576"/>
    </w:pPr>
    <w:rPr>
      <w:sz w:val="28"/>
      <w:szCs w:val="24"/>
    </w:rPr>
  </w:style>
  <w:style w:type="character" w:customStyle="1" w:styleId="817">
    <w:name w:val="正文(首行缩进)宋旭峰 Char Char"/>
    <w:link w:val="818"/>
    <w:qFormat/>
    <w:locked/>
    <w:uiPriority w:val="0"/>
    <w:rPr>
      <w:rFonts w:ascii="宋体" w:hAnsi="宋体" w:eastAsia="宋体"/>
      <w:snapToGrid w:val="0"/>
      <w:color w:val="000000"/>
      <w:sz w:val="24"/>
    </w:rPr>
  </w:style>
  <w:style w:type="paragraph" w:customStyle="1" w:styleId="818">
    <w:name w:val="正文(首行缩进)宋旭峰"/>
    <w:basedOn w:val="2"/>
    <w:link w:val="817"/>
    <w:qFormat/>
    <w:uiPriority w:val="0"/>
    <w:pPr>
      <w:snapToGrid w:val="0"/>
      <w:spacing w:line="360" w:lineRule="auto"/>
      <w:ind w:firstLine="480" w:firstLineChars="200"/>
    </w:pPr>
    <w:rPr>
      <w:rFonts w:ascii="宋体" w:hAnsi="宋体"/>
      <w:snapToGrid w:val="0"/>
      <w:color w:val="000000"/>
      <w:sz w:val="24"/>
    </w:rPr>
  </w:style>
  <w:style w:type="character" w:customStyle="1" w:styleId="819">
    <w:name w:val="Char Char381"/>
    <w:qFormat/>
    <w:locked/>
    <w:uiPriority w:val="0"/>
    <w:rPr>
      <w:rFonts w:hint="eastAsia" w:ascii="宋体" w:hAnsi="宋体" w:eastAsia="宋体"/>
      <w:kern w:val="2"/>
      <w:sz w:val="18"/>
      <w:lang w:val="en-US" w:eastAsia="zh-CN" w:bidi="ar-SA"/>
    </w:rPr>
  </w:style>
  <w:style w:type="character" w:customStyle="1" w:styleId="820">
    <w:name w:val="pro_hover_t"/>
    <w:qFormat/>
    <w:uiPriority w:val="0"/>
  </w:style>
  <w:style w:type="character" w:customStyle="1" w:styleId="821">
    <w:name w:val="正文首行缩进 Char2"/>
    <w:qFormat/>
    <w:uiPriority w:val="0"/>
    <w:rPr>
      <w:rFonts w:eastAsia="幼圆"/>
      <w:kern w:val="2"/>
      <w:sz w:val="21"/>
      <w:szCs w:val="22"/>
      <w:lang w:val="en-US" w:eastAsia="zh-CN" w:bidi="ar-SA"/>
    </w:rPr>
  </w:style>
  <w:style w:type="character" w:customStyle="1" w:styleId="822">
    <w:name w:val="Char Char4611"/>
    <w:qFormat/>
    <w:uiPriority w:val="0"/>
    <w:rPr>
      <w:rFonts w:hint="default" w:ascii="Arial" w:hAnsi="Arial" w:eastAsia="黑体" w:cs="Arial"/>
      <w:b/>
      <w:bCs/>
      <w:kern w:val="2"/>
      <w:sz w:val="32"/>
      <w:szCs w:val="32"/>
      <w:lang w:val="en-US" w:eastAsia="zh-CN" w:bidi="ar-SA"/>
    </w:rPr>
  </w:style>
  <w:style w:type="character" w:customStyle="1" w:styleId="823">
    <w:name w:val="Char Char3711"/>
    <w:qFormat/>
    <w:uiPriority w:val="0"/>
    <w:rPr>
      <w:rFonts w:ascii="仿宋体" w:hAnsi="仿宋体" w:eastAsia="幼圆"/>
      <w:sz w:val="18"/>
      <w:szCs w:val="18"/>
    </w:rPr>
  </w:style>
  <w:style w:type="character" w:customStyle="1" w:styleId="824">
    <w:name w:val="标题 12 Char3"/>
    <w:qFormat/>
    <w:uiPriority w:val="0"/>
    <w:rPr>
      <w:rFonts w:ascii="Arial" w:hAnsi="Arial" w:eastAsia="黑体" w:cs="Courier New"/>
      <w:b/>
      <w:bCs/>
      <w:spacing w:val="-2"/>
      <w:kern w:val="2"/>
      <w:sz w:val="32"/>
      <w:szCs w:val="32"/>
    </w:rPr>
  </w:style>
  <w:style w:type="character" w:customStyle="1" w:styleId="825">
    <w:name w:val="引用 Char Char Char"/>
    <w:qFormat/>
    <w:uiPriority w:val="0"/>
    <w:rPr>
      <w:rFonts w:ascii="Calibri" w:hAnsi="Calibri" w:eastAsia="宋体"/>
      <w:i/>
      <w:iCs/>
      <w:color w:val="000000"/>
      <w:sz w:val="22"/>
      <w:szCs w:val="22"/>
      <w:lang w:val="en-US" w:eastAsia="en-US" w:bidi="en-US"/>
    </w:rPr>
  </w:style>
  <w:style w:type="character" w:customStyle="1" w:styleId="826">
    <w:name w:val="表格内容 Char Char"/>
    <w:link w:val="827"/>
    <w:qFormat/>
    <w:uiPriority w:val="0"/>
    <w:rPr>
      <w:rFonts w:eastAsia="宋体"/>
      <w:szCs w:val="21"/>
    </w:rPr>
  </w:style>
  <w:style w:type="paragraph" w:customStyle="1" w:styleId="827">
    <w:name w:val="表格内容"/>
    <w:basedOn w:val="1"/>
    <w:next w:val="1"/>
    <w:link w:val="826"/>
    <w:qFormat/>
    <w:uiPriority w:val="0"/>
    <w:pPr>
      <w:jc w:val="center"/>
    </w:pPr>
    <w:rPr>
      <w:szCs w:val="21"/>
    </w:rPr>
  </w:style>
  <w:style w:type="character" w:customStyle="1" w:styleId="828">
    <w:name w:val="H6 Char Char"/>
    <w:qFormat/>
    <w:uiPriority w:val="0"/>
    <w:rPr>
      <w:rFonts w:eastAsia="仿宋_GB2312"/>
      <w:bCs/>
      <w:kern w:val="2"/>
      <w:sz w:val="24"/>
      <w:szCs w:val="24"/>
      <w:lang w:val="en-US" w:eastAsia="zh-CN" w:bidi="ar-SA"/>
    </w:rPr>
  </w:style>
  <w:style w:type="character" w:customStyle="1" w:styleId="829">
    <w:name w:val="Char Char32"/>
    <w:qFormat/>
    <w:uiPriority w:val="0"/>
    <w:rPr>
      <w:rFonts w:eastAsia="宋体"/>
      <w:b/>
      <w:bCs/>
      <w:kern w:val="2"/>
      <w:sz w:val="32"/>
      <w:szCs w:val="32"/>
      <w:lang w:val="en-US" w:eastAsia="zh-CN" w:bidi="ar-SA"/>
    </w:rPr>
  </w:style>
  <w:style w:type="character" w:customStyle="1" w:styleId="830">
    <w:name w:val="content1"/>
    <w:qFormat/>
    <w:uiPriority w:val="0"/>
    <w:rPr>
      <w:sz w:val="21"/>
      <w:szCs w:val="21"/>
    </w:rPr>
  </w:style>
  <w:style w:type="character" w:customStyle="1" w:styleId="831">
    <w:name w:val="Char Char513"/>
    <w:qFormat/>
    <w:uiPriority w:val="0"/>
    <w:rPr>
      <w:rFonts w:ascii="Times New Roman" w:hAnsi="Times New Roman" w:eastAsia="仿宋_GB2312" w:cs="Times New Roman"/>
      <w:sz w:val="24"/>
      <w:szCs w:val="28"/>
    </w:rPr>
  </w:style>
  <w:style w:type="character" w:customStyle="1" w:styleId="832">
    <w:name w:val="正文首行缩进 Char1"/>
    <w:link w:val="833"/>
    <w:qFormat/>
    <w:uiPriority w:val="0"/>
    <w:rPr>
      <w:rFonts w:eastAsia="宋体"/>
      <w:sz w:val="24"/>
      <w:szCs w:val="24"/>
    </w:rPr>
  </w:style>
  <w:style w:type="paragraph" w:customStyle="1" w:styleId="833">
    <w:name w:val="正文首行缩进1"/>
    <w:basedOn w:val="34"/>
    <w:link w:val="832"/>
    <w:qFormat/>
    <w:uiPriority w:val="0"/>
    <w:pPr>
      <w:spacing w:line="360" w:lineRule="auto"/>
      <w:ind w:firstLine="420" w:firstLineChars="100"/>
    </w:pPr>
    <w:rPr>
      <w:sz w:val="24"/>
      <w:szCs w:val="24"/>
    </w:rPr>
  </w:style>
  <w:style w:type="character" w:customStyle="1" w:styleId="834">
    <w:name w:val="Char Char42"/>
    <w:qFormat/>
    <w:uiPriority w:val="0"/>
    <w:rPr>
      <w:rFonts w:ascii="Arial" w:hAnsi="Arial" w:eastAsia="黑体"/>
      <w:b/>
      <w:bCs/>
      <w:kern w:val="2"/>
      <w:sz w:val="28"/>
      <w:szCs w:val="28"/>
      <w:lang w:val="en-US" w:eastAsia="zh-CN"/>
    </w:rPr>
  </w:style>
  <w:style w:type="character" w:customStyle="1" w:styleId="835">
    <w:name w:val="Char Char1 Char11"/>
    <w:link w:val="836"/>
    <w:qFormat/>
    <w:uiPriority w:val="0"/>
    <w:rPr>
      <w:rFonts w:ascii="宋体" w:hAnsi="宋体" w:eastAsia="宋体" w:cs="宋体"/>
      <w:sz w:val="24"/>
      <w:szCs w:val="24"/>
    </w:rPr>
  </w:style>
  <w:style w:type="paragraph" w:customStyle="1" w:styleId="836">
    <w:name w:val="Char Char112"/>
    <w:basedOn w:val="1"/>
    <w:link w:val="835"/>
    <w:qFormat/>
    <w:uiPriority w:val="0"/>
    <w:pPr>
      <w:spacing w:line="360" w:lineRule="auto"/>
      <w:ind w:firstLine="200" w:firstLineChars="200"/>
    </w:pPr>
    <w:rPr>
      <w:rFonts w:ascii="宋体" w:hAnsi="宋体" w:cs="宋体"/>
      <w:sz w:val="24"/>
      <w:szCs w:val="24"/>
    </w:rPr>
  </w:style>
  <w:style w:type="character" w:customStyle="1" w:styleId="837">
    <w:name w:val="Char Char15"/>
    <w:qFormat/>
    <w:uiPriority w:val="0"/>
    <w:rPr>
      <w:rFonts w:eastAsia="宋体"/>
      <w:b/>
      <w:kern w:val="2"/>
      <w:sz w:val="27"/>
      <w:lang w:val="en-US" w:eastAsia="zh-CN" w:bidi="ar-SA"/>
    </w:rPr>
  </w:style>
  <w:style w:type="character" w:customStyle="1" w:styleId="838">
    <w:name w:val="样式 标题 3 + 小四 Char Char"/>
    <w:qFormat/>
    <w:uiPriority w:val="0"/>
    <w:rPr>
      <w:rFonts w:eastAsia="宋体"/>
      <w:b/>
      <w:bCs/>
      <w:kern w:val="2"/>
      <w:sz w:val="24"/>
      <w:szCs w:val="24"/>
      <w:lang w:val="en-US" w:eastAsia="zh-CN" w:bidi="ar-SA"/>
    </w:rPr>
  </w:style>
  <w:style w:type="character" w:customStyle="1" w:styleId="839">
    <w:name w:val="正文文本 3 Char3"/>
    <w:qFormat/>
    <w:uiPriority w:val="0"/>
    <w:rPr>
      <w:sz w:val="16"/>
      <w:szCs w:val="16"/>
    </w:rPr>
  </w:style>
  <w:style w:type="character" w:customStyle="1" w:styleId="840">
    <w:name w:val="Char Char3011"/>
    <w:qFormat/>
    <w:uiPriority w:val="0"/>
    <w:rPr>
      <w:rFonts w:eastAsia="Arial Narrow"/>
      <w:kern w:val="2"/>
      <w:sz w:val="24"/>
      <w:szCs w:val="28"/>
      <w:lang w:val="en-US" w:eastAsia="zh-CN" w:bidi="ar-SA"/>
    </w:rPr>
  </w:style>
  <w:style w:type="character" w:customStyle="1" w:styleId="841">
    <w:name w:val="正文(首行缩进) Char1"/>
    <w:link w:val="842"/>
    <w:qFormat/>
    <w:uiPriority w:val="0"/>
    <w:rPr>
      <w:rFonts w:eastAsia="宋体"/>
      <w:snapToGrid w:val="0"/>
      <w:color w:val="000000"/>
      <w:sz w:val="24"/>
      <w:szCs w:val="24"/>
    </w:rPr>
  </w:style>
  <w:style w:type="paragraph" w:customStyle="1" w:styleId="842">
    <w:name w:val="正文(首行缩进)"/>
    <w:basedOn w:val="1"/>
    <w:link w:val="841"/>
    <w:qFormat/>
    <w:uiPriority w:val="0"/>
    <w:pPr>
      <w:spacing w:line="360" w:lineRule="auto"/>
      <w:ind w:firstLine="540" w:firstLineChars="225"/>
    </w:pPr>
    <w:rPr>
      <w:snapToGrid w:val="0"/>
      <w:color w:val="000000"/>
      <w:sz w:val="24"/>
      <w:szCs w:val="24"/>
    </w:rPr>
  </w:style>
  <w:style w:type="character" w:customStyle="1" w:styleId="843">
    <w:name w:val="明显引用 Char3"/>
    <w:qFormat/>
    <w:uiPriority w:val="0"/>
    <w:rPr>
      <w:b/>
      <w:bCs/>
      <w:i/>
      <w:iCs/>
      <w:color w:val="4F81BD"/>
      <w:kern w:val="2"/>
      <w:sz w:val="21"/>
    </w:rPr>
  </w:style>
  <w:style w:type="character" w:customStyle="1" w:styleId="844">
    <w:name w:val="标题 2 Char1"/>
    <w:qFormat/>
    <w:uiPriority w:val="0"/>
    <w:rPr>
      <w:rFonts w:ascii="Arial Unicode MS" w:hAnsi="Arial Unicode MS" w:eastAsia="Calibri"/>
      <w:b/>
      <w:bCs/>
      <w:kern w:val="2"/>
      <w:sz w:val="32"/>
      <w:szCs w:val="32"/>
      <w:lang w:val="en-US" w:eastAsia="zh-CN" w:bidi="ar-SA"/>
    </w:rPr>
  </w:style>
  <w:style w:type="character" w:customStyle="1" w:styleId="845">
    <w:name w:val="Char Char222"/>
    <w:qFormat/>
    <w:uiPriority w:val="0"/>
    <w:rPr>
      <w:rFonts w:ascii="Arial" w:hAnsi="Arial" w:eastAsia="黑体"/>
      <w:b/>
      <w:bCs/>
      <w:kern w:val="2"/>
      <w:sz w:val="28"/>
      <w:szCs w:val="28"/>
      <w:lang w:val="en-US" w:eastAsia="zh-CN" w:bidi="ar-SA"/>
    </w:rPr>
  </w:style>
  <w:style w:type="character" w:customStyle="1" w:styleId="846">
    <w:name w:val="标题 11 Char"/>
    <w:qFormat/>
    <w:uiPriority w:val="0"/>
    <w:rPr>
      <w:rFonts w:eastAsia="宋体"/>
      <w:b/>
      <w:bCs/>
      <w:kern w:val="44"/>
      <w:sz w:val="44"/>
      <w:szCs w:val="44"/>
      <w:lang w:val="en-US" w:eastAsia="zh-CN" w:bidi="ar-SA"/>
    </w:rPr>
  </w:style>
  <w:style w:type="character" w:customStyle="1" w:styleId="847">
    <w:name w:val="样式 首行缩进:  2 字符1 Char Char"/>
    <w:qFormat/>
    <w:uiPriority w:val="0"/>
    <w:rPr>
      <w:rFonts w:eastAsia="宋体" w:cs="宋体"/>
      <w:kern w:val="2"/>
      <w:sz w:val="24"/>
      <w:lang w:val="en-US" w:eastAsia="zh-CN" w:bidi="ar-SA"/>
    </w:rPr>
  </w:style>
  <w:style w:type="character" w:customStyle="1" w:styleId="848">
    <w:name w:val="样式 样式 样式 标题 3 + + 段后: 0 磅 + 宋体 黑色 Char Char"/>
    <w:link w:val="849"/>
    <w:qFormat/>
    <w:uiPriority w:val="0"/>
    <w:rPr>
      <w:rFonts w:ascii="宋体" w:hAnsi="宋体"/>
      <w:b/>
      <w:bCs/>
      <w:color w:val="000000"/>
      <w:spacing w:val="6"/>
      <w:kern w:val="2"/>
      <w:sz w:val="28"/>
      <w:szCs w:val="28"/>
    </w:rPr>
  </w:style>
  <w:style w:type="paragraph" w:customStyle="1" w:styleId="849">
    <w:name w:val="样式 样式 样式 标题 3 + + 段后: 0 磅 + 宋体 黑色"/>
    <w:basedOn w:val="850"/>
    <w:link w:val="848"/>
    <w:qFormat/>
    <w:uiPriority w:val="0"/>
    <w:rPr>
      <w:rFonts w:ascii="宋体" w:hAnsi="宋体"/>
      <w:color w:val="000000"/>
      <w:spacing w:val="6"/>
      <w:szCs w:val="28"/>
    </w:rPr>
  </w:style>
  <w:style w:type="paragraph" w:customStyle="1" w:styleId="850">
    <w:name w:val="样式 样式 标题 3 + + 段后: 0 磅"/>
    <w:basedOn w:val="477"/>
    <w:link w:val="851"/>
    <w:qFormat/>
    <w:uiPriority w:val="0"/>
    <w:rPr>
      <w:sz w:val="28"/>
    </w:rPr>
  </w:style>
  <w:style w:type="character" w:customStyle="1" w:styleId="851">
    <w:name w:val="样式 样式 标题 3 + + 段后: 0 磅 Char Char"/>
    <w:link w:val="850"/>
    <w:qFormat/>
    <w:uiPriority w:val="0"/>
    <w:rPr>
      <w:b/>
      <w:bCs/>
      <w:kern w:val="2"/>
      <w:sz w:val="28"/>
      <w:szCs w:val="32"/>
    </w:rPr>
  </w:style>
  <w:style w:type="character" w:customStyle="1" w:styleId="852">
    <w:name w:val="Char Char51"/>
    <w:qFormat/>
    <w:uiPriority w:val="0"/>
    <w:rPr>
      <w:rFonts w:ascii="Times New Roman" w:hAnsi="Times New Roman" w:eastAsia="仿宋_GB2312" w:cs="Times New Roman"/>
      <w:sz w:val="24"/>
      <w:szCs w:val="28"/>
    </w:rPr>
  </w:style>
  <w:style w:type="character" w:customStyle="1" w:styleId="853">
    <w:name w:val="apple-style-span"/>
    <w:qFormat/>
    <w:uiPriority w:val="0"/>
  </w:style>
  <w:style w:type="character" w:customStyle="1" w:styleId="854">
    <w:name w:val="正文缩进 Char2"/>
    <w:qFormat/>
    <w:uiPriority w:val="0"/>
  </w:style>
  <w:style w:type="character" w:customStyle="1" w:styleId="855">
    <w:name w:val="n41"/>
    <w:qFormat/>
    <w:uiPriority w:val="0"/>
    <w:rPr>
      <w:color w:val="000099"/>
      <w:sz w:val="18"/>
      <w:szCs w:val="18"/>
      <w:u w:val="none"/>
    </w:rPr>
  </w:style>
  <w:style w:type="character" w:customStyle="1" w:styleId="856">
    <w:name w:val="报告正文 Char2"/>
    <w:link w:val="857"/>
    <w:qFormat/>
    <w:uiPriority w:val="0"/>
    <w:rPr>
      <w:rFonts w:eastAsia="宋体"/>
      <w:color w:val="000000"/>
      <w:sz w:val="24"/>
      <w:szCs w:val="24"/>
    </w:rPr>
  </w:style>
  <w:style w:type="paragraph" w:customStyle="1" w:styleId="857">
    <w:name w:val="报告正文"/>
    <w:basedOn w:val="1"/>
    <w:link w:val="856"/>
    <w:qFormat/>
    <w:uiPriority w:val="0"/>
    <w:pPr>
      <w:tabs>
        <w:tab w:val="left" w:pos="0"/>
      </w:tabs>
      <w:spacing w:line="360" w:lineRule="auto"/>
      <w:ind w:firstLine="200" w:firstLineChars="200"/>
    </w:pPr>
    <w:rPr>
      <w:color w:val="000000"/>
      <w:sz w:val="24"/>
      <w:szCs w:val="24"/>
    </w:rPr>
  </w:style>
  <w:style w:type="character" w:customStyle="1" w:styleId="858">
    <w:name w:val="文章正文 Char1"/>
    <w:qFormat/>
    <w:uiPriority w:val="0"/>
    <w:rPr>
      <w:rFonts w:ascii="宋体" w:hAnsi="宋体" w:eastAsia="宋体"/>
      <w:kern w:val="2"/>
      <w:sz w:val="24"/>
      <w:szCs w:val="24"/>
      <w:lang w:val="en-US" w:eastAsia="zh-CN" w:bidi="ar-SA"/>
    </w:rPr>
  </w:style>
  <w:style w:type="character" w:customStyle="1" w:styleId="859">
    <w:name w:val="正缩1 Char Char"/>
    <w:link w:val="860"/>
    <w:qFormat/>
    <w:uiPriority w:val="0"/>
    <w:rPr>
      <w:rFonts w:ascii="仿宋_GB2312" w:eastAsia="仿宋_GB2312"/>
      <w:snapToGrid w:val="0"/>
      <w:color w:val="000000"/>
      <w:sz w:val="28"/>
    </w:rPr>
  </w:style>
  <w:style w:type="paragraph" w:customStyle="1" w:styleId="860">
    <w:name w:val="正缩1"/>
    <w:basedOn w:val="1"/>
    <w:link w:val="859"/>
    <w:qFormat/>
    <w:uiPriority w:val="0"/>
    <w:pPr>
      <w:widowControl/>
      <w:snapToGrid w:val="0"/>
      <w:spacing w:line="500" w:lineRule="exact"/>
      <w:ind w:firstLine="567"/>
    </w:pPr>
    <w:rPr>
      <w:rFonts w:ascii="仿宋_GB2312" w:eastAsia="仿宋_GB2312"/>
      <w:snapToGrid w:val="0"/>
      <w:color w:val="000000"/>
      <w:sz w:val="28"/>
    </w:rPr>
  </w:style>
  <w:style w:type="character" w:customStyle="1" w:styleId="861">
    <w:name w:val="CJ 文本111 Char Char"/>
    <w:link w:val="862"/>
    <w:qFormat/>
    <w:uiPriority w:val="0"/>
    <w:rPr>
      <w:sz w:val="24"/>
    </w:rPr>
  </w:style>
  <w:style w:type="paragraph" w:customStyle="1" w:styleId="862">
    <w:name w:val="CJ 文本111"/>
    <w:basedOn w:val="35"/>
    <w:link w:val="861"/>
    <w:qFormat/>
    <w:uiPriority w:val="0"/>
    <w:pPr>
      <w:spacing w:line="360" w:lineRule="auto"/>
      <w:ind w:firstLine="200"/>
      <w:jc w:val="left"/>
    </w:pPr>
    <w:rPr>
      <w:rFonts w:ascii="Calibri" w:hAnsi="Calibri"/>
      <w:szCs w:val="22"/>
    </w:rPr>
  </w:style>
  <w:style w:type="character" w:customStyle="1" w:styleId="863">
    <w:name w:val="标题3 Char"/>
    <w:link w:val="864"/>
    <w:qFormat/>
    <w:locked/>
    <w:uiPriority w:val="0"/>
    <w:rPr>
      <w:rFonts w:ascii="宋体" w:hAnsi="宋体" w:eastAsia="宋体"/>
      <w:b/>
      <w:sz w:val="28"/>
    </w:rPr>
  </w:style>
  <w:style w:type="paragraph" w:customStyle="1" w:styleId="864">
    <w:name w:val="标题3"/>
    <w:basedOn w:val="1"/>
    <w:link w:val="863"/>
    <w:qFormat/>
    <w:uiPriority w:val="0"/>
    <w:pPr>
      <w:spacing w:line="360" w:lineRule="auto"/>
    </w:pPr>
    <w:rPr>
      <w:rFonts w:ascii="宋体" w:hAnsi="宋体"/>
      <w:b/>
      <w:sz w:val="28"/>
    </w:rPr>
  </w:style>
  <w:style w:type="character" w:customStyle="1" w:styleId="865">
    <w:name w:val="Char Char67"/>
    <w:qFormat/>
    <w:uiPriority w:val="0"/>
    <w:rPr>
      <w:rFonts w:ascii="宋体" w:hAnsi="宋体" w:eastAsia="宋体"/>
      <w:b/>
      <w:kern w:val="2"/>
      <w:sz w:val="28"/>
      <w:szCs w:val="24"/>
      <w:lang w:val="en-US" w:eastAsia="zh-CN" w:bidi="ar-SA"/>
    </w:rPr>
  </w:style>
  <w:style w:type="character" w:customStyle="1" w:styleId="866">
    <w:name w:val="Char Char1 Char"/>
    <w:link w:val="867"/>
    <w:qFormat/>
    <w:uiPriority w:val="0"/>
    <w:rPr>
      <w:rFonts w:ascii="宋体" w:hAnsi="宋体" w:eastAsia="宋体" w:cs="宋体"/>
      <w:sz w:val="24"/>
      <w:szCs w:val="24"/>
    </w:rPr>
  </w:style>
  <w:style w:type="paragraph" w:customStyle="1" w:styleId="867">
    <w:name w:val="Char Char12111"/>
    <w:basedOn w:val="1"/>
    <w:link w:val="866"/>
    <w:qFormat/>
    <w:uiPriority w:val="0"/>
    <w:pPr>
      <w:spacing w:line="360" w:lineRule="auto"/>
      <w:ind w:firstLine="200" w:firstLineChars="200"/>
    </w:pPr>
    <w:rPr>
      <w:rFonts w:ascii="宋体" w:hAnsi="宋体" w:cs="宋体"/>
      <w:sz w:val="24"/>
      <w:szCs w:val="24"/>
    </w:rPr>
  </w:style>
  <w:style w:type="character" w:customStyle="1" w:styleId="868">
    <w:name w:val="批注引用11"/>
    <w:qFormat/>
    <w:uiPriority w:val="0"/>
    <w:rPr>
      <w:rFonts w:ascii="宋体" w:hAnsi="宋体" w:cs="Courier New"/>
      <w:spacing w:val="-2"/>
      <w:sz w:val="21"/>
      <w:szCs w:val="21"/>
    </w:rPr>
  </w:style>
  <w:style w:type="character" w:customStyle="1" w:styleId="869">
    <w:name w:val="普通文字 Char Char Char Char Char Char Char Char Char Char Char Char Char Char Char Char Char Char Char Char C Char1"/>
    <w:qFormat/>
    <w:uiPriority w:val="0"/>
    <w:rPr>
      <w:rFonts w:ascii="Arial" w:hAnsi="Arial" w:eastAsia="宋体"/>
      <w:b/>
      <w:bCs/>
      <w:kern w:val="2"/>
      <w:sz w:val="21"/>
      <w:szCs w:val="24"/>
      <w:lang w:val="en-US" w:eastAsia="zh-CN" w:bidi="ar-SA"/>
    </w:rPr>
  </w:style>
  <w:style w:type="character" w:customStyle="1" w:styleId="870">
    <w:name w:val="文章正文 Char Char Char Char"/>
    <w:qFormat/>
    <w:uiPriority w:val="0"/>
    <w:rPr>
      <w:rFonts w:ascii="宋体" w:hAnsi="宋体" w:eastAsia="宋体"/>
      <w:kern w:val="2"/>
      <w:sz w:val="24"/>
      <w:szCs w:val="24"/>
      <w:lang w:val="en-US" w:eastAsia="zh-CN" w:bidi="ar-SA"/>
    </w:rPr>
  </w:style>
  <w:style w:type="character" w:customStyle="1" w:styleId="871">
    <w:name w:val="我的正文 Char1"/>
    <w:qFormat/>
    <w:uiPriority w:val="0"/>
    <w:rPr>
      <w:rFonts w:eastAsia="宋体"/>
      <w:kern w:val="2"/>
      <w:sz w:val="28"/>
      <w:szCs w:val="24"/>
      <w:lang w:val="en-US" w:eastAsia="zh-CN" w:bidi="ar-SA"/>
    </w:rPr>
  </w:style>
  <w:style w:type="character" w:customStyle="1" w:styleId="872">
    <w:name w:val="无间隔 Char1"/>
    <w:qFormat/>
    <w:uiPriority w:val="0"/>
    <w:rPr>
      <w:rFonts w:ascii="Calibri" w:hAnsi="Calibri"/>
      <w:sz w:val="22"/>
      <w:szCs w:val="22"/>
      <w:lang w:val="en-US" w:eastAsia="zh-CN" w:bidi="ar-SA"/>
    </w:rPr>
  </w:style>
  <w:style w:type="character" w:customStyle="1" w:styleId="873">
    <w:name w:val="宏文本 Char"/>
    <w:qFormat/>
    <w:uiPriority w:val="0"/>
    <w:rPr>
      <w:rFonts w:ascii="Courier New" w:hAnsi="Courier New" w:cs="Courier New"/>
      <w:sz w:val="24"/>
      <w:szCs w:val="24"/>
    </w:rPr>
  </w:style>
  <w:style w:type="character" w:customStyle="1" w:styleId="874">
    <w:name w:val="Char Char48"/>
    <w:qFormat/>
    <w:uiPriority w:val="0"/>
    <w:rPr>
      <w:rFonts w:eastAsia="宋体"/>
      <w:b/>
      <w:bCs/>
      <w:kern w:val="44"/>
      <w:sz w:val="44"/>
      <w:szCs w:val="44"/>
      <w:lang w:val="en-US" w:eastAsia="zh-CN" w:bidi="ar-SA"/>
    </w:rPr>
  </w:style>
  <w:style w:type="character" w:customStyle="1" w:styleId="875">
    <w:name w:val="注释标题 Char7"/>
    <w:qFormat/>
    <w:uiPriority w:val="0"/>
    <w:rPr>
      <w:rFonts w:ascii="Times New Roman" w:hAnsi="Times New Roman" w:eastAsia="宋体" w:cs="Times New Roman"/>
      <w:sz w:val="28"/>
      <w:szCs w:val="24"/>
    </w:rPr>
  </w:style>
  <w:style w:type="character" w:customStyle="1" w:styleId="876">
    <w:name w:val="表文(G) Char"/>
    <w:link w:val="877"/>
    <w:qFormat/>
    <w:uiPriority w:val="0"/>
    <w:rPr>
      <w:rFonts w:hAnsi="宋体"/>
      <w:position w:val="-24"/>
      <w:szCs w:val="21"/>
    </w:rPr>
  </w:style>
  <w:style w:type="paragraph" w:customStyle="1" w:styleId="877">
    <w:name w:val="表文(G)"/>
    <w:basedOn w:val="1"/>
    <w:link w:val="876"/>
    <w:qFormat/>
    <w:uiPriority w:val="0"/>
    <w:pPr>
      <w:tabs>
        <w:tab w:val="left" w:pos="1021"/>
      </w:tabs>
      <w:jc w:val="center"/>
    </w:pPr>
    <w:rPr>
      <w:rFonts w:ascii="Times New Roman" w:hAnsi="宋体"/>
      <w:kern w:val="0"/>
      <w:position w:val="-24"/>
      <w:sz w:val="20"/>
      <w:szCs w:val="21"/>
    </w:rPr>
  </w:style>
  <w:style w:type="character" w:customStyle="1" w:styleId="878">
    <w:name w:val="页脚 Char2"/>
    <w:qFormat/>
    <w:uiPriority w:val="0"/>
    <w:rPr>
      <w:rFonts w:ascii="Times New Roman" w:hAnsi="Times New Roman"/>
      <w:kern w:val="2"/>
      <w:sz w:val="18"/>
      <w:szCs w:val="18"/>
    </w:rPr>
  </w:style>
  <w:style w:type="character" w:customStyle="1" w:styleId="879">
    <w:name w:val="Char Char921"/>
    <w:qFormat/>
    <w:uiPriority w:val="0"/>
    <w:rPr>
      <w:rFonts w:eastAsia="宋体"/>
      <w:kern w:val="2"/>
      <w:sz w:val="21"/>
      <w:szCs w:val="24"/>
      <w:lang w:val="en-US" w:eastAsia="zh-CN" w:bidi="ar-SA"/>
    </w:rPr>
  </w:style>
  <w:style w:type="character" w:customStyle="1" w:styleId="880">
    <w:name w:val="123YJ Char Char"/>
    <w:qFormat/>
    <w:uiPriority w:val="0"/>
    <w:rPr>
      <w:kern w:val="2"/>
      <w:sz w:val="18"/>
      <w:szCs w:val="18"/>
    </w:rPr>
  </w:style>
  <w:style w:type="character" w:customStyle="1" w:styleId="881">
    <w:name w:val="样式6 Char Char"/>
    <w:link w:val="882"/>
    <w:qFormat/>
    <w:uiPriority w:val="0"/>
    <w:rPr>
      <w:rFonts w:ascii="宋体" w:hAnsi="宋体" w:eastAsia="宋体"/>
      <w:color w:val="000000"/>
      <w:kern w:val="6"/>
      <w:sz w:val="24"/>
      <w:szCs w:val="24"/>
      <w:lang w:val="en-GB"/>
    </w:rPr>
  </w:style>
  <w:style w:type="paragraph" w:customStyle="1" w:styleId="882">
    <w:name w:val="样式6"/>
    <w:basedOn w:val="1"/>
    <w:link w:val="881"/>
    <w:qFormat/>
    <w:uiPriority w:val="0"/>
    <w:pPr>
      <w:spacing w:before="156" w:beforeLines="50" w:after="156" w:afterLines="50" w:line="360" w:lineRule="auto"/>
      <w:ind w:firstLine="480" w:firstLineChars="200"/>
      <w:jc w:val="left"/>
    </w:pPr>
    <w:rPr>
      <w:rFonts w:ascii="宋体" w:hAnsi="宋体"/>
      <w:color w:val="000000"/>
      <w:kern w:val="6"/>
      <w:sz w:val="24"/>
      <w:szCs w:val="24"/>
      <w:lang w:val="en-GB"/>
    </w:rPr>
  </w:style>
  <w:style w:type="character" w:customStyle="1" w:styleId="883">
    <w:name w:val="标题 12 Char6"/>
    <w:qFormat/>
    <w:uiPriority w:val="0"/>
    <w:rPr>
      <w:rFonts w:ascii="Arial" w:hAnsi="Arial" w:eastAsia="黑体"/>
      <w:b/>
      <w:bCs/>
      <w:kern w:val="2"/>
      <w:sz w:val="32"/>
      <w:szCs w:val="32"/>
      <w:lang w:val="en-US" w:eastAsia="zh-CN" w:bidi="ar-SA"/>
    </w:rPr>
  </w:style>
  <w:style w:type="character" w:customStyle="1" w:styleId="884">
    <w:name w:val="Char Char521"/>
    <w:qFormat/>
    <w:uiPriority w:val="0"/>
    <w:rPr>
      <w:rFonts w:eastAsia="宋体"/>
      <w:kern w:val="2"/>
      <w:sz w:val="21"/>
      <w:szCs w:val="24"/>
      <w:lang w:val="en-US" w:eastAsia="zh-CN" w:bidi="ar-SA"/>
    </w:rPr>
  </w:style>
  <w:style w:type="character" w:customStyle="1" w:styleId="885">
    <w:name w:val="样式 标题 4 + (西文) Times New Roman (中文) 宋体 小四 非加粗 Char Char"/>
    <w:qFormat/>
    <w:uiPriority w:val="0"/>
    <w:rPr>
      <w:rFonts w:ascii="黑体" w:hAnsi="Arial" w:eastAsia="宋体"/>
      <w:b/>
      <w:bCs/>
      <w:kern w:val="2"/>
      <w:sz w:val="24"/>
      <w:szCs w:val="28"/>
      <w:lang w:val="en-US" w:eastAsia="zh-CN" w:bidi="ar-SA"/>
    </w:rPr>
  </w:style>
  <w:style w:type="character" w:customStyle="1" w:styleId="886">
    <w:name w:val="表格文字1 Char"/>
    <w:qFormat/>
    <w:uiPriority w:val="0"/>
    <w:rPr>
      <w:rFonts w:ascii="宋体" w:hAnsi="Courier New" w:eastAsia="宋体"/>
      <w:sz w:val="21"/>
      <w:lang w:val="en-US" w:eastAsia="zh-CN" w:bidi="ar-SA"/>
    </w:rPr>
  </w:style>
  <w:style w:type="character" w:customStyle="1" w:styleId="887">
    <w:name w:val="Char Char4111"/>
    <w:qFormat/>
    <w:uiPriority w:val="0"/>
    <w:rPr>
      <w:rFonts w:ascii="Times NewRoman" w:hAnsi="Times NewRoman" w:eastAsia="Arial Narrow" w:cs="Times NewRoman"/>
      <w:bCs/>
      <w:sz w:val="24"/>
      <w:szCs w:val="24"/>
    </w:rPr>
  </w:style>
  <w:style w:type="character" w:customStyle="1" w:styleId="888">
    <w:name w:val="环评正文 Char1"/>
    <w:qFormat/>
    <w:uiPriority w:val="0"/>
    <w:rPr>
      <w:rFonts w:ascii="宋体" w:eastAsia="宋体" w:cs="宋体"/>
      <w:bCs/>
      <w:color w:val="000000"/>
      <w:kern w:val="2"/>
      <w:sz w:val="24"/>
      <w:szCs w:val="24"/>
      <w:lang w:val="en-US" w:eastAsia="zh-CN" w:bidi="ar-SA"/>
    </w:rPr>
  </w:style>
  <w:style w:type="character" w:customStyle="1" w:styleId="889">
    <w:name w:val="Char Char8"/>
    <w:qFormat/>
    <w:uiPriority w:val="0"/>
    <w:rPr>
      <w:rFonts w:eastAsia="宋体"/>
      <w:kern w:val="2"/>
      <w:sz w:val="21"/>
      <w:szCs w:val="24"/>
      <w:lang w:val="en-US" w:eastAsia="zh-CN" w:bidi="ar-SA"/>
    </w:rPr>
  </w:style>
  <w:style w:type="character" w:customStyle="1" w:styleId="890">
    <w:name w:val="表名 Char Char"/>
    <w:link w:val="891"/>
    <w:qFormat/>
    <w:uiPriority w:val="0"/>
    <w:rPr>
      <w:rFonts w:ascii="黑体" w:eastAsia="黑体"/>
      <w:color w:val="000000"/>
    </w:rPr>
  </w:style>
  <w:style w:type="paragraph" w:customStyle="1" w:styleId="891">
    <w:name w:val="表名"/>
    <w:basedOn w:val="1"/>
    <w:link w:val="890"/>
    <w:qFormat/>
    <w:uiPriority w:val="0"/>
    <w:pPr>
      <w:spacing w:line="440" w:lineRule="exact"/>
      <w:jc w:val="center"/>
      <w:outlineLvl w:val="5"/>
    </w:pPr>
    <w:rPr>
      <w:rFonts w:ascii="黑体" w:eastAsia="黑体"/>
      <w:color w:val="000000"/>
    </w:rPr>
  </w:style>
  <w:style w:type="character" w:customStyle="1" w:styleId="892">
    <w:name w:val="文章正文样式 Char Char"/>
    <w:link w:val="893"/>
    <w:qFormat/>
    <w:uiPriority w:val="0"/>
    <w:rPr>
      <w:rFonts w:ascii="宋体" w:hAnsi="宋体" w:eastAsia="宋体" w:cs="宋体"/>
      <w:sz w:val="24"/>
    </w:rPr>
  </w:style>
  <w:style w:type="paragraph" w:customStyle="1" w:styleId="893">
    <w:name w:val="文章正文样式"/>
    <w:basedOn w:val="1"/>
    <w:link w:val="892"/>
    <w:qFormat/>
    <w:uiPriority w:val="0"/>
    <w:pPr>
      <w:spacing w:line="520" w:lineRule="exact"/>
      <w:ind w:firstLine="480" w:firstLineChars="200"/>
      <w:jc w:val="left"/>
    </w:pPr>
    <w:rPr>
      <w:rFonts w:ascii="宋体" w:hAnsi="宋体" w:cs="宋体"/>
      <w:sz w:val="24"/>
    </w:rPr>
  </w:style>
  <w:style w:type="character" w:customStyle="1" w:styleId="894">
    <w:name w:val="样式 仿宋_GB2312 (符号) 宋体"/>
    <w:qFormat/>
    <w:uiPriority w:val="0"/>
    <w:rPr>
      <w:rFonts w:ascii="仿宋_GB2312" w:hAnsi="仿宋_GB2312" w:eastAsia="宋体"/>
      <w:sz w:val="21"/>
    </w:rPr>
  </w:style>
  <w:style w:type="character" w:customStyle="1" w:styleId="895">
    <w:name w:val="5文章(治) Char1"/>
    <w:qFormat/>
    <w:uiPriority w:val="0"/>
    <w:rPr>
      <w:rFonts w:ascii="Arial" w:hAnsi="Arial" w:cs="Tahoma"/>
      <w:snapToGrid w:val="0"/>
      <w:sz w:val="24"/>
      <w:szCs w:val="21"/>
    </w:rPr>
  </w:style>
  <w:style w:type="character" w:customStyle="1" w:styleId="896">
    <w:name w:val="description"/>
    <w:qFormat/>
    <w:uiPriority w:val="0"/>
  </w:style>
  <w:style w:type="character" w:customStyle="1" w:styleId="897">
    <w:name w:val="样式 正文文本缩进 3 + 小四 段前: 6 磅 段后: 6 磅 行距: 1.5 倍行距 Char Char"/>
    <w:qFormat/>
    <w:uiPriority w:val="0"/>
    <w:rPr>
      <w:rFonts w:eastAsia="宋体" w:cs="宋体"/>
      <w:kern w:val="2"/>
      <w:sz w:val="24"/>
      <w:szCs w:val="24"/>
      <w:lang w:val="en-US" w:eastAsia="zh-CN" w:bidi="ar-SA"/>
    </w:rPr>
  </w:style>
  <w:style w:type="character" w:customStyle="1" w:styleId="898">
    <w:name w:val="style5"/>
    <w:qFormat/>
    <w:uiPriority w:val="0"/>
  </w:style>
  <w:style w:type="character" w:customStyle="1" w:styleId="899">
    <w:name w:val="节 Char"/>
    <w:qFormat/>
    <w:uiPriority w:val="0"/>
    <w:rPr>
      <w:rFonts w:ascii="宋体" w:hAnsi="宋体" w:eastAsia="黑体" w:cs="宋体"/>
      <w:bCs/>
      <w:kern w:val="2"/>
      <w:sz w:val="32"/>
      <w:szCs w:val="32"/>
      <w:lang w:val="en-US" w:eastAsia="zh-CN" w:bidi="ar-SA"/>
    </w:rPr>
  </w:style>
  <w:style w:type="character" w:customStyle="1" w:styleId="900">
    <w:name w:val="表头9 Char"/>
    <w:link w:val="901"/>
    <w:qFormat/>
    <w:uiPriority w:val="0"/>
    <w:rPr>
      <w:rFonts w:eastAsia="宋体"/>
      <w:b/>
      <w:szCs w:val="24"/>
    </w:rPr>
  </w:style>
  <w:style w:type="paragraph" w:customStyle="1" w:styleId="901">
    <w:name w:val="表头9"/>
    <w:basedOn w:val="1"/>
    <w:link w:val="900"/>
    <w:qFormat/>
    <w:uiPriority w:val="0"/>
    <w:pPr>
      <w:jc w:val="center"/>
    </w:pPr>
    <w:rPr>
      <w:b/>
      <w:szCs w:val="24"/>
    </w:rPr>
  </w:style>
  <w:style w:type="character" w:customStyle="1" w:styleId="902">
    <w:name w:val="正文文本缩进 2 Char"/>
    <w:link w:val="903"/>
    <w:qFormat/>
    <w:uiPriority w:val="0"/>
    <w:rPr>
      <w:rFonts w:eastAsia="宋体"/>
      <w:sz w:val="24"/>
      <w:szCs w:val="24"/>
    </w:rPr>
  </w:style>
  <w:style w:type="paragraph" w:customStyle="1" w:styleId="903">
    <w:name w:val="正文文本缩进 21"/>
    <w:basedOn w:val="1"/>
    <w:link w:val="902"/>
    <w:qFormat/>
    <w:uiPriority w:val="0"/>
    <w:pPr>
      <w:spacing w:after="120" w:line="480" w:lineRule="auto"/>
      <w:ind w:left="420" w:leftChars="200" w:firstLine="200" w:firstLineChars="200"/>
    </w:pPr>
    <w:rPr>
      <w:sz w:val="24"/>
      <w:szCs w:val="24"/>
    </w:rPr>
  </w:style>
  <w:style w:type="character" w:customStyle="1" w:styleId="904">
    <w:name w:val="标题 Char"/>
    <w:qFormat/>
    <w:uiPriority w:val="0"/>
    <w:rPr>
      <w:rFonts w:ascii="Arial" w:hAnsi="Arial" w:eastAsia="宋体" w:cs="Arial"/>
      <w:b/>
      <w:bCs/>
      <w:kern w:val="2"/>
      <w:sz w:val="32"/>
      <w:szCs w:val="32"/>
      <w:lang w:val="en-US" w:eastAsia="zh-CN" w:bidi="ar-SA"/>
    </w:rPr>
  </w:style>
  <w:style w:type="character" w:customStyle="1" w:styleId="905">
    <w:name w:val="签名 Char1"/>
    <w:qFormat/>
    <w:uiPriority w:val="0"/>
  </w:style>
  <w:style w:type="character" w:customStyle="1" w:styleId="906">
    <w:name w:val="默认段落字体 New"/>
    <w:qFormat/>
    <w:uiPriority w:val="0"/>
    <w:rPr>
      <w:rFonts w:eastAsia="宋体"/>
      <w:b/>
      <w:kern w:val="2"/>
      <w:sz w:val="30"/>
      <w:szCs w:val="30"/>
      <w:lang w:val="en-US" w:eastAsia="zh-CN" w:bidi="ar-SA"/>
    </w:rPr>
  </w:style>
  <w:style w:type="character" w:customStyle="1" w:styleId="907">
    <w:name w:val="正文首行缩进 Char3"/>
    <w:qFormat/>
    <w:uiPriority w:val="0"/>
    <w:rPr>
      <w:rFonts w:ascii="Times New Roman" w:hAnsi="Times New Roman" w:eastAsia="宋体" w:cs="Times New Roman"/>
      <w:kern w:val="2"/>
      <w:sz w:val="24"/>
      <w:szCs w:val="20"/>
      <w:lang w:val="en-US" w:eastAsia="zh-CN" w:bidi="ar-SA"/>
    </w:rPr>
  </w:style>
  <w:style w:type="character" w:customStyle="1" w:styleId="908">
    <w:name w:val="页码1"/>
    <w:qFormat/>
    <w:uiPriority w:val="0"/>
    <w:rPr>
      <w:sz w:val="21"/>
    </w:rPr>
  </w:style>
  <w:style w:type="character" w:customStyle="1" w:styleId="909">
    <w:name w:val="(一) Char4"/>
    <w:qFormat/>
    <w:uiPriority w:val="0"/>
    <w:rPr>
      <w:rFonts w:ascii="Arial" w:hAnsi="Arial" w:eastAsia="黑体"/>
      <w:b/>
      <w:bCs/>
      <w:kern w:val="2"/>
      <w:sz w:val="28"/>
      <w:szCs w:val="28"/>
      <w:lang w:val="en-US" w:eastAsia="zh-CN" w:bidi="ar-SA"/>
    </w:rPr>
  </w:style>
  <w:style w:type="character" w:customStyle="1" w:styleId="910">
    <w:name w:val="正文首行缩进 2 Char1"/>
    <w:qFormat/>
    <w:uiPriority w:val="99"/>
  </w:style>
  <w:style w:type="character" w:customStyle="1" w:styleId="911">
    <w:name w:val="标准样式 Char1"/>
    <w:link w:val="912"/>
    <w:qFormat/>
    <w:uiPriority w:val="0"/>
    <w:rPr>
      <w:rFonts w:ascii="宋体" w:eastAsia="宋体"/>
      <w:sz w:val="28"/>
      <w:szCs w:val="24"/>
    </w:rPr>
  </w:style>
  <w:style w:type="paragraph" w:customStyle="1" w:styleId="912">
    <w:name w:val="标准样式"/>
    <w:basedOn w:val="1"/>
    <w:link w:val="911"/>
    <w:qFormat/>
    <w:uiPriority w:val="0"/>
    <w:pPr>
      <w:spacing w:line="600" w:lineRule="exact"/>
      <w:ind w:firstLine="567"/>
    </w:pPr>
    <w:rPr>
      <w:rFonts w:ascii="宋体"/>
      <w:sz w:val="28"/>
      <w:szCs w:val="24"/>
    </w:rPr>
  </w:style>
  <w:style w:type="character" w:customStyle="1" w:styleId="913">
    <w:name w:val="标准正文 Char Char"/>
    <w:link w:val="914"/>
    <w:qFormat/>
    <w:uiPriority w:val="0"/>
    <w:rPr>
      <w:rFonts w:eastAsia="宋体"/>
      <w:bCs/>
      <w:sz w:val="24"/>
      <w:u w:val="single"/>
    </w:rPr>
  </w:style>
  <w:style w:type="paragraph" w:customStyle="1" w:styleId="914">
    <w:name w:val="标准正文"/>
    <w:basedOn w:val="1"/>
    <w:link w:val="913"/>
    <w:qFormat/>
    <w:uiPriority w:val="0"/>
    <w:pPr>
      <w:spacing w:line="360" w:lineRule="auto"/>
      <w:ind w:firstLine="480" w:firstLineChars="200"/>
    </w:pPr>
    <w:rPr>
      <w:bCs/>
      <w:sz w:val="24"/>
      <w:u w:val="single"/>
    </w:rPr>
  </w:style>
  <w:style w:type="character" w:customStyle="1" w:styleId="915">
    <w:name w:val="标题111"/>
    <w:qFormat/>
    <w:uiPriority w:val="0"/>
    <w:rPr>
      <w:rFonts w:ascii="宋体" w:hAnsi="宋体" w:eastAsia="宋体" w:cs="宋体"/>
      <w:kern w:val="2"/>
      <w:sz w:val="24"/>
      <w:szCs w:val="24"/>
      <w:lang w:val="en-US" w:eastAsia="zh-CN" w:bidi="ar-SA"/>
    </w:rPr>
  </w:style>
  <w:style w:type="character" w:customStyle="1" w:styleId="916">
    <w:name w:val="hb1 Char Char Char"/>
    <w:qFormat/>
    <w:uiPriority w:val="0"/>
    <w:rPr>
      <w:rFonts w:eastAsia="黑体"/>
      <w:b/>
      <w:sz w:val="32"/>
      <w:szCs w:val="32"/>
      <w:lang w:val="en-US" w:eastAsia="zh-CN" w:bidi="ar-SA"/>
    </w:rPr>
  </w:style>
  <w:style w:type="character" w:customStyle="1" w:styleId="917">
    <w:name w:val="3标题(治) Char Char"/>
    <w:link w:val="918"/>
    <w:qFormat/>
    <w:uiPriority w:val="0"/>
    <w:rPr>
      <w:rFonts w:eastAsia="黑体"/>
      <w:b/>
      <w:bCs/>
      <w:kern w:val="2"/>
      <w:sz w:val="28"/>
      <w:szCs w:val="32"/>
    </w:rPr>
  </w:style>
  <w:style w:type="paragraph" w:customStyle="1" w:styleId="918">
    <w:name w:val="3标题(治)"/>
    <w:basedOn w:val="6"/>
    <w:link w:val="917"/>
    <w:qFormat/>
    <w:uiPriority w:val="0"/>
    <w:pPr>
      <w:textAlignment w:val="baseline"/>
      <w:outlineLvl w:val="1"/>
    </w:pPr>
    <w:rPr>
      <w:rFonts w:ascii="Calibri" w:hAnsi="Calibri"/>
      <w:sz w:val="28"/>
    </w:rPr>
  </w:style>
  <w:style w:type="character" w:customStyle="1" w:styleId="919">
    <w:name w:val="txt1"/>
    <w:qFormat/>
    <w:uiPriority w:val="0"/>
    <w:rPr>
      <w:sz w:val="20"/>
      <w:szCs w:val="20"/>
    </w:rPr>
  </w:style>
  <w:style w:type="character" w:customStyle="1" w:styleId="920">
    <w:name w:val="正文正文正文 1.5 倍行距 Char"/>
    <w:link w:val="921"/>
    <w:qFormat/>
    <w:uiPriority w:val="0"/>
    <w:rPr>
      <w:rFonts w:ascii="宋体" w:hAnsi="宋体"/>
      <w:sz w:val="24"/>
    </w:rPr>
  </w:style>
  <w:style w:type="paragraph" w:customStyle="1" w:styleId="921">
    <w:name w:val="正文正文正文 1.5 倍行距"/>
    <w:basedOn w:val="1"/>
    <w:link w:val="920"/>
    <w:qFormat/>
    <w:uiPriority w:val="0"/>
    <w:pPr>
      <w:spacing w:line="360" w:lineRule="auto"/>
      <w:ind w:firstLine="480" w:firstLineChars="200"/>
    </w:pPr>
    <w:rPr>
      <w:rFonts w:ascii="宋体" w:hAnsi="宋体"/>
      <w:sz w:val="24"/>
    </w:rPr>
  </w:style>
  <w:style w:type="character" w:customStyle="1" w:styleId="922">
    <w:name w:val="t3 style2"/>
    <w:qFormat/>
    <w:uiPriority w:val="0"/>
  </w:style>
  <w:style w:type="character" w:customStyle="1" w:styleId="923">
    <w:name w:val="标题 13 Char3"/>
    <w:qFormat/>
    <w:uiPriority w:val="0"/>
    <w:rPr>
      <w:rFonts w:eastAsia="宋体"/>
      <w:b/>
      <w:bCs/>
      <w:kern w:val="2"/>
      <w:sz w:val="32"/>
      <w:szCs w:val="32"/>
      <w:lang w:val="en-US" w:eastAsia="zh-CN" w:bidi="ar-SA"/>
    </w:rPr>
  </w:style>
  <w:style w:type="character" w:customStyle="1" w:styleId="924">
    <w:name w:val="(use for tables) Char3"/>
    <w:qFormat/>
    <w:uiPriority w:val="0"/>
    <w:rPr>
      <w:rFonts w:eastAsia="宋体"/>
      <w:kern w:val="2"/>
      <w:sz w:val="28"/>
      <w:szCs w:val="24"/>
      <w:lang w:val="en-US" w:eastAsia="zh-CN" w:bidi="ar-SA"/>
    </w:rPr>
  </w:style>
  <w:style w:type="character" w:customStyle="1" w:styleId="925">
    <w:name w:val="页眉 Char3"/>
    <w:qFormat/>
    <w:uiPriority w:val="0"/>
    <w:rPr>
      <w:rFonts w:eastAsia="宋体"/>
      <w:kern w:val="2"/>
      <w:sz w:val="18"/>
      <w:lang w:val="en-US" w:eastAsia="zh-CN" w:bidi="ar-SA"/>
    </w:rPr>
  </w:style>
  <w:style w:type="character" w:customStyle="1" w:styleId="926">
    <w:name w:val="注释标题 Char1"/>
    <w:qFormat/>
    <w:uiPriority w:val="0"/>
  </w:style>
  <w:style w:type="character" w:customStyle="1" w:styleId="927">
    <w:name w:val="标题 3 Char3"/>
    <w:qFormat/>
    <w:uiPriority w:val="0"/>
    <w:rPr>
      <w:rFonts w:ascii="Times New Roman" w:hAnsi="Times New Roman"/>
      <w:b/>
      <w:bCs/>
      <w:kern w:val="2"/>
      <w:sz w:val="32"/>
      <w:szCs w:val="32"/>
    </w:rPr>
  </w:style>
  <w:style w:type="character" w:customStyle="1" w:styleId="928">
    <w:name w:val="(use for figures) Char2"/>
    <w:qFormat/>
    <w:uiPriority w:val="0"/>
    <w:rPr>
      <w:rFonts w:eastAsia="宋体"/>
      <w:kern w:val="2"/>
      <w:sz w:val="28"/>
      <w:szCs w:val="24"/>
      <w:lang w:val="en-US" w:eastAsia="zh-CN" w:bidi="ar-SA"/>
    </w:rPr>
  </w:style>
  <w:style w:type="character" w:customStyle="1" w:styleId="929">
    <w:name w:val="info1"/>
    <w:qFormat/>
    <w:uiPriority w:val="0"/>
    <w:rPr>
      <w:spacing w:val="15"/>
      <w:sz w:val="21"/>
      <w:szCs w:val="21"/>
    </w:rPr>
  </w:style>
  <w:style w:type="character" w:customStyle="1" w:styleId="930">
    <w:name w:val="表头 Char Char Char"/>
    <w:qFormat/>
    <w:uiPriority w:val="0"/>
    <w:rPr>
      <w:rFonts w:ascii="宋体" w:hAnsi="宋体" w:eastAsia="宋体"/>
      <w:bCs/>
      <w:kern w:val="2"/>
      <w:sz w:val="21"/>
      <w:szCs w:val="21"/>
      <w:lang w:val="en-US" w:eastAsia="zh-CN" w:bidi="ar-SA"/>
    </w:rPr>
  </w:style>
  <w:style w:type="character" w:customStyle="1" w:styleId="931">
    <w:name w:val="脚注文本 Char2"/>
    <w:qFormat/>
    <w:uiPriority w:val="0"/>
    <w:rPr>
      <w:sz w:val="18"/>
      <w:szCs w:val="18"/>
    </w:rPr>
  </w:style>
  <w:style w:type="character" w:customStyle="1" w:styleId="932">
    <w:name w:val="z-窗体顶端 Char"/>
    <w:link w:val="933"/>
    <w:qFormat/>
    <w:uiPriority w:val="0"/>
    <w:rPr>
      <w:rFonts w:ascii="Arial" w:hAnsi="Arial"/>
      <w:vanish/>
      <w:sz w:val="16"/>
      <w:szCs w:val="16"/>
    </w:rPr>
  </w:style>
  <w:style w:type="paragraph" w:customStyle="1" w:styleId="933">
    <w:name w:val="z-窗体顶端1"/>
    <w:basedOn w:val="1"/>
    <w:next w:val="1"/>
    <w:link w:val="932"/>
    <w:qFormat/>
    <w:uiPriority w:val="0"/>
    <w:pPr>
      <w:widowControl/>
      <w:pBdr>
        <w:bottom w:val="single" w:color="auto" w:sz="6" w:space="1"/>
      </w:pBdr>
      <w:jc w:val="center"/>
    </w:pPr>
    <w:rPr>
      <w:rFonts w:ascii="Arial" w:hAnsi="Arial"/>
      <w:vanish/>
      <w:kern w:val="0"/>
      <w:sz w:val="16"/>
      <w:szCs w:val="16"/>
    </w:rPr>
  </w:style>
  <w:style w:type="character" w:customStyle="1" w:styleId="934">
    <w:name w:val="结束语 Char1"/>
    <w:qFormat/>
    <w:uiPriority w:val="0"/>
  </w:style>
  <w:style w:type="character" w:customStyle="1" w:styleId="935">
    <w:name w:val="引用 Char3"/>
    <w:qFormat/>
    <w:uiPriority w:val="0"/>
    <w:rPr>
      <w:i/>
      <w:iCs/>
      <w:color w:val="000000"/>
      <w:kern w:val="2"/>
      <w:sz w:val="21"/>
    </w:rPr>
  </w:style>
  <w:style w:type="character" w:customStyle="1" w:styleId="936">
    <w:name w:val="fontstyle21"/>
    <w:qFormat/>
    <w:uiPriority w:val="0"/>
    <w:rPr>
      <w:rFonts w:hint="default" w:ascii="TimesNewRomanPSMT" w:hAnsi="TimesNewRomanPSMT"/>
      <w:color w:val="000000"/>
      <w:sz w:val="24"/>
      <w:szCs w:val="24"/>
    </w:rPr>
  </w:style>
  <w:style w:type="character" w:customStyle="1" w:styleId="937">
    <w:name w:val="明显引用 Char4"/>
    <w:qFormat/>
    <w:uiPriority w:val="0"/>
    <w:rPr>
      <w:rFonts w:ascii="Calibri" w:hAnsi="Calibri" w:eastAsia="宋体"/>
      <w:b/>
      <w:bCs/>
      <w:i/>
      <w:iCs/>
      <w:color w:val="4F81BD"/>
      <w:sz w:val="22"/>
      <w:szCs w:val="22"/>
      <w:lang w:val="en-US" w:eastAsia="en-US" w:bidi="en-US"/>
    </w:rPr>
  </w:style>
  <w:style w:type="character" w:customStyle="1" w:styleId="938">
    <w:name w:val="表格 Char Char"/>
    <w:qFormat/>
    <w:uiPriority w:val="0"/>
    <w:rPr>
      <w:kern w:val="2"/>
      <w:sz w:val="21"/>
      <w:lang w:val="en-US" w:eastAsia="zh-CN" w:bidi="ar-SA"/>
    </w:rPr>
  </w:style>
  <w:style w:type="character" w:customStyle="1" w:styleId="939">
    <w:name w:val="Char Char13"/>
    <w:qFormat/>
    <w:uiPriority w:val="0"/>
    <w:rPr>
      <w:rFonts w:eastAsia="宋体"/>
      <w:kern w:val="2"/>
      <w:sz w:val="24"/>
      <w:szCs w:val="28"/>
      <w:lang w:val="en-US" w:eastAsia="zh-CN" w:bidi="ar-SA"/>
    </w:rPr>
  </w:style>
  <w:style w:type="character" w:customStyle="1" w:styleId="940">
    <w:name w:val="3标题(治) Char"/>
    <w:qFormat/>
    <w:locked/>
    <w:uiPriority w:val="0"/>
    <w:rPr>
      <w:rFonts w:eastAsia="黑体"/>
      <w:b/>
      <w:bCs/>
      <w:kern w:val="2"/>
      <w:sz w:val="28"/>
      <w:szCs w:val="32"/>
      <w:lang w:val="en-US" w:eastAsia="zh-CN" w:bidi="ar-SA"/>
    </w:rPr>
  </w:style>
  <w:style w:type="character" w:customStyle="1" w:styleId="941">
    <w:name w:val="正文文本 2 Char2"/>
    <w:qFormat/>
    <w:uiPriority w:val="0"/>
  </w:style>
  <w:style w:type="character" w:customStyle="1" w:styleId="942">
    <w:name w:val="页眉 字符"/>
    <w:qFormat/>
    <w:uiPriority w:val="99"/>
    <w:rPr>
      <w:sz w:val="18"/>
      <w:szCs w:val="18"/>
    </w:rPr>
  </w:style>
  <w:style w:type="character" w:customStyle="1" w:styleId="943">
    <w:name w:val="Char Char361"/>
    <w:qFormat/>
    <w:uiPriority w:val="0"/>
    <w:rPr>
      <w:rFonts w:eastAsia="宋体"/>
      <w:b/>
      <w:bCs/>
      <w:kern w:val="2"/>
      <w:sz w:val="24"/>
      <w:szCs w:val="24"/>
      <w:lang w:val="en-US" w:eastAsia="zh-CN" w:bidi="ar-SA"/>
    </w:rPr>
  </w:style>
  <w:style w:type="character" w:customStyle="1" w:styleId="944">
    <w:name w:val="节标题 1.1 Char2"/>
    <w:qFormat/>
    <w:uiPriority w:val="0"/>
    <w:rPr>
      <w:rFonts w:ascii="Arial" w:hAnsi="Arial" w:eastAsia="黑体"/>
      <w:b/>
      <w:bCs/>
      <w:kern w:val="2"/>
      <w:sz w:val="32"/>
      <w:szCs w:val="32"/>
      <w:lang w:val="en-US" w:eastAsia="zh-CN" w:bidi="ar-SA"/>
    </w:rPr>
  </w:style>
  <w:style w:type="character" w:customStyle="1" w:styleId="945">
    <w:name w:val="articlelink"/>
    <w:qFormat/>
    <w:uiPriority w:val="0"/>
  </w:style>
  <w:style w:type="character" w:customStyle="1" w:styleId="946">
    <w:name w:val="报告正文 Char1"/>
    <w:qFormat/>
    <w:uiPriority w:val="0"/>
    <w:rPr>
      <w:rFonts w:eastAsia="宋体"/>
      <w:color w:val="000000"/>
      <w:kern w:val="2"/>
      <w:sz w:val="24"/>
      <w:szCs w:val="24"/>
      <w:lang w:val="en-US" w:eastAsia="zh-CN" w:bidi="ar-SA"/>
    </w:rPr>
  </w:style>
  <w:style w:type="character" w:customStyle="1" w:styleId="947">
    <w:name w:val="批注主题 Char3"/>
    <w:qFormat/>
    <w:uiPriority w:val="0"/>
    <w:rPr>
      <w:rFonts w:ascii="Times New Roman" w:hAnsi="Times New Roman"/>
      <w:b/>
      <w:bCs/>
      <w:kern w:val="2"/>
      <w:sz w:val="21"/>
    </w:rPr>
  </w:style>
  <w:style w:type="character" w:customStyle="1" w:styleId="948">
    <w:name w:val="Char Char2711"/>
    <w:qFormat/>
    <w:uiPriority w:val="0"/>
    <w:rPr>
      <w:rFonts w:eastAsia="宋体"/>
      <w:sz w:val="18"/>
      <w:szCs w:val="18"/>
    </w:rPr>
  </w:style>
  <w:style w:type="character" w:customStyle="1" w:styleId="949">
    <w:name w:val="批注文字 Char3"/>
    <w:qFormat/>
    <w:uiPriority w:val="0"/>
    <w:rPr>
      <w:rFonts w:ascii="Times New Roman" w:hAnsi="Times New Roman" w:eastAsia="宋体" w:cs="Times New Roman"/>
      <w:szCs w:val="20"/>
    </w:rPr>
  </w:style>
  <w:style w:type="character" w:customStyle="1" w:styleId="950">
    <w:name w:val="标题 3 Char2"/>
    <w:qFormat/>
    <w:uiPriority w:val="0"/>
    <w:rPr>
      <w:rFonts w:ascii="Arial" w:hAnsi="Arial" w:eastAsia="黑体"/>
      <w:b/>
      <w:bCs/>
      <w:kern w:val="2"/>
      <w:sz w:val="28"/>
      <w:szCs w:val="32"/>
    </w:rPr>
  </w:style>
  <w:style w:type="character" w:customStyle="1" w:styleId="951">
    <w:name w:val="标题 4 Char"/>
    <w:qFormat/>
    <w:uiPriority w:val="0"/>
    <w:rPr>
      <w:rFonts w:ascii="Cambria" w:hAnsi="Cambria" w:eastAsia="宋体" w:cs="Times New Roman"/>
      <w:b/>
      <w:bCs/>
      <w:sz w:val="28"/>
      <w:szCs w:val="28"/>
    </w:rPr>
  </w:style>
  <w:style w:type="character" w:customStyle="1" w:styleId="952">
    <w:name w:val="样式 样式 标题 3标题 13标题 3 Char1 Char Char Char标题 31ReHead 3 WSAh3B... ... Char Char"/>
    <w:qFormat/>
    <w:uiPriority w:val="0"/>
    <w:rPr>
      <w:rFonts w:ascii="宋体" w:hAnsi="宋体"/>
      <w:sz w:val="24"/>
      <w:szCs w:val="28"/>
      <w:lang w:val="en-US" w:eastAsia="zh-CN" w:bidi="ar-SA"/>
    </w:rPr>
  </w:style>
  <w:style w:type="character" w:customStyle="1" w:styleId="953">
    <w:name w:val="HTML 预设格式 Char7"/>
    <w:qFormat/>
    <w:uiPriority w:val="0"/>
    <w:rPr>
      <w:rFonts w:ascii="Arial" w:hAnsi="Arial" w:eastAsia="宋体" w:cs="Arial"/>
      <w:kern w:val="0"/>
      <w:sz w:val="24"/>
      <w:szCs w:val="24"/>
    </w:rPr>
  </w:style>
  <w:style w:type="character" w:customStyle="1" w:styleId="954">
    <w:name w:val="Char Char5211"/>
    <w:qFormat/>
    <w:uiPriority w:val="0"/>
    <w:rPr>
      <w:rFonts w:eastAsia="宋体"/>
      <w:kern w:val="2"/>
      <w:sz w:val="21"/>
      <w:szCs w:val="24"/>
      <w:lang w:val="en-US" w:eastAsia="zh-CN" w:bidi="ar-SA"/>
    </w:rPr>
  </w:style>
  <w:style w:type="character" w:customStyle="1" w:styleId="955">
    <w:name w:val="无间隔 Char Char"/>
    <w:qFormat/>
    <w:uiPriority w:val="0"/>
    <w:rPr>
      <w:rFonts w:ascii="Calibri" w:hAnsi="Calibri" w:eastAsia="宋体"/>
      <w:sz w:val="22"/>
      <w:szCs w:val="22"/>
      <w:lang w:val="en-US" w:eastAsia="zh-CN" w:bidi="ar-SA"/>
    </w:rPr>
  </w:style>
  <w:style w:type="character" w:customStyle="1" w:styleId="956">
    <w:name w:val="正文文本 3 Char1"/>
    <w:qFormat/>
    <w:uiPriority w:val="0"/>
    <w:rPr>
      <w:rFonts w:ascii="幼圆" w:hAnsi="幼圆" w:cs="汉鼎简书宋"/>
      <w:spacing w:val="-2"/>
      <w:kern w:val="2"/>
      <w:sz w:val="16"/>
      <w:szCs w:val="16"/>
    </w:rPr>
  </w:style>
  <w:style w:type="character" w:customStyle="1" w:styleId="957">
    <w:name w:val="图号 Char"/>
    <w:qFormat/>
    <w:uiPriority w:val="0"/>
    <w:rPr>
      <w:rFonts w:ascii="宋体" w:hAnsi="宋体" w:eastAsia="宋体" w:cs="宋体"/>
      <w:b/>
      <w:bCs/>
      <w:kern w:val="32"/>
      <w:sz w:val="24"/>
      <w:szCs w:val="24"/>
      <w:lang w:val="en-US" w:eastAsia="zh-CN" w:bidi="ar-SA"/>
    </w:rPr>
  </w:style>
  <w:style w:type="character" w:customStyle="1" w:styleId="958">
    <w:name w:val="标题 8 Char1"/>
    <w:qFormat/>
    <w:uiPriority w:val="0"/>
    <w:rPr>
      <w:rFonts w:ascii="Times New Roman" w:hAnsi="Times New Roman"/>
      <w:kern w:val="2"/>
      <w:sz w:val="28"/>
      <w:szCs w:val="24"/>
    </w:rPr>
  </w:style>
  <w:style w:type="character" w:customStyle="1" w:styleId="959">
    <w:name w:val="批注框文本 Char7"/>
    <w:qFormat/>
    <w:uiPriority w:val="0"/>
    <w:rPr>
      <w:rFonts w:ascii="Times New Roman" w:hAnsi="Times New Roman" w:eastAsia="宋体" w:cs="Times New Roman"/>
      <w:sz w:val="18"/>
      <w:szCs w:val="18"/>
    </w:rPr>
  </w:style>
  <w:style w:type="character" w:customStyle="1" w:styleId="960">
    <w:name w:val="标题 13 Char2"/>
    <w:qFormat/>
    <w:uiPriority w:val="0"/>
    <w:rPr>
      <w:rFonts w:eastAsia="宋体"/>
      <w:b/>
      <w:bCs/>
      <w:kern w:val="2"/>
      <w:sz w:val="32"/>
      <w:szCs w:val="32"/>
      <w:lang w:val="en-US" w:eastAsia="zh-CN" w:bidi="ar-SA"/>
    </w:rPr>
  </w:style>
  <w:style w:type="character" w:customStyle="1" w:styleId="961">
    <w:name w:val="fldban1"/>
    <w:qFormat/>
    <w:uiPriority w:val="0"/>
    <w:rPr>
      <w:rFonts w:hint="eastAsia" w:ascii="宋体" w:hAnsi="宋体" w:eastAsia="宋体"/>
      <w:sz w:val="18"/>
      <w:szCs w:val="18"/>
      <w:u w:val="none"/>
    </w:rPr>
  </w:style>
  <w:style w:type="character" w:customStyle="1" w:styleId="962">
    <w:name w:val="标题 Char7"/>
    <w:qFormat/>
    <w:uiPriority w:val="0"/>
    <w:rPr>
      <w:rFonts w:ascii="Arial" w:hAnsi="Arial" w:eastAsia="宋体" w:cs="Arial"/>
      <w:b/>
      <w:bCs/>
      <w:sz w:val="32"/>
      <w:szCs w:val="32"/>
    </w:rPr>
  </w:style>
  <w:style w:type="character" w:customStyle="1" w:styleId="963">
    <w:name w:val="页眉 Char2"/>
    <w:qFormat/>
    <w:uiPriority w:val="0"/>
    <w:rPr>
      <w:rFonts w:ascii="Times New Roman" w:hAnsi="Times New Roman"/>
      <w:kern w:val="2"/>
      <w:sz w:val="18"/>
      <w:szCs w:val="18"/>
    </w:rPr>
  </w:style>
  <w:style w:type="character" w:customStyle="1" w:styleId="964">
    <w:name w:val="表格标题 Char"/>
    <w:link w:val="965"/>
    <w:qFormat/>
    <w:uiPriority w:val="0"/>
    <w:rPr>
      <w:rFonts w:eastAsia="Times New Roman"/>
      <w:b/>
      <w:szCs w:val="24"/>
    </w:rPr>
  </w:style>
  <w:style w:type="paragraph" w:customStyle="1" w:styleId="965">
    <w:name w:val="表格标题"/>
    <w:next w:val="966"/>
    <w:link w:val="964"/>
    <w:qFormat/>
    <w:uiPriority w:val="0"/>
    <w:pPr>
      <w:spacing w:before="156" w:beforeLines="50"/>
      <w:jc w:val="center"/>
    </w:pPr>
    <w:rPr>
      <w:rFonts w:ascii="Calibri" w:hAnsi="Calibri" w:eastAsia="Times New Roman" w:cs="Times New Roman"/>
      <w:b/>
      <w:kern w:val="2"/>
      <w:sz w:val="21"/>
      <w:szCs w:val="24"/>
      <w:lang w:val="en-US" w:eastAsia="zh-CN" w:bidi="ar-SA"/>
    </w:rPr>
  </w:style>
  <w:style w:type="paragraph" w:customStyle="1" w:styleId="966">
    <w:name w:val="表格"/>
    <w:next w:val="1"/>
    <w:link w:val="967"/>
    <w:qFormat/>
    <w:uiPriority w:val="0"/>
    <w:pPr>
      <w:keepNext/>
      <w:widowControl w:val="0"/>
      <w:autoSpaceDE w:val="0"/>
      <w:autoSpaceDN w:val="0"/>
      <w:adjustRightInd w:val="0"/>
      <w:jc w:val="center"/>
      <w:textAlignment w:val="baseline"/>
    </w:pPr>
    <w:rPr>
      <w:rFonts w:ascii="BatangChe" w:hAnsi="BatangChe" w:eastAsia="Times New Roman" w:cs="Times New Roman"/>
      <w:w w:val="80"/>
      <w:kern w:val="2"/>
      <w:sz w:val="24"/>
      <w:szCs w:val="22"/>
      <w:lang w:val="en-US" w:eastAsia="zh-CN" w:bidi="ar-SA"/>
    </w:rPr>
  </w:style>
  <w:style w:type="character" w:customStyle="1" w:styleId="967">
    <w:name w:val="表格 Char"/>
    <w:link w:val="966"/>
    <w:qFormat/>
    <w:locked/>
    <w:uiPriority w:val="0"/>
    <w:rPr>
      <w:rFonts w:ascii="BatangChe" w:hAnsi="BatangChe" w:eastAsia="Times New Roman"/>
      <w:w w:val="80"/>
      <w:sz w:val="24"/>
    </w:rPr>
  </w:style>
  <w:style w:type="character" w:customStyle="1" w:styleId="968">
    <w:name w:val="正文文字缩进 Char"/>
    <w:qFormat/>
    <w:uiPriority w:val="0"/>
    <w:rPr>
      <w:rFonts w:eastAsia="宋体"/>
      <w:kern w:val="2"/>
      <w:sz w:val="21"/>
      <w:szCs w:val="24"/>
      <w:lang w:val="en-US" w:eastAsia="zh-CN" w:bidi="ar-SA"/>
    </w:rPr>
  </w:style>
  <w:style w:type="character" w:customStyle="1" w:styleId="969">
    <w:name w:val="textindent"/>
    <w:qFormat/>
    <w:uiPriority w:val="0"/>
  </w:style>
  <w:style w:type="character" w:customStyle="1" w:styleId="970">
    <w:name w:val="样式 正文文本缩进 + 非加宽量 / 紧缩量 Char Char1"/>
    <w:qFormat/>
    <w:uiPriority w:val="0"/>
    <w:rPr>
      <w:rFonts w:hint="eastAsia" w:ascii="宋体" w:hAnsi="宋体" w:eastAsia="宋体"/>
      <w:kern w:val="2"/>
      <w:sz w:val="28"/>
      <w:szCs w:val="28"/>
      <w:lang w:val="en-US" w:eastAsia="zh-CN" w:bidi="ar-SA"/>
    </w:rPr>
  </w:style>
  <w:style w:type="character" w:customStyle="1" w:styleId="971">
    <w:name w:val="批注框文本 Char6"/>
    <w:semiHidden/>
    <w:qFormat/>
    <w:uiPriority w:val="99"/>
    <w:rPr>
      <w:sz w:val="18"/>
      <w:szCs w:val="18"/>
    </w:rPr>
  </w:style>
  <w:style w:type="character" w:customStyle="1" w:styleId="972">
    <w:name w:val="批注框文本 Char5"/>
    <w:qFormat/>
    <w:uiPriority w:val="0"/>
    <w:rPr>
      <w:rFonts w:ascii="Times New Roman" w:hAnsi="Times New Roman" w:eastAsia="宋体" w:cs="Times New Roman"/>
      <w:sz w:val="18"/>
      <w:szCs w:val="18"/>
    </w:rPr>
  </w:style>
  <w:style w:type="character" w:customStyle="1" w:styleId="973">
    <w:name w:val="正文缩进 Char Char2"/>
    <w:qFormat/>
    <w:uiPriority w:val="0"/>
    <w:rPr>
      <w:rFonts w:eastAsia="宋体"/>
      <w:kern w:val="2"/>
      <w:sz w:val="21"/>
      <w:lang w:val="en-US" w:eastAsia="zh-CN" w:bidi="ar-SA"/>
    </w:rPr>
  </w:style>
  <w:style w:type="character" w:customStyle="1" w:styleId="974">
    <w:name w:val="Char Char611"/>
    <w:qFormat/>
    <w:uiPriority w:val="0"/>
    <w:rPr>
      <w:rFonts w:ascii="Times NewRoman" w:hAnsi="Times NewRoman" w:eastAsia="Arial Narrow" w:cs="Times NewRoman"/>
      <w:kern w:val="2"/>
      <w:sz w:val="24"/>
      <w:szCs w:val="28"/>
      <w:lang w:val="en-US" w:eastAsia="zh-CN" w:bidi="ar-SA"/>
    </w:rPr>
  </w:style>
  <w:style w:type="character" w:customStyle="1" w:styleId="975">
    <w:name w:val="页眉1 Char4"/>
    <w:qFormat/>
    <w:uiPriority w:val="0"/>
    <w:rPr>
      <w:rFonts w:eastAsia="宋体"/>
      <w:kern w:val="2"/>
      <w:sz w:val="18"/>
      <w:szCs w:val="18"/>
      <w:lang w:val="en-US" w:eastAsia="zh-CN" w:bidi="ar-SA"/>
    </w:rPr>
  </w:style>
  <w:style w:type="character" w:customStyle="1" w:styleId="976">
    <w:name w:val="三级目录 Char Char"/>
    <w:link w:val="977"/>
    <w:qFormat/>
    <w:uiPriority w:val="0"/>
    <w:rPr>
      <w:rFonts w:ascii="宋体" w:hAnsi="宋体" w:eastAsia="宋体"/>
      <w:b/>
      <w:sz w:val="28"/>
    </w:rPr>
  </w:style>
  <w:style w:type="paragraph" w:customStyle="1" w:styleId="977">
    <w:name w:val="三级目录"/>
    <w:basedOn w:val="1"/>
    <w:link w:val="976"/>
    <w:qFormat/>
    <w:uiPriority w:val="0"/>
    <w:pPr>
      <w:spacing w:line="500" w:lineRule="exact"/>
      <w:jc w:val="left"/>
      <w:outlineLvl w:val="2"/>
    </w:pPr>
    <w:rPr>
      <w:rFonts w:ascii="宋体" w:hAnsi="宋体"/>
      <w:b/>
      <w:sz w:val="28"/>
    </w:rPr>
  </w:style>
  <w:style w:type="character" w:customStyle="1" w:styleId="978">
    <w:name w:val="标题 11 Char2"/>
    <w:qFormat/>
    <w:uiPriority w:val="0"/>
    <w:rPr>
      <w:rFonts w:ascii="Arial" w:hAnsi="Arial" w:eastAsia="黑体" w:cs="Arial"/>
      <w:kern w:val="44"/>
      <w:sz w:val="30"/>
      <w:szCs w:val="44"/>
      <w:lang w:val="en-US" w:eastAsia="zh-CN" w:bidi="ar-SA"/>
    </w:rPr>
  </w:style>
  <w:style w:type="character" w:customStyle="1" w:styleId="979">
    <w:name w:val="日期 Char Char"/>
    <w:qFormat/>
    <w:uiPriority w:val="0"/>
    <w:rPr>
      <w:rFonts w:eastAsia="宋体"/>
      <w:szCs w:val="24"/>
      <w:lang w:bidi="ar-SA"/>
    </w:rPr>
  </w:style>
  <w:style w:type="character" w:customStyle="1" w:styleId="980">
    <w:name w:val="纯文本 Char"/>
    <w:qFormat/>
    <w:uiPriority w:val="0"/>
    <w:rPr>
      <w:rFonts w:ascii="宋体" w:hAnsi="Courier New" w:eastAsia="宋体" w:cs="Courier New"/>
      <w:szCs w:val="21"/>
    </w:rPr>
  </w:style>
  <w:style w:type="character" w:customStyle="1" w:styleId="981">
    <w:name w:val="批注文字 字符1"/>
    <w:semiHidden/>
    <w:qFormat/>
    <w:uiPriority w:val="99"/>
    <w:rPr>
      <w:rFonts w:ascii="Times New Roman" w:hAnsi="Times New Roman" w:cs="Times New Roman"/>
      <w:sz w:val="24"/>
      <w:szCs w:val="24"/>
    </w:rPr>
  </w:style>
  <w:style w:type="character" w:customStyle="1" w:styleId="982">
    <w:name w:val="Char Char28"/>
    <w:qFormat/>
    <w:uiPriority w:val="0"/>
    <w:rPr>
      <w:rFonts w:ascii="Arial" w:hAnsi="Arial" w:eastAsia="黑体" w:cs="Arial"/>
      <w:kern w:val="44"/>
      <w:sz w:val="30"/>
      <w:szCs w:val="44"/>
      <w:lang w:val="en-US" w:eastAsia="zh-CN" w:bidi="ar-SA"/>
    </w:rPr>
  </w:style>
  <w:style w:type="character" w:customStyle="1" w:styleId="983">
    <w:name w:val="节标题 1.1 Char"/>
    <w:qFormat/>
    <w:uiPriority w:val="0"/>
    <w:rPr>
      <w:rFonts w:ascii="Arial" w:hAnsi="Arial" w:eastAsia="黑体"/>
      <w:b/>
      <w:bCs/>
      <w:kern w:val="2"/>
      <w:sz w:val="32"/>
      <w:szCs w:val="32"/>
      <w:lang w:val="en-US" w:eastAsia="zh-CN" w:bidi="ar-SA"/>
    </w:rPr>
  </w:style>
  <w:style w:type="character" w:customStyle="1" w:styleId="984">
    <w:name w:val="标题 11 Char1"/>
    <w:qFormat/>
    <w:uiPriority w:val="0"/>
    <w:rPr>
      <w:rFonts w:ascii="Arial" w:hAnsi="Arial" w:eastAsia="黑体" w:cs="Arial"/>
      <w:kern w:val="44"/>
      <w:sz w:val="30"/>
      <w:szCs w:val="44"/>
      <w:lang w:val="en-US" w:eastAsia="zh-CN" w:bidi="ar-SA"/>
    </w:rPr>
  </w:style>
  <w:style w:type="character" w:customStyle="1" w:styleId="985">
    <w:name w:val="Char Char1031"/>
    <w:qFormat/>
    <w:uiPriority w:val="0"/>
    <w:rPr>
      <w:rFonts w:eastAsia="宋体"/>
      <w:b/>
      <w:bCs/>
      <w:kern w:val="44"/>
      <w:sz w:val="44"/>
      <w:szCs w:val="44"/>
      <w:lang w:val="en-US" w:eastAsia="zh-CN" w:bidi="ar-SA"/>
    </w:rPr>
  </w:style>
  <w:style w:type="character" w:customStyle="1" w:styleId="986">
    <w:name w:val="表头样式1 Char1"/>
    <w:qFormat/>
    <w:uiPriority w:val="0"/>
    <w:rPr>
      <w:rFonts w:eastAsia="黑体"/>
      <w:b/>
      <w:kern w:val="2"/>
      <w:sz w:val="24"/>
    </w:rPr>
  </w:style>
  <w:style w:type="character" w:customStyle="1" w:styleId="987">
    <w:name w:val="标题 9 Char1"/>
    <w:qFormat/>
    <w:uiPriority w:val="0"/>
    <w:rPr>
      <w:rFonts w:ascii="Times New Roman" w:hAnsi="Times New Roman"/>
      <w:kern w:val="2"/>
      <w:sz w:val="28"/>
      <w:szCs w:val="24"/>
    </w:rPr>
  </w:style>
  <w:style w:type="character" w:customStyle="1" w:styleId="988">
    <w:name w:val="明显强调1"/>
    <w:qFormat/>
    <w:uiPriority w:val="21"/>
    <w:rPr>
      <w:b/>
      <w:bCs/>
      <w:i/>
      <w:iCs/>
      <w:color w:val="4F81BD"/>
    </w:rPr>
  </w:style>
  <w:style w:type="character" w:customStyle="1" w:styleId="989">
    <w:name w:val="hb2 Char Char"/>
    <w:link w:val="990"/>
    <w:qFormat/>
    <w:uiPriority w:val="0"/>
    <w:rPr>
      <w:b/>
      <w:bCs/>
      <w:kern w:val="2"/>
      <w:sz w:val="24"/>
      <w:szCs w:val="24"/>
    </w:rPr>
  </w:style>
  <w:style w:type="paragraph" w:customStyle="1" w:styleId="990">
    <w:name w:val="hb2"/>
    <w:basedOn w:val="5"/>
    <w:link w:val="989"/>
    <w:qFormat/>
    <w:uiPriority w:val="0"/>
    <w:pPr>
      <w:adjustRightInd w:val="0"/>
      <w:spacing w:before="120" w:after="120"/>
      <w:textAlignment w:val="baseline"/>
    </w:pPr>
    <w:rPr>
      <w:rFonts w:ascii="Calibri" w:hAnsi="Calibri" w:eastAsia="宋体"/>
      <w:sz w:val="24"/>
      <w:szCs w:val="24"/>
    </w:rPr>
  </w:style>
  <w:style w:type="character" w:customStyle="1" w:styleId="991">
    <w:name w:val="省表体 Char"/>
    <w:link w:val="992"/>
    <w:qFormat/>
    <w:uiPriority w:val="0"/>
    <w:rPr>
      <w:szCs w:val="21"/>
    </w:rPr>
  </w:style>
  <w:style w:type="paragraph" w:customStyle="1" w:styleId="992">
    <w:name w:val="省表体"/>
    <w:basedOn w:val="1"/>
    <w:link w:val="991"/>
    <w:qFormat/>
    <w:uiPriority w:val="0"/>
    <w:pPr>
      <w:snapToGrid w:val="0"/>
      <w:spacing w:line="320" w:lineRule="exact"/>
      <w:jc w:val="center"/>
    </w:pPr>
    <w:rPr>
      <w:rFonts w:ascii="Times New Roman" w:hAnsi="Times New Roman"/>
      <w:kern w:val="0"/>
      <w:sz w:val="20"/>
      <w:szCs w:val="21"/>
    </w:rPr>
  </w:style>
  <w:style w:type="character" w:customStyle="1" w:styleId="993">
    <w:name w:val="Char Char301"/>
    <w:qFormat/>
    <w:locked/>
    <w:uiPriority w:val="0"/>
    <w:rPr>
      <w:rFonts w:hint="eastAsia" w:ascii="宋体" w:hAnsi="宋体" w:eastAsia="宋体"/>
      <w:kern w:val="2"/>
      <w:sz w:val="21"/>
      <w:szCs w:val="24"/>
      <w:lang w:val="en-US" w:eastAsia="zh-CN" w:bidi="ar-SA"/>
    </w:rPr>
  </w:style>
  <w:style w:type="character" w:customStyle="1" w:styleId="994">
    <w:name w:val="样式27"/>
    <w:qFormat/>
    <w:uiPriority w:val="0"/>
  </w:style>
  <w:style w:type="character" w:customStyle="1" w:styleId="995">
    <w:name w:val="Char Char132"/>
    <w:qFormat/>
    <w:uiPriority w:val="0"/>
    <w:rPr>
      <w:rFonts w:eastAsia="宋体"/>
      <w:kern w:val="2"/>
      <w:sz w:val="24"/>
      <w:szCs w:val="28"/>
      <w:lang w:val="en-US" w:eastAsia="zh-CN" w:bidi="ar-SA"/>
    </w:rPr>
  </w:style>
  <w:style w:type="character" w:customStyle="1" w:styleId="996">
    <w:name w:val="首行缩进两字 Char1"/>
    <w:qFormat/>
    <w:uiPriority w:val="0"/>
    <w:rPr>
      <w:rFonts w:eastAsia="宋体"/>
      <w:kern w:val="2"/>
      <w:sz w:val="21"/>
      <w:lang w:val="en-US" w:eastAsia="zh-CN" w:bidi="ar-SA"/>
    </w:rPr>
  </w:style>
  <w:style w:type="character" w:customStyle="1" w:styleId="997">
    <w:name w:val="条标题1.1.11"/>
    <w:qFormat/>
    <w:uiPriority w:val="0"/>
    <w:rPr>
      <w:rFonts w:ascii="宋体" w:hAnsi="宋体" w:eastAsia="宋体"/>
      <w:b/>
      <w:bCs/>
      <w:color w:val="0000FF"/>
      <w:sz w:val="28"/>
      <w:lang w:val="en-US" w:eastAsia="zh-CN" w:bidi="ar-SA"/>
    </w:rPr>
  </w:style>
  <w:style w:type="character" w:customStyle="1" w:styleId="998">
    <w:name w:val="Char Char82"/>
    <w:qFormat/>
    <w:uiPriority w:val="0"/>
    <w:rPr>
      <w:rFonts w:eastAsia="宋体"/>
      <w:kern w:val="2"/>
      <w:sz w:val="21"/>
      <w:szCs w:val="24"/>
      <w:lang w:val="en-US" w:eastAsia="zh-CN" w:bidi="ar-SA"/>
    </w:rPr>
  </w:style>
  <w:style w:type="character" w:customStyle="1" w:styleId="999">
    <w:name w:val="表 Char Char"/>
    <w:link w:val="1000"/>
    <w:qFormat/>
    <w:uiPriority w:val="0"/>
    <w:rPr>
      <w:rFonts w:ascii="宋体" w:hAnsi="宋体" w:eastAsia="黑体"/>
      <w:kern w:val="10"/>
      <w:sz w:val="24"/>
      <w:lang w:bidi="he-IL"/>
    </w:rPr>
  </w:style>
  <w:style w:type="paragraph" w:customStyle="1" w:styleId="1000">
    <w:name w:val="表"/>
    <w:basedOn w:val="1"/>
    <w:link w:val="999"/>
    <w:qFormat/>
    <w:uiPriority w:val="0"/>
    <w:pPr>
      <w:tabs>
        <w:tab w:val="left" w:pos="352"/>
      </w:tabs>
      <w:adjustRightInd w:val="0"/>
      <w:spacing w:after="156" w:afterLines="50"/>
      <w:ind w:left="-62" w:leftChars="-24"/>
      <w:textAlignment w:val="baseline"/>
    </w:pPr>
    <w:rPr>
      <w:rFonts w:ascii="宋体" w:hAnsi="宋体" w:eastAsia="黑体"/>
      <w:kern w:val="10"/>
      <w:sz w:val="24"/>
      <w:szCs w:val="20"/>
      <w:lang w:bidi="he-IL"/>
    </w:rPr>
  </w:style>
  <w:style w:type="character" w:customStyle="1" w:styleId="1001">
    <w:name w:val="Char Char712"/>
    <w:qFormat/>
    <w:uiPriority w:val="0"/>
    <w:rPr>
      <w:rFonts w:ascii="宋体" w:hAnsi="Courier New" w:eastAsia="宋体"/>
      <w:sz w:val="21"/>
      <w:lang w:val="en-US" w:eastAsia="zh-CN" w:bidi="ar-SA"/>
    </w:rPr>
  </w:style>
  <w:style w:type="character" w:customStyle="1" w:styleId="1002">
    <w:name w:val="图片2 Char"/>
    <w:link w:val="1003"/>
    <w:qFormat/>
    <w:uiPriority w:val="0"/>
    <w:rPr>
      <w:sz w:val="28"/>
      <w:szCs w:val="28"/>
    </w:rPr>
  </w:style>
  <w:style w:type="paragraph" w:customStyle="1" w:styleId="1003">
    <w:name w:val="图片2"/>
    <w:basedOn w:val="1"/>
    <w:link w:val="1002"/>
    <w:qFormat/>
    <w:uiPriority w:val="0"/>
    <w:pPr>
      <w:adjustRightInd w:val="0"/>
      <w:snapToGrid w:val="0"/>
      <w:spacing w:line="240" w:lineRule="atLeast"/>
      <w:jc w:val="center"/>
    </w:pPr>
    <w:rPr>
      <w:sz w:val="28"/>
      <w:szCs w:val="28"/>
    </w:rPr>
  </w:style>
  <w:style w:type="character" w:customStyle="1" w:styleId="1004">
    <w:name w:val="标题 14 Char Char"/>
    <w:qFormat/>
    <w:uiPriority w:val="0"/>
    <w:rPr>
      <w:rFonts w:ascii="宋体" w:hAnsi="宋体" w:eastAsia="宋体"/>
      <w:b/>
      <w:sz w:val="24"/>
      <w:lang w:val="en-US" w:eastAsia="zh-CN" w:bidi="ar-SA"/>
    </w:rPr>
  </w:style>
  <w:style w:type="character" w:customStyle="1" w:styleId="1005">
    <w:name w:val="001 Char Char"/>
    <w:qFormat/>
    <w:uiPriority w:val="0"/>
    <w:rPr>
      <w:rFonts w:ascii="Times NewRoman" w:hAnsi="Times NewRoman" w:eastAsia="Calibri" w:cs="汉鼎简书宋"/>
      <w:b/>
      <w:bCs/>
      <w:spacing w:val="-2"/>
      <w:kern w:val="44"/>
      <w:sz w:val="30"/>
      <w:szCs w:val="44"/>
    </w:rPr>
  </w:style>
  <w:style w:type="character" w:customStyle="1" w:styleId="1006">
    <w:name w:val="信息标题 Char2"/>
    <w:qFormat/>
    <w:uiPriority w:val="0"/>
    <w:rPr>
      <w:rFonts w:ascii="Cambria" w:hAnsi="Cambria" w:eastAsia="宋体" w:cs="Times New Roman"/>
      <w:kern w:val="2"/>
      <w:sz w:val="24"/>
      <w:szCs w:val="24"/>
      <w:shd w:val="pct20" w:color="auto" w:fill="auto"/>
    </w:rPr>
  </w:style>
  <w:style w:type="character" w:customStyle="1" w:styleId="1007">
    <w:name w:val="引用 字符"/>
    <w:link w:val="1008"/>
    <w:qFormat/>
    <w:uiPriority w:val="29"/>
    <w:rPr>
      <w:rFonts w:ascii="Calibri" w:hAnsi="Calibri" w:eastAsia="宋体"/>
      <w:i/>
      <w:iCs/>
      <w:color w:val="000000"/>
      <w:sz w:val="22"/>
      <w:lang w:eastAsia="en-US" w:bidi="en-US"/>
    </w:rPr>
  </w:style>
  <w:style w:type="paragraph" w:styleId="1008">
    <w:name w:val="Quote"/>
    <w:basedOn w:val="1"/>
    <w:next w:val="1"/>
    <w:link w:val="1007"/>
    <w:qFormat/>
    <w:uiPriority w:val="0"/>
    <w:pPr>
      <w:widowControl/>
      <w:spacing w:after="200" w:line="276" w:lineRule="auto"/>
      <w:jc w:val="left"/>
    </w:pPr>
    <w:rPr>
      <w:i/>
      <w:iCs/>
      <w:color w:val="000000"/>
      <w:sz w:val="22"/>
      <w:lang w:eastAsia="en-US" w:bidi="en-US"/>
    </w:rPr>
  </w:style>
  <w:style w:type="character" w:customStyle="1" w:styleId="1009">
    <w:name w:val="样式 标题 2节标题 1.1标题 1.1h2l22nd levelTitre22Header 2BSH-2H...1 Char"/>
    <w:link w:val="1010"/>
    <w:qFormat/>
    <w:uiPriority w:val="0"/>
    <w:rPr>
      <w:rFonts w:ascii="Times New Roman" w:hAnsi="Times New Roman" w:eastAsia="黑体"/>
      <w:bCs/>
      <w:sz w:val="28"/>
      <w:szCs w:val="32"/>
    </w:rPr>
  </w:style>
  <w:style w:type="paragraph" w:customStyle="1" w:styleId="1010">
    <w:name w:val="样式 标题 2节标题 1.1标题 1.1h2l22nd levelTitre22Header 2BSH-2H...1"/>
    <w:basedOn w:val="5"/>
    <w:link w:val="1009"/>
    <w:qFormat/>
    <w:uiPriority w:val="0"/>
    <w:pPr>
      <w:adjustRightInd w:val="0"/>
      <w:snapToGrid w:val="0"/>
      <w:spacing w:before="260" w:after="260" w:line="416" w:lineRule="auto"/>
      <w:ind w:left="576" w:hanging="420"/>
    </w:pPr>
    <w:rPr>
      <w:b w:val="0"/>
      <w:kern w:val="0"/>
    </w:rPr>
  </w:style>
  <w:style w:type="character" w:customStyle="1" w:styleId="1011">
    <w:name w:val="样式 正文 +1 Char Char"/>
    <w:link w:val="1012"/>
    <w:qFormat/>
    <w:uiPriority w:val="0"/>
    <w:rPr>
      <w:sz w:val="24"/>
      <w:szCs w:val="24"/>
    </w:rPr>
  </w:style>
  <w:style w:type="paragraph" w:customStyle="1" w:styleId="1012">
    <w:name w:val="样式 正文 +1"/>
    <w:basedOn w:val="1"/>
    <w:link w:val="1011"/>
    <w:qFormat/>
    <w:uiPriority w:val="0"/>
    <w:pPr>
      <w:spacing w:line="329" w:lineRule="auto"/>
    </w:pPr>
    <w:rPr>
      <w:sz w:val="24"/>
      <w:szCs w:val="24"/>
    </w:rPr>
  </w:style>
  <w:style w:type="character" w:customStyle="1" w:styleId="1013">
    <w:name w:val="样式 正文文本 + 首行缩进:  0.8 厘米 Char"/>
    <w:link w:val="1014"/>
    <w:qFormat/>
    <w:uiPriority w:val="0"/>
    <w:rPr>
      <w:rFonts w:ascii="仿宋_GB2312" w:hAnsi="宋体" w:eastAsia="仿宋_GB2312"/>
      <w:spacing w:val="-8"/>
      <w:sz w:val="28"/>
      <w:szCs w:val="28"/>
    </w:rPr>
  </w:style>
  <w:style w:type="paragraph" w:customStyle="1" w:styleId="1014">
    <w:name w:val="样式 正文文本 + 首行缩进:  0.8 厘米"/>
    <w:basedOn w:val="34"/>
    <w:link w:val="1013"/>
    <w:qFormat/>
    <w:uiPriority w:val="0"/>
    <w:pPr>
      <w:spacing w:after="0" w:line="360" w:lineRule="auto"/>
      <w:ind w:firstLine="200" w:firstLineChars="200"/>
    </w:pPr>
    <w:rPr>
      <w:rFonts w:ascii="仿宋_GB2312" w:hAnsi="宋体" w:eastAsia="仿宋_GB2312"/>
      <w:spacing w:val="-8"/>
      <w:kern w:val="0"/>
      <w:sz w:val="28"/>
      <w:szCs w:val="28"/>
    </w:rPr>
  </w:style>
  <w:style w:type="character" w:customStyle="1" w:styleId="1015">
    <w:name w:val="Footer-Even Char1"/>
    <w:qFormat/>
    <w:locked/>
    <w:uiPriority w:val="0"/>
    <w:rPr>
      <w:rFonts w:ascii="宋体" w:hAnsi="宋体" w:eastAsia="宋体" w:cs="Courier New"/>
      <w:spacing w:val="-2"/>
      <w:kern w:val="2"/>
      <w:sz w:val="18"/>
      <w:szCs w:val="18"/>
      <w:lang w:val="en-US" w:eastAsia="zh-CN" w:bidi="ar-SA"/>
    </w:rPr>
  </w:style>
  <w:style w:type="character" w:customStyle="1" w:styleId="1016">
    <w:name w:val="题注 Char Char"/>
    <w:qFormat/>
    <w:locked/>
    <w:uiPriority w:val="0"/>
    <w:rPr>
      <w:rFonts w:ascii="Arial" w:hAnsi="Arial" w:eastAsia="黑体" w:cs="Arial"/>
      <w:spacing w:val="-2"/>
      <w:kern w:val="2"/>
      <w:sz w:val="22"/>
      <w:szCs w:val="32"/>
      <w:lang w:val="en-US" w:eastAsia="zh-CN" w:bidi="ar-SA"/>
    </w:rPr>
  </w:style>
  <w:style w:type="character" w:customStyle="1" w:styleId="1017">
    <w:name w:val="日期 字符"/>
    <w:qFormat/>
    <w:uiPriority w:val="0"/>
    <w:rPr>
      <w:rFonts w:ascii="仿宋_GB2312" w:hAnsi="Times New Roman" w:eastAsia="方正仿宋_GBK" w:cs="Times New Roman"/>
      <w:kern w:val="0"/>
      <w:sz w:val="32"/>
      <w:szCs w:val="36"/>
    </w:rPr>
  </w:style>
  <w:style w:type="character" w:customStyle="1" w:styleId="1018">
    <w:name w:val="dxj正文 Char Char"/>
    <w:link w:val="1019"/>
    <w:qFormat/>
    <w:uiPriority w:val="0"/>
    <w:rPr>
      <w:rFonts w:eastAsia="宋体"/>
      <w:sz w:val="24"/>
      <w:szCs w:val="24"/>
    </w:rPr>
  </w:style>
  <w:style w:type="paragraph" w:customStyle="1" w:styleId="1019">
    <w:name w:val="dxj正文"/>
    <w:basedOn w:val="1"/>
    <w:link w:val="1018"/>
    <w:qFormat/>
    <w:uiPriority w:val="0"/>
    <w:pPr>
      <w:spacing w:line="360" w:lineRule="auto"/>
      <w:ind w:firstLine="200" w:firstLineChars="200"/>
    </w:pPr>
    <w:rPr>
      <w:sz w:val="24"/>
      <w:szCs w:val="24"/>
    </w:rPr>
  </w:style>
  <w:style w:type="character" w:customStyle="1" w:styleId="1020">
    <w:name w:val="Char Char231"/>
    <w:qFormat/>
    <w:uiPriority w:val="0"/>
    <w:rPr>
      <w:rFonts w:eastAsia="宋体"/>
      <w:b/>
      <w:bCs/>
      <w:kern w:val="2"/>
      <w:sz w:val="32"/>
      <w:szCs w:val="32"/>
      <w:lang w:val="en-US" w:eastAsia="zh-CN" w:bidi="ar-SA"/>
    </w:rPr>
  </w:style>
  <w:style w:type="character" w:customStyle="1" w:styleId="1021">
    <w:name w:val="正文YHY Char Char"/>
    <w:qFormat/>
    <w:uiPriority w:val="0"/>
    <w:rPr>
      <w:rFonts w:eastAsia="宋体"/>
      <w:kern w:val="2"/>
      <w:sz w:val="24"/>
      <w:szCs w:val="24"/>
      <w:lang w:val="en-US" w:eastAsia="zh-CN" w:bidi="ar-SA"/>
    </w:rPr>
  </w:style>
  <w:style w:type="character" w:customStyle="1" w:styleId="1022">
    <w:name w:val="报告 Char Char Char"/>
    <w:link w:val="1023"/>
    <w:qFormat/>
    <w:uiPriority w:val="0"/>
    <w:rPr>
      <w:sz w:val="24"/>
    </w:rPr>
  </w:style>
  <w:style w:type="paragraph" w:customStyle="1" w:styleId="1023">
    <w:name w:val="报告 Char Char"/>
    <w:basedOn w:val="1"/>
    <w:link w:val="1022"/>
    <w:qFormat/>
    <w:uiPriority w:val="0"/>
    <w:pPr>
      <w:widowControl/>
      <w:overflowPunct w:val="0"/>
      <w:autoSpaceDE w:val="0"/>
      <w:autoSpaceDN w:val="0"/>
      <w:adjustRightInd w:val="0"/>
      <w:spacing w:before="120" w:after="120" w:line="400" w:lineRule="atLeast"/>
      <w:ind w:firstLine="200" w:firstLineChars="200"/>
      <w:textAlignment w:val="baseline"/>
    </w:pPr>
    <w:rPr>
      <w:sz w:val="24"/>
    </w:rPr>
  </w:style>
  <w:style w:type="character" w:customStyle="1" w:styleId="1024">
    <w:name w:val="HTML 预设格式 Char4"/>
    <w:semiHidden/>
    <w:qFormat/>
    <w:uiPriority w:val="0"/>
    <w:rPr>
      <w:rFonts w:ascii="Courier New" w:hAnsi="Courier New" w:cs="Courier New"/>
      <w:kern w:val="2"/>
    </w:rPr>
  </w:style>
  <w:style w:type="character" w:customStyle="1" w:styleId="1025">
    <w:name w:val="批注引用6"/>
    <w:qFormat/>
    <w:uiPriority w:val="0"/>
    <w:rPr>
      <w:sz w:val="21"/>
      <w:szCs w:val="21"/>
    </w:rPr>
  </w:style>
  <w:style w:type="character" w:customStyle="1" w:styleId="1026">
    <w:name w:val="正文(首行缩进) Char Char"/>
    <w:qFormat/>
    <w:uiPriority w:val="0"/>
    <w:rPr>
      <w:rFonts w:eastAsia="宋体"/>
      <w:snapToGrid w:val="0"/>
      <w:sz w:val="24"/>
      <w:lang w:val="en-US" w:eastAsia="zh-CN" w:bidi="ar-SA"/>
    </w:rPr>
  </w:style>
  <w:style w:type="character" w:customStyle="1" w:styleId="1027">
    <w:name w:val="正文文本 2 Char4"/>
    <w:qFormat/>
    <w:uiPriority w:val="0"/>
    <w:rPr>
      <w:kern w:val="2"/>
      <w:sz w:val="21"/>
    </w:rPr>
  </w:style>
  <w:style w:type="character" w:customStyle="1" w:styleId="1028">
    <w:name w:val="Char Char1"/>
    <w:qFormat/>
    <w:uiPriority w:val="0"/>
    <w:rPr>
      <w:rFonts w:ascii="Arial" w:hAnsi="Arial" w:eastAsia="黑体"/>
      <w:kern w:val="2"/>
      <w:sz w:val="36"/>
      <w:lang w:val="en-US" w:eastAsia="zh-CN" w:bidi="ar-SA"/>
    </w:rPr>
  </w:style>
  <w:style w:type="character" w:customStyle="1" w:styleId="1029">
    <w:name w:val="标题 14 Char"/>
    <w:qFormat/>
    <w:uiPriority w:val="0"/>
    <w:rPr>
      <w:rFonts w:ascii="Arial" w:hAnsi="Arial" w:eastAsia="黑体"/>
      <w:b/>
      <w:bCs/>
      <w:kern w:val="2"/>
      <w:sz w:val="28"/>
      <w:szCs w:val="28"/>
      <w:lang w:val="en-US" w:eastAsia="zh-CN" w:bidi="ar-SA"/>
    </w:rPr>
  </w:style>
  <w:style w:type="character" w:customStyle="1" w:styleId="1030">
    <w:name w:val="我的样式（正文） Char Char"/>
    <w:qFormat/>
    <w:uiPriority w:val="0"/>
    <w:rPr>
      <w:rFonts w:ascii="宋体" w:hAnsi="华文楷体" w:eastAsia="宋体"/>
      <w:kern w:val="2"/>
      <w:sz w:val="24"/>
      <w:szCs w:val="24"/>
      <w:lang w:val="en-US" w:eastAsia="zh-CN"/>
    </w:rPr>
  </w:style>
  <w:style w:type="character" w:customStyle="1" w:styleId="1031">
    <w:name w:val="纯文本 字符1"/>
    <w:semiHidden/>
    <w:qFormat/>
    <w:uiPriority w:val="99"/>
    <w:rPr>
      <w:rFonts w:ascii="宋体" w:hAnsi="Courier New" w:cs="Courier New"/>
      <w:sz w:val="24"/>
      <w:szCs w:val="24"/>
    </w:rPr>
  </w:style>
  <w:style w:type="character" w:customStyle="1" w:styleId="1032">
    <w:name w:val="尾注文本 Char3"/>
    <w:qFormat/>
    <w:uiPriority w:val="0"/>
    <w:rPr>
      <w:rFonts w:ascii="Times New Roman" w:hAnsi="Times New Roman"/>
      <w:kern w:val="2"/>
      <w:sz w:val="21"/>
    </w:rPr>
  </w:style>
  <w:style w:type="character" w:customStyle="1" w:styleId="1033">
    <w:name w:val="标题 5[858D7CFB-ED40-4347-BF05-701D383B685F]"/>
    <w:qFormat/>
    <w:uiPriority w:val="0"/>
    <w:rPr>
      <w:rFonts w:eastAsia="宋体"/>
      <w:b/>
      <w:bCs/>
      <w:kern w:val="2"/>
      <w:sz w:val="28"/>
      <w:szCs w:val="28"/>
      <w:lang w:val="en-US" w:eastAsia="zh-CN" w:bidi="ar-SA"/>
    </w:rPr>
  </w:style>
  <w:style w:type="character" w:customStyle="1" w:styleId="1034">
    <w:name w:val="正文 Char Char Char"/>
    <w:qFormat/>
    <w:uiPriority w:val="0"/>
    <w:rPr>
      <w:rFonts w:ascii="宋体" w:hAnsi="宋体" w:eastAsia="宋体" w:cs="宋体"/>
      <w:kern w:val="2"/>
      <w:sz w:val="24"/>
      <w:szCs w:val="24"/>
      <w:lang w:val="en-US" w:eastAsia="zh-CN" w:bidi="ar-SA"/>
    </w:rPr>
  </w:style>
  <w:style w:type="character" w:customStyle="1" w:styleId="1035">
    <w:name w:val="三级目录 Char"/>
    <w:qFormat/>
    <w:uiPriority w:val="0"/>
    <w:rPr>
      <w:rFonts w:ascii="宋体" w:hAnsi="宋体" w:eastAsia="宋体"/>
      <w:b/>
      <w:kern w:val="2"/>
      <w:sz w:val="28"/>
      <w:lang w:val="en-US" w:eastAsia="zh-CN" w:bidi="ar-SA"/>
    </w:rPr>
  </w:style>
  <w:style w:type="character" w:customStyle="1" w:styleId="1036">
    <w:name w:val="Char Char65"/>
    <w:qFormat/>
    <w:uiPriority w:val="0"/>
    <w:rPr>
      <w:rFonts w:ascii="Times NewRoman" w:hAnsi="Times NewRoman" w:eastAsia="幼圆" w:cs="Times NewRoman"/>
      <w:b/>
      <w:bCs/>
      <w:kern w:val="44"/>
      <w:sz w:val="44"/>
      <w:szCs w:val="44"/>
      <w:lang w:val="en-US" w:eastAsia="zh-CN" w:bidi="ar-SA"/>
    </w:rPr>
  </w:style>
  <w:style w:type="character" w:customStyle="1" w:styleId="1037">
    <w:name w:val="Char Char323"/>
    <w:qFormat/>
    <w:uiPriority w:val="0"/>
    <w:rPr>
      <w:rFonts w:eastAsia="宋体"/>
      <w:b/>
      <w:bCs/>
      <w:kern w:val="2"/>
      <w:sz w:val="32"/>
      <w:szCs w:val="32"/>
      <w:lang w:val="en-US" w:eastAsia="zh-CN" w:bidi="ar-SA"/>
    </w:rPr>
  </w:style>
  <w:style w:type="character" w:customStyle="1" w:styleId="1038">
    <w:name w:val="报告正文 Char"/>
    <w:qFormat/>
    <w:uiPriority w:val="0"/>
    <w:rPr>
      <w:rFonts w:eastAsia="宋体"/>
      <w:color w:val="000000"/>
      <w:kern w:val="2"/>
      <w:sz w:val="24"/>
      <w:szCs w:val="24"/>
      <w:lang w:val="en-US" w:eastAsia="zh-CN" w:bidi="ar-SA"/>
    </w:rPr>
  </w:style>
  <w:style w:type="character" w:customStyle="1" w:styleId="1039">
    <w:name w:val="Char Char471"/>
    <w:qFormat/>
    <w:uiPriority w:val="0"/>
    <w:rPr>
      <w:rFonts w:ascii="Arial" w:hAnsi="Arial" w:eastAsia="黑体"/>
      <w:b/>
      <w:bCs/>
      <w:kern w:val="2"/>
      <w:sz w:val="32"/>
      <w:szCs w:val="32"/>
      <w:lang w:val="en-US" w:eastAsia="zh-CN" w:bidi="ar-SA"/>
    </w:rPr>
  </w:style>
  <w:style w:type="character" w:customStyle="1" w:styleId="1040">
    <w:name w:val="样式 首行缩进:  2 字符1 Char"/>
    <w:link w:val="1041"/>
    <w:qFormat/>
    <w:locked/>
    <w:uiPriority w:val="0"/>
    <w:rPr>
      <w:rFonts w:eastAsia="宋体" w:cs="宋体"/>
      <w:sz w:val="24"/>
    </w:rPr>
  </w:style>
  <w:style w:type="paragraph" w:customStyle="1" w:styleId="1041">
    <w:name w:val="样式 首行缩进:  2 字符1"/>
    <w:basedOn w:val="1"/>
    <w:link w:val="1040"/>
    <w:qFormat/>
    <w:uiPriority w:val="0"/>
    <w:pPr>
      <w:spacing w:line="360" w:lineRule="auto"/>
      <w:ind w:firstLine="200" w:firstLineChars="200"/>
    </w:pPr>
    <w:rPr>
      <w:rFonts w:cs="宋体"/>
      <w:sz w:val="24"/>
    </w:rPr>
  </w:style>
  <w:style w:type="character" w:customStyle="1" w:styleId="1042">
    <w:name w:val="样式 标题 3 + 小四 Char"/>
    <w:link w:val="1043"/>
    <w:qFormat/>
    <w:locked/>
    <w:uiPriority w:val="0"/>
    <w:rPr>
      <w:rFonts w:ascii="宋体" w:hAnsi="宋体" w:eastAsia="黑体"/>
      <w:b/>
      <w:bCs/>
      <w:kern w:val="2"/>
      <w:sz w:val="24"/>
      <w:szCs w:val="24"/>
    </w:rPr>
  </w:style>
  <w:style w:type="paragraph" w:customStyle="1" w:styleId="1043">
    <w:name w:val="样式 标题 3 + 小四"/>
    <w:basedOn w:val="6"/>
    <w:link w:val="1042"/>
    <w:qFormat/>
    <w:uiPriority w:val="0"/>
    <w:pPr>
      <w:adjustRightInd w:val="0"/>
      <w:snapToGrid w:val="0"/>
      <w:spacing w:before="312" w:beforeLines="100" w:after="156" w:afterLines="50"/>
    </w:pPr>
    <w:rPr>
      <w:rFonts w:ascii="宋体" w:hAnsi="宋体"/>
      <w:szCs w:val="24"/>
    </w:rPr>
  </w:style>
  <w:style w:type="character" w:customStyle="1" w:styleId="1044">
    <w:name w:val="Char Char77"/>
    <w:qFormat/>
    <w:uiPriority w:val="0"/>
    <w:rPr>
      <w:rFonts w:ascii="Times New Roman" w:hAnsi="Times New Roman" w:eastAsia="宋体" w:cs="Times New Roman"/>
    </w:rPr>
  </w:style>
  <w:style w:type="character" w:customStyle="1" w:styleId="1045">
    <w:name w:val="正文首行缩进 字符"/>
    <w:link w:val="1046"/>
    <w:qFormat/>
    <w:uiPriority w:val="99"/>
    <w:rPr>
      <w:kern w:val="2"/>
      <w:sz w:val="24"/>
      <w:szCs w:val="22"/>
    </w:rPr>
  </w:style>
  <w:style w:type="paragraph" w:customStyle="1" w:styleId="1046">
    <w:name w:val="正文文本首行缩进1"/>
    <w:basedOn w:val="1"/>
    <w:link w:val="1045"/>
    <w:unhideWhenUsed/>
    <w:qFormat/>
    <w:uiPriority w:val="99"/>
    <w:pPr>
      <w:adjustRightInd w:val="0"/>
      <w:snapToGrid w:val="0"/>
      <w:spacing w:line="360" w:lineRule="auto"/>
      <w:ind w:firstLine="200" w:firstLineChars="200"/>
    </w:pPr>
    <w:rPr>
      <w:rFonts w:ascii="Times New Roman" w:hAnsi="Times New Roman"/>
      <w:sz w:val="24"/>
    </w:rPr>
  </w:style>
  <w:style w:type="character" w:customStyle="1" w:styleId="1047">
    <w:name w:val="yqlink"/>
    <w:qFormat/>
    <w:uiPriority w:val="0"/>
  </w:style>
  <w:style w:type="character" w:customStyle="1" w:styleId="1048">
    <w:name w:val="文档结构图 Char4"/>
    <w:qFormat/>
    <w:uiPriority w:val="0"/>
    <w:rPr>
      <w:rFonts w:ascii="宋体"/>
      <w:kern w:val="2"/>
      <w:sz w:val="18"/>
      <w:szCs w:val="18"/>
    </w:rPr>
  </w:style>
  <w:style w:type="character" w:customStyle="1" w:styleId="1049">
    <w:name w:val="Header Char"/>
    <w:qFormat/>
    <w:uiPriority w:val="0"/>
    <w:rPr>
      <w:rFonts w:eastAsia="宋体"/>
      <w:kern w:val="2"/>
      <w:sz w:val="18"/>
      <w:szCs w:val="18"/>
      <w:lang w:val="en-US" w:eastAsia="zh-CN" w:bidi="ar-SA"/>
    </w:rPr>
  </w:style>
  <w:style w:type="character" w:customStyle="1" w:styleId="1050">
    <w:name w:val="书籍标题1"/>
    <w:qFormat/>
    <w:uiPriority w:val="33"/>
    <w:rPr>
      <w:rFonts w:ascii="黑体" w:hAnsi="黑体" w:eastAsia="黑体"/>
      <w:szCs w:val="24"/>
    </w:rPr>
  </w:style>
  <w:style w:type="character" w:customStyle="1" w:styleId="1051">
    <w:name w:val="我 Char"/>
    <w:qFormat/>
    <w:uiPriority w:val="0"/>
    <w:rPr>
      <w:rFonts w:ascii="宋体" w:hAnsi="宋体" w:eastAsia="宋体" w:cs="宋体"/>
      <w:kern w:val="2"/>
      <w:sz w:val="28"/>
      <w:szCs w:val="28"/>
      <w:lang w:val="en-US" w:eastAsia="zh-CN" w:bidi="ar-SA"/>
    </w:rPr>
  </w:style>
  <w:style w:type="character" w:customStyle="1" w:styleId="1052">
    <w:name w:val="7表格(治) Char Char Char"/>
    <w:qFormat/>
    <w:uiPriority w:val="0"/>
    <w:rPr>
      <w:rFonts w:eastAsia="楷体_GB2312" w:cs="宋体"/>
      <w:kern w:val="2"/>
      <w:sz w:val="21"/>
      <w:szCs w:val="36"/>
      <w:lang w:val="en-US" w:eastAsia="zh-CN" w:bidi="ar-SA"/>
    </w:rPr>
  </w:style>
  <w:style w:type="character" w:customStyle="1" w:styleId="1053">
    <w:name w:val="结束语 Char2"/>
    <w:qFormat/>
    <w:uiPriority w:val="0"/>
  </w:style>
  <w:style w:type="character" w:customStyle="1" w:styleId="1054">
    <w:name w:val="style21"/>
    <w:qFormat/>
    <w:uiPriority w:val="0"/>
    <w:rPr>
      <w:color w:val="3F7FBF"/>
    </w:rPr>
  </w:style>
  <w:style w:type="character" w:customStyle="1" w:styleId="1055">
    <w:name w:val="Char Char462"/>
    <w:qFormat/>
    <w:uiPriority w:val="0"/>
    <w:rPr>
      <w:rFonts w:ascii="Arial" w:hAnsi="Arial" w:eastAsia="黑体"/>
      <w:b/>
      <w:bCs/>
      <w:kern w:val="2"/>
      <w:sz w:val="32"/>
      <w:szCs w:val="32"/>
      <w:lang w:val="en-US" w:eastAsia="zh-CN" w:bidi="ar-SA"/>
    </w:rPr>
  </w:style>
  <w:style w:type="character" w:customStyle="1" w:styleId="1056">
    <w:name w:val="Char Char711"/>
    <w:qFormat/>
    <w:uiPriority w:val="0"/>
    <w:rPr>
      <w:rFonts w:ascii="宋体" w:hAnsi="Courier New" w:eastAsia="宋体"/>
      <w:sz w:val="21"/>
      <w:lang w:val="en-US" w:eastAsia="zh-CN" w:bidi="ar-SA"/>
    </w:rPr>
  </w:style>
  <w:style w:type="character" w:customStyle="1" w:styleId="1057">
    <w:name w:val="表文 Char Char"/>
    <w:qFormat/>
    <w:uiPriority w:val="0"/>
    <w:rPr>
      <w:rFonts w:eastAsia="宋体"/>
      <w:color w:val="000000"/>
      <w:position w:val="-24"/>
      <w:szCs w:val="21"/>
    </w:rPr>
  </w:style>
  <w:style w:type="character" w:customStyle="1" w:styleId="1058">
    <w:name w:val="Char Char4311"/>
    <w:qFormat/>
    <w:uiPriority w:val="0"/>
    <w:rPr>
      <w:rFonts w:ascii="仿宋体" w:hAnsi="仿宋体" w:eastAsia="Calibri" w:cs="Times NewRoman"/>
      <w:bCs/>
      <w:sz w:val="24"/>
      <w:szCs w:val="28"/>
    </w:rPr>
  </w:style>
  <w:style w:type="character" w:customStyle="1" w:styleId="1059">
    <w:name w:val="不明显强调1"/>
    <w:qFormat/>
    <w:uiPriority w:val="19"/>
    <w:rPr>
      <w:i/>
      <w:iCs/>
      <w:color w:val="808080"/>
    </w:rPr>
  </w:style>
  <w:style w:type="character" w:customStyle="1" w:styleId="1060">
    <w:name w:val="My table tailer Char Char"/>
    <w:qFormat/>
    <w:uiPriority w:val="0"/>
    <w:rPr>
      <w:rFonts w:ascii="宋体" w:hAnsi="宋体" w:eastAsia="宋体" w:cs="宋体"/>
      <w:spacing w:val="-1"/>
      <w:kern w:val="2"/>
      <w:sz w:val="21"/>
      <w:szCs w:val="21"/>
      <w:lang w:val="en-US" w:bidi="ar-SA"/>
    </w:rPr>
  </w:style>
  <w:style w:type="character" w:customStyle="1" w:styleId="1061">
    <w:name w:val="Char Char561"/>
    <w:qFormat/>
    <w:uiPriority w:val="0"/>
    <w:rPr>
      <w:rFonts w:eastAsia="幼圆"/>
      <w:kern w:val="2"/>
      <w:sz w:val="24"/>
      <w:lang w:val="en-US" w:eastAsia="zh-CN" w:bidi="ar-SA"/>
    </w:rPr>
  </w:style>
  <w:style w:type="character" w:customStyle="1" w:styleId="1062">
    <w:name w:val="正文（首行缩进两字） Char Char Char Char Char Char Char Char2"/>
    <w:qFormat/>
    <w:uiPriority w:val="0"/>
    <w:rPr>
      <w:rFonts w:eastAsia="幼圆"/>
      <w:sz w:val="24"/>
      <w:lang w:bidi="ar-SA"/>
    </w:rPr>
  </w:style>
  <w:style w:type="character" w:customStyle="1" w:styleId="1063">
    <w:name w:val="表表表表 字符"/>
    <w:link w:val="1064"/>
    <w:qFormat/>
    <w:uiPriority w:val="0"/>
    <w:rPr>
      <w:rFonts w:ascii="Arial" w:hAnsi="Arial"/>
      <w:kern w:val="2"/>
      <w:sz w:val="21"/>
    </w:rPr>
  </w:style>
  <w:style w:type="paragraph" w:customStyle="1" w:styleId="1064">
    <w:name w:val="表表表表"/>
    <w:basedOn w:val="1"/>
    <w:link w:val="1063"/>
    <w:qFormat/>
    <w:uiPriority w:val="0"/>
    <w:pPr>
      <w:spacing w:line="280" w:lineRule="exact"/>
      <w:jc w:val="center"/>
    </w:pPr>
    <w:rPr>
      <w:rFonts w:ascii="Arial" w:hAnsi="Arial"/>
      <w:szCs w:val="20"/>
    </w:rPr>
  </w:style>
  <w:style w:type="character" w:customStyle="1" w:styleId="1065">
    <w:name w:val="批注引用4"/>
    <w:qFormat/>
    <w:uiPriority w:val="0"/>
    <w:rPr>
      <w:sz w:val="21"/>
      <w:szCs w:val="21"/>
    </w:rPr>
  </w:style>
  <w:style w:type="character" w:customStyle="1" w:styleId="1066">
    <w:name w:val="批注文字 Char Char"/>
    <w:qFormat/>
    <w:uiPriority w:val="0"/>
    <w:rPr>
      <w:rFonts w:eastAsia="宋体"/>
      <w:kern w:val="2"/>
      <w:sz w:val="21"/>
      <w:lang w:val="en-US" w:eastAsia="zh-CN" w:bidi="ar-SA"/>
    </w:rPr>
  </w:style>
  <w:style w:type="character" w:customStyle="1" w:styleId="1067">
    <w:name w:val="Char Char102"/>
    <w:qFormat/>
    <w:uiPriority w:val="0"/>
    <w:rPr>
      <w:rFonts w:eastAsia="宋体"/>
      <w:b/>
      <w:bCs/>
      <w:kern w:val="44"/>
      <w:sz w:val="44"/>
      <w:szCs w:val="44"/>
      <w:lang w:val="en-US" w:eastAsia="zh-CN" w:bidi="ar-SA"/>
    </w:rPr>
  </w:style>
  <w:style w:type="character" w:customStyle="1" w:styleId="1068">
    <w:name w:val="Char Char62"/>
    <w:qFormat/>
    <w:uiPriority w:val="0"/>
    <w:rPr>
      <w:rFonts w:ascii="Arial Unicode MS" w:hAnsi="Arial Unicode MS" w:eastAsia="Calibri" w:cs="Times NewRoman"/>
      <w:b/>
      <w:bCs/>
      <w:kern w:val="2"/>
      <w:sz w:val="28"/>
      <w:szCs w:val="28"/>
      <w:lang w:val="en-US" w:eastAsia="zh-CN" w:bidi="ar-SA"/>
    </w:rPr>
  </w:style>
  <w:style w:type="character" w:customStyle="1" w:styleId="1069">
    <w:name w:val="Char Char631"/>
    <w:qFormat/>
    <w:uiPriority w:val="0"/>
    <w:rPr>
      <w:rFonts w:ascii="Times NewRoman" w:hAnsi="Times NewRoman" w:eastAsia="幼圆" w:cs="Times NewRoman"/>
      <w:b/>
      <w:bCs/>
      <w:kern w:val="2"/>
      <w:sz w:val="32"/>
      <w:szCs w:val="32"/>
      <w:lang w:val="en-US" w:eastAsia="zh-CN" w:bidi="ar-SA"/>
    </w:rPr>
  </w:style>
  <w:style w:type="character" w:customStyle="1" w:styleId="1070">
    <w:name w:val="标题 11 Char3"/>
    <w:qFormat/>
    <w:uiPriority w:val="0"/>
    <w:rPr>
      <w:rFonts w:eastAsia="宋体"/>
      <w:b/>
      <w:bCs/>
      <w:kern w:val="44"/>
      <w:sz w:val="44"/>
      <w:szCs w:val="44"/>
      <w:lang w:val="en-US" w:eastAsia="zh-CN" w:bidi="ar-SA"/>
    </w:rPr>
  </w:style>
  <w:style w:type="character" w:customStyle="1" w:styleId="1071">
    <w:name w:val="表文字 Char"/>
    <w:link w:val="1072"/>
    <w:qFormat/>
    <w:uiPriority w:val="0"/>
    <w:rPr>
      <w:sz w:val="21"/>
      <w:szCs w:val="21"/>
    </w:rPr>
  </w:style>
  <w:style w:type="paragraph" w:customStyle="1" w:styleId="1072">
    <w:name w:val="表文字"/>
    <w:link w:val="1071"/>
    <w:qFormat/>
    <w:uiPriority w:val="0"/>
    <w:pPr>
      <w:spacing w:line="240" w:lineRule="exact"/>
    </w:pPr>
    <w:rPr>
      <w:rFonts w:ascii="Calibri" w:hAnsi="Calibri" w:eastAsia="宋体" w:cs="Times New Roman"/>
      <w:sz w:val="21"/>
      <w:szCs w:val="21"/>
      <w:lang w:val="en-US" w:eastAsia="zh-CN" w:bidi="ar-SA"/>
    </w:rPr>
  </w:style>
  <w:style w:type="character" w:customStyle="1" w:styleId="1073">
    <w:name w:val="正文缩进2"/>
    <w:qFormat/>
    <w:uiPriority w:val="0"/>
    <w:rPr>
      <w:rFonts w:eastAsia="宋体"/>
      <w:kern w:val="2"/>
      <w:sz w:val="21"/>
      <w:szCs w:val="24"/>
      <w:lang w:val="en-US" w:eastAsia="zh-CN" w:bidi="ar-SA"/>
    </w:rPr>
  </w:style>
  <w:style w:type="character" w:customStyle="1" w:styleId="1074">
    <w:name w:val="Body Text 2 Char3"/>
    <w:qFormat/>
    <w:uiPriority w:val="0"/>
    <w:rPr>
      <w:rFonts w:ascii="宋体" w:hAnsi="宋体" w:eastAsia="宋体"/>
      <w:kern w:val="2"/>
      <w:sz w:val="24"/>
      <w:szCs w:val="24"/>
      <w:lang w:val="en-US" w:eastAsia="zh-CN" w:bidi="ar-SA"/>
    </w:rPr>
  </w:style>
  <w:style w:type="character" w:customStyle="1" w:styleId="1075">
    <w:name w:val="content"/>
    <w:qFormat/>
    <w:uiPriority w:val="0"/>
  </w:style>
  <w:style w:type="character" w:customStyle="1" w:styleId="1076">
    <w:name w:val="Char Char58"/>
    <w:qFormat/>
    <w:uiPriority w:val="0"/>
    <w:rPr>
      <w:rFonts w:ascii="Times NewRoman" w:hAnsi="Times NewRoman" w:eastAsia="宋体" w:cs="Times NewRoman"/>
      <w:kern w:val="2"/>
      <w:sz w:val="28"/>
      <w:szCs w:val="24"/>
      <w:lang w:val="en-US" w:eastAsia="zh-CN" w:bidi="ar-SA"/>
    </w:rPr>
  </w:style>
  <w:style w:type="character" w:customStyle="1" w:styleId="1077">
    <w:name w:val="Char Char22"/>
    <w:qFormat/>
    <w:uiPriority w:val="0"/>
    <w:rPr>
      <w:rFonts w:ascii="Arial" w:hAnsi="Arial" w:eastAsia="黑体"/>
      <w:b/>
      <w:bCs/>
      <w:kern w:val="2"/>
      <w:sz w:val="28"/>
      <w:szCs w:val="28"/>
      <w:lang w:val="en-US" w:eastAsia="zh-CN" w:bidi="ar-SA"/>
    </w:rPr>
  </w:style>
  <w:style w:type="character" w:customStyle="1" w:styleId="1078">
    <w:name w:val="批注框文本 Char3"/>
    <w:qFormat/>
    <w:uiPriority w:val="0"/>
    <w:rPr>
      <w:rFonts w:ascii="Times New Roman" w:hAnsi="Times New Roman"/>
      <w:kern w:val="2"/>
      <w:sz w:val="18"/>
      <w:szCs w:val="18"/>
    </w:rPr>
  </w:style>
  <w:style w:type="character" w:customStyle="1" w:styleId="1079">
    <w:name w:val="font51"/>
    <w:qFormat/>
    <w:uiPriority w:val="0"/>
    <w:rPr>
      <w:rFonts w:hint="eastAsia" w:ascii="仿宋_GB2312" w:eastAsia="仿宋_GB2312"/>
      <w:color w:val="000000"/>
      <w:sz w:val="24"/>
      <w:szCs w:val="24"/>
      <w:u w:val="none"/>
      <w:vertAlign w:val="superscript"/>
    </w:rPr>
  </w:style>
  <w:style w:type="character" w:customStyle="1" w:styleId="1080">
    <w:name w:val="正文文字 3 Char Char1"/>
    <w:semiHidden/>
    <w:qFormat/>
    <w:locked/>
    <w:uiPriority w:val="0"/>
    <w:rPr>
      <w:rFonts w:ascii="宋体" w:hAnsi="宋体" w:eastAsia="宋体" w:cs="Courier New"/>
      <w:spacing w:val="-2"/>
      <w:kern w:val="2"/>
      <w:sz w:val="16"/>
      <w:szCs w:val="16"/>
      <w:lang w:val="en-US" w:eastAsia="zh-CN" w:bidi="ar-SA"/>
    </w:rPr>
  </w:style>
  <w:style w:type="character" w:customStyle="1" w:styleId="1081">
    <w:name w:val="样式 hb3 + Char Char"/>
    <w:link w:val="1082"/>
    <w:qFormat/>
    <w:uiPriority w:val="0"/>
    <w:rPr>
      <w:rFonts w:eastAsia="宋体"/>
      <w:b/>
      <w:bCs/>
      <w:sz w:val="24"/>
      <w:szCs w:val="24"/>
    </w:rPr>
  </w:style>
  <w:style w:type="paragraph" w:customStyle="1" w:styleId="1082">
    <w:name w:val="样式 hb3 +"/>
    <w:basedOn w:val="1083"/>
    <w:link w:val="1081"/>
    <w:qFormat/>
    <w:uiPriority w:val="0"/>
    <w:pPr>
      <w:keepNext/>
      <w:keepLines/>
      <w:widowControl w:val="0"/>
      <w:adjustRightInd w:val="0"/>
      <w:spacing w:before="240" w:beforeLines="0" w:after="240" w:afterLines="0" w:line="240" w:lineRule="auto"/>
      <w:textAlignment w:val="baseline"/>
    </w:pPr>
    <w:rPr>
      <w:bCs/>
    </w:rPr>
  </w:style>
  <w:style w:type="paragraph" w:customStyle="1" w:styleId="1083">
    <w:name w:val="hb3"/>
    <w:qFormat/>
    <w:uiPriority w:val="0"/>
    <w:pPr>
      <w:spacing w:before="312" w:beforeLines="100" w:after="156" w:afterLines="50" w:line="360" w:lineRule="auto"/>
      <w:outlineLvl w:val="2"/>
    </w:pPr>
    <w:rPr>
      <w:rFonts w:ascii="Calibri" w:hAnsi="Calibri" w:eastAsia="宋体" w:cs="Times New Roman"/>
      <w:b/>
      <w:kern w:val="2"/>
      <w:sz w:val="24"/>
      <w:szCs w:val="24"/>
      <w:lang w:val="en-US" w:eastAsia="zh-CN" w:bidi="ar-SA"/>
    </w:rPr>
  </w:style>
  <w:style w:type="character" w:customStyle="1" w:styleId="1084">
    <w:name w:val="Char Char532"/>
    <w:qFormat/>
    <w:uiPriority w:val="0"/>
    <w:rPr>
      <w:rFonts w:ascii="Times New Roman" w:hAnsi="Times New Roman" w:eastAsia="宋体" w:cs="Times New Roman"/>
      <w:b/>
      <w:bCs/>
      <w:sz w:val="32"/>
      <w:szCs w:val="32"/>
    </w:rPr>
  </w:style>
  <w:style w:type="character" w:customStyle="1" w:styleId="1085">
    <w:name w:val="样式 标题 2标题 21标题 121标题 2 Char1 Char节H2节标题 1.1节标题 1.1 Char... Char Char"/>
    <w:qFormat/>
    <w:uiPriority w:val="0"/>
    <w:rPr>
      <w:rFonts w:ascii="黑体" w:eastAsia="黑体" w:cs="宋体"/>
      <w:b/>
      <w:bCs/>
      <w:color w:val="000000"/>
      <w:sz w:val="28"/>
      <w:lang w:val="en-US" w:eastAsia="zh-CN" w:bidi="ar-SA"/>
    </w:rPr>
  </w:style>
  <w:style w:type="character" w:customStyle="1" w:styleId="1086">
    <w:name w:val="Char Char19"/>
    <w:qFormat/>
    <w:locked/>
    <w:uiPriority w:val="0"/>
    <w:rPr>
      <w:rFonts w:eastAsia="宋体"/>
      <w:kern w:val="2"/>
      <w:sz w:val="28"/>
      <w:szCs w:val="24"/>
      <w:lang w:val="en-US" w:eastAsia="zh-CN" w:bidi="ar-SA"/>
    </w:rPr>
  </w:style>
  <w:style w:type="character" w:customStyle="1" w:styleId="1087">
    <w:name w:val="图号 Char Char Char"/>
    <w:qFormat/>
    <w:uiPriority w:val="0"/>
    <w:rPr>
      <w:rFonts w:ascii="宋体" w:hAnsi="宋体" w:eastAsia="宋体" w:cs="宋体"/>
      <w:b/>
      <w:bCs/>
      <w:kern w:val="32"/>
      <w:sz w:val="24"/>
      <w:szCs w:val="24"/>
      <w:lang w:val="en-US" w:eastAsia="zh-CN" w:bidi="ar-SA"/>
    </w:rPr>
  </w:style>
  <w:style w:type="character" w:customStyle="1" w:styleId="1088">
    <w:name w:val="无间隔 Char2"/>
    <w:qFormat/>
    <w:uiPriority w:val="1"/>
    <w:rPr>
      <w:rFonts w:ascii="Calibri" w:hAnsi="Calibri"/>
      <w:sz w:val="22"/>
      <w:szCs w:val="22"/>
      <w:lang w:val="en-US" w:eastAsia="zh-CN" w:bidi="ar-SA"/>
    </w:rPr>
  </w:style>
  <w:style w:type="character" w:customStyle="1" w:styleId="1089">
    <w:name w:val="表格文字 Char"/>
    <w:link w:val="1090"/>
    <w:qFormat/>
    <w:locked/>
    <w:uiPriority w:val="0"/>
    <w:rPr>
      <w:rFonts w:eastAsia="宋体"/>
      <w:sz w:val="28"/>
      <w:szCs w:val="24"/>
    </w:rPr>
  </w:style>
  <w:style w:type="paragraph" w:customStyle="1" w:styleId="1090">
    <w:name w:val="表格文字"/>
    <w:basedOn w:val="473"/>
    <w:link w:val="1089"/>
    <w:qFormat/>
    <w:uiPriority w:val="0"/>
    <w:pPr>
      <w:spacing w:line="0" w:lineRule="atLeast"/>
      <w:ind w:firstLine="0" w:firstLineChars="0"/>
      <w:jc w:val="center"/>
    </w:pPr>
  </w:style>
  <w:style w:type="character" w:customStyle="1" w:styleId="1091">
    <w:name w:val="Char Char25"/>
    <w:qFormat/>
    <w:uiPriority w:val="0"/>
    <w:rPr>
      <w:rFonts w:eastAsia="宋体"/>
      <w:b/>
      <w:bCs/>
      <w:kern w:val="44"/>
      <w:sz w:val="44"/>
      <w:szCs w:val="44"/>
      <w:lang w:val="en-US" w:eastAsia="zh-CN" w:bidi="ar-SA"/>
    </w:rPr>
  </w:style>
  <w:style w:type="character" w:customStyle="1" w:styleId="1092">
    <w:name w:val="aaa Char"/>
    <w:link w:val="1093"/>
    <w:qFormat/>
    <w:locked/>
    <w:uiPriority w:val="0"/>
    <w:rPr>
      <w:rFonts w:ascii="宋体" w:hAnsi="宋体" w:eastAsia="宋体"/>
      <w:sz w:val="24"/>
    </w:rPr>
  </w:style>
  <w:style w:type="paragraph" w:customStyle="1" w:styleId="1093">
    <w:name w:val="aaa"/>
    <w:basedOn w:val="1"/>
    <w:link w:val="1092"/>
    <w:qFormat/>
    <w:uiPriority w:val="0"/>
    <w:pPr>
      <w:snapToGrid w:val="0"/>
      <w:spacing w:line="360" w:lineRule="auto"/>
      <w:ind w:firstLine="480" w:firstLineChars="200"/>
    </w:pPr>
    <w:rPr>
      <w:rFonts w:ascii="宋体" w:hAnsi="宋体"/>
      <w:sz w:val="24"/>
    </w:rPr>
  </w:style>
  <w:style w:type="character" w:customStyle="1" w:styleId="1094">
    <w:name w:val="样式 标题 2标题 21标题 121标题 2 Char1 Char节H2节标题 1.1节标题 1.1 Char... Char"/>
    <w:link w:val="1095"/>
    <w:qFormat/>
    <w:locked/>
    <w:uiPriority w:val="0"/>
    <w:rPr>
      <w:rFonts w:ascii="黑体" w:eastAsia="黑体" w:cs="宋体"/>
      <w:b/>
      <w:bCs/>
      <w:color w:val="000000"/>
      <w:kern w:val="2"/>
      <w:sz w:val="28"/>
      <w:szCs w:val="22"/>
    </w:rPr>
  </w:style>
  <w:style w:type="paragraph" w:customStyle="1" w:styleId="1095">
    <w:name w:val="样式 标题 2标题 21标题 121标题 2 Char1 Char节H2节标题 1.1节标题 1.1 Char..."/>
    <w:basedOn w:val="5"/>
    <w:link w:val="1094"/>
    <w:qFormat/>
    <w:uiPriority w:val="0"/>
    <w:pPr>
      <w:keepNext w:val="0"/>
      <w:keepLines w:val="0"/>
      <w:widowControl/>
      <w:tabs>
        <w:tab w:val="left" w:pos="576"/>
      </w:tabs>
      <w:adjustRightInd w:val="0"/>
      <w:spacing w:before="120" w:after="120"/>
      <w:ind w:left="576" w:hanging="576"/>
      <w:jc w:val="left"/>
    </w:pPr>
    <w:rPr>
      <w:rFonts w:ascii="黑体" w:hAnsi="Calibri" w:cs="宋体"/>
      <w:color w:val="000000"/>
      <w:szCs w:val="22"/>
    </w:rPr>
  </w:style>
  <w:style w:type="character" w:customStyle="1" w:styleId="1096">
    <w:name w:val="Char Char431"/>
    <w:qFormat/>
    <w:uiPriority w:val="0"/>
    <w:rPr>
      <w:rFonts w:hint="eastAsia" w:ascii="仿宋_GB2312" w:eastAsia="仿宋_GB2312"/>
      <w:kern w:val="2"/>
      <w:sz w:val="24"/>
      <w:szCs w:val="28"/>
      <w:lang w:val="en-US" w:eastAsia="zh-CN" w:bidi="ar-SA"/>
    </w:rPr>
  </w:style>
  <w:style w:type="character" w:customStyle="1" w:styleId="1097">
    <w:name w:val="标准样式 Char11"/>
    <w:qFormat/>
    <w:uiPriority w:val="0"/>
    <w:rPr>
      <w:rFonts w:hint="eastAsia" w:ascii="宋体" w:hAnsi="宋体" w:eastAsia="宋体"/>
      <w:kern w:val="2"/>
      <w:sz w:val="28"/>
      <w:szCs w:val="24"/>
      <w:lang w:val="en-US" w:eastAsia="zh-CN" w:bidi="ar-SA"/>
    </w:rPr>
  </w:style>
  <w:style w:type="character" w:customStyle="1" w:styleId="1098">
    <w:name w:val="正文首行缩进 2 Char3"/>
    <w:qFormat/>
    <w:uiPriority w:val="0"/>
    <w:rPr>
      <w:kern w:val="2"/>
      <w:sz w:val="21"/>
    </w:rPr>
  </w:style>
  <w:style w:type="character" w:customStyle="1" w:styleId="1099">
    <w:name w:val="font91"/>
    <w:qFormat/>
    <w:uiPriority w:val="0"/>
    <w:rPr>
      <w:rFonts w:hint="eastAsia" w:ascii="宋体" w:hAnsi="宋体" w:eastAsia="宋体" w:cs="宋体"/>
      <w:color w:val="auto"/>
      <w:sz w:val="21"/>
      <w:szCs w:val="21"/>
      <w:u w:val="single"/>
    </w:rPr>
  </w:style>
  <w:style w:type="character" w:customStyle="1" w:styleId="1100">
    <w:name w:val="正文文本缩进 Char"/>
    <w:link w:val="1101"/>
    <w:qFormat/>
    <w:uiPriority w:val="0"/>
    <w:rPr>
      <w:rFonts w:eastAsia="宋体"/>
      <w:sz w:val="28"/>
      <w:szCs w:val="28"/>
    </w:rPr>
  </w:style>
  <w:style w:type="paragraph" w:customStyle="1" w:styleId="1101">
    <w:name w:val="正文文本缩进1"/>
    <w:basedOn w:val="1"/>
    <w:link w:val="1100"/>
    <w:qFormat/>
    <w:uiPriority w:val="0"/>
    <w:pPr>
      <w:spacing w:line="520" w:lineRule="exact"/>
      <w:ind w:firstLine="540"/>
    </w:pPr>
    <w:rPr>
      <w:sz w:val="28"/>
      <w:szCs w:val="28"/>
    </w:rPr>
  </w:style>
  <w:style w:type="character" w:customStyle="1" w:styleId="1102">
    <w:name w:val="不明显参考1"/>
    <w:qFormat/>
    <w:uiPriority w:val="31"/>
    <w:rPr>
      <w:smallCaps/>
      <w:color w:val="C0504D"/>
      <w:u w:val="single"/>
    </w:rPr>
  </w:style>
  <w:style w:type="character" w:customStyle="1" w:styleId="1103">
    <w:name w:val="Char Char2311"/>
    <w:qFormat/>
    <w:uiPriority w:val="0"/>
    <w:rPr>
      <w:rFonts w:eastAsia="宋体"/>
      <w:b/>
      <w:bCs/>
      <w:kern w:val="2"/>
      <w:sz w:val="32"/>
      <w:szCs w:val="32"/>
      <w:lang w:val="en-US" w:eastAsia="zh-CN" w:bidi="ar-SA"/>
    </w:rPr>
  </w:style>
  <w:style w:type="character" w:customStyle="1" w:styleId="1104">
    <w:name w:val="my table header Char"/>
    <w:qFormat/>
    <w:uiPriority w:val="0"/>
    <w:rPr>
      <w:rFonts w:ascii="黑体" w:hAnsi="黑体" w:eastAsia="黑体" w:cs="宋体"/>
      <w:b/>
      <w:bCs/>
      <w:kern w:val="2"/>
      <w:sz w:val="24"/>
      <w:szCs w:val="24"/>
      <w:lang w:val="en-US" w:eastAsia="zh-CN" w:bidi="ar-SA"/>
    </w:rPr>
  </w:style>
  <w:style w:type="character" w:customStyle="1" w:styleId="1105">
    <w:name w:val="Body Text 2 Char2"/>
    <w:qFormat/>
    <w:uiPriority w:val="0"/>
    <w:rPr>
      <w:rFonts w:ascii="宋体" w:hAnsi="宋体" w:eastAsia="宋体"/>
      <w:kern w:val="2"/>
      <w:sz w:val="24"/>
      <w:szCs w:val="24"/>
      <w:lang w:val="en-US" w:eastAsia="zh-CN" w:bidi="ar-SA"/>
    </w:rPr>
  </w:style>
  <w:style w:type="character" w:customStyle="1" w:styleId="1106">
    <w:name w:val="样式 标题 4标题 14H4Subsection标题 4 Char款标题1.1.1.1四H41H42u4H4... Char Char"/>
    <w:link w:val="1107"/>
    <w:qFormat/>
    <w:uiPriority w:val="0"/>
    <w:rPr>
      <w:color w:val="FF0000"/>
      <w:kern w:val="2"/>
      <w:sz w:val="24"/>
      <w:szCs w:val="30"/>
    </w:rPr>
  </w:style>
  <w:style w:type="paragraph" w:customStyle="1" w:styleId="1107">
    <w:name w:val="样式 标题 4标题 14H4Subsection标题 4 Char款标题1.1.1.1四H41H42u4H4..."/>
    <w:basedOn w:val="7"/>
    <w:link w:val="1106"/>
    <w:qFormat/>
    <w:uiPriority w:val="0"/>
    <w:pPr>
      <w:tabs>
        <w:tab w:val="left" w:pos="945"/>
        <w:tab w:val="left" w:pos="1680"/>
      </w:tabs>
      <w:snapToGrid w:val="0"/>
      <w:ind w:left="1680" w:hanging="1390"/>
      <w:jc w:val="left"/>
    </w:pPr>
    <w:rPr>
      <w:rFonts w:ascii="Calibri" w:hAnsi="Calibri" w:eastAsia="宋体"/>
      <w:bCs w:val="0"/>
      <w:color w:val="FF0000"/>
      <w:szCs w:val="30"/>
    </w:rPr>
  </w:style>
  <w:style w:type="character" w:customStyle="1" w:styleId="1108">
    <w:name w:val="dxj正文 Char Char Char"/>
    <w:qFormat/>
    <w:uiPriority w:val="0"/>
    <w:rPr>
      <w:rFonts w:eastAsia="宋体"/>
      <w:kern w:val="2"/>
      <w:sz w:val="24"/>
      <w:szCs w:val="24"/>
      <w:lang w:val="en-US" w:eastAsia="zh-CN" w:bidi="ar-SA"/>
    </w:rPr>
  </w:style>
  <w:style w:type="character" w:customStyle="1" w:styleId="1109">
    <w:name w:val="1.1 Char"/>
    <w:link w:val="1110"/>
    <w:qFormat/>
    <w:uiPriority w:val="0"/>
    <w:rPr>
      <w:rFonts w:ascii="宋体" w:hAnsi="宋体" w:eastAsia="宋体" w:cs="Times New Roman"/>
      <w:b/>
      <w:sz w:val="24"/>
      <w:szCs w:val="24"/>
    </w:rPr>
  </w:style>
  <w:style w:type="paragraph" w:customStyle="1" w:styleId="1110">
    <w:name w:val="1.1"/>
    <w:basedOn w:val="1"/>
    <w:link w:val="1109"/>
    <w:qFormat/>
    <w:uiPriority w:val="0"/>
    <w:pPr>
      <w:adjustRightInd w:val="0"/>
      <w:snapToGrid w:val="0"/>
      <w:spacing w:before="60" w:after="60"/>
    </w:pPr>
    <w:rPr>
      <w:rFonts w:ascii="宋体" w:hAnsi="宋体"/>
      <w:b/>
      <w:sz w:val="24"/>
      <w:szCs w:val="24"/>
    </w:rPr>
  </w:style>
  <w:style w:type="character" w:customStyle="1" w:styleId="1111">
    <w:name w:val="s4 Char6"/>
    <w:qFormat/>
    <w:uiPriority w:val="0"/>
    <w:rPr>
      <w:rFonts w:eastAsia="宋体"/>
    </w:rPr>
  </w:style>
  <w:style w:type="character" w:customStyle="1" w:styleId="1112">
    <w:name w:val="标题 9 Char Char"/>
    <w:qFormat/>
    <w:uiPriority w:val="0"/>
    <w:rPr>
      <w:rFonts w:ascii="Arial" w:hAnsi="Arial" w:eastAsia="黑体" w:cs="Arial"/>
      <w:kern w:val="22"/>
      <w:sz w:val="24"/>
      <w:szCs w:val="24"/>
      <w:lang w:val="en-US" w:eastAsia="zh-CN" w:bidi="ar-SA"/>
    </w:rPr>
  </w:style>
  <w:style w:type="character" w:customStyle="1" w:styleId="1113">
    <w:name w:val="Char Char581"/>
    <w:qFormat/>
    <w:uiPriority w:val="0"/>
    <w:rPr>
      <w:rFonts w:ascii="Times NewRoman" w:hAnsi="Times NewRoman" w:eastAsia="宋体" w:cs="Times NewRoman"/>
      <w:kern w:val="2"/>
      <w:sz w:val="28"/>
      <w:szCs w:val="24"/>
      <w:lang w:val="en-US" w:eastAsia="zh-CN" w:bidi="ar-SA"/>
    </w:rPr>
  </w:style>
  <w:style w:type="character" w:customStyle="1" w:styleId="1114">
    <w:name w:val="dxj正文 Char"/>
    <w:qFormat/>
    <w:uiPriority w:val="0"/>
    <w:rPr>
      <w:rFonts w:eastAsia="宋体"/>
      <w:kern w:val="2"/>
      <w:sz w:val="24"/>
      <w:szCs w:val="24"/>
      <w:lang w:val="en-US" w:eastAsia="zh-CN" w:bidi="ar-SA"/>
    </w:rPr>
  </w:style>
  <w:style w:type="character" w:customStyle="1" w:styleId="1115">
    <w:name w:val="7表格(治) Char Char"/>
    <w:link w:val="1116"/>
    <w:qFormat/>
    <w:uiPriority w:val="0"/>
    <w:rPr>
      <w:rFonts w:eastAsia="楷体_GB2312" w:cs="宋体"/>
      <w:szCs w:val="36"/>
    </w:rPr>
  </w:style>
  <w:style w:type="paragraph" w:customStyle="1" w:styleId="1116">
    <w:name w:val="7表格(治)"/>
    <w:link w:val="1115"/>
    <w:qFormat/>
    <w:uiPriority w:val="0"/>
    <w:pPr>
      <w:widowControl w:val="0"/>
      <w:tabs>
        <w:tab w:val="center" w:pos="4153"/>
        <w:tab w:val="right" w:pos="8306"/>
      </w:tabs>
      <w:suppressAutoHyphens/>
      <w:snapToGrid w:val="0"/>
      <w:jc w:val="center"/>
    </w:pPr>
    <w:rPr>
      <w:rFonts w:ascii="Calibri" w:hAnsi="Calibri" w:eastAsia="楷体_GB2312" w:cs="宋体"/>
      <w:kern w:val="2"/>
      <w:sz w:val="21"/>
      <w:szCs w:val="36"/>
      <w:lang w:val="en-US" w:eastAsia="zh-CN" w:bidi="ar-SA"/>
    </w:rPr>
  </w:style>
  <w:style w:type="character" w:customStyle="1" w:styleId="1117">
    <w:name w:val="表号 Char3"/>
    <w:qFormat/>
    <w:uiPriority w:val="0"/>
    <w:rPr>
      <w:rFonts w:ascii="宋体" w:hAnsi="宋体"/>
      <w:sz w:val="24"/>
      <w:szCs w:val="24"/>
      <w:lang w:val="en-US" w:eastAsia="zh-CN" w:bidi="ar-SA"/>
    </w:rPr>
  </w:style>
  <w:style w:type="character" w:customStyle="1" w:styleId="1118">
    <w:name w:val="Char Char601"/>
    <w:qFormat/>
    <w:uiPriority w:val="0"/>
    <w:rPr>
      <w:rFonts w:ascii="Times NewRoman" w:hAnsi="Times NewRoman" w:eastAsia="Arial Narrow" w:cs="Times NewRoman"/>
      <w:bCs/>
      <w:kern w:val="2"/>
      <w:sz w:val="24"/>
      <w:szCs w:val="24"/>
      <w:lang w:val="en-US" w:eastAsia="zh-CN" w:bidi="ar-SA"/>
    </w:rPr>
  </w:style>
  <w:style w:type="character" w:customStyle="1" w:styleId="1119">
    <w:name w:val="Char Char371"/>
    <w:qFormat/>
    <w:uiPriority w:val="0"/>
    <w:rPr>
      <w:rFonts w:hint="eastAsia" w:ascii="宋体" w:hAnsi="宋体" w:eastAsia="宋体"/>
      <w:kern w:val="2"/>
      <w:sz w:val="18"/>
      <w:lang w:val="en-US" w:eastAsia="zh-CN" w:bidi="ar-SA"/>
    </w:rPr>
  </w:style>
  <w:style w:type="character" w:customStyle="1" w:styleId="1120">
    <w:name w:val="(use for tables) Char"/>
    <w:qFormat/>
    <w:uiPriority w:val="0"/>
    <w:rPr>
      <w:rFonts w:ascii="Arial" w:hAnsi="Arial" w:eastAsia="黑体"/>
      <w:kern w:val="2"/>
      <w:sz w:val="21"/>
      <w:szCs w:val="21"/>
      <w:lang w:val="en-US" w:eastAsia="zh-CN" w:bidi="ar-SA"/>
    </w:rPr>
  </w:style>
  <w:style w:type="character" w:customStyle="1" w:styleId="1121">
    <w:name w:val="lh-2em"/>
    <w:qFormat/>
    <w:uiPriority w:val="0"/>
    <w:rPr>
      <w:rFonts w:ascii="宋体" w:hAnsi="宋体" w:eastAsia="宋体" w:cs="宋体"/>
      <w:kern w:val="2"/>
      <w:sz w:val="24"/>
      <w:szCs w:val="24"/>
      <w:lang w:val="en-US" w:eastAsia="zh-CN" w:bidi="ar-SA"/>
    </w:rPr>
  </w:style>
  <w:style w:type="character" w:customStyle="1" w:styleId="1122">
    <w:name w:val="dxj标题2 Char"/>
    <w:link w:val="1123"/>
    <w:qFormat/>
    <w:locked/>
    <w:uiPriority w:val="0"/>
    <w:rPr>
      <w:rFonts w:ascii="黑体" w:eastAsia="黑体"/>
      <w:bCs/>
      <w:kern w:val="2"/>
      <w:sz w:val="28"/>
      <w:szCs w:val="32"/>
    </w:rPr>
  </w:style>
  <w:style w:type="paragraph" w:customStyle="1" w:styleId="1123">
    <w:name w:val="dxj标题2"/>
    <w:basedOn w:val="5"/>
    <w:link w:val="1122"/>
    <w:qFormat/>
    <w:uiPriority w:val="0"/>
    <w:pPr>
      <w:jc w:val="left"/>
    </w:pPr>
    <w:rPr>
      <w:rFonts w:ascii="黑体" w:hAnsi="Calibri"/>
      <w:b w:val="0"/>
    </w:rPr>
  </w:style>
  <w:style w:type="character" w:customStyle="1" w:styleId="1124">
    <w:name w:val="占位符文本1"/>
    <w:unhideWhenUsed/>
    <w:qFormat/>
    <w:uiPriority w:val="0"/>
    <w:rPr>
      <w:color w:val="808080"/>
    </w:rPr>
  </w:style>
  <w:style w:type="character" w:customStyle="1" w:styleId="1125">
    <w:name w:val="样式 样式 样式 正文 +1 + 宋体 黑色 + 四号 加粗 Char Char"/>
    <w:link w:val="1126"/>
    <w:qFormat/>
    <w:uiPriority w:val="0"/>
    <w:rPr>
      <w:rFonts w:ascii="宋体" w:hAnsi="宋体"/>
      <w:b/>
      <w:bCs/>
      <w:color w:val="000000"/>
      <w:spacing w:val="6"/>
      <w:sz w:val="24"/>
      <w:szCs w:val="24"/>
    </w:rPr>
  </w:style>
  <w:style w:type="paragraph" w:customStyle="1" w:styleId="1126">
    <w:name w:val="样式 样式 样式 正文 +1 + 宋体 黑色 + 四号 加粗"/>
    <w:basedOn w:val="458"/>
    <w:link w:val="1125"/>
    <w:qFormat/>
    <w:uiPriority w:val="0"/>
    <w:rPr>
      <w:b/>
      <w:bCs/>
      <w:spacing w:val="6"/>
    </w:rPr>
  </w:style>
  <w:style w:type="character" w:customStyle="1" w:styleId="1127">
    <w:name w:val="页码2"/>
    <w:qFormat/>
    <w:uiPriority w:val="0"/>
    <w:rPr>
      <w:sz w:val="21"/>
      <w:szCs w:val="20"/>
    </w:rPr>
  </w:style>
  <w:style w:type="character" w:customStyle="1" w:styleId="1128">
    <w:name w:val="标题 Char1"/>
    <w:qFormat/>
    <w:uiPriority w:val="10"/>
    <w:rPr>
      <w:rFonts w:ascii="Arial Unicode MS" w:hAnsi="Arial Unicode MS" w:eastAsia="Calibri"/>
      <w:kern w:val="2"/>
      <w:sz w:val="36"/>
      <w:lang w:val="en-US" w:eastAsia="zh-CN" w:bidi="ar-SA"/>
    </w:rPr>
  </w:style>
  <w:style w:type="character" w:customStyle="1" w:styleId="1129">
    <w:name w:val="纯文本 Char5"/>
    <w:semiHidden/>
    <w:qFormat/>
    <w:uiPriority w:val="0"/>
    <w:rPr>
      <w:rFonts w:ascii="宋体" w:hAnsi="Courier New" w:cs="Courier New"/>
      <w:kern w:val="2"/>
      <w:sz w:val="21"/>
      <w:szCs w:val="21"/>
    </w:rPr>
  </w:style>
  <w:style w:type="character" w:customStyle="1" w:styleId="1130">
    <w:name w:val="样式 首行缩进:  1.01 厘米 Char"/>
    <w:qFormat/>
    <w:uiPriority w:val="0"/>
    <w:rPr>
      <w:rFonts w:ascii="宋体" w:hAnsi="宋体" w:eastAsia="宋体" w:cs="宋体"/>
      <w:kern w:val="2"/>
      <w:sz w:val="24"/>
      <w:szCs w:val="24"/>
      <w:lang w:val="en-US" w:eastAsia="zh-CN" w:bidi="ar-SA"/>
    </w:rPr>
  </w:style>
  <w:style w:type="character" w:customStyle="1" w:styleId="1131">
    <w:name w:val="页脚 Char1"/>
    <w:qFormat/>
    <w:locked/>
    <w:uiPriority w:val="99"/>
    <w:rPr>
      <w:rFonts w:eastAsia="宋体"/>
      <w:kern w:val="2"/>
      <w:sz w:val="18"/>
      <w:lang w:val="en-US" w:eastAsia="zh-CN" w:bidi="ar-SA"/>
    </w:rPr>
  </w:style>
  <w:style w:type="character" w:customStyle="1" w:styleId="1132">
    <w:name w:val="文档结构图 Char1"/>
    <w:qFormat/>
    <w:uiPriority w:val="0"/>
    <w:rPr>
      <w:rFonts w:ascii="幼圆" w:hAnsi="幼圆" w:cs="汉鼎简书宋"/>
      <w:spacing w:val="-2"/>
      <w:kern w:val="2"/>
      <w:sz w:val="18"/>
      <w:szCs w:val="18"/>
    </w:rPr>
  </w:style>
  <w:style w:type="character" w:customStyle="1" w:styleId="1133">
    <w:name w:val="标题 5 Char Char Char Char"/>
    <w:qFormat/>
    <w:uiPriority w:val="0"/>
    <w:rPr>
      <w:rFonts w:eastAsia="宋体"/>
      <w:b/>
      <w:bCs/>
      <w:kern w:val="2"/>
      <w:sz w:val="28"/>
      <w:szCs w:val="28"/>
      <w:lang w:val="en-US" w:eastAsia="zh-CN" w:bidi="ar-SA"/>
    </w:rPr>
  </w:style>
  <w:style w:type="character" w:customStyle="1" w:styleId="1134">
    <w:name w:val="style111"/>
    <w:qFormat/>
    <w:uiPriority w:val="0"/>
    <w:rPr>
      <w:rFonts w:ascii="宋体" w:hAnsi="宋体" w:eastAsia="宋体" w:cs="宋体"/>
      <w:kern w:val="2"/>
      <w:sz w:val="21"/>
      <w:szCs w:val="21"/>
      <w:lang w:val="en-US" w:eastAsia="zh-CN" w:bidi="ar-SA"/>
    </w:rPr>
  </w:style>
  <w:style w:type="character" w:customStyle="1" w:styleId="1135">
    <w:name w:val="dxj正文 Char Char Char Char"/>
    <w:qFormat/>
    <w:uiPriority w:val="0"/>
    <w:rPr>
      <w:rFonts w:eastAsia="宋体"/>
      <w:kern w:val="2"/>
      <w:sz w:val="24"/>
      <w:szCs w:val="24"/>
      <w:lang w:val="en-US" w:eastAsia="zh-CN" w:bidi="ar-SA"/>
    </w:rPr>
  </w:style>
  <w:style w:type="character" w:customStyle="1" w:styleId="1136">
    <w:name w:val="批注主题 Char7"/>
    <w:qFormat/>
    <w:uiPriority w:val="0"/>
    <w:rPr>
      <w:rFonts w:ascii="Times New Roman" w:hAnsi="Times New Roman" w:eastAsia="宋体" w:cs="Times New Roman"/>
      <w:b/>
      <w:bCs/>
    </w:rPr>
  </w:style>
  <w:style w:type="character" w:customStyle="1" w:styleId="1137">
    <w:name w:val="Char Char Char Char Char1"/>
    <w:link w:val="1138"/>
    <w:qFormat/>
    <w:uiPriority w:val="0"/>
    <w:rPr>
      <w:rFonts w:ascii="宋体" w:hAnsi="宋体" w:eastAsia="宋体" w:cs="宋体"/>
      <w:sz w:val="24"/>
      <w:szCs w:val="24"/>
    </w:rPr>
  </w:style>
  <w:style w:type="paragraph" w:customStyle="1" w:styleId="1138">
    <w:name w:val="Char Char Char Char3"/>
    <w:basedOn w:val="1"/>
    <w:link w:val="1137"/>
    <w:qFormat/>
    <w:uiPriority w:val="0"/>
    <w:pPr>
      <w:spacing w:line="360" w:lineRule="auto"/>
      <w:ind w:firstLine="200" w:firstLineChars="200"/>
    </w:pPr>
    <w:rPr>
      <w:rFonts w:ascii="宋体" w:hAnsi="宋体" w:cs="宋体"/>
      <w:sz w:val="24"/>
      <w:szCs w:val="24"/>
    </w:rPr>
  </w:style>
  <w:style w:type="character" w:customStyle="1" w:styleId="1139">
    <w:name w:val="font21"/>
    <w:qFormat/>
    <w:uiPriority w:val="0"/>
    <w:rPr>
      <w:rFonts w:hint="default" w:ascii="Times New Roman" w:hAnsi="Times New Roman" w:cs="Times New Roman"/>
      <w:color w:val="000000"/>
      <w:sz w:val="24"/>
      <w:szCs w:val="24"/>
      <w:u w:val="none"/>
      <w:vertAlign w:val="superscript"/>
    </w:rPr>
  </w:style>
  <w:style w:type="character" w:customStyle="1" w:styleId="1140">
    <w:name w:val="HTML 预设格式 Char5"/>
    <w:qFormat/>
    <w:uiPriority w:val="0"/>
    <w:rPr>
      <w:rFonts w:ascii="黑体" w:hAnsi="Courier New" w:eastAsia="黑体" w:cs="Courier New"/>
      <w:kern w:val="0"/>
      <w:sz w:val="20"/>
      <w:szCs w:val="20"/>
    </w:rPr>
  </w:style>
  <w:style w:type="character" w:customStyle="1" w:styleId="1141">
    <w:name w:val="可研-节标题 Char Char"/>
    <w:qFormat/>
    <w:uiPriority w:val="0"/>
    <w:rPr>
      <w:rFonts w:ascii="黑体" w:hAnsi="宋体" w:eastAsia="黑体"/>
      <w:b/>
      <w:bCs/>
      <w:sz w:val="28"/>
      <w:szCs w:val="28"/>
      <w:lang w:val="en-US" w:eastAsia="zh-CN" w:bidi="ar-SA"/>
    </w:rPr>
  </w:style>
  <w:style w:type="character" w:customStyle="1" w:styleId="1142">
    <w:name w:val="表格YHY Char Char"/>
    <w:link w:val="1143"/>
    <w:qFormat/>
    <w:uiPriority w:val="0"/>
    <w:rPr>
      <w:rFonts w:ascii="Times New Roman" w:hAnsi="Times New Roman" w:eastAsia="宋体" w:cs="Times New Roman"/>
      <w:bCs/>
      <w:szCs w:val="21"/>
    </w:rPr>
  </w:style>
  <w:style w:type="paragraph" w:customStyle="1" w:styleId="1143">
    <w:name w:val="表格YHY"/>
    <w:basedOn w:val="1"/>
    <w:link w:val="1142"/>
    <w:qFormat/>
    <w:uiPriority w:val="0"/>
    <w:pPr>
      <w:jc w:val="center"/>
    </w:pPr>
    <w:rPr>
      <w:rFonts w:ascii="Times New Roman" w:hAnsi="Times New Roman"/>
      <w:bCs/>
      <w:szCs w:val="21"/>
    </w:rPr>
  </w:style>
  <w:style w:type="character" w:customStyle="1" w:styleId="1144">
    <w:name w:val="my table header Char Char"/>
    <w:qFormat/>
    <w:uiPriority w:val="0"/>
    <w:rPr>
      <w:rFonts w:ascii="黑体" w:hAnsi="黑体" w:eastAsia="黑体" w:cs="宋体"/>
      <w:b/>
      <w:bCs/>
      <w:kern w:val="2"/>
      <w:sz w:val="24"/>
      <w:szCs w:val="24"/>
      <w:lang w:val="en-US" w:eastAsia="zh-CN" w:bidi="ar-SA"/>
    </w:rPr>
  </w:style>
  <w:style w:type="character" w:customStyle="1" w:styleId="1145">
    <w:name w:val="Char Char321"/>
    <w:qFormat/>
    <w:uiPriority w:val="0"/>
    <w:rPr>
      <w:rFonts w:eastAsia="宋体"/>
      <w:b/>
      <w:bCs/>
      <w:kern w:val="2"/>
      <w:sz w:val="32"/>
      <w:szCs w:val="32"/>
      <w:lang w:val="en-US" w:eastAsia="zh-CN" w:bidi="ar-SA"/>
    </w:rPr>
  </w:style>
  <w:style w:type="character" w:customStyle="1" w:styleId="1146">
    <w:name w:val="15"/>
    <w:qFormat/>
    <w:uiPriority w:val="0"/>
    <w:rPr>
      <w:rFonts w:ascii="宋体" w:hAnsi="宋体" w:eastAsia="宋体" w:cs="Times New Roman"/>
      <w:sz w:val="28"/>
      <w:szCs w:val="28"/>
    </w:rPr>
  </w:style>
  <w:style w:type="character" w:customStyle="1" w:styleId="1147">
    <w:name w:val="font41"/>
    <w:qFormat/>
    <w:uiPriority w:val="0"/>
    <w:rPr>
      <w:rFonts w:hint="eastAsia" w:ascii="仿宋_GB2312" w:eastAsia="仿宋_GB2312"/>
      <w:color w:val="000000"/>
      <w:sz w:val="24"/>
      <w:szCs w:val="24"/>
      <w:u w:val="none"/>
      <w:vertAlign w:val="subscript"/>
    </w:rPr>
  </w:style>
  <w:style w:type="character" w:customStyle="1" w:styleId="1148">
    <w:name w:val="Char Char26"/>
    <w:qFormat/>
    <w:uiPriority w:val="0"/>
    <w:rPr>
      <w:rFonts w:eastAsia="宋体"/>
      <w:b/>
      <w:bCs/>
      <w:kern w:val="44"/>
      <w:sz w:val="44"/>
      <w:szCs w:val="44"/>
      <w:lang w:val="en-US" w:eastAsia="zh-CN" w:bidi="ar-SA"/>
    </w:rPr>
  </w:style>
  <w:style w:type="character" w:customStyle="1" w:styleId="1149">
    <w:name w:val="排版正文 Char"/>
    <w:qFormat/>
    <w:uiPriority w:val="0"/>
    <w:rPr>
      <w:szCs w:val="24"/>
    </w:rPr>
  </w:style>
  <w:style w:type="character" w:customStyle="1" w:styleId="1150">
    <w:name w:val="页码6"/>
    <w:qFormat/>
    <w:uiPriority w:val="0"/>
    <w:rPr>
      <w:sz w:val="21"/>
    </w:rPr>
  </w:style>
  <w:style w:type="character" w:customStyle="1" w:styleId="1151">
    <w:name w:val="日期 Char2"/>
    <w:qFormat/>
    <w:uiPriority w:val="0"/>
    <w:rPr>
      <w:rFonts w:ascii="Times New Roman" w:hAnsi="Times New Roman" w:eastAsia="宋体" w:cs="Times New Roman"/>
      <w:szCs w:val="20"/>
    </w:rPr>
  </w:style>
  <w:style w:type="character" w:customStyle="1" w:styleId="1152">
    <w:name w:val="纯文本1 Char Char"/>
    <w:qFormat/>
    <w:uiPriority w:val="0"/>
    <w:rPr>
      <w:rFonts w:ascii="宋体" w:hAnsi="Courier New" w:eastAsia="宋体" w:cs="Courier New"/>
      <w:kern w:val="2"/>
      <w:sz w:val="21"/>
      <w:szCs w:val="21"/>
      <w:lang w:val="en-US" w:eastAsia="zh-CN" w:bidi="ar-SA"/>
    </w:rPr>
  </w:style>
  <w:style w:type="character" w:customStyle="1" w:styleId="1153">
    <w:name w:val="纯文本 Char2"/>
    <w:qFormat/>
    <w:uiPriority w:val="0"/>
    <w:rPr>
      <w:rFonts w:ascii="宋体" w:hAnsi="Courier New" w:eastAsia="宋体"/>
      <w:kern w:val="2"/>
      <w:sz w:val="21"/>
      <w:lang w:val="en-US" w:eastAsia="zh-CN" w:bidi="ar-SA"/>
    </w:rPr>
  </w:style>
  <w:style w:type="character" w:customStyle="1" w:styleId="1154">
    <w:name w:val="Char Char501"/>
    <w:qFormat/>
    <w:uiPriority w:val="0"/>
    <w:rPr>
      <w:rFonts w:hint="default" w:ascii="Times New Roman" w:hAnsi="Times New Roman" w:eastAsia="仿宋_GB2312" w:cs="Times New Roman"/>
      <w:bCs/>
      <w:sz w:val="24"/>
      <w:szCs w:val="24"/>
    </w:rPr>
  </w:style>
  <w:style w:type="character" w:customStyle="1" w:styleId="1155">
    <w:name w:val="Char Char Char Char Char"/>
    <w:link w:val="1156"/>
    <w:qFormat/>
    <w:uiPriority w:val="0"/>
    <w:rPr>
      <w:rFonts w:ascii="宋体" w:hAnsi="宋体" w:eastAsia="宋体" w:cs="宋体"/>
      <w:sz w:val="24"/>
      <w:szCs w:val="24"/>
    </w:rPr>
  </w:style>
  <w:style w:type="paragraph" w:customStyle="1" w:styleId="1156">
    <w:name w:val="Char Char Char Char"/>
    <w:basedOn w:val="1"/>
    <w:link w:val="1155"/>
    <w:qFormat/>
    <w:uiPriority w:val="0"/>
    <w:pPr>
      <w:spacing w:line="360" w:lineRule="auto"/>
      <w:ind w:firstLine="200" w:firstLineChars="200"/>
    </w:pPr>
    <w:rPr>
      <w:rFonts w:ascii="宋体" w:hAnsi="宋体" w:cs="宋体"/>
      <w:sz w:val="24"/>
      <w:szCs w:val="24"/>
    </w:rPr>
  </w:style>
  <w:style w:type="character" w:customStyle="1" w:styleId="1157">
    <w:name w:val="文档结构图 Char"/>
    <w:link w:val="1158"/>
    <w:qFormat/>
    <w:uiPriority w:val="0"/>
    <w:rPr>
      <w:rFonts w:eastAsia="宋体"/>
      <w:szCs w:val="24"/>
      <w:shd w:val="clear" w:color="auto" w:fill="000080"/>
    </w:rPr>
  </w:style>
  <w:style w:type="paragraph" w:customStyle="1" w:styleId="1158">
    <w:name w:val="文档结构图1"/>
    <w:basedOn w:val="1"/>
    <w:link w:val="1157"/>
    <w:qFormat/>
    <w:uiPriority w:val="0"/>
    <w:pPr>
      <w:shd w:val="clear" w:color="auto" w:fill="000080"/>
    </w:pPr>
    <w:rPr>
      <w:szCs w:val="24"/>
      <w:shd w:val="clear" w:color="auto" w:fill="000080"/>
    </w:rPr>
  </w:style>
  <w:style w:type="character" w:customStyle="1" w:styleId="1159">
    <w:name w:val="Char Char52"/>
    <w:qFormat/>
    <w:uiPriority w:val="0"/>
    <w:rPr>
      <w:rFonts w:ascii="Arial" w:hAnsi="Arial" w:eastAsia="黑体" w:cs="Times New Roman"/>
      <w:b/>
      <w:bCs/>
      <w:sz w:val="28"/>
      <w:szCs w:val="28"/>
    </w:rPr>
  </w:style>
  <w:style w:type="character" w:customStyle="1" w:styleId="1160">
    <w:name w:val="HTML 地址 Char2"/>
    <w:qFormat/>
    <w:uiPriority w:val="99"/>
    <w:rPr>
      <w:i/>
      <w:iCs/>
    </w:rPr>
  </w:style>
  <w:style w:type="character" w:customStyle="1" w:styleId="1161">
    <w:name w:val="Char Char5121"/>
    <w:qFormat/>
    <w:uiPriority w:val="0"/>
    <w:rPr>
      <w:rFonts w:eastAsia="宋体"/>
      <w:kern w:val="2"/>
      <w:sz w:val="21"/>
      <w:szCs w:val="24"/>
      <w:lang w:val="en-US" w:eastAsia="zh-CN" w:bidi="ar-SA"/>
    </w:rPr>
  </w:style>
  <w:style w:type="character" w:customStyle="1" w:styleId="1162">
    <w:name w:val="Char Char22211"/>
    <w:qFormat/>
    <w:uiPriority w:val="0"/>
    <w:rPr>
      <w:rFonts w:ascii="Arial" w:hAnsi="Arial" w:eastAsia="黑体"/>
      <w:b/>
      <w:bCs/>
      <w:kern w:val="2"/>
      <w:sz w:val="28"/>
      <w:szCs w:val="28"/>
      <w:lang w:val="en-US" w:eastAsia="zh-CN" w:bidi="ar-SA"/>
    </w:rPr>
  </w:style>
  <w:style w:type="character" w:customStyle="1" w:styleId="1163">
    <w:name w:val="脚注文本 Char1"/>
    <w:qFormat/>
    <w:uiPriority w:val="0"/>
    <w:rPr>
      <w:rFonts w:ascii="Times New Roman" w:hAnsi="Times New Roman" w:eastAsia="宋体" w:cs="Times New Roman"/>
      <w:sz w:val="18"/>
      <w:szCs w:val="18"/>
    </w:rPr>
  </w:style>
  <w:style w:type="character" w:customStyle="1" w:styleId="1164">
    <w:name w:val="批注主题 Char2"/>
    <w:qFormat/>
    <w:uiPriority w:val="0"/>
    <w:rPr>
      <w:rFonts w:ascii="Times New Roman" w:hAnsi="Times New Roman" w:eastAsia="宋体" w:cs="Times New Roman"/>
      <w:b/>
      <w:bCs/>
      <w:sz w:val="24"/>
      <w:szCs w:val="24"/>
    </w:rPr>
  </w:style>
  <w:style w:type="character" w:customStyle="1" w:styleId="1165">
    <w:name w:val="脚注文本 Char6"/>
    <w:semiHidden/>
    <w:qFormat/>
    <w:uiPriority w:val="99"/>
    <w:rPr>
      <w:sz w:val="18"/>
      <w:szCs w:val="18"/>
    </w:rPr>
  </w:style>
  <w:style w:type="character" w:customStyle="1" w:styleId="1166">
    <w:name w:val="dxj表头 Char Char"/>
    <w:link w:val="1167"/>
    <w:qFormat/>
    <w:uiPriority w:val="0"/>
    <w:rPr>
      <w:rFonts w:eastAsia="黑体"/>
      <w:szCs w:val="21"/>
    </w:rPr>
  </w:style>
  <w:style w:type="paragraph" w:customStyle="1" w:styleId="1167">
    <w:name w:val="dxj表头"/>
    <w:basedOn w:val="1"/>
    <w:link w:val="1166"/>
    <w:qFormat/>
    <w:uiPriority w:val="0"/>
    <w:pPr>
      <w:spacing w:line="360" w:lineRule="auto"/>
      <w:jc w:val="center"/>
    </w:pPr>
    <w:rPr>
      <w:rFonts w:eastAsia="黑体"/>
      <w:szCs w:val="21"/>
    </w:rPr>
  </w:style>
  <w:style w:type="character" w:customStyle="1" w:styleId="1168">
    <w:name w:val="样式 标题 3标题 3 Char Char Char标题 3 Char Char Char Char Char Char标... Char Char"/>
    <w:qFormat/>
    <w:uiPriority w:val="0"/>
    <w:rPr>
      <w:rFonts w:ascii="Plotter" w:hAnsi="Plotter" w:eastAsia="宋体"/>
      <w:b/>
      <w:kern w:val="2"/>
      <w:sz w:val="24"/>
      <w:lang w:val="en-US" w:eastAsia="zh-CN" w:bidi="ar-SA"/>
    </w:rPr>
  </w:style>
  <w:style w:type="character" w:customStyle="1" w:styleId="1169">
    <w:name w:val="样式 样式 样式 标题 2 + 小四 段前: 0 磅 段后: 0 磅 行距: 固定值 25 磅 + Times New Roma...1 Char"/>
    <w:link w:val="1170"/>
    <w:qFormat/>
    <w:uiPriority w:val="0"/>
    <w:rPr>
      <w:rFonts w:ascii="宋体" w:hAnsi="宋体"/>
      <w:b/>
      <w:bCs/>
      <w:kern w:val="2"/>
      <w:sz w:val="28"/>
      <w:szCs w:val="32"/>
    </w:rPr>
  </w:style>
  <w:style w:type="paragraph" w:customStyle="1" w:styleId="1170">
    <w:name w:val="样式 样式 样式 标题 2 + 小四 段前: 0 磅 段后: 0 磅 行距: 固定值 25 磅 + Times New Roma...1"/>
    <w:basedOn w:val="168"/>
    <w:link w:val="1169"/>
    <w:qFormat/>
    <w:uiPriority w:val="0"/>
    <w:pPr>
      <w:spacing w:before="60" w:beforeLines="0" w:after="60" w:afterLines="0"/>
    </w:pPr>
    <w:rPr>
      <w:rFonts w:ascii="宋体" w:hAnsi="宋体" w:eastAsia="宋体"/>
      <w:b/>
      <w:sz w:val="28"/>
      <w:szCs w:val="32"/>
    </w:rPr>
  </w:style>
  <w:style w:type="character" w:customStyle="1" w:styleId="1171">
    <w:name w:val="引用 Char1"/>
    <w:qFormat/>
    <w:uiPriority w:val="29"/>
    <w:rPr>
      <w:rFonts w:ascii="Times New Roman" w:hAnsi="Times New Roman" w:eastAsia="宋体" w:cs="Times New Roman"/>
      <w:i/>
      <w:iCs/>
      <w:color w:val="000000"/>
      <w:szCs w:val="20"/>
    </w:rPr>
  </w:style>
  <w:style w:type="character" w:customStyle="1" w:styleId="1172">
    <w:name w:val="My table tailer Char"/>
    <w:qFormat/>
    <w:uiPriority w:val="0"/>
    <w:rPr>
      <w:rFonts w:ascii="宋体" w:hAnsi="宋体" w:eastAsia="宋体" w:cs="宋体"/>
      <w:spacing w:val="-1"/>
      <w:kern w:val="2"/>
      <w:sz w:val="21"/>
      <w:szCs w:val="21"/>
      <w:lang w:val="en-US" w:bidi="ar-SA"/>
    </w:rPr>
  </w:style>
  <w:style w:type="character" w:customStyle="1" w:styleId="1173">
    <w:name w:val="dxj标题2 Char Char"/>
    <w:qFormat/>
    <w:uiPriority w:val="0"/>
    <w:rPr>
      <w:rFonts w:eastAsia="黑体"/>
      <w:bCs/>
      <w:kern w:val="2"/>
      <w:sz w:val="28"/>
      <w:szCs w:val="32"/>
      <w:lang w:val="en-US" w:eastAsia="zh-CN" w:bidi="ar-SA"/>
    </w:rPr>
  </w:style>
  <w:style w:type="character" w:customStyle="1" w:styleId="1174">
    <w:name w:val="正文文本 3 Char"/>
    <w:link w:val="1175"/>
    <w:qFormat/>
    <w:uiPriority w:val="0"/>
    <w:rPr>
      <w:rFonts w:eastAsia="宋体"/>
    </w:rPr>
  </w:style>
  <w:style w:type="paragraph" w:customStyle="1" w:styleId="1175">
    <w:name w:val="正文文本 31"/>
    <w:basedOn w:val="1"/>
    <w:link w:val="1174"/>
    <w:qFormat/>
    <w:uiPriority w:val="0"/>
    <w:pPr>
      <w:jc w:val="center"/>
    </w:pPr>
  </w:style>
  <w:style w:type="character" w:customStyle="1" w:styleId="1176">
    <w:name w:val="访问过的超链接1"/>
    <w:qFormat/>
    <w:uiPriority w:val="99"/>
    <w:rPr>
      <w:color w:val="800080"/>
      <w:u w:val="single"/>
    </w:rPr>
  </w:style>
  <w:style w:type="character" w:customStyle="1" w:styleId="1177">
    <w:name w:val="Char Char522"/>
    <w:qFormat/>
    <w:uiPriority w:val="0"/>
    <w:rPr>
      <w:rFonts w:ascii="Arial" w:hAnsi="Arial" w:eastAsia="黑体" w:cs="Times New Roman"/>
      <w:b/>
      <w:bCs/>
      <w:sz w:val="28"/>
      <w:szCs w:val="28"/>
    </w:rPr>
  </w:style>
  <w:style w:type="character" w:customStyle="1" w:styleId="1178">
    <w:name w:val="正文YHY Char"/>
    <w:link w:val="1179"/>
    <w:qFormat/>
    <w:locked/>
    <w:uiPriority w:val="0"/>
    <w:rPr>
      <w:rFonts w:ascii="宋体" w:hAnsi="宋体" w:eastAsia="宋体"/>
      <w:sz w:val="24"/>
      <w:szCs w:val="24"/>
    </w:rPr>
  </w:style>
  <w:style w:type="paragraph" w:customStyle="1" w:styleId="1179">
    <w:name w:val="正文YHY"/>
    <w:basedOn w:val="1"/>
    <w:link w:val="1178"/>
    <w:qFormat/>
    <w:uiPriority w:val="0"/>
    <w:pPr>
      <w:spacing w:before="156" w:beforeLines="50" w:line="360" w:lineRule="auto"/>
      <w:ind w:firstLine="200" w:firstLineChars="200"/>
    </w:pPr>
    <w:rPr>
      <w:rFonts w:ascii="宋体" w:hAnsi="宋体"/>
      <w:sz w:val="24"/>
      <w:szCs w:val="24"/>
    </w:rPr>
  </w:style>
  <w:style w:type="character" w:customStyle="1" w:styleId="1180">
    <w:name w:val="标题 12 Char4"/>
    <w:qFormat/>
    <w:uiPriority w:val="0"/>
    <w:rPr>
      <w:rFonts w:ascii="Arial" w:hAnsi="Arial" w:eastAsia="黑体"/>
      <w:b/>
      <w:bCs/>
      <w:kern w:val="2"/>
      <w:sz w:val="32"/>
      <w:szCs w:val="32"/>
      <w:lang w:val="en-US" w:eastAsia="zh-CN" w:bidi="ar-SA"/>
    </w:rPr>
  </w:style>
  <w:style w:type="character" w:customStyle="1" w:styleId="1181">
    <w:name w:val="样式 标题 1 + 黑体 小三 非加粗 Char Char"/>
    <w:link w:val="1182"/>
    <w:qFormat/>
    <w:uiPriority w:val="0"/>
    <w:rPr>
      <w:rFonts w:ascii="黑体" w:hAnsi="黑体" w:eastAsia="黑体"/>
      <w:b/>
      <w:bCs/>
      <w:kern w:val="44"/>
      <w:sz w:val="30"/>
      <w:szCs w:val="44"/>
    </w:rPr>
  </w:style>
  <w:style w:type="paragraph" w:customStyle="1" w:styleId="1182">
    <w:name w:val="样式 标题 1 + 黑体 小三 非加粗"/>
    <w:basedOn w:val="4"/>
    <w:link w:val="1181"/>
    <w:qFormat/>
    <w:uiPriority w:val="0"/>
    <w:pPr>
      <w:spacing w:line="578" w:lineRule="auto"/>
    </w:pPr>
    <w:rPr>
      <w:rFonts w:ascii="黑体" w:hAnsi="黑体"/>
    </w:rPr>
  </w:style>
  <w:style w:type="character" w:customStyle="1" w:styleId="1183">
    <w:name w:val="5文章(治) Char"/>
    <w:qFormat/>
    <w:uiPriority w:val="0"/>
    <w:rPr>
      <w:rFonts w:ascii="Arial" w:hAnsi="Arial" w:eastAsia="宋体"/>
      <w:kern w:val="2"/>
      <w:sz w:val="24"/>
      <w:lang w:val="en-US" w:eastAsia="zh-CN" w:bidi="ar-SA"/>
    </w:rPr>
  </w:style>
  <w:style w:type="character" w:customStyle="1" w:styleId="1184">
    <w:name w:val="页码4"/>
    <w:qFormat/>
    <w:uiPriority w:val="0"/>
  </w:style>
  <w:style w:type="character" w:customStyle="1" w:styleId="1185">
    <w:name w:val="ENFI表体 Char Char"/>
    <w:link w:val="1186"/>
    <w:qFormat/>
    <w:locked/>
    <w:uiPriority w:val="0"/>
  </w:style>
  <w:style w:type="paragraph" w:customStyle="1" w:styleId="1186">
    <w:name w:val="ENFI表体"/>
    <w:basedOn w:val="1"/>
    <w:link w:val="1185"/>
    <w:qFormat/>
    <w:uiPriority w:val="0"/>
    <w:pPr>
      <w:widowControl/>
      <w:adjustRightInd w:val="0"/>
      <w:snapToGrid w:val="0"/>
      <w:jc w:val="center"/>
    </w:pPr>
    <w:rPr>
      <w:rFonts w:ascii="Times New Roman" w:hAnsi="Times New Roman"/>
      <w:kern w:val="0"/>
      <w:sz w:val="20"/>
      <w:szCs w:val="20"/>
    </w:rPr>
  </w:style>
  <w:style w:type="character" w:customStyle="1" w:styleId="1187">
    <w:name w:val="信息标题 Char4"/>
    <w:qFormat/>
    <w:uiPriority w:val="0"/>
    <w:rPr>
      <w:rFonts w:ascii="Cambria" w:hAnsi="Cambria" w:eastAsia="宋体" w:cs="Times New Roman"/>
      <w:sz w:val="24"/>
      <w:szCs w:val="24"/>
      <w:shd w:val="pct20" w:color="auto" w:fill="auto"/>
    </w:rPr>
  </w:style>
  <w:style w:type="character" w:customStyle="1" w:styleId="1188">
    <w:name w:val="正文xj Char Char"/>
    <w:link w:val="1189"/>
    <w:qFormat/>
    <w:uiPriority w:val="0"/>
    <w:rPr>
      <w:rFonts w:ascii="楷体" w:hAnsi="楷体" w:eastAsia="楷体"/>
      <w:sz w:val="28"/>
      <w:szCs w:val="28"/>
    </w:rPr>
  </w:style>
  <w:style w:type="paragraph" w:customStyle="1" w:styleId="1189">
    <w:name w:val="正文xj"/>
    <w:basedOn w:val="1"/>
    <w:link w:val="1188"/>
    <w:qFormat/>
    <w:uiPriority w:val="0"/>
    <w:pPr>
      <w:tabs>
        <w:tab w:val="left" w:pos="2520"/>
        <w:tab w:val="left" w:pos="3600"/>
      </w:tabs>
      <w:snapToGrid w:val="0"/>
      <w:spacing w:line="360" w:lineRule="auto"/>
      <w:ind w:firstLine="560" w:firstLineChars="200"/>
    </w:pPr>
    <w:rPr>
      <w:rFonts w:ascii="楷体" w:hAnsi="楷体" w:eastAsia="楷体"/>
      <w:sz w:val="28"/>
      <w:szCs w:val="28"/>
    </w:rPr>
  </w:style>
  <w:style w:type="character" w:customStyle="1" w:styleId="1190">
    <w:name w:val="style11"/>
    <w:qFormat/>
    <w:uiPriority w:val="0"/>
    <w:rPr>
      <w:color w:val="03399B"/>
    </w:rPr>
  </w:style>
  <w:style w:type="character" w:customStyle="1" w:styleId="1191">
    <w:name w:val="文章正文样式 Char"/>
    <w:qFormat/>
    <w:uiPriority w:val="0"/>
    <w:rPr>
      <w:rFonts w:ascii="宋体" w:hAnsi="宋体" w:eastAsia="宋体" w:cs="宋体"/>
      <w:kern w:val="2"/>
      <w:sz w:val="24"/>
      <w:lang w:val="en-US" w:eastAsia="zh-CN" w:bidi="ar-SA"/>
    </w:rPr>
  </w:style>
  <w:style w:type="character" w:customStyle="1" w:styleId="1192">
    <w:name w:val="Char Char16"/>
    <w:qFormat/>
    <w:locked/>
    <w:uiPriority w:val="0"/>
    <w:rPr>
      <w:rFonts w:ascii="宋体" w:hAnsi="宋体" w:eastAsia="宋体"/>
      <w:kern w:val="2"/>
      <w:sz w:val="21"/>
      <w:szCs w:val="24"/>
      <w:lang w:val="en-US" w:eastAsia="zh-CN" w:bidi="ar-SA"/>
    </w:rPr>
  </w:style>
  <w:style w:type="character" w:customStyle="1" w:styleId="1193">
    <w:name w:val="正文文本 3 Char4"/>
    <w:qFormat/>
    <w:uiPriority w:val="0"/>
    <w:rPr>
      <w:kern w:val="2"/>
      <w:sz w:val="16"/>
      <w:szCs w:val="16"/>
    </w:rPr>
  </w:style>
  <w:style w:type="character" w:customStyle="1" w:styleId="1194">
    <w:name w:val="样式4 Char Char"/>
    <w:qFormat/>
    <w:uiPriority w:val="0"/>
    <w:rPr>
      <w:rFonts w:ascii="黑体" w:hAnsi="Arial" w:eastAsia="宋体"/>
      <w:b/>
      <w:bCs/>
      <w:kern w:val="2"/>
      <w:sz w:val="24"/>
      <w:szCs w:val="28"/>
      <w:lang w:val="en-US" w:eastAsia="zh-CN" w:bidi="ar-SA"/>
    </w:rPr>
  </w:style>
  <w:style w:type="character" w:customStyle="1" w:styleId="1195">
    <w:name w:val="未命名11"/>
    <w:qFormat/>
    <w:uiPriority w:val="0"/>
    <w:rPr>
      <w:rFonts w:hint="eastAsia" w:ascii="宋体" w:hAnsi="宋体" w:eastAsia="宋体" w:cs="宋体"/>
      <w:kern w:val="2"/>
      <w:sz w:val="18"/>
      <w:szCs w:val="18"/>
      <w:lang w:val="en-US" w:eastAsia="zh-CN" w:bidi="ar-SA"/>
    </w:rPr>
  </w:style>
  <w:style w:type="character" w:customStyle="1" w:styleId="1196">
    <w:name w:val="Char Char202"/>
    <w:qFormat/>
    <w:uiPriority w:val="0"/>
    <w:rPr>
      <w:rFonts w:eastAsia="宋体"/>
      <w:kern w:val="2"/>
      <w:sz w:val="24"/>
      <w:szCs w:val="24"/>
      <w:lang w:val="en-US" w:eastAsia="zh-CN" w:bidi="ar-SA"/>
    </w:rPr>
  </w:style>
  <w:style w:type="character" w:customStyle="1" w:styleId="1197">
    <w:name w:val="正文～! Char Char"/>
    <w:link w:val="1198"/>
    <w:qFormat/>
    <w:uiPriority w:val="0"/>
    <w:rPr>
      <w:rFonts w:eastAsia="仿宋_GB2312" w:cs="宋体"/>
      <w:sz w:val="28"/>
    </w:rPr>
  </w:style>
  <w:style w:type="paragraph" w:customStyle="1" w:styleId="1198">
    <w:name w:val="正文～!"/>
    <w:basedOn w:val="1"/>
    <w:link w:val="1197"/>
    <w:qFormat/>
    <w:uiPriority w:val="0"/>
    <w:pPr>
      <w:adjustRightInd w:val="0"/>
      <w:snapToGrid w:val="0"/>
      <w:spacing w:line="360" w:lineRule="auto"/>
      <w:ind w:right="-57" w:rightChars="-27" w:firstLine="560" w:firstLineChars="200"/>
    </w:pPr>
    <w:rPr>
      <w:rFonts w:ascii="Times New Roman" w:hAnsi="Times New Roman" w:eastAsia="仿宋_GB2312" w:cs="宋体"/>
      <w:kern w:val="0"/>
      <w:sz w:val="28"/>
      <w:szCs w:val="20"/>
    </w:rPr>
  </w:style>
  <w:style w:type="character" w:customStyle="1" w:styleId="1199">
    <w:name w:val="脚注文本 Char5"/>
    <w:semiHidden/>
    <w:qFormat/>
    <w:uiPriority w:val="99"/>
    <w:rPr>
      <w:sz w:val="18"/>
      <w:szCs w:val="18"/>
    </w:rPr>
  </w:style>
  <w:style w:type="character" w:customStyle="1" w:styleId="1200">
    <w:name w:val="Char Char191"/>
    <w:qFormat/>
    <w:uiPriority w:val="0"/>
    <w:rPr>
      <w:rFonts w:eastAsia="宋体"/>
      <w:b/>
      <w:kern w:val="2"/>
      <w:sz w:val="27"/>
      <w:szCs w:val="24"/>
      <w:lang w:val="en-US" w:eastAsia="zh-CN" w:bidi="ar-SA"/>
    </w:rPr>
  </w:style>
  <w:style w:type="character" w:customStyle="1" w:styleId="1201">
    <w:name w:val="5文章(治) Char Char"/>
    <w:link w:val="1202"/>
    <w:qFormat/>
    <w:uiPriority w:val="0"/>
    <w:rPr>
      <w:rFonts w:ascii="Arial" w:hAnsi="Arial" w:eastAsia="宋体"/>
      <w:sz w:val="24"/>
    </w:rPr>
  </w:style>
  <w:style w:type="paragraph" w:customStyle="1" w:styleId="1202">
    <w:name w:val="5文章(治)"/>
    <w:basedOn w:val="1"/>
    <w:link w:val="1201"/>
    <w:qFormat/>
    <w:uiPriority w:val="0"/>
    <w:pPr>
      <w:spacing w:line="360" w:lineRule="auto"/>
      <w:ind w:firstLine="560" w:firstLineChars="200"/>
    </w:pPr>
    <w:rPr>
      <w:rFonts w:ascii="Arial" w:hAnsi="Arial"/>
      <w:sz w:val="24"/>
    </w:rPr>
  </w:style>
  <w:style w:type="character" w:customStyle="1" w:styleId="1203">
    <w:name w:val="标题 Char6"/>
    <w:qFormat/>
    <w:uiPriority w:val="10"/>
    <w:rPr>
      <w:rFonts w:ascii="Cambria" w:hAnsi="Cambria" w:eastAsia="宋体" w:cs="Times New Roman"/>
      <w:b/>
      <w:bCs/>
      <w:sz w:val="32"/>
      <w:szCs w:val="32"/>
    </w:rPr>
  </w:style>
  <w:style w:type="character" w:customStyle="1" w:styleId="1204">
    <w:name w:val="share Char"/>
    <w:link w:val="1205"/>
    <w:qFormat/>
    <w:uiPriority w:val="0"/>
    <w:rPr>
      <w:rFonts w:eastAsia="宋体"/>
      <w:b/>
      <w:sz w:val="24"/>
      <w:szCs w:val="24"/>
    </w:rPr>
  </w:style>
  <w:style w:type="paragraph" w:customStyle="1" w:styleId="1205">
    <w:name w:val="share"/>
    <w:basedOn w:val="1"/>
    <w:link w:val="1204"/>
    <w:qFormat/>
    <w:uiPriority w:val="0"/>
    <w:pPr>
      <w:spacing w:line="400" w:lineRule="exact"/>
      <w:ind w:firstLine="482" w:firstLineChars="200"/>
    </w:pPr>
    <w:rPr>
      <w:b/>
      <w:sz w:val="24"/>
      <w:szCs w:val="24"/>
    </w:rPr>
  </w:style>
  <w:style w:type="character" w:customStyle="1" w:styleId="1206">
    <w:name w:val="宏文本 Char5"/>
    <w:semiHidden/>
    <w:qFormat/>
    <w:uiPriority w:val="99"/>
    <w:rPr>
      <w:rFonts w:ascii="Courier New" w:hAnsi="Courier New" w:eastAsia="宋体" w:cs="Courier New"/>
      <w:sz w:val="24"/>
      <w:szCs w:val="24"/>
    </w:rPr>
  </w:style>
  <w:style w:type="character" w:customStyle="1" w:styleId="1207">
    <w:name w:val="Char Char38"/>
    <w:qFormat/>
    <w:locked/>
    <w:uiPriority w:val="0"/>
    <w:rPr>
      <w:rFonts w:hint="eastAsia" w:ascii="宋体" w:hAnsi="宋体" w:eastAsia="宋体"/>
      <w:kern w:val="2"/>
      <w:sz w:val="18"/>
      <w:lang w:val="en-US" w:eastAsia="zh-CN" w:bidi="ar-SA"/>
    </w:rPr>
  </w:style>
  <w:style w:type="character" w:customStyle="1" w:styleId="1208">
    <w:name w:val="批注引用5"/>
    <w:qFormat/>
    <w:uiPriority w:val="0"/>
    <w:rPr>
      <w:sz w:val="21"/>
      <w:szCs w:val="21"/>
    </w:rPr>
  </w:style>
  <w:style w:type="character" w:customStyle="1" w:styleId="1209">
    <w:name w:val="宏文本 Char2"/>
    <w:semiHidden/>
    <w:qFormat/>
    <w:uiPriority w:val="0"/>
    <w:rPr>
      <w:rFonts w:ascii="Courier New" w:hAnsi="Courier New" w:cs="Courier New"/>
      <w:kern w:val="2"/>
      <w:sz w:val="24"/>
      <w:szCs w:val="24"/>
    </w:rPr>
  </w:style>
  <w:style w:type="character" w:customStyle="1" w:styleId="1210">
    <w:name w:val="Char Char3611"/>
    <w:qFormat/>
    <w:uiPriority w:val="0"/>
    <w:rPr>
      <w:rFonts w:ascii="仿宋体" w:hAnsi="仿宋体" w:eastAsia="幼圆"/>
      <w:sz w:val="18"/>
      <w:szCs w:val="18"/>
    </w:rPr>
  </w:style>
  <w:style w:type="character" w:customStyle="1" w:styleId="1211">
    <w:name w:val="xxxxx正文 Char Char"/>
    <w:link w:val="1212"/>
    <w:qFormat/>
    <w:uiPriority w:val="0"/>
    <w:rPr>
      <w:rFonts w:eastAsia="宋体"/>
      <w:sz w:val="24"/>
      <w:szCs w:val="24"/>
      <w:lang w:val="zh-CN"/>
    </w:rPr>
  </w:style>
  <w:style w:type="paragraph" w:customStyle="1" w:styleId="1212">
    <w:name w:val="xxxxx正文"/>
    <w:basedOn w:val="1"/>
    <w:link w:val="1211"/>
    <w:qFormat/>
    <w:uiPriority w:val="0"/>
    <w:pPr>
      <w:topLinePunct/>
      <w:spacing w:line="360" w:lineRule="auto"/>
      <w:ind w:firstLine="200" w:firstLineChars="200"/>
    </w:pPr>
    <w:rPr>
      <w:sz w:val="24"/>
      <w:szCs w:val="24"/>
      <w:lang w:val="zh-CN"/>
    </w:rPr>
  </w:style>
  <w:style w:type="character" w:customStyle="1" w:styleId="1213">
    <w:name w:val="Char Char451"/>
    <w:qFormat/>
    <w:uiPriority w:val="0"/>
    <w:rPr>
      <w:rFonts w:eastAsia="宋体"/>
      <w:b/>
      <w:bCs/>
      <w:kern w:val="2"/>
      <w:sz w:val="32"/>
      <w:szCs w:val="32"/>
      <w:lang w:val="en-US" w:eastAsia="zh-CN" w:bidi="ar-SA"/>
    </w:rPr>
  </w:style>
  <w:style w:type="character" w:customStyle="1" w:styleId="1214">
    <w:name w:val="文章正文样式 Char Char Char Char3"/>
    <w:link w:val="1215"/>
    <w:qFormat/>
    <w:uiPriority w:val="0"/>
    <w:rPr>
      <w:rFonts w:ascii="宋体" w:hAnsi="宋体"/>
      <w:sz w:val="24"/>
    </w:rPr>
  </w:style>
  <w:style w:type="paragraph" w:customStyle="1" w:styleId="1215">
    <w:name w:val="文章正文样式 Char Char Char4"/>
    <w:basedOn w:val="1"/>
    <w:link w:val="1214"/>
    <w:qFormat/>
    <w:uiPriority w:val="0"/>
    <w:pPr>
      <w:spacing w:line="520" w:lineRule="exact"/>
      <w:ind w:firstLine="480" w:firstLineChars="200"/>
      <w:jc w:val="left"/>
    </w:pPr>
    <w:rPr>
      <w:rFonts w:ascii="宋体" w:hAnsi="宋体"/>
      <w:sz w:val="24"/>
    </w:rPr>
  </w:style>
  <w:style w:type="character" w:customStyle="1" w:styleId="1216">
    <w:name w:val="文档结构图 Char7"/>
    <w:qFormat/>
    <w:uiPriority w:val="0"/>
    <w:rPr>
      <w:shd w:val="clear" w:color="auto" w:fill="000080"/>
    </w:rPr>
  </w:style>
  <w:style w:type="character" w:customStyle="1" w:styleId="1217">
    <w:name w:val="Char Char45"/>
    <w:qFormat/>
    <w:uiPriority w:val="0"/>
    <w:rPr>
      <w:rFonts w:hint="eastAsia" w:ascii="宋体" w:hAnsi="宋体" w:eastAsia="宋体"/>
      <w:b/>
      <w:bCs/>
      <w:kern w:val="2"/>
      <w:sz w:val="32"/>
      <w:szCs w:val="32"/>
      <w:lang w:val="en-US" w:eastAsia="zh-CN" w:bidi="ar-SA"/>
    </w:rPr>
  </w:style>
  <w:style w:type="character" w:customStyle="1" w:styleId="1218">
    <w:name w:val="纯文本 Char1"/>
    <w:link w:val="1219"/>
    <w:qFormat/>
    <w:uiPriority w:val="0"/>
    <w:rPr>
      <w:rFonts w:ascii="宋体" w:hAnsi="Courier New" w:eastAsia="宋体"/>
    </w:rPr>
  </w:style>
  <w:style w:type="paragraph" w:customStyle="1" w:styleId="1219">
    <w:name w:val="纯文本1"/>
    <w:basedOn w:val="1"/>
    <w:link w:val="1218"/>
    <w:qFormat/>
    <w:uiPriority w:val="0"/>
    <w:pPr>
      <w:adjustRightInd w:val="0"/>
      <w:textAlignment w:val="baseline"/>
    </w:pPr>
    <w:rPr>
      <w:rFonts w:ascii="宋体" w:hAnsi="Courier New"/>
    </w:rPr>
  </w:style>
  <w:style w:type="character" w:customStyle="1" w:styleId="1220">
    <w:name w:val="宏文本 Char3"/>
    <w:qFormat/>
    <w:uiPriority w:val="0"/>
    <w:rPr>
      <w:rFonts w:ascii="Courier New" w:hAnsi="Courier New" w:cs="Courier New"/>
      <w:kern w:val="2"/>
      <w:sz w:val="24"/>
      <w:szCs w:val="24"/>
    </w:rPr>
  </w:style>
  <w:style w:type="character" w:customStyle="1" w:styleId="1221">
    <w:name w:val="words-outer-wrap"/>
    <w:qFormat/>
    <w:uiPriority w:val="0"/>
  </w:style>
  <w:style w:type="character" w:customStyle="1" w:styleId="1222">
    <w:name w:val="样式 图号 + 宋体 Char Char Char"/>
    <w:qFormat/>
    <w:uiPriority w:val="0"/>
    <w:rPr>
      <w:rFonts w:ascii="宋体" w:hAnsi="宋体" w:eastAsia="宋体" w:cs="宋体"/>
      <w:b/>
      <w:bCs/>
      <w:kern w:val="32"/>
      <w:sz w:val="24"/>
      <w:szCs w:val="24"/>
      <w:lang w:val="en-US" w:eastAsia="zh-CN" w:bidi="ar-SA"/>
    </w:rPr>
  </w:style>
  <w:style w:type="character" w:customStyle="1" w:styleId="1223">
    <w:name w:val="Char Char502"/>
    <w:qFormat/>
    <w:uiPriority w:val="0"/>
    <w:rPr>
      <w:rFonts w:ascii="Times New Roman" w:hAnsi="Times New Roman" w:eastAsia="仿宋_GB2312" w:cs="Times New Roman"/>
      <w:bCs/>
      <w:sz w:val="24"/>
      <w:szCs w:val="24"/>
    </w:rPr>
  </w:style>
  <w:style w:type="character" w:customStyle="1" w:styleId="1224">
    <w:name w:val="样式 样式 样式 正文 +1 + 宋体 黑色 + 四号 Char Char"/>
    <w:link w:val="1225"/>
    <w:qFormat/>
    <w:uiPriority w:val="0"/>
    <w:rPr>
      <w:rFonts w:ascii="宋体" w:hAnsi="宋体"/>
      <w:color w:val="000000"/>
      <w:spacing w:val="6"/>
      <w:sz w:val="24"/>
      <w:szCs w:val="24"/>
    </w:rPr>
  </w:style>
  <w:style w:type="paragraph" w:customStyle="1" w:styleId="1225">
    <w:name w:val="样式 样式 样式 正文 +1 + 宋体 黑色 + 四号"/>
    <w:basedOn w:val="458"/>
    <w:link w:val="1224"/>
    <w:qFormat/>
    <w:uiPriority w:val="0"/>
    <w:rPr>
      <w:spacing w:val="6"/>
    </w:rPr>
  </w:style>
  <w:style w:type="character" w:customStyle="1" w:styleId="1226">
    <w:name w:val="Char Char3511"/>
    <w:qFormat/>
    <w:uiPriority w:val="0"/>
    <w:rPr>
      <w:rFonts w:eastAsia="幼圆"/>
      <w:sz w:val="24"/>
      <w:szCs w:val="24"/>
      <w:shd w:val="clear" w:color="auto" w:fill="000080"/>
    </w:rPr>
  </w:style>
  <w:style w:type="character" w:customStyle="1" w:styleId="1227">
    <w:name w:val="HTML 预设格式 字符"/>
    <w:semiHidden/>
    <w:qFormat/>
    <w:uiPriority w:val="99"/>
    <w:rPr>
      <w:rFonts w:ascii="宋体" w:hAnsi="宋体" w:cs="宋体"/>
      <w:sz w:val="24"/>
      <w:szCs w:val="24"/>
    </w:rPr>
  </w:style>
  <w:style w:type="character" w:customStyle="1" w:styleId="1228">
    <w:name w:val="Char Char472"/>
    <w:qFormat/>
    <w:uiPriority w:val="0"/>
    <w:rPr>
      <w:rFonts w:eastAsia="宋体"/>
      <w:b/>
      <w:bCs/>
      <w:kern w:val="44"/>
      <w:sz w:val="44"/>
      <w:szCs w:val="44"/>
      <w:lang w:val="en-US" w:eastAsia="zh-CN" w:bidi="ar-SA"/>
    </w:rPr>
  </w:style>
  <w:style w:type="character" w:customStyle="1" w:styleId="1229">
    <w:name w:val="页眉1 Char3"/>
    <w:qFormat/>
    <w:uiPriority w:val="0"/>
    <w:rPr>
      <w:rFonts w:eastAsia="宋体"/>
      <w:kern w:val="2"/>
      <w:sz w:val="18"/>
      <w:szCs w:val="18"/>
      <w:lang w:val="en-US" w:eastAsia="zh-CN" w:bidi="ar-SA"/>
    </w:rPr>
  </w:style>
  <w:style w:type="character" w:customStyle="1" w:styleId="1230">
    <w:name w:val="副标题 Char1"/>
    <w:qFormat/>
    <w:uiPriority w:val="11"/>
    <w:rPr>
      <w:rFonts w:ascii="Cambria" w:hAnsi="Cambria" w:cs="Times New Roman"/>
      <w:b/>
      <w:bCs/>
      <w:kern w:val="28"/>
      <w:sz w:val="32"/>
      <w:szCs w:val="32"/>
    </w:rPr>
  </w:style>
  <w:style w:type="character" w:customStyle="1" w:styleId="1231">
    <w:name w:val="页码3"/>
    <w:qFormat/>
    <w:uiPriority w:val="0"/>
    <w:rPr>
      <w:sz w:val="21"/>
    </w:rPr>
  </w:style>
  <w:style w:type="character" w:customStyle="1" w:styleId="1232">
    <w:name w:val="Char Char201"/>
    <w:qFormat/>
    <w:uiPriority w:val="0"/>
    <w:rPr>
      <w:rFonts w:eastAsia="宋体"/>
      <w:kern w:val="2"/>
      <w:sz w:val="24"/>
      <w:szCs w:val="24"/>
      <w:lang w:val="en-US" w:eastAsia="zh-CN" w:bidi="ar-SA"/>
    </w:rPr>
  </w:style>
  <w:style w:type="character" w:customStyle="1" w:styleId="1233">
    <w:name w:val="样式 正文文本缩进 + 非加宽量 / 紧缩量 Char Char Char"/>
    <w:link w:val="1234"/>
    <w:qFormat/>
    <w:uiPriority w:val="0"/>
    <w:rPr>
      <w:rFonts w:eastAsia="宋体"/>
      <w:sz w:val="28"/>
      <w:szCs w:val="28"/>
    </w:rPr>
  </w:style>
  <w:style w:type="paragraph" w:customStyle="1" w:styleId="1234">
    <w:name w:val="样式 正文文本缩进 + 非加宽量 / 紧缩量 Char"/>
    <w:basedOn w:val="35"/>
    <w:link w:val="1233"/>
    <w:qFormat/>
    <w:uiPriority w:val="0"/>
    <w:pPr>
      <w:spacing w:line="360" w:lineRule="auto"/>
      <w:ind w:firstLine="560"/>
    </w:pPr>
    <w:rPr>
      <w:rFonts w:ascii="Calibri" w:hAnsi="Calibri"/>
      <w:sz w:val="28"/>
      <w:szCs w:val="28"/>
    </w:rPr>
  </w:style>
  <w:style w:type="character" w:customStyle="1" w:styleId="1235">
    <w:name w:val="自动2 Char"/>
    <w:qFormat/>
    <w:uiPriority w:val="0"/>
    <w:rPr>
      <w:rFonts w:ascii="黑体" w:hAnsi="Arial" w:eastAsia="黑体"/>
      <w:b/>
      <w:bCs/>
      <w:color w:val="000000"/>
      <w:kern w:val="2"/>
      <w:sz w:val="28"/>
      <w:szCs w:val="28"/>
      <w:lang w:val="en-US" w:eastAsia="zh-CN" w:bidi="ar-SA"/>
    </w:rPr>
  </w:style>
  <w:style w:type="character" w:customStyle="1" w:styleId="1236">
    <w:name w:val="Char Char27"/>
    <w:qFormat/>
    <w:uiPriority w:val="0"/>
    <w:rPr>
      <w:rFonts w:eastAsia="黑体"/>
      <w:b/>
      <w:bCs/>
      <w:kern w:val="2"/>
      <w:sz w:val="24"/>
      <w:szCs w:val="32"/>
      <w:lang w:val="en-US" w:eastAsia="zh-CN" w:bidi="ar-SA"/>
    </w:rPr>
  </w:style>
  <w:style w:type="character" w:customStyle="1" w:styleId="1237">
    <w:name w:val="Char Char2611"/>
    <w:qFormat/>
    <w:uiPriority w:val="0"/>
    <w:rPr>
      <w:rFonts w:ascii="Arial" w:hAnsi="Arial" w:eastAsia="黑体"/>
      <w:b/>
      <w:bCs/>
      <w:kern w:val="2"/>
      <w:sz w:val="28"/>
      <w:szCs w:val="28"/>
      <w:lang w:val="en-US" w:eastAsia="zh-CN" w:bidi="ar-SA"/>
    </w:rPr>
  </w:style>
  <w:style w:type="character" w:customStyle="1" w:styleId="1238">
    <w:name w:val="short_text"/>
    <w:qFormat/>
    <w:uiPriority w:val="0"/>
  </w:style>
  <w:style w:type="character" w:customStyle="1" w:styleId="1239">
    <w:name w:val="段落(G) Char"/>
    <w:link w:val="1240"/>
    <w:qFormat/>
    <w:uiPriority w:val="0"/>
    <w:rPr>
      <w:color w:val="000000"/>
      <w:kern w:val="24"/>
      <w:sz w:val="24"/>
      <w:szCs w:val="24"/>
      <w:lang w:val="zh-CN"/>
    </w:rPr>
  </w:style>
  <w:style w:type="paragraph" w:customStyle="1" w:styleId="1240">
    <w:name w:val="段落(G)"/>
    <w:basedOn w:val="1"/>
    <w:link w:val="1239"/>
    <w:qFormat/>
    <w:uiPriority w:val="0"/>
    <w:pPr>
      <w:tabs>
        <w:tab w:val="left" w:pos="1021"/>
        <w:tab w:val="left" w:pos="1320"/>
      </w:tabs>
      <w:spacing w:line="360" w:lineRule="auto"/>
      <w:ind w:firstLine="480" w:firstLineChars="200"/>
    </w:pPr>
    <w:rPr>
      <w:rFonts w:ascii="Times New Roman" w:hAnsi="Times New Roman"/>
      <w:color w:val="000000"/>
      <w:kern w:val="24"/>
      <w:sz w:val="24"/>
      <w:szCs w:val="24"/>
      <w:lang w:val="zh-CN"/>
    </w:rPr>
  </w:style>
  <w:style w:type="character" w:customStyle="1" w:styleId="1241">
    <w:name w:val="样式 样式 宋体 四号 黑色 左侧:  0.32 厘米 行距: 1.5 倍行距 + 首行缩进:  2 字符2 Char Char"/>
    <w:qFormat/>
    <w:uiPriority w:val="0"/>
    <w:rPr>
      <w:rFonts w:eastAsia="宋体" w:cs="宋体"/>
      <w:kern w:val="2"/>
      <w:sz w:val="28"/>
      <w:szCs w:val="28"/>
      <w:lang w:val="en-US" w:eastAsia="zh-CN" w:bidi="ar-SA"/>
    </w:rPr>
  </w:style>
  <w:style w:type="character" w:customStyle="1" w:styleId="1242">
    <w:name w:val="段落样式 Char Char Char1"/>
    <w:link w:val="1243"/>
    <w:qFormat/>
    <w:uiPriority w:val="0"/>
    <w:rPr>
      <w:snapToGrid w:val="0"/>
      <w:w w:val="90"/>
      <w:sz w:val="28"/>
    </w:rPr>
  </w:style>
  <w:style w:type="paragraph" w:customStyle="1" w:styleId="1243">
    <w:name w:val="段落样式 Char Char"/>
    <w:basedOn w:val="1"/>
    <w:link w:val="1242"/>
    <w:qFormat/>
    <w:uiPriority w:val="0"/>
    <w:pPr>
      <w:keepNext/>
      <w:suppressLineNumbers/>
      <w:suppressAutoHyphens/>
      <w:topLinePunct/>
      <w:adjustRightInd w:val="0"/>
      <w:snapToGrid w:val="0"/>
      <w:spacing w:line="480" w:lineRule="atLeast"/>
      <w:ind w:firstLine="482"/>
      <w:textAlignment w:val="baseline"/>
    </w:pPr>
    <w:rPr>
      <w:snapToGrid w:val="0"/>
      <w:w w:val="90"/>
      <w:sz w:val="28"/>
    </w:rPr>
  </w:style>
  <w:style w:type="character" w:customStyle="1" w:styleId="1244">
    <w:name w:val="标题 1 Char1"/>
    <w:qFormat/>
    <w:uiPriority w:val="0"/>
    <w:rPr>
      <w:rFonts w:eastAsia="幼圆"/>
      <w:b/>
      <w:bCs/>
      <w:kern w:val="44"/>
      <w:sz w:val="44"/>
      <w:szCs w:val="44"/>
      <w:lang w:val="en-US" w:eastAsia="zh-CN" w:bidi="ar-SA"/>
    </w:rPr>
  </w:style>
  <w:style w:type="character" w:customStyle="1" w:styleId="1245">
    <w:name w:val="条标题1.1.1 Char1"/>
    <w:qFormat/>
    <w:uiPriority w:val="0"/>
    <w:rPr>
      <w:rFonts w:ascii="Times New Roman" w:hAnsi="Times New Roman" w:eastAsia="宋体" w:cs="Times New Roman"/>
      <w:b/>
      <w:bCs/>
      <w:sz w:val="32"/>
      <w:szCs w:val="32"/>
    </w:rPr>
  </w:style>
  <w:style w:type="character" w:customStyle="1" w:styleId="1246">
    <w:name w:val="标题 13 Char Char"/>
    <w:qFormat/>
    <w:uiPriority w:val="0"/>
    <w:rPr>
      <w:rFonts w:ascii="Arial Unicode MS" w:hAnsi="Arial Unicode MS" w:eastAsia="Arial Unicode MS" w:cs="Arial Unicode MS"/>
      <w:b/>
      <w:bCs/>
      <w:color w:val="000000"/>
      <w:kern w:val="2"/>
      <w:sz w:val="27"/>
      <w:szCs w:val="27"/>
      <w:lang w:val="en-US" w:eastAsia="zh-CN" w:bidi="ar-SA"/>
    </w:rPr>
  </w:style>
  <w:style w:type="character" w:customStyle="1" w:styleId="1247">
    <w:name w:val="Char Char223"/>
    <w:qFormat/>
    <w:uiPriority w:val="0"/>
    <w:rPr>
      <w:rFonts w:ascii="Arial" w:hAnsi="Arial" w:eastAsia="黑体"/>
      <w:b/>
      <w:bCs/>
      <w:kern w:val="2"/>
      <w:sz w:val="28"/>
      <w:szCs w:val="28"/>
      <w:lang w:val="en-US" w:eastAsia="zh-CN" w:bidi="ar-SA"/>
    </w:rPr>
  </w:style>
  <w:style w:type="character" w:customStyle="1" w:styleId="1248">
    <w:name w:val="Char Char491"/>
    <w:qFormat/>
    <w:uiPriority w:val="0"/>
    <w:rPr>
      <w:rFonts w:hint="default" w:ascii="Times New Roman" w:hAnsi="Times New Roman" w:eastAsia="宋体" w:cs="Times New Roman"/>
      <w:sz w:val="28"/>
      <w:szCs w:val="24"/>
    </w:rPr>
  </w:style>
  <w:style w:type="character" w:customStyle="1" w:styleId="1249">
    <w:name w:val="未命名1"/>
    <w:qFormat/>
    <w:uiPriority w:val="0"/>
  </w:style>
  <w:style w:type="character" w:customStyle="1" w:styleId="1250">
    <w:name w:val="正文段落 Char Char"/>
    <w:qFormat/>
    <w:uiPriority w:val="0"/>
    <w:rPr>
      <w:rFonts w:eastAsia="宋体"/>
      <w:snapToGrid w:val="0"/>
      <w:w w:val="80"/>
      <w:kern w:val="28"/>
      <w:sz w:val="28"/>
      <w:lang w:val="en-US" w:eastAsia="zh-CN" w:bidi="ar-SA"/>
    </w:rPr>
  </w:style>
  <w:style w:type="character" w:customStyle="1" w:styleId="1251">
    <w:name w:val="副标题 Char5"/>
    <w:qFormat/>
    <w:uiPriority w:val="0"/>
    <w:rPr>
      <w:rFonts w:ascii="Cambria" w:hAnsi="Cambria" w:eastAsia="宋体" w:cs="Times New Roman"/>
      <w:b/>
      <w:bCs/>
      <w:kern w:val="28"/>
      <w:sz w:val="32"/>
      <w:szCs w:val="32"/>
    </w:rPr>
  </w:style>
  <w:style w:type="character" w:customStyle="1" w:styleId="1252">
    <w:name w:val="批注引用3"/>
    <w:qFormat/>
    <w:uiPriority w:val="0"/>
    <w:rPr>
      <w:sz w:val="21"/>
      <w:szCs w:val="21"/>
    </w:rPr>
  </w:style>
  <w:style w:type="character" w:customStyle="1" w:styleId="1253">
    <w:name w:val="表文 Char"/>
    <w:link w:val="1254"/>
    <w:qFormat/>
    <w:uiPriority w:val="0"/>
    <w:rPr>
      <w:sz w:val="21"/>
    </w:rPr>
  </w:style>
  <w:style w:type="paragraph" w:customStyle="1" w:styleId="1254">
    <w:name w:val="表文"/>
    <w:link w:val="1253"/>
    <w:qFormat/>
    <w:uiPriority w:val="0"/>
    <w:pPr>
      <w:spacing w:line="400" w:lineRule="exact"/>
      <w:jc w:val="center"/>
    </w:pPr>
    <w:rPr>
      <w:rFonts w:ascii="Calibri" w:hAnsi="Calibri" w:eastAsia="宋体" w:cs="Times New Roman"/>
      <w:sz w:val="21"/>
      <w:lang w:val="en-US" w:eastAsia="zh-CN" w:bidi="ar-SA"/>
    </w:rPr>
  </w:style>
  <w:style w:type="character" w:customStyle="1" w:styleId="1255">
    <w:name w:val="无间隔 字符"/>
    <w:link w:val="1256"/>
    <w:qFormat/>
    <w:uiPriority w:val="0"/>
    <w:rPr>
      <w:rFonts w:ascii="Calibri" w:hAnsi="Calibri" w:eastAsia="Times New Roman"/>
      <w:sz w:val="22"/>
    </w:rPr>
  </w:style>
  <w:style w:type="paragraph" w:styleId="1256">
    <w:name w:val="No Spacing"/>
    <w:link w:val="1255"/>
    <w:qFormat/>
    <w:uiPriority w:val="0"/>
    <w:rPr>
      <w:rFonts w:ascii="Calibri" w:hAnsi="Calibri" w:eastAsia="Times New Roman" w:cs="Times New Roman"/>
      <w:kern w:val="2"/>
      <w:sz w:val="22"/>
      <w:szCs w:val="22"/>
      <w:lang w:val="en-US" w:eastAsia="zh-CN" w:bidi="ar-SA"/>
    </w:rPr>
  </w:style>
  <w:style w:type="character" w:customStyle="1" w:styleId="1257">
    <w:name w:val="(use for figures) Char"/>
    <w:qFormat/>
    <w:uiPriority w:val="0"/>
    <w:rPr>
      <w:rFonts w:ascii="Arial" w:hAnsi="Arial" w:eastAsia="黑体"/>
      <w:kern w:val="2"/>
      <w:sz w:val="24"/>
      <w:szCs w:val="24"/>
      <w:lang w:val="en-US" w:eastAsia="zh-CN" w:bidi="ar-SA"/>
    </w:rPr>
  </w:style>
  <w:style w:type="character" w:customStyle="1" w:styleId="1258">
    <w:name w:val="2标题(治) Char"/>
    <w:link w:val="1259"/>
    <w:qFormat/>
    <w:uiPriority w:val="0"/>
    <w:rPr>
      <w:rFonts w:ascii="Times New Roman" w:hAnsi="Times New Roman" w:eastAsia="黑体"/>
      <w:b/>
      <w:bCs/>
      <w:kern w:val="2"/>
      <w:sz w:val="28"/>
      <w:szCs w:val="32"/>
    </w:rPr>
  </w:style>
  <w:style w:type="paragraph" w:customStyle="1" w:styleId="1259">
    <w:name w:val="2标题(治)"/>
    <w:basedOn w:val="5"/>
    <w:link w:val="1258"/>
    <w:qFormat/>
    <w:uiPriority w:val="0"/>
    <w:pPr>
      <w:outlineLvl w:val="0"/>
    </w:pPr>
  </w:style>
  <w:style w:type="character" w:customStyle="1" w:styleId="1260">
    <w:name w:val="明显引用 Char1"/>
    <w:qFormat/>
    <w:uiPriority w:val="0"/>
    <w:rPr>
      <w:rFonts w:ascii="Times New Roman" w:hAnsi="Times New Roman" w:eastAsia="宋体" w:cs="Times New Roman"/>
      <w:b/>
      <w:bCs/>
      <w:i/>
      <w:iCs/>
      <w:color w:val="4F81BD"/>
      <w:szCs w:val="20"/>
    </w:rPr>
  </w:style>
  <w:style w:type="character" w:customStyle="1" w:styleId="1261">
    <w:name w:val="样式 宋体 13.5 磅"/>
    <w:qFormat/>
    <w:uiPriority w:val="0"/>
    <w:rPr>
      <w:rFonts w:ascii="宋体" w:hAnsi="宋体"/>
      <w:sz w:val="28"/>
    </w:rPr>
  </w:style>
  <w:style w:type="character" w:customStyle="1" w:styleId="1262">
    <w:name w:val="正文文本缩进 3 Char6"/>
    <w:semiHidden/>
    <w:qFormat/>
    <w:uiPriority w:val="99"/>
    <w:rPr>
      <w:sz w:val="16"/>
      <w:szCs w:val="16"/>
    </w:rPr>
  </w:style>
  <w:style w:type="character" w:customStyle="1" w:styleId="1263">
    <w:name w:val="标题 2 字符"/>
    <w:qFormat/>
    <w:uiPriority w:val="0"/>
    <w:rPr>
      <w:rFonts w:ascii="Times New Roman" w:hAnsi="Times New Roman" w:eastAsia="黑体"/>
      <w:bCs/>
      <w:kern w:val="2"/>
      <w:sz w:val="24"/>
      <w:szCs w:val="32"/>
    </w:rPr>
  </w:style>
  <w:style w:type="character" w:customStyle="1" w:styleId="1264">
    <w:name w:val="正文首行缩进 2 字符"/>
    <w:link w:val="1265"/>
    <w:qFormat/>
    <w:uiPriority w:val="0"/>
    <w:rPr>
      <w:szCs w:val="24"/>
    </w:rPr>
  </w:style>
  <w:style w:type="paragraph" w:customStyle="1" w:styleId="1265">
    <w:name w:val="正文文本首行缩进 21"/>
    <w:basedOn w:val="35"/>
    <w:link w:val="1264"/>
    <w:qFormat/>
    <w:uiPriority w:val="0"/>
    <w:pPr>
      <w:spacing w:after="120" w:line="240" w:lineRule="auto"/>
      <w:ind w:left="420" w:leftChars="200" w:firstLine="420"/>
    </w:pPr>
    <w:rPr>
      <w:rFonts w:ascii="Times New Roman" w:hAnsi="Times New Roman"/>
      <w:kern w:val="0"/>
      <w:sz w:val="20"/>
    </w:rPr>
  </w:style>
  <w:style w:type="character" w:customStyle="1" w:styleId="1266">
    <w:name w:val="说明书正文 Char"/>
    <w:link w:val="1267"/>
    <w:qFormat/>
    <w:uiPriority w:val="0"/>
    <w:rPr>
      <w:rFonts w:eastAsia="仿宋_GB2312"/>
      <w:color w:val="000000"/>
      <w:sz w:val="30"/>
    </w:rPr>
  </w:style>
  <w:style w:type="paragraph" w:customStyle="1" w:styleId="1267">
    <w:name w:val="说明书正文"/>
    <w:basedOn w:val="1"/>
    <w:link w:val="1266"/>
    <w:qFormat/>
    <w:uiPriority w:val="0"/>
    <w:pPr>
      <w:spacing w:line="480" w:lineRule="exact"/>
      <w:ind w:firstLine="600" w:firstLineChars="200"/>
    </w:pPr>
    <w:rPr>
      <w:rFonts w:eastAsia="仿宋_GB2312"/>
      <w:color w:val="000000"/>
      <w:sz w:val="30"/>
    </w:rPr>
  </w:style>
  <w:style w:type="character" w:customStyle="1" w:styleId="1268">
    <w:name w:val="出版正文 Char"/>
    <w:link w:val="1269"/>
    <w:qFormat/>
    <w:uiPriority w:val="0"/>
    <w:rPr>
      <w:rFonts w:ascii="Calibri" w:hAnsi="Calibri" w:eastAsia="宋体" w:cs="Times New Roman"/>
      <w:sz w:val="28"/>
      <w:szCs w:val="24"/>
    </w:rPr>
  </w:style>
  <w:style w:type="paragraph" w:customStyle="1" w:styleId="1269">
    <w:name w:val="出版正文"/>
    <w:basedOn w:val="1"/>
    <w:link w:val="1268"/>
    <w:qFormat/>
    <w:uiPriority w:val="0"/>
    <w:pPr>
      <w:spacing w:line="600" w:lineRule="exact"/>
      <w:ind w:firstLine="200" w:firstLineChars="200"/>
    </w:pPr>
    <w:rPr>
      <w:sz w:val="28"/>
      <w:szCs w:val="24"/>
    </w:rPr>
  </w:style>
  <w:style w:type="character" w:customStyle="1" w:styleId="1270">
    <w:name w:val="标题 1 Char Char"/>
    <w:qFormat/>
    <w:uiPriority w:val="0"/>
    <w:rPr>
      <w:rFonts w:eastAsia="宋体"/>
      <w:kern w:val="2"/>
      <w:sz w:val="28"/>
      <w:szCs w:val="24"/>
      <w:lang w:val="en-US" w:eastAsia="zh-CN" w:bidi="ar-SA"/>
    </w:rPr>
  </w:style>
  <w:style w:type="character" w:customStyle="1" w:styleId="1271">
    <w:name w:val="报告正文 Char Char"/>
    <w:qFormat/>
    <w:uiPriority w:val="0"/>
    <w:rPr>
      <w:rFonts w:eastAsia="宋体"/>
      <w:color w:val="000000"/>
      <w:kern w:val="2"/>
      <w:sz w:val="24"/>
      <w:szCs w:val="24"/>
      <w:lang w:val="en-US" w:eastAsia="zh-CN" w:bidi="ar-SA"/>
    </w:rPr>
  </w:style>
  <w:style w:type="character" w:customStyle="1" w:styleId="1272">
    <w:name w:val="Char Char492"/>
    <w:qFormat/>
    <w:uiPriority w:val="0"/>
    <w:rPr>
      <w:rFonts w:ascii="Times New Roman" w:hAnsi="Times New Roman" w:eastAsia="宋体" w:cs="Times New Roman"/>
      <w:sz w:val="28"/>
      <w:szCs w:val="24"/>
    </w:rPr>
  </w:style>
  <w:style w:type="character" w:customStyle="1" w:styleId="1273">
    <w:name w:val="样式 样式 标题 3标题 13标题 3 Char1 Char Char Char标题 31ReHead 3 WSAh3B... ... Char"/>
    <w:link w:val="1274"/>
    <w:qFormat/>
    <w:uiPriority w:val="0"/>
    <w:rPr>
      <w:rFonts w:ascii="宋体" w:hAnsi="宋体"/>
      <w:kern w:val="2"/>
      <w:sz w:val="24"/>
      <w:szCs w:val="28"/>
    </w:rPr>
  </w:style>
  <w:style w:type="paragraph" w:customStyle="1" w:styleId="1274">
    <w:name w:val="样式 样式 标题 3标题 13标题 3 Char1 Char Char Char标题 31ReHead 3 WSAh3B... ..."/>
    <w:basedOn w:val="7"/>
    <w:link w:val="1273"/>
    <w:qFormat/>
    <w:uiPriority w:val="0"/>
    <w:pPr>
      <w:spacing w:line="372" w:lineRule="auto"/>
    </w:pPr>
    <w:rPr>
      <w:rFonts w:ascii="宋体" w:hAnsi="宋体" w:eastAsia="宋体"/>
      <w:bCs w:val="0"/>
    </w:rPr>
  </w:style>
  <w:style w:type="character" w:customStyle="1" w:styleId="1275">
    <w:name w:val="t2 style2"/>
    <w:qFormat/>
    <w:uiPriority w:val="0"/>
  </w:style>
  <w:style w:type="character" w:customStyle="1" w:styleId="1276">
    <w:name w:val="日期 Char3"/>
    <w:qFormat/>
    <w:uiPriority w:val="0"/>
  </w:style>
  <w:style w:type="character" w:customStyle="1" w:styleId="1277">
    <w:name w:val="Char Char5411"/>
    <w:qFormat/>
    <w:uiPriority w:val="0"/>
    <w:rPr>
      <w:rFonts w:hint="default" w:ascii="Arial" w:hAnsi="Arial" w:eastAsia="黑体" w:cs="Times New Roman"/>
      <w:b/>
      <w:bCs/>
      <w:sz w:val="32"/>
      <w:szCs w:val="32"/>
    </w:rPr>
  </w:style>
  <w:style w:type="character" w:customStyle="1" w:styleId="1278">
    <w:name w:val="Char Char9211"/>
    <w:qFormat/>
    <w:uiPriority w:val="0"/>
    <w:rPr>
      <w:rFonts w:eastAsia="宋体"/>
      <w:kern w:val="2"/>
      <w:sz w:val="21"/>
      <w:szCs w:val="24"/>
      <w:lang w:val="en-US" w:eastAsia="zh-CN" w:bidi="ar-SA"/>
    </w:rPr>
  </w:style>
  <w:style w:type="character" w:customStyle="1" w:styleId="1279">
    <w:name w:val="Char Char104"/>
    <w:qFormat/>
    <w:uiPriority w:val="0"/>
    <w:rPr>
      <w:rFonts w:eastAsia="宋体"/>
      <w:b/>
      <w:bCs/>
      <w:kern w:val="44"/>
      <w:sz w:val="44"/>
      <w:szCs w:val="44"/>
      <w:lang w:val="en-US" w:eastAsia="zh-CN" w:bidi="ar-SA"/>
    </w:rPr>
  </w:style>
  <w:style w:type="character" w:customStyle="1" w:styleId="1280">
    <w:name w:val="Char Char2011"/>
    <w:qFormat/>
    <w:uiPriority w:val="0"/>
    <w:rPr>
      <w:rFonts w:eastAsia="宋体"/>
      <w:kern w:val="2"/>
      <w:sz w:val="24"/>
      <w:szCs w:val="24"/>
      <w:lang w:val="en-US" w:eastAsia="zh-CN"/>
    </w:rPr>
  </w:style>
  <w:style w:type="character" w:customStyle="1" w:styleId="1281">
    <w:name w:val="(use for figures) Char4"/>
    <w:qFormat/>
    <w:uiPriority w:val="0"/>
    <w:rPr>
      <w:rFonts w:eastAsia="宋体"/>
      <w:kern w:val="2"/>
      <w:sz w:val="28"/>
      <w:szCs w:val="24"/>
      <w:lang w:val="en-US" w:eastAsia="zh-CN" w:bidi="ar-SA"/>
    </w:rPr>
  </w:style>
  <w:style w:type="character" w:customStyle="1" w:styleId="1282">
    <w:name w:val="1正文段落 Char"/>
    <w:link w:val="1283"/>
    <w:qFormat/>
    <w:locked/>
    <w:uiPriority w:val="0"/>
    <w:rPr>
      <w:rFonts w:ascii="宋体" w:hAnsi="宋体" w:eastAsia="宋体"/>
      <w:snapToGrid w:val="0"/>
      <w:sz w:val="24"/>
      <w:szCs w:val="24"/>
    </w:rPr>
  </w:style>
  <w:style w:type="paragraph" w:customStyle="1" w:styleId="1283">
    <w:name w:val="1正文段落"/>
    <w:basedOn w:val="1"/>
    <w:link w:val="1282"/>
    <w:qFormat/>
    <w:uiPriority w:val="0"/>
    <w:pPr>
      <w:snapToGrid w:val="0"/>
      <w:spacing w:line="360" w:lineRule="auto"/>
      <w:ind w:firstLine="480"/>
    </w:pPr>
    <w:rPr>
      <w:rFonts w:ascii="宋体" w:hAnsi="宋体"/>
      <w:snapToGrid w:val="0"/>
      <w:sz w:val="24"/>
      <w:szCs w:val="24"/>
    </w:rPr>
  </w:style>
  <w:style w:type="character" w:customStyle="1" w:styleId="1284">
    <w:name w:val="H5 Char"/>
    <w:qFormat/>
    <w:uiPriority w:val="0"/>
    <w:rPr>
      <w:rFonts w:eastAsia="仿宋_GB2312"/>
      <w:kern w:val="2"/>
      <w:sz w:val="24"/>
      <w:szCs w:val="28"/>
      <w:lang w:val="en-US" w:eastAsia="zh-CN" w:bidi="ar-SA"/>
    </w:rPr>
  </w:style>
  <w:style w:type="character" w:customStyle="1" w:styleId="1285">
    <w:name w:val="Char Char271"/>
    <w:qFormat/>
    <w:uiPriority w:val="0"/>
    <w:rPr>
      <w:rFonts w:eastAsia="黑体"/>
      <w:b/>
      <w:bCs/>
      <w:kern w:val="2"/>
      <w:sz w:val="24"/>
      <w:szCs w:val="32"/>
      <w:lang w:val="en-US" w:eastAsia="zh-CN" w:bidi="ar-SA"/>
    </w:rPr>
  </w:style>
  <w:style w:type="character" w:customStyle="1" w:styleId="1286">
    <w:name w:val="样式5 Char"/>
    <w:link w:val="1287"/>
    <w:qFormat/>
    <w:uiPriority w:val="0"/>
    <w:rPr>
      <w:rFonts w:ascii="Times New Roman" w:hAnsi="Times New Roman" w:eastAsia="黑体"/>
      <w:kern w:val="2"/>
      <w:sz w:val="30"/>
    </w:rPr>
  </w:style>
  <w:style w:type="paragraph" w:customStyle="1" w:styleId="1287">
    <w:name w:val="样式5"/>
    <w:basedOn w:val="1288"/>
    <w:link w:val="1286"/>
    <w:qFormat/>
    <w:uiPriority w:val="0"/>
    <w:pPr>
      <w:tabs>
        <w:tab w:val="left" w:pos="0"/>
        <w:tab w:val="left" w:pos="360"/>
        <w:tab w:val="left" w:pos="540"/>
        <w:tab w:val="left" w:pos="2225"/>
      </w:tabs>
      <w:ind w:firstLine="0"/>
    </w:pPr>
  </w:style>
  <w:style w:type="paragraph" w:customStyle="1" w:styleId="1288">
    <w:name w:val="标题2"/>
    <w:basedOn w:val="5"/>
    <w:qFormat/>
    <w:uiPriority w:val="0"/>
    <w:pPr>
      <w:widowControl/>
      <w:tabs>
        <w:tab w:val="left" w:pos="360"/>
        <w:tab w:val="left" w:pos="2225"/>
      </w:tabs>
      <w:spacing w:before="120" w:after="120" w:line="240" w:lineRule="auto"/>
      <w:ind w:firstLine="425"/>
    </w:pPr>
    <w:rPr>
      <w:b w:val="0"/>
      <w:bCs w:val="0"/>
      <w:sz w:val="30"/>
      <w:szCs w:val="20"/>
    </w:rPr>
  </w:style>
  <w:style w:type="character" w:customStyle="1" w:styleId="1289">
    <w:name w:val="正文文字 3 Char Char2"/>
    <w:semiHidden/>
    <w:qFormat/>
    <w:locked/>
    <w:uiPriority w:val="0"/>
    <w:rPr>
      <w:rFonts w:eastAsia="宋体"/>
      <w:kern w:val="2"/>
      <w:sz w:val="16"/>
      <w:szCs w:val="16"/>
      <w:lang w:val="en-US" w:eastAsia="zh-CN" w:bidi="ar-SA"/>
    </w:rPr>
  </w:style>
  <w:style w:type="character" w:customStyle="1" w:styleId="1290">
    <w:name w:val="正文文本 3 Char2"/>
    <w:qFormat/>
    <w:uiPriority w:val="0"/>
    <w:rPr>
      <w:rFonts w:ascii="Times New Roman" w:hAnsi="Times New Roman" w:eastAsia="宋体" w:cs="Times New Roman"/>
      <w:sz w:val="16"/>
      <w:szCs w:val="16"/>
    </w:rPr>
  </w:style>
  <w:style w:type="character" w:customStyle="1" w:styleId="1291">
    <w:name w:val="批注文字 Char4"/>
    <w:qFormat/>
    <w:uiPriority w:val="0"/>
  </w:style>
  <w:style w:type="character" w:customStyle="1" w:styleId="1292">
    <w:name w:val="正文文本缩进 Char1"/>
    <w:qFormat/>
    <w:uiPriority w:val="0"/>
    <w:rPr>
      <w:rFonts w:ascii="幼圆" w:hAnsi="幼圆" w:eastAsia="幼圆" w:cs="汉鼎简书宋"/>
      <w:spacing w:val="-2"/>
      <w:kern w:val="2"/>
      <w:sz w:val="21"/>
      <w:szCs w:val="24"/>
      <w:lang w:val="en-US" w:eastAsia="zh-CN" w:bidi="ar-SA"/>
    </w:rPr>
  </w:style>
  <w:style w:type="character" w:customStyle="1" w:styleId="1293">
    <w:name w:val="dxj表头 Char Char Char"/>
    <w:qFormat/>
    <w:uiPriority w:val="0"/>
    <w:rPr>
      <w:rFonts w:eastAsia="黑体"/>
      <w:kern w:val="2"/>
      <w:sz w:val="21"/>
      <w:szCs w:val="21"/>
      <w:lang w:val="en-US" w:eastAsia="zh-CN" w:bidi="ar-SA"/>
    </w:rPr>
  </w:style>
  <w:style w:type="character" w:customStyle="1" w:styleId="1294">
    <w:name w:val="页码5"/>
    <w:qFormat/>
    <w:uiPriority w:val="0"/>
    <w:rPr>
      <w:sz w:val="21"/>
    </w:rPr>
  </w:style>
  <w:style w:type="character" w:customStyle="1" w:styleId="1295">
    <w:name w:val="grame"/>
    <w:qFormat/>
    <w:uiPriority w:val="0"/>
  </w:style>
  <w:style w:type="character" w:customStyle="1" w:styleId="1296">
    <w:name w:val="font121"/>
    <w:qFormat/>
    <w:uiPriority w:val="0"/>
    <w:rPr>
      <w:sz w:val="24"/>
      <w:szCs w:val="24"/>
    </w:rPr>
  </w:style>
  <w:style w:type="character" w:customStyle="1" w:styleId="1297">
    <w:name w:val="文档结构图 Char Char"/>
    <w:qFormat/>
    <w:uiPriority w:val="0"/>
    <w:rPr>
      <w:rFonts w:eastAsia="宋体"/>
      <w:szCs w:val="24"/>
      <w:shd w:val="clear" w:color="auto" w:fill="000080"/>
      <w:lang w:bidi="ar-SA"/>
    </w:rPr>
  </w:style>
  <w:style w:type="character" w:customStyle="1" w:styleId="1298">
    <w:name w:val="正文文本 Char Char Char"/>
    <w:qFormat/>
    <w:uiPriority w:val="0"/>
    <w:rPr>
      <w:rFonts w:ascii="Times New Roman" w:hAnsi="Times New Roman" w:eastAsia="宋体" w:cs="Times New Roman"/>
      <w:szCs w:val="24"/>
    </w:rPr>
  </w:style>
  <w:style w:type="character" w:customStyle="1" w:styleId="1299">
    <w:name w:val="副标题 Char4"/>
    <w:qFormat/>
    <w:uiPriority w:val="0"/>
    <w:rPr>
      <w:rFonts w:ascii="Cambria" w:hAnsi="Cambria" w:eastAsia="宋体" w:cs="Times New Roman"/>
      <w:b/>
      <w:bCs/>
      <w:kern w:val="28"/>
      <w:sz w:val="32"/>
      <w:szCs w:val="32"/>
    </w:rPr>
  </w:style>
  <w:style w:type="character" w:customStyle="1" w:styleId="1300">
    <w:name w:val="页眉R Char Char"/>
    <w:qFormat/>
    <w:uiPriority w:val="0"/>
    <w:rPr>
      <w:rFonts w:eastAsia="楷体_GB2312"/>
      <w:kern w:val="2"/>
      <w:sz w:val="18"/>
      <w:szCs w:val="18"/>
      <w:lang w:val="en-US" w:eastAsia="zh-CN" w:bidi="ar-SA"/>
    </w:rPr>
  </w:style>
  <w:style w:type="character" w:customStyle="1" w:styleId="1301">
    <w:name w:val="批注主题 Char6"/>
    <w:semiHidden/>
    <w:qFormat/>
    <w:uiPriority w:val="99"/>
    <w:rPr>
      <w:b/>
      <w:bCs/>
    </w:rPr>
  </w:style>
  <w:style w:type="character" w:customStyle="1" w:styleId="1302">
    <w:name w:val="正文文本缩进 Char4"/>
    <w:qFormat/>
    <w:uiPriority w:val="0"/>
    <w:rPr>
      <w:rFonts w:ascii="Times New Roman" w:hAnsi="Times New Roman"/>
      <w:kern w:val="2"/>
      <w:sz w:val="21"/>
    </w:rPr>
  </w:style>
  <w:style w:type="character" w:customStyle="1" w:styleId="1303">
    <w:name w:val="t41"/>
    <w:qFormat/>
    <w:uiPriority w:val="0"/>
    <w:rPr>
      <w:color w:val="990000"/>
      <w:sz w:val="18"/>
      <w:szCs w:val="18"/>
    </w:rPr>
  </w:style>
  <w:style w:type="character" w:customStyle="1" w:styleId="1304">
    <w:name w:val="信息标题 Char5"/>
    <w:semiHidden/>
    <w:qFormat/>
    <w:uiPriority w:val="99"/>
    <w:rPr>
      <w:rFonts w:ascii="Cambria" w:hAnsi="Cambria" w:eastAsia="宋体" w:cs="Times New Roman"/>
      <w:sz w:val="24"/>
      <w:szCs w:val="24"/>
      <w:shd w:val="pct20" w:color="auto" w:fill="auto"/>
    </w:rPr>
  </w:style>
  <w:style w:type="character" w:customStyle="1" w:styleId="1305">
    <w:name w:val="正文首行缩进 2 Char4"/>
    <w:qFormat/>
    <w:uiPriority w:val="0"/>
  </w:style>
  <w:style w:type="character" w:customStyle="1" w:styleId="1306">
    <w:name w:val="明显引用 Char Char"/>
    <w:qFormat/>
    <w:uiPriority w:val="0"/>
    <w:rPr>
      <w:rFonts w:ascii="Calibri" w:hAnsi="Calibri" w:eastAsia="宋体"/>
      <w:b/>
      <w:bCs/>
      <w:i/>
      <w:iCs/>
      <w:color w:val="4F81BD"/>
      <w:sz w:val="22"/>
      <w:szCs w:val="22"/>
      <w:lang w:val="en-US" w:eastAsia="en-US" w:bidi="en-US"/>
    </w:rPr>
  </w:style>
  <w:style w:type="character" w:customStyle="1" w:styleId="1307">
    <w:name w:val="bodytextnarrow1"/>
    <w:qFormat/>
    <w:uiPriority w:val="0"/>
    <w:rPr>
      <w:rFonts w:hint="default" w:ascii="Arial" w:hAnsi="Arial" w:cs="Arial"/>
      <w:color w:val="606060"/>
      <w:sz w:val="20"/>
      <w:szCs w:val="20"/>
    </w:rPr>
  </w:style>
  <w:style w:type="character" w:customStyle="1" w:styleId="1308">
    <w:name w:val="样式 样式 样式 正文 +1 + 宋体 黑色 + 首行缩进:  2 字符 Char Char"/>
    <w:link w:val="1309"/>
    <w:qFormat/>
    <w:uiPriority w:val="0"/>
    <w:rPr>
      <w:rFonts w:ascii="宋体" w:hAnsi="宋体"/>
      <w:color w:val="000000"/>
      <w:spacing w:val="5"/>
      <w:sz w:val="24"/>
      <w:szCs w:val="24"/>
    </w:rPr>
  </w:style>
  <w:style w:type="paragraph" w:customStyle="1" w:styleId="1309">
    <w:name w:val="样式 样式 样式 正文 +1 + 宋体 黑色 + 首行缩进:  2 字符"/>
    <w:basedOn w:val="458"/>
    <w:link w:val="1308"/>
    <w:qFormat/>
    <w:uiPriority w:val="0"/>
    <w:pPr>
      <w:ind w:firstLine="200" w:firstLineChars="200"/>
    </w:pPr>
  </w:style>
  <w:style w:type="character" w:customStyle="1" w:styleId="1310">
    <w:name w:val="Char Char54"/>
    <w:qFormat/>
    <w:uiPriority w:val="0"/>
    <w:rPr>
      <w:rFonts w:ascii="Arial" w:hAnsi="Arial" w:eastAsia="黑体" w:cs="Times New Roman"/>
      <w:b/>
      <w:bCs/>
      <w:sz w:val="32"/>
      <w:szCs w:val="32"/>
    </w:rPr>
  </w:style>
  <w:style w:type="character" w:customStyle="1" w:styleId="1311">
    <w:name w:val="Char Char37"/>
    <w:qFormat/>
    <w:uiPriority w:val="0"/>
    <w:rPr>
      <w:rFonts w:hint="eastAsia" w:ascii="宋体" w:hAnsi="宋体" w:eastAsia="宋体"/>
      <w:kern w:val="2"/>
      <w:sz w:val="18"/>
      <w:lang w:val="en-US" w:eastAsia="zh-CN" w:bidi="ar-SA"/>
    </w:rPr>
  </w:style>
  <w:style w:type="character" w:customStyle="1" w:styleId="1312">
    <w:name w:val="四级标题 Char"/>
    <w:qFormat/>
    <w:uiPriority w:val="0"/>
    <w:rPr>
      <w:rFonts w:ascii="宋体" w:hAnsi="宋体" w:eastAsia="宋体"/>
      <w:bCs/>
      <w:kern w:val="2"/>
      <w:sz w:val="24"/>
      <w:szCs w:val="24"/>
      <w:lang w:val="en-US" w:eastAsia="zh-CN" w:bidi="ar-SA"/>
    </w:rPr>
  </w:style>
  <w:style w:type="character" w:customStyle="1" w:styleId="1313">
    <w:name w:val="样式 样式 小四 段前: 7.8 磅 段后: 7.8 磅 行距: 1.5 倍行距 + 首行缩进:  2 字符 Char"/>
    <w:link w:val="1314"/>
    <w:qFormat/>
    <w:uiPriority w:val="0"/>
    <w:rPr>
      <w:rFonts w:hAnsi="宋体" w:eastAsia="宋体"/>
      <w:spacing w:val="14"/>
      <w:sz w:val="28"/>
      <w:szCs w:val="28"/>
    </w:rPr>
  </w:style>
  <w:style w:type="paragraph" w:customStyle="1" w:styleId="1314">
    <w:name w:val="样式 样式 小四 段前: 7.8 磅 段后: 7.8 磅 行距: 1.5 倍行距 + 首行缩进:  2 字符"/>
    <w:basedOn w:val="1"/>
    <w:link w:val="1313"/>
    <w:qFormat/>
    <w:uiPriority w:val="0"/>
    <w:pPr>
      <w:spacing w:line="360" w:lineRule="auto"/>
      <w:ind w:firstLine="616" w:firstLineChars="200"/>
    </w:pPr>
    <w:rPr>
      <w:rFonts w:hAnsi="宋体"/>
      <w:spacing w:val="14"/>
      <w:sz w:val="28"/>
      <w:szCs w:val="28"/>
    </w:rPr>
  </w:style>
  <w:style w:type="character" w:customStyle="1" w:styleId="1315">
    <w:name w:val="t31"/>
    <w:qFormat/>
    <w:uiPriority w:val="0"/>
    <w:rPr>
      <w:color w:val="00CCFF"/>
      <w:sz w:val="21"/>
      <w:szCs w:val="21"/>
      <w:u w:val="none"/>
    </w:rPr>
  </w:style>
  <w:style w:type="character" w:customStyle="1" w:styleId="1316">
    <w:name w:val="正文 Char"/>
    <w:qFormat/>
    <w:uiPriority w:val="0"/>
    <w:rPr>
      <w:rFonts w:ascii="宋体" w:hAnsi="宋体" w:eastAsia="宋体" w:cs="宋体"/>
      <w:kern w:val="2"/>
      <w:sz w:val="24"/>
      <w:szCs w:val="24"/>
      <w:lang w:val="en-US" w:eastAsia="zh-CN" w:bidi="ar-SA"/>
    </w:rPr>
  </w:style>
  <w:style w:type="character" w:customStyle="1" w:styleId="1317">
    <w:name w:val="003 Char Char"/>
    <w:qFormat/>
    <w:uiPriority w:val="0"/>
    <w:rPr>
      <w:rFonts w:ascii="Times NewRoman" w:hAnsi="Times NewRoman" w:eastAsia="Calibri" w:cs="汉鼎简书宋"/>
      <w:b/>
      <w:bCs/>
      <w:spacing w:val="-2"/>
      <w:kern w:val="2"/>
      <w:sz w:val="24"/>
      <w:szCs w:val="32"/>
    </w:rPr>
  </w:style>
  <w:style w:type="character" w:customStyle="1" w:styleId="1318">
    <w:name w:val="Char Char13111"/>
    <w:qFormat/>
    <w:uiPriority w:val="0"/>
    <w:rPr>
      <w:rFonts w:eastAsia="宋体"/>
      <w:kern w:val="2"/>
      <w:sz w:val="24"/>
      <w:szCs w:val="28"/>
      <w:lang w:val="en-US" w:eastAsia="zh-CN" w:bidi="ar-SA"/>
    </w:rPr>
  </w:style>
  <w:style w:type="character" w:customStyle="1" w:styleId="1319">
    <w:name w:val="文章正文样式 Char Char3 Char"/>
    <w:link w:val="1320"/>
    <w:qFormat/>
    <w:uiPriority w:val="0"/>
    <w:rPr>
      <w:rFonts w:ascii="宋体" w:hAnsi="宋体"/>
      <w:sz w:val="24"/>
    </w:rPr>
  </w:style>
  <w:style w:type="paragraph" w:customStyle="1" w:styleId="1320">
    <w:name w:val="文章正文样式 Char Char3"/>
    <w:basedOn w:val="1"/>
    <w:link w:val="1319"/>
    <w:qFormat/>
    <w:uiPriority w:val="0"/>
    <w:pPr>
      <w:spacing w:line="520" w:lineRule="exact"/>
      <w:ind w:firstLine="480" w:firstLineChars="200"/>
      <w:jc w:val="left"/>
    </w:pPr>
    <w:rPr>
      <w:rFonts w:ascii="宋体" w:hAnsi="宋体"/>
      <w:sz w:val="24"/>
    </w:rPr>
  </w:style>
  <w:style w:type="character" w:customStyle="1" w:styleId="1321">
    <w:name w:val="正文文本 Char Char"/>
    <w:qFormat/>
    <w:uiPriority w:val="0"/>
    <w:rPr>
      <w:rFonts w:eastAsia="宋体"/>
      <w:kern w:val="2"/>
      <w:sz w:val="21"/>
      <w:szCs w:val="24"/>
      <w:lang w:val="en-US" w:eastAsia="zh-CN" w:bidi="ar-SA"/>
    </w:rPr>
  </w:style>
  <w:style w:type="character" w:customStyle="1" w:styleId="1322">
    <w:name w:val="宏文本 Char1"/>
    <w:qFormat/>
    <w:uiPriority w:val="0"/>
    <w:rPr>
      <w:rFonts w:ascii="Courier New" w:hAnsi="Courier New" w:eastAsia="宋体" w:cs="Courier New"/>
      <w:sz w:val="24"/>
      <w:szCs w:val="24"/>
    </w:rPr>
  </w:style>
  <w:style w:type="character" w:customStyle="1" w:styleId="1323">
    <w:name w:val="副标题 Char3"/>
    <w:qFormat/>
    <w:uiPriority w:val="0"/>
    <w:rPr>
      <w:rFonts w:ascii="Cambria" w:hAnsi="Cambria" w:eastAsia="宋体" w:cs="Times New Roman"/>
      <w:b/>
      <w:bCs/>
      <w:kern w:val="28"/>
      <w:sz w:val="32"/>
      <w:szCs w:val="32"/>
    </w:rPr>
  </w:style>
  <w:style w:type="character" w:customStyle="1" w:styleId="1324">
    <w:name w:val="环评正文 Char Char"/>
    <w:qFormat/>
    <w:uiPriority w:val="0"/>
    <w:rPr>
      <w:rFonts w:ascii="宋体" w:eastAsia="宋体" w:cs="宋体"/>
      <w:bCs/>
      <w:color w:val="000000"/>
      <w:kern w:val="2"/>
      <w:sz w:val="24"/>
      <w:szCs w:val="24"/>
      <w:lang w:val="en-US" w:eastAsia="zh-CN" w:bidi="ar-SA"/>
    </w:rPr>
  </w:style>
  <w:style w:type="character" w:customStyle="1" w:styleId="1325">
    <w:name w:val="font71"/>
    <w:qFormat/>
    <w:uiPriority w:val="0"/>
    <w:rPr>
      <w:rFonts w:hint="eastAsia" w:ascii="幼圆" w:hAnsi="幼圆" w:eastAsia="幼圆" w:cs="汉鼎简书宋"/>
      <w:b/>
      <w:bCs/>
      <w:color w:val="333399"/>
      <w:spacing w:val="-2"/>
      <w:sz w:val="24"/>
      <w:szCs w:val="24"/>
      <w:u w:val="none"/>
    </w:rPr>
  </w:style>
  <w:style w:type="character" w:customStyle="1" w:styleId="1326">
    <w:name w:val="表格文字 Char Char"/>
    <w:qFormat/>
    <w:uiPriority w:val="0"/>
    <w:rPr>
      <w:rFonts w:eastAsia="宋体"/>
      <w:kern w:val="2"/>
      <w:sz w:val="28"/>
      <w:szCs w:val="24"/>
      <w:lang w:val="en-US" w:eastAsia="zh-CN" w:bidi="ar-SA"/>
    </w:rPr>
  </w:style>
  <w:style w:type="character" w:customStyle="1" w:styleId="1327">
    <w:name w:val="Char Char20"/>
    <w:qFormat/>
    <w:uiPriority w:val="0"/>
    <w:rPr>
      <w:rFonts w:eastAsia="宋体"/>
      <w:kern w:val="2"/>
      <w:sz w:val="24"/>
      <w:szCs w:val="24"/>
      <w:lang w:val="en-US" w:eastAsia="zh-CN"/>
    </w:rPr>
  </w:style>
  <w:style w:type="character" w:customStyle="1" w:styleId="1328">
    <w:name w:val="标题 5 Char"/>
    <w:qFormat/>
    <w:uiPriority w:val="0"/>
    <w:rPr>
      <w:b/>
      <w:bCs/>
      <w:sz w:val="28"/>
      <w:szCs w:val="28"/>
    </w:rPr>
  </w:style>
  <w:style w:type="character" w:customStyle="1" w:styleId="1329">
    <w:name w:val="Char Char Char Char Char Char Char Char Char Char Char Char Char Char Char Char Char Char Char"/>
    <w:link w:val="1330"/>
    <w:qFormat/>
    <w:uiPriority w:val="0"/>
    <w:rPr>
      <w:rFonts w:eastAsia="宋体"/>
      <w:sz w:val="24"/>
      <w:szCs w:val="24"/>
    </w:rPr>
  </w:style>
  <w:style w:type="paragraph" w:customStyle="1" w:styleId="1330">
    <w:name w:val="Char Char Char Char Char Char Char Char Char Char Char Char Char Char Char Char Char Char"/>
    <w:basedOn w:val="1"/>
    <w:link w:val="1329"/>
    <w:qFormat/>
    <w:uiPriority w:val="0"/>
    <w:rPr>
      <w:sz w:val="24"/>
      <w:szCs w:val="24"/>
    </w:rPr>
  </w:style>
  <w:style w:type="character" w:customStyle="1" w:styleId="1331">
    <w:name w:val="Char Char343"/>
    <w:qFormat/>
    <w:uiPriority w:val="0"/>
    <w:rPr>
      <w:rFonts w:eastAsia="宋体"/>
      <w:b/>
      <w:bCs/>
      <w:kern w:val="44"/>
      <w:sz w:val="44"/>
      <w:szCs w:val="44"/>
      <w:lang w:val="en-US" w:eastAsia="zh-CN" w:bidi="ar-SA"/>
    </w:rPr>
  </w:style>
  <w:style w:type="character" w:customStyle="1" w:styleId="1332">
    <w:name w:val="font201"/>
    <w:qFormat/>
    <w:uiPriority w:val="0"/>
  </w:style>
  <w:style w:type="character" w:customStyle="1" w:styleId="1333">
    <w:name w:val="Char Char1311"/>
    <w:qFormat/>
    <w:uiPriority w:val="0"/>
    <w:rPr>
      <w:rFonts w:eastAsia="宋体"/>
      <w:kern w:val="2"/>
      <w:sz w:val="24"/>
      <w:szCs w:val="28"/>
      <w:lang w:val="en-US" w:eastAsia="zh-CN" w:bidi="ar-SA"/>
    </w:rPr>
  </w:style>
  <w:style w:type="character" w:customStyle="1" w:styleId="1334">
    <w:name w:val="hb1 Char"/>
    <w:qFormat/>
    <w:uiPriority w:val="0"/>
    <w:rPr>
      <w:rFonts w:eastAsia="黑体"/>
      <w:b/>
      <w:sz w:val="32"/>
      <w:szCs w:val="32"/>
      <w:lang w:val="en-US" w:eastAsia="zh-CN" w:bidi="ar-SA"/>
    </w:rPr>
  </w:style>
  <w:style w:type="character" w:customStyle="1" w:styleId="1335">
    <w:name w:val="f121"/>
    <w:qFormat/>
    <w:uiPriority w:val="0"/>
    <w:rPr>
      <w:color w:val="000000"/>
      <w:sz w:val="18"/>
      <w:szCs w:val="18"/>
      <w:u w:val="none"/>
    </w:rPr>
  </w:style>
  <w:style w:type="character" w:customStyle="1" w:styleId="1336">
    <w:name w:val="正文(首行缩进) 111111111111"/>
    <w:qFormat/>
    <w:uiPriority w:val="0"/>
    <w:rPr>
      <w:rFonts w:eastAsia="宋体"/>
      <w:snapToGrid w:val="0"/>
      <w:sz w:val="24"/>
      <w:szCs w:val="24"/>
      <w:lang w:val="en-US" w:eastAsia="zh-CN" w:bidi="ar-SA"/>
    </w:rPr>
  </w:style>
  <w:style w:type="character" w:customStyle="1" w:styleId="1337">
    <w:name w:val="Char Char232"/>
    <w:qFormat/>
    <w:uiPriority w:val="0"/>
    <w:rPr>
      <w:rFonts w:eastAsia="宋体"/>
      <w:b/>
      <w:bCs/>
      <w:kern w:val="2"/>
      <w:sz w:val="32"/>
      <w:szCs w:val="32"/>
      <w:lang w:val="en-US" w:eastAsia="zh-CN" w:bidi="ar-SA"/>
    </w:rPr>
  </w:style>
  <w:style w:type="character" w:customStyle="1" w:styleId="1338">
    <w:name w:val="Char Char3311"/>
    <w:qFormat/>
    <w:uiPriority w:val="0"/>
    <w:rPr>
      <w:rFonts w:ascii="Arial" w:hAnsi="Arial" w:eastAsia="黑体"/>
      <w:b/>
      <w:bCs/>
      <w:kern w:val="2"/>
      <w:sz w:val="32"/>
      <w:szCs w:val="32"/>
      <w:lang w:val="en-US" w:eastAsia="zh-CN" w:bidi="ar-SA"/>
    </w:rPr>
  </w:style>
  <w:style w:type="character" w:customStyle="1" w:styleId="1339">
    <w:name w:val="Char Char412"/>
    <w:qFormat/>
    <w:uiPriority w:val="0"/>
    <w:rPr>
      <w:rFonts w:ascii="Arial" w:hAnsi="Arial" w:eastAsia="黑体"/>
      <w:b/>
      <w:bCs/>
      <w:kern w:val="2"/>
      <w:sz w:val="28"/>
      <w:szCs w:val="28"/>
      <w:lang w:val="en-US" w:eastAsia="zh-CN" w:bidi="ar-SA"/>
    </w:rPr>
  </w:style>
  <w:style w:type="character" w:customStyle="1" w:styleId="1340">
    <w:name w:val="样式 (西文) 黑体 (中文) 黑体 (符号) 宋体 五号"/>
    <w:qFormat/>
    <w:uiPriority w:val="0"/>
    <w:rPr>
      <w:rFonts w:ascii="黑体" w:eastAsia="黑体"/>
      <w:sz w:val="24"/>
      <w:szCs w:val="24"/>
    </w:rPr>
  </w:style>
  <w:style w:type="character" w:customStyle="1" w:styleId="1341">
    <w:name w:val="实德题注 Char1"/>
    <w:qFormat/>
    <w:locked/>
    <w:uiPriority w:val="0"/>
    <w:rPr>
      <w:rFonts w:ascii="Arial" w:hAnsi="Arial" w:eastAsia="黑体" w:cs="Arial"/>
    </w:rPr>
  </w:style>
  <w:style w:type="character" w:customStyle="1" w:styleId="1342">
    <w:name w:val="font_title1"/>
    <w:qFormat/>
    <w:uiPriority w:val="0"/>
    <w:rPr>
      <w:rFonts w:hint="default" w:ascii="Verdana" w:hAnsi="Verdana"/>
      <w:color w:val="000000"/>
      <w:spacing w:val="15"/>
      <w:sz w:val="36"/>
      <w:szCs w:val="36"/>
    </w:rPr>
  </w:style>
  <w:style w:type="character" w:customStyle="1" w:styleId="1343">
    <w:name w:val="Char Char41"/>
    <w:qFormat/>
    <w:uiPriority w:val="0"/>
    <w:rPr>
      <w:rFonts w:ascii="Arial" w:hAnsi="Arial" w:eastAsia="黑体"/>
      <w:b/>
      <w:bCs/>
      <w:kern w:val="2"/>
      <w:sz w:val="28"/>
      <w:szCs w:val="28"/>
      <w:lang w:val="en-US" w:eastAsia="zh-CN" w:bidi="ar-SA"/>
    </w:rPr>
  </w:style>
  <w:style w:type="character" w:customStyle="1" w:styleId="1344">
    <w:name w:val="正文文本缩进 2 Char8"/>
    <w:qFormat/>
    <w:uiPriority w:val="0"/>
    <w:rPr>
      <w:rFonts w:ascii="宋体" w:hAnsi="宋体"/>
      <w:color w:val="000000"/>
      <w:sz w:val="28"/>
      <w:szCs w:val="24"/>
    </w:rPr>
  </w:style>
  <w:style w:type="character" w:customStyle="1" w:styleId="1345">
    <w:name w:val="Char Char92"/>
    <w:qFormat/>
    <w:uiPriority w:val="0"/>
    <w:rPr>
      <w:rFonts w:eastAsia="宋体"/>
      <w:kern w:val="2"/>
      <w:sz w:val="21"/>
      <w:szCs w:val="24"/>
      <w:lang w:val="en-US" w:eastAsia="zh-CN" w:bidi="ar-SA"/>
    </w:rPr>
  </w:style>
  <w:style w:type="character" w:customStyle="1" w:styleId="1346">
    <w:name w:val="Footer-Even Char2"/>
    <w:qFormat/>
    <w:uiPriority w:val="0"/>
    <w:rPr>
      <w:rFonts w:eastAsia="宋体"/>
      <w:kern w:val="2"/>
      <w:sz w:val="18"/>
      <w:szCs w:val="18"/>
      <w:lang w:val="en-US" w:eastAsia="zh-CN" w:bidi="ar-SA"/>
    </w:rPr>
  </w:style>
  <w:style w:type="character" w:customStyle="1" w:styleId="1347">
    <w:name w:val="样式 hb1 + Times New Roman Char"/>
    <w:qFormat/>
    <w:uiPriority w:val="0"/>
    <w:rPr>
      <w:rFonts w:eastAsia="宋体"/>
      <w:b/>
      <w:kern w:val="2"/>
      <w:sz w:val="32"/>
      <w:szCs w:val="32"/>
      <w:lang w:val="en-US" w:eastAsia="zh-CN" w:bidi="ar-SA"/>
    </w:rPr>
  </w:style>
  <w:style w:type="character" w:customStyle="1" w:styleId="1348">
    <w:name w:val="Char Char101"/>
    <w:qFormat/>
    <w:uiPriority w:val="0"/>
    <w:rPr>
      <w:rFonts w:eastAsia="宋体"/>
      <w:b/>
      <w:bCs/>
      <w:kern w:val="44"/>
      <w:sz w:val="44"/>
      <w:szCs w:val="44"/>
      <w:lang w:val="en-US" w:eastAsia="zh-CN" w:bidi="ar-SA"/>
    </w:rPr>
  </w:style>
  <w:style w:type="character" w:customStyle="1" w:styleId="1349">
    <w:name w:val="表头字体 Char1"/>
    <w:link w:val="1350"/>
    <w:qFormat/>
    <w:uiPriority w:val="0"/>
    <w:rPr>
      <w:rFonts w:eastAsia="黑体"/>
      <w:bCs/>
      <w:kern w:val="2"/>
      <w:sz w:val="24"/>
      <w:szCs w:val="24"/>
    </w:rPr>
  </w:style>
  <w:style w:type="paragraph" w:customStyle="1" w:styleId="1350">
    <w:name w:val="表头字体"/>
    <w:basedOn w:val="7"/>
    <w:next w:val="1"/>
    <w:link w:val="1349"/>
    <w:qFormat/>
    <w:uiPriority w:val="0"/>
    <w:pPr>
      <w:keepNext w:val="0"/>
      <w:keepLines w:val="0"/>
      <w:snapToGrid w:val="0"/>
      <w:spacing w:line="240" w:lineRule="auto"/>
      <w:jc w:val="center"/>
      <w:outlineLvl w:val="9"/>
    </w:pPr>
    <w:rPr>
      <w:rFonts w:ascii="Calibri" w:hAnsi="Calibri"/>
      <w:szCs w:val="24"/>
    </w:rPr>
  </w:style>
  <w:style w:type="character" w:customStyle="1" w:styleId="1351">
    <w:name w:val="正文文本 2 Char6"/>
    <w:semiHidden/>
    <w:qFormat/>
    <w:uiPriority w:val="99"/>
  </w:style>
  <w:style w:type="character" w:customStyle="1" w:styleId="1352">
    <w:name w:val="样式 黑体 小三 加粗 行距: 1.5 倍行距 Char"/>
    <w:qFormat/>
    <w:uiPriority w:val="0"/>
    <w:rPr>
      <w:rFonts w:eastAsia="宋体"/>
      <w:kern w:val="2"/>
      <w:sz w:val="24"/>
      <w:lang w:val="en-US" w:eastAsia="zh-CN" w:bidi="ar-SA"/>
    </w:rPr>
  </w:style>
  <w:style w:type="character" w:customStyle="1" w:styleId="1353">
    <w:name w:val="(use for tables) Char2"/>
    <w:qFormat/>
    <w:uiPriority w:val="0"/>
    <w:rPr>
      <w:rFonts w:eastAsia="宋体"/>
      <w:kern w:val="2"/>
      <w:sz w:val="28"/>
      <w:szCs w:val="24"/>
      <w:lang w:val="en-US" w:eastAsia="zh-CN" w:bidi="ar-SA"/>
    </w:rPr>
  </w:style>
  <w:style w:type="character" w:customStyle="1" w:styleId="1354">
    <w:name w:val="Char Char61"/>
    <w:qFormat/>
    <w:uiPriority w:val="0"/>
    <w:rPr>
      <w:rFonts w:ascii="Times NewRoman" w:hAnsi="Times NewRoman" w:eastAsia="Arial Narrow" w:cs="Times NewRoman"/>
      <w:kern w:val="2"/>
      <w:sz w:val="24"/>
      <w:szCs w:val="28"/>
      <w:lang w:val="en-US" w:eastAsia="zh-CN" w:bidi="ar-SA"/>
    </w:rPr>
  </w:style>
  <w:style w:type="character" w:customStyle="1" w:styleId="1355">
    <w:name w:val="Char Char4411"/>
    <w:qFormat/>
    <w:uiPriority w:val="0"/>
    <w:rPr>
      <w:rFonts w:ascii="Times NewRoman" w:hAnsi="Times NewRoman" w:eastAsia="幼圆" w:cs="Times NewRoman"/>
      <w:b/>
      <w:bCs/>
      <w:sz w:val="32"/>
      <w:szCs w:val="32"/>
    </w:rPr>
  </w:style>
  <w:style w:type="character" w:customStyle="1" w:styleId="1356">
    <w:name w:val="正文文本缩进 Char7"/>
    <w:qFormat/>
    <w:uiPriority w:val="0"/>
  </w:style>
  <w:style w:type="character" w:customStyle="1" w:styleId="1357">
    <w:name w:val="Char Char5111"/>
    <w:qFormat/>
    <w:uiPriority w:val="0"/>
    <w:rPr>
      <w:rFonts w:eastAsia="宋体"/>
      <w:kern w:val="2"/>
      <w:sz w:val="21"/>
      <w:szCs w:val="24"/>
      <w:lang w:val="en-US" w:eastAsia="zh-CN" w:bidi="ar-SA"/>
    </w:rPr>
  </w:style>
  <w:style w:type="character" w:customStyle="1" w:styleId="1358">
    <w:name w:val="标题 Char4"/>
    <w:qFormat/>
    <w:uiPriority w:val="0"/>
    <w:rPr>
      <w:rFonts w:ascii="Cambria" w:hAnsi="Cambria" w:cs="Times New Roman"/>
      <w:b/>
      <w:bCs/>
      <w:kern w:val="2"/>
      <w:sz w:val="32"/>
      <w:szCs w:val="32"/>
    </w:rPr>
  </w:style>
  <w:style w:type="character" w:customStyle="1" w:styleId="1359">
    <w:name w:val="正文文字 3 Char Char"/>
    <w:semiHidden/>
    <w:qFormat/>
    <w:locked/>
    <w:uiPriority w:val="0"/>
    <w:rPr>
      <w:rFonts w:ascii="宋体" w:hAnsi="宋体" w:eastAsia="宋体" w:cs="Courier New"/>
      <w:spacing w:val="-2"/>
      <w:kern w:val="2"/>
      <w:sz w:val="16"/>
      <w:szCs w:val="16"/>
      <w:lang w:val="en-US" w:eastAsia="zh-CN" w:bidi="ar-SA"/>
    </w:rPr>
  </w:style>
  <w:style w:type="character" w:customStyle="1" w:styleId="1360">
    <w:name w:val="普通文字 Char Char Char Char3"/>
    <w:qFormat/>
    <w:uiPriority w:val="0"/>
    <w:rPr>
      <w:rFonts w:ascii="宋体" w:hAnsi="Courier New" w:eastAsia="宋体"/>
      <w:kern w:val="2"/>
      <w:sz w:val="21"/>
      <w:lang w:val="en-US" w:eastAsia="zh-CN" w:bidi="ar-SA"/>
    </w:rPr>
  </w:style>
  <w:style w:type="character" w:customStyle="1" w:styleId="1361">
    <w:name w:val="Char Char282"/>
    <w:qFormat/>
    <w:uiPriority w:val="0"/>
    <w:rPr>
      <w:rFonts w:ascii="Arial" w:hAnsi="Arial" w:eastAsia="黑体" w:cs="Arial"/>
      <w:kern w:val="44"/>
      <w:sz w:val="30"/>
      <w:szCs w:val="44"/>
      <w:lang w:val="en-US" w:eastAsia="zh-CN" w:bidi="ar-SA"/>
    </w:rPr>
  </w:style>
  <w:style w:type="character" w:customStyle="1" w:styleId="1362">
    <w:name w:val="正文缩进 Char Char"/>
    <w:qFormat/>
    <w:uiPriority w:val="0"/>
    <w:rPr>
      <w:rFonts w:ascii="Arial Unicode MS" w:hAnsi="Arial Unicode MS" w:eastAsia="Arial Unicode MS" w:cs="Arial Unicode MS"/>
      <w:color w:val="000000"/>
      <w:kern w:val="2"/>
      <w:sz w:val="24"/>
      <w:szCs w:val="24"/>
      <w:lang w:val="en-US" w:eastAsia="zh-CN" w:bidi="ar-SA"/>
    </w:rPr>
  </w:style>
  <w:style w:type="character" w:customStyle="1" w:styleId="1363">
    <w:name w:val="日期 Char7"/>
    <w:qFormat/>
    <w:uiPriority w:val="0"/>
    <w:rPr>
      <w:rFonts w:eastAsia="宋体"/>
      <w:szCs w:val="24"/>
    </w:rPr>
  </w:style>
  <w:style w:type="character" w:customStyle="1" w:styleId="1364">
    <w:name w:val="carboy"/>
    <w:qFormat/>
    <w:uiPriority w:val="0"/>
  </w:style>
  <w:style w:type="character" w:customStyle="1" w:styleId="1365">
    <w:name w:val="pron1"/>
    <w:qFormat/>
    <w:uiPriority w:val="0"/>
    <w:rPr>
      <w:color w:val="333333"/>
    </w:rPr>
  </w:style>
  <w:style w:type="character" w:customStyle="1" w:styleId="1366">
    <w:name w:val="正文文本 2 Char"/>
    <w:qFormat/>
    <w:uiPriority w:val="0"/>
    <w:rPr>
      <w:rFonts w:ascii="宋体" w:hAnsi="宋体"/>
      <w:bCs/>
      <w:szCs w:val="21"/>
    </w:rPr>
  </w:style>
  <w:style w:type="character" w:customStyle="1" w:styleId="1367">
    <w:name w:val="注释标题 Char4"/>
    <w:qFormat/>
    <w:uiPriority w:val="0"/>
    <w:rPr>
      <w:kern w:val="2"/>
      <w:sz w:val="21"/>
    </w:rPr>
  </w:style>
  <w:style w:type="character" w:customStyle="1" w:styleId="1368">
    <w:name w:val="样式 标题 2 + Times New Roman Char Char"/>
    <w:link w:val="1369"/>
    <w:qFormat/>
    <w:uiPriority w:val="0"/>
    <w:rPr>
      <w:b/>
      <w:color w:val="000000"/>
      <w:kern w:val="2"/>
      <w:sz w:val="28"/>
      <w:szCs w:val="28"/>
    </w:rPr>
  </w:style>
  <w:style w:type="paragraph" w:customStyle="1" w:styleId="1369">
    <w:name w:val="样式 标题 2 + Times New Roman"/>
    <w:basedOn w:val="5"/>
    <w:link w:val="1368"/>
    <w:qFormat/>
    <w:uiPriority w:val="0"/>
    <w:pPr>
      <w:spacing w:beforeLines="50"/>
    </w:pPr>
    <w:rPr>
      <w:rFonts w:ascii="Calibri" w:hAnsi="Calibri" w:eastAsia="宋体"/>
      <w:bCs w:val="0"/>
      <w:color w:val="000000"/>
      <w:szCs w:val="28"/>
    </w:rPr>
  </w:style>
  <w:style w:type="character" w:customStyle="1" w:styleId="1370">
    <w:name w:val="Char Char253"/>
    <w:qFormat/>
    <w:uiPriority w:val="0"/>
    <w:rPr>
      <w:rFonts w:eastAsia="宋体"/>
      <w:b/>
      <w:bCs/>
      <w:kern w:val="44"/>
      <w:sz w:val="44"/>
      <w:szCs w:val="44"/>
      <w:lang w:val="en-US" w:eastAsia="zh-CN" w:bidi="ar-SA"/>
    </w:rPr>
  </w:style>
  <w:style w:type="character" w:customStyle="1" w:styleId="1371">
    <w:name w:val="Char Char53"/>
    <w:qFormat/>
    <w:uiPriority w:val="0"/>
    <w:rPr>
      <w:rFonts w:ascii="Times New Roman" w:hAnsi="Times New Roman" w:eastAsia="宋体" w:cs="Times New Roman"/>
      <w:b/>
      <w:bCs/>
      <w:sz w:val="32"/>
      <w:szCs w:val="32"/>
    </w:rPr>
  </w:style>
  <w:style w:type="character" w:customStyle="1" w:styleId="1372">
    <w:name w:val="图表正文 Char"/>
    <w:qFormat/>
    <w:locked/>
    <w:uiPriority w:val="0"/>
    <w:rPr>
      <w:rFonts w:ascii="宋体" w:hAnsi="宋体" w:eastAsia="宋体"/>
      <w:snapToGrid w:val="0"/>
      <w:sz w:val="21"/>
      <w:szCs w:val="24"/>
      <w:lang w:val="en-US" w:eastAsia="zh-CN" w:bidi="ar-SA"/>
    </w:rPr>
  </w:style>
  <w:style w:type="character" w:customStyle="1" w:styleId="1373">
    <w:name w:val="普通文字 Char Char Char Char4"/>
    <w:qFormat/>
    <w:uiPriority w:val="0"/>
    <w:rPr>
      <w:rFonts w:ascii="宋体" w:hAnsi="Courier New" w:eastAsia="宋体"/>
      <w:kern w:val="2"/>
      <w:sz w:val="21"/>
      <w:lang w:val="en-US" w:eastAsia="zh-CN" w:bidi="ar-SA"/>
    </w:rPr>
  </w:style>
  <w:style w:type="character" w:customStyle="1" w:styleId="1374">
    <w:name w:val="Char Char510"/>
    <w:qFormat/>
    <w:uiPriority w:val="0"/>
    <w:rPr>
      <w:rFonts w:eastAsia="宋体"/>
      <w:kern w:val="2"/>
      <w:sz w:val="21"/>
      <w:szCs w:val="24"/>
      <w:lang w:val="en-US" w:eastAsia="zh-CN" w:bidi="ar-SA"/>
    </w:rPr>
  </w:style>
  <w:style w:type="character" w:customStyle="1" w:styleId="1375">
    <w:name w:val="批注引用111"/>
    <w:qFormat/>
    <w:uiPriority w:val="0"/>
    <w:rPr>
      <w:sz w:val="21"/>
      <w:szCs w:val="21"/>
    </w:rPr>
  </w:style>
  <w:style w:type="character" w:customStyle="1" w:styleId="1376">
    <w:name w:val="Char Char10"/>
    <w:qFormat/>
    <w:uiPriority w:val="0"/>
    <w:rPr>
      <w:rFonts w:eastAsia="宋体"/>
      <w:b/>
      <w:bCs/>
      <w:kern w:val="44"/>
      <w:sz w:val="44"/>
      <w:szCs w:val="44"/>
      <w:lang w:val="en-US" w:eastAsia="zh-CN" w:bidi="ar-SA"/>
    </w:rPr>
  </w:style>
  <w:style w:type="character" w:customStyle="1" w:styleId="1377">
    <w:name w:val="标题 11 Char4"/>
    <w:qFormat/>
    <w:uiPriority w:val="0"/>
    <w:rPr>
      <w:rFonts w:eastAsia="宋体"/>
      <w:b/>
      <w:bCs/>
      <w:kern w:val="44"/>
      <w:sz w:val="44"/>
      <w:szCs w:val="44"/>
      <w:lang w:val="en-US" w:eastAsia="zh-CN" w:bidi="ar-SA"/>
    </w:rPr>
  </w:style>
  <w:style w:type="character" w:customStyle="1" w:styleId="1378">
    <w:name w:val="Char Char473"/>
    <w:qFormat/>
    <w:uiPriority w:val="0"/>
    <w:rPr>
      <w:rFonts w:eastAsia="宋体"/>
      <w:b/>
      <w:bCs/>
      <w:kern w:val="44"/>
      <w:sz w:val="44"/>
      <w:szCs w:val="44"/>
      <w:lang w:val="en-US" w:eastAsia="zh-CN" w:bidi="ar-SA"/>
    </w:rPr>
  </w:style>
  <w:style w:type="character" w:customStyle="1" w:styleId="1379">
    <w:name w:val="Char Char Char Char Char Char Char Char Char Char Char Char Char Char Char Char Char Char Char1"/>
    <w:link w:val="1380"/>
    <w:qFormat/>
    <w:uiPriority w:val="0"/>
    <w:rPr>
      <w:rFonts w:eastAsia="宋体"/>
      <w:sz w:val="24"/>
      <w:szCs w:val="24"/>
    </w:rPr>
  </w:style>
  <w:style w:type="paragraph" w:customStyle="1" w:styleId="1380">
    <w:name w:val="Char Char Char Char Char Char Char Char Char Char Char Char Char Char Char Char Char Char4"/>
    <w:basedOn w:val="1"/>
    <w:link w:val="1379"/>
    <w:qFormat/>
    <w:uiPriority w:val="0"/>
    <w:rPr>
      <w:sz w:val="24"/>
      <w:szCs w:val="24"/>
    </w:rPr>
  </w:style>
  <w:style w:type="paragraph" w:customStyle="1" w:styleId="1381">
    <w:name w:val="样式 标题 2 +"/>
    <w:basedOn w:val="5"/>
    <w:qFormat/>
    <w:uiPriority w:val="0"/>
    <w:pPr>
      <w:tabs>
        <w:tab w:val="left" w:pos="576"/>
      </w:tabs>
      <w:spacing w:before="120" w:after="120"/>
      <w:ind w:left="576" w:hanging="576"/>
    </w:pPr>
    <w:rPr>
      <w:rFonts w:eastAsia="宋体"/>
      <w:bCs w:val="0"/>
      <w:kern w:val="0"/>
      <w:sz w:val="24"/>
      <w:szCs w:val="24"/>
    </w:rPr>
  </w:style>
  <w:style w:type="paragraph" w:customStyle="1" w:styleId="1382">
    <w:name w:val="Char Char Char Char Char Char Char Char Char Char Char Char Char Char Char Char Char Char Char Char Char Char Char Char Char Char Char Char Char Char Char Char Char Char Char Char12"/>
    <w:basedOn w:val="1"/>
    <w:qFormat/>
    <w:uiPriority w:val="0"/>
    <w:pPr>
      <w:snapToGrid w:val="0"/>
      <w:spacing w:line="440" w:lineRule="atLeast"/>
      <w:ind w:firstLine="200" w:firstLineChars="200"/>
    </w:pPr>
    <w:rPr>
      <w:rFonts w:ascii="Times New Roman" w:hAnsi="Times New Roman"/>
      <w:szCs w:val="20"/>
    </w:rPr>
  </w:style>
  <w:style w:type="paragraph" w:customStyle="1" w:styleId="1383">
    <w:name w:val="msonormalcxsplast"/>
    <w:basedOn w:val="1"/>
    <w:qFormat/>
    <w:uiPriority w:val="0"/>
    <w:pPr>
      <w:widowControl/>
      <w:spacing w:before="100" w:beforeAutospacing="1" w:after="100" w:afterAutospacing="1"/>
      <w:jc w:val="left"/>
    </w:pPr>
    <w:rPr>
      <w:rFonts w:ascii="宋体" w:hAnsi="宋体" w:cs="宋体"/>
      <w:kern w:val="0"/>
      <w:sz w:val="24"/>
      <w:szCs w:val="21"/>
    </w:rPr>
  </w:style>
  <w:style w:type="paragraph" w:customStyle="1" w:styleId="1384">
    <w:name w:val="样式 样式 样式 样式 样式 正文A + 首行缩进:  2 字符 + 首行缩进:  2 字符 + 两端对齐 首行缩进:  2 字..."/>
    <w:basedOn w:val="1"/>
    <w:qFormat/>
    <w:uiPriority w:val="0"/>
    <w:pPr>
      <w:tabs>
        <w:tab w:val="left" w:pos="578"/>
        <w:tab w:val="left" w:pos="1074"/>
        <w:tab w:val="left" w:pos="1595"/>
        <w:tab w:val="left" w:pos="2073"/>
        <w:tab w:val="left" w:pos="2507"/>
        <w:tab w:val="left" w:pos="3025"/>
        <w:tab w:val="left" w:pos="3991"/>
      </w:tabs>
      <w:spacing w:line="360" w:lineRule="auto"/>
      <w:ind w:firstLine="480" w:firstLineChars="200"/>
    </w:pPr>
    <w:rPr>
      <w:rFonts w:ascii="Times New Roman" w:hAnsi="Times New Roman" w:cs="宋体"/>
      <w:kern w:val="0"/>
      <w:sz w:val="24"/>
      <w:szCs w:val="20"/>
    </w:rPr>
  </w:style>
  <w:style w:type="paragraph" w:customStyle="1" w:styleId="1385">
    <w:name w:val="标题3，小节名，小节"/>
    <w:basedOn w:val="1"/>
    <w:next w:val="1386"/>
    <w:qFormat/>
    <w:uiPriority w:val="0"/>
    <w:pPr>
      <w:spacing w:line="360" w:lineRule="auto"/>
      <w:ind w:firstLine="562" w:firstLineChars="200"/>
    </w:pPr>
    <w:rPr>
      <w:b/>
      <w:sz w:val="28"/>
      <w:szCs w:val="28"/>
    </w:rPr>
  </w:style>
  <w:style w:type="paragraph" w:customStyle="1" w:styleId="1386">
    <w:name w:val="正文p"/>
    <w:basedOn w:val="1"/>
    <w:qFormat/>
    <w:uiPriority w:val="0"/>
    <w:pPr>
      <w:spacing w:line="360" w:lineRule="auto"/>
      <w:ind w:firstLine="480" w:firstLineChars="200"/>
    </w:pPr>
    <w:rPr>
      <w:sz w:val="24"/>
      <w:szCs w:val="21"/>
    </w:rPr>
  </w:style>
  <w:style w:type="paragraph" w:customStyle="1" w:styleId="1387">
    <w:name w:val="批注主题11"/>
    <w:basedOn w:val="28"/>
    <w:next w:val="28"/>
    <w:qFormat/>
    <w:uiPriority w:val="0"/>
    <w:rPr>
      <w:rFonts w:ascii="宋体" w:hAnsi="宋体" w:cs="Courier New"/>
      <w:b/>
      <w:bCs/>
      <w:spacing w:val="-2"/>
      <w:szCs w:val="24"/>
    </w:rPr>
  </w:style>
  <w:style w:type="paragraph" w:customStyle="1" w:styleId="1388">
    <w:name w:val="纯文本11"/>
    <w:basedOn w:val="1"/>
    <w:qFormat/>
    <w:uiPriority w:val="0"/>
    <w:pPr>
      <w:adjustRightInd w:val="0"/>
      <w:textAlignment w:val="baseline"/>
    </w:pPr>
    <w:rPr>
      <w:rFonts w:ascii="宋体" w:hAnsi="Courier New"/>
      <w:szCs w:val="20"/>
    </w:rPr>
  </w:style>
  <w:style w:type="paragraph" w:customStyle="1" w:styleId="1389">
    <w:name w:val="正文文本 36"/>
    <w:basedOn w:val="1"/>
    <w:qFormat/>
    <w:uiPriority w:val="0"/>
    <w:pPr>
      <w:jc w:val="center"/>
    </w:pPr>
    <w:rPr>
      <w:rFonts w:ascii="Times New Roman" w:hAnsi="Times New Roman"/>
      <w:kern w:val="0"/>
      <w:szCs w:val="20"/>
    </w:rPr>
  </w:style>
  <w:style w:type="paragraph" w:customStyle="1" w:styleId="1390">
    <w:name w:val="reader-word-layer reader-word-s1-3 reader-word-s1-8"/>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391">
    <w:name w:val="reader-word-layer reader-word-s3-8"/>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392">
    <w:name w:val="样式 四号 首行缩进:  0.93 厘米 行距: 固定值 25 磅"/>
    <w:basedOn w:val="1"/>
    <w:qFormat/>
    <w:uiPriority w:val="0"/>
    <w:pPr>
      <w:widowControl/>
      <w:spacing w:line="540" w:lineRule="exact"/>
      <w:ind w:firstLine="527"/>
    </w:pPr>
    <w:rPr>
      <w:rFonts w:ascii="Times New Roman" w:hAnsi="Times New Roman" w:cs="宋体"/>
      <w:sz w:val="28"/>
      <w:szCs w:val="20"/>
    </w:rPr>
  </w:style>
  <w:style w:type="paragraph" w:customStyle="1" w:styleId="1393">
    <w:name w:val="Char12"/>
    <w:basedOn w:val="1"/>
    <w:qFormat/>
    <w:uiPriority w:val="0"/>
    <w:rPr>
      <w:rFonts w:ascii="Times New Roman" w:hAnsi="Times New Roman"/>
      <w:szCs w:val="24"/>
    </w:rPr>
  </w:style>
  <w:style w:type="paragraph" w:customStyle="1" w:styleId="1394">
    <w:name w:val="表表"/>
    <w:basedOn w:val="1"/>
    <w:qFormat/>
    <w:uiPriority w:val="0"/>
    <w:pPr>
      <w:widowControl/>
      <w:adjustRightInd w:val="0"/>
      <w:snapToGrid w:val="0"/>
      <w:spacing w:line="240" w:lineRule="atLeast"/>
      <w:jc w:val="center"/>
    </w:pPr>
    <w:rPr>
      <w:rFonts w:ascii="Times New Roman" w:hAnsi="Times New Roman"/>
      <w:kern w:val="0"/>
      <w:szCs w:val="21"/>
    </w:rPr>
  </w:style>
  <w:style w:type="paragraph" w:customStyle="1" w:styleId="1395">
    <w:name w:val="Char Char Char Char Char Char1 Char4"/>
    <w:basedOn w:val="1"/>
    <w:qFormat/>
    <w:uiPriority w:val="0"/>
    <w:rPr>
      <w:rFonts w:ascii="Times New Roman" w:hAnsi="Times New Roman"/>
      <w:szCs w:val="24"/>
    </w:rPr>
  </w:style>
  <w:style w:type="paragraph" w:customStyle="1" w:styleId="1396">
    <w:name w:val="样式 标题 1 + 小四"/>
    <w:basedOn w:val="4"/>
    <w:qFormat/>
    <w:uiPriority w:val="0"/>
    <w:pPr>
      <w:tabs>
        <w:tab w:val="left" w:pos="420"/>
      </w:tabs>
      <w:spacing w:before="120" w:after="240" w:line="0" w:lineRule="atLeast"/>
      <w:ind w:left="420" w:hanging="420"/>
      <w:jc w:val="center"/>
    </w:pPr>
    <w:rPr>
      <w:szCs w:val="20"/>
    </w:rPr>
  </w:style>
  <w:style w:type="paragraph" w:customStyle="1" w:styleId="1397">
    <w:name w:val="表左"/>
    <w:basedOn w:val="1"/>
    <w:qFormat/>
    <w:uiPriority w:val="0"/>
    <w:pPr>
      <w:spacing w:line="280" w:lineRule="exact"/>
      <w:jc w:val="left"/>
    </w:pPr>
    <w:rPr>
      <w:rFonts w:ascii="宋体" w:hAnsi="Times New Roman"/>
      <w:color w:val="000000"/>
      <w:sz w:val="18"/>
      <w:szCs w:val="24"/>
    </w:rPr>
  </w:style>
  <w:style w:type="paragraph" w:customStyle="1" w:styleId="1398">
    <w:name w:val="页眉 New New New"/>
    <w:basedOn w:val="1"/>
    <w:qFormat/>
    <w:uiPriority w:val="0"/>
    <w:pPr>
      <w:pBdr>
        <w:bottom w:val="single" w:color="auto" w:sz="6" w:space="1"/>
      </w:pBdr>
      <w:tabs>
        <w:tab w:val="center" w:pos="4153"/>
        <w:tab w:val="right" w:pos="8306"/>
      </w:tabs>
      <w:snapToGrid w:val="0"/>
      <w:jc w:val="center"/>
    </w:pPr>
    <w:rPr>
      <w:rFonts w:ascii="Times New Roman" w:hAnsi="Times New Roman"/>
      <w:spacing w:val="-2"/>
      <w:kern w:val="0"/>
      <w:sz w:val="18"/>
      <w:szCs w:val="18"/>
    </w:rPr>
  </w:style>
  <w:style w:type="paragraph" w:customStyle="1" w:styleId="1399">
    <w:name w:val="xl51"/>
    <w:basedOn w:val="1"/>
    <w:qFormat/>
    <w:uiPriority w:val="0"/>
    <w:pPr>
      <w:widowControl/>
      <w:pBdr>
        <w:top w:val="double" w:color="auto" w:sz="6" w:space="0"/>
        <w:left w:val="single" w:color="auto" w:sz="4" w:space="0"/>
      </w:pBdr>
      <w:spacing w:before="100" w:beforeAutospacing="1" w:after="100" w:afterAutospacing="1"/>
      <w:jc w:val="center"/>
      <w:textAlignment w:val="center"/>
    </w:pPr>
    <w:rPr>
      <w:rFonts w:ascii="宋体" w:hAnsi="宋体"/>
      <w:kern w:val="0"/>
      <w:sz w:val="24"/>
      <w:szCs w:val="24"/>
    </w:rPr>
  </w:style>
  <w:style w:type="paragraph" w:customStyle="1" w:styleId="1400">
    <w:name w:val="font7"/>
    <w:basedOn w:val="1"/>
    <w:qFormat/>
    <w:uiPriority w:val="0"/>
    <w:pPr>
      <w:widowControl/>
      <w:spacing w:before="100" w:beforeAutospacing="1" w:after="100" w:afterAutospacing="1"/>
      <w:jc w:val="left"/>
    </w:pPr>
    <w:rPr>
      <w:rFonts w:ascii="Times New Roman" w:hAnsi="Times New Roman"/>
      <w:b/>
      <w:bCs/>
      <w:kern w:val="0"/>
      <w:sz w:val="36"/>
      <w:szCs w:val="36"/>
    </w:rPr>
  </w:style>
  <w:style w:type="paragraph" w:customStyle="1" w:styleId="1401">
    <w:name w:val="样式 四号 黑色 行距: 固定值 27 磅"/>
    <w:basedOn w:val="1"/>
    <w:qFormat/>
    <w:uiPriority w:val="0"/>
    <w:pPr>
      <w:spacing w:line="480" w:lineRule="exact"/>
      <w:jc w:val="center"/>
    </w:pPr>
    <w:rPr>
      <w:rFonts w:ascii="宋体" w:hAnsi="宋体" w:cs="宋体"/>
      <w:bCs/>
      <w:kern w:val="0"/>
      <w:sz w:val="28"/>
      <w:szCs w:val="28"/>
    </w:rPr>
  </w:style>
  <w:style w:type="paragraph" w:customStyle="1" w:styleId="1402">
    <w:name w:val="样式 标题 4标题 14 + 加粗 无下划线 自动设置 段前: 3 磅 段后: 10 磅4"/>
    <w:basedOn w:val="7"/>
    <w:qFormat/>
    <w:uiPriority w:val="0"/>
    <w:pPr>
      <w:keepLines w:val="0"/>
      <w:tabs>
        <w:tab w:val="left" w:pos="855"/>
      </w:tabs>
      <w:adjustRightInd w:val="0"/>
      <w:snapToGrid w:val="0"/>
      <w:spacing w:before="60" w:after="200" w:line="240" w:lineRule="auto"/>
      <w:ind w:left="855" w:hanging="855"/>
    </w:pPr>
    <w:rPr>
      <w:rFonts w:eastAsia="宋体"/>
      <w:szCs w:val="20"/>
    </w:rPr>
  </w:style>
  <w:style w:type="paragraph" w:customStyle="1" w:styleId="1403">
    <w:name w:val="et67"/>
    <w:basedOn w:val="1"/>
    <w:qFormat/>
    <w:uiPriority w:val="0"/>
    <w:pPr>
      <w:widowControl/>
      <w:spacing w:before="100" w:beforeAutospacing="1" w:after="100" w:afterAutospacing="1"/>
      <w:jc w:val="left"/>
      <w:textAlignment w:val="bottom"/>
    </w:pPr>
    <w:rPr>
      <w:rFonts w:ascii="Times New Roman" w:hAnsi="Times New Roman"/>
      <w:color w:val="000000"/>
      <w:kern w:val="0"/>
      <w:sz w:val="24"/>
      <w:szCs w:val="24"/>
    </w:rPr>
  </w:style>
  <w:style w:type="paragraph" w:customStyle="1" w:styleId="1404">
    <w:name w:val="页脚 New New New New"/>
    <w:basedOn w:val="1"/>
    <w:qFormat/>
    <w:uiPriority w:val="0"/>
    <w:pPr>
      <w:tabs>
        <w:tab w:val="center" w:pos="4153"/>
        <w:tab w:val="right" w:pos="8306"/>
      </w:tabs>
      <w:snapToGrid w:val="0"/>
      <w:jc w:val="left"/>
    </w:pPr>
    <w:rPr>
      <w:rFonts w:ascii="Times New Roman" w:hAnsi="Times New Roman"/>
      <w:spacing w:val="-2"/>
      <w:kern w:val="0"/>
      <w:sz w:val="18"/>
      <w:szCs w:val="18"/>
    </w:rPr>
  </w:style>
  <w:style w:type="paragraph" w:customStyle="1" w:styleId="1405">
    <w:name w:val="第3层"/>
    <w:basedOn w:val="6"/>
    <w:qFormat/>
    <w:uiPriority w:val="0"/>
    <w:pPr>
      <w:spacing w:line="500" w:lineRule="exact"/>
      <w:jc w:val="left"/>
    </w:pPr>
    <w:rPr>
      <w:rFonts w:ascii="宋体" w:hAnsi="宋体"/>
    </w:rPr>
  </w:style>
  <w:style w:type="paragraph" w:customStyle="1" w:styleId="1406">
    <w:name w:val="样式 标题 4标题 14 + 自动设置"/>
    <w:basedOn w:val="7"/>
    <w:qFormat/>
    <w:uiPriority w:val="0"/>
    <w:pPr>
      <w:keepLines w:val="0"/>
      <w:adjustRightInd w:val="0"/>
      <w:snapToGrid w:val="0"/>
      <w:spacing w:line="240" w:lineRule="auto"/>
    </w:pPr>
    <w:rPr>
      <w:bCs w:val="0"/>
      <w:szCs w:val="24"/>
      <w:u w:val="single"/>
    </w:rPr>
  </w:style>
  <w:style w:type="paragraph" w:customStyle="1" w:styleId="1407">
    <w:name w:val="自动1"/>
    <w:basedOn w:val="1408"/>
    <w:qFormat/>
    <w:uiPriority w:val="0"/>
    <w:pPr>
      <w:tabs>
        <w:tab w:val="left" w:pos="432"/>
      </w:tabs>
      <w:spacing w:before="120" w:beforeLines="0" w:after="120" w:afterLines="0"/>
      <w:ind w:left="432" w:hanging="432"/>
    </w:pPr>
    <w:rPr>
      <w:color w:val="000000"/>
    </w:rPr>
  </w:style>
  <w:style w:type="paragraph" w:customStyle="1" w:styleId="1408">
    <w:name w:val="一级标题"/>
    <w:basedOn w:val="4"/>
    <w:qFormat/>
    <w:uiPriority w:val="0"/>
    <w:pPr>
      <w:spacing w:before="156" w:beforeLines="50" w:after="156" w:afterLines="50"/>
    </w:pPr>
    <w:rPr>
      <w:rFonts w:ascii="黑体" w:hAnsi="Arial Unicode MS" w:cs="Arial Unicode MS"/>
      <w:szCs w:val="30"/>
    </w:rPr>
  </w:style>
  <w:style w:type="paragraph" w:customStyle="1" w:styleId="1409">
    <w:name w:val="正文文本缩进5"/>
    <w:basedOn w:val="1"/>
    <w:qFormat/>
    <w:uiPriority w:val="0"/>
    <w:pPr>
      <w:spacing w:after="120"/>
      <w:ind w:left="420" w:leftChars="200"/>
    </w:pPr>
    <w:rPr>
      <w:rFonts w:ascii="Times New Roman" w:hAnsi="Times New Roman"/>
      <w:w w:val="90"/>
      <w:kern w:val="0"/>
      <w:sz w:val="28"/>
      <w:szCs w:val="24"/>
    </w:rPr>
  </w:style>
  <w:style w:type="paragraph" w:customStyle="1" w:styleId="1410">
    <w:name w:val="样式 样式 样式 样式 样式 样式 样式 123 + 自动设置 首行缩进:  2 字符 + 首行缩进:  2 字符 + 黑色 首..."/>
    <w:basedOn w:val="1"/>
    <w:qFormat/>
    <w:uiPriority w:val="0"/>
    <w:pPr>
      <w:widowControl/>
      <w:tabs>
        <w:tab w:val="left" w:pos="352"/>
      </w:tabs>
      <w:overflowPunct w:val="0"/>
      <w:autoSpaceDE w:val="0"/>
      <w:autoSpaceDN w:val="0"/>
      <w:adjustRightInd w:val="0"/>
      <w:snapToGrid w:val="0"/>
      <w:spacing w:line="460" w:lineRule="exact"/>
      <w:ind w:firstLine="560" w:firstLineChars="200"/>
      <w:textAlignment w:val="bottom"/>
    </w:pPr>
    <w:rPr>
      <w:rFonts w:ascii="Times New Roman" w:hAnsi="Times New Roman" w:cs="宋体"/>
      <w:kern w:val="0"/>
      <w:sz w:val="28"/>
      <w:szCs w:val="28"/>
    </w:rPr>
  </w:style>
  <w:style w:type="paragraph" w:customStyle="1" w:styleId="1411">
    <w:name w:val="样式 仿宋_GB2312 四号 行距: 1.5 倍行距"/>
    <w:basedOn w:val="1"/>
    <w:qFormat/>
    <w:uiPriority w:val="0"/>
    <w:pPr>
      <w:tabs>
        <w:tab w:val="left" w:pos="5940"/>
      </w:tabs>
      <w:spacing w:line="360" w:lineRule="auto"/>
      <w:ind w:firstLine="560" w:firstLineChars="200"/>
    </w:pPr>
    <w:rPr>
      <w:rFonts w:ascii="Times New Roman" w:hAnsi="Times New Roman" w:eastAsia="仿宋_GB2312"/>
      <w:snapToGrid w:val="0"/>
      <w:kern w:val="0"/>
      <w:sz w:val="28"/>
      <w:szCs w:val="28"/>
    </w:rPr>
  </w:style>
  <w:style w:type="paragraph" w:customStyle="1" w:styleId="1412">
    <w:name w:val="样式 宋体 小四 首行缩进:  1 厘米 行距: 固定值 24 磅1"/>
    <w:basedOn w:val="1"/>
    <w:qFormat/>
    <w:uiPriority w:val="0"/>
    <w:pPr>
      <w:jc w:val="center"/>
    </w:pPr>
    <w:rPr>
      <w:rFonts w:ascii="宋体" w:hAnsi="宋体"/>
      <w:color w:val="FF0000"/>
      <w:kern w:val="0"/>
      <w:szCs w:val="21"/>
      <w:u w:val="single"/>
    </w:rPr>
  </w:style>
  <w:style w:type="paragraph" w:customStyle="1" w:styleId="1413">
    <w:name w:val="et1"/>
    <w:basedOn w:val="1"/>
    <w:qFormat/>
    <w:uiPriority w:val="0"/>
    <w:pPr>
      <w:widowControl/>
      <w:spacing w:before="100" w:beforeAutospacing="1" w:after="100" w:afterAutospacing="1"/>
      <w:jc w:val="left"/>
      <w:textAlignment w:val="bottom"/>
    </w:pPr>
    <w:rPr>
      <w:rFonts w:ascii="宋体" w:hAnsi="宋体" w:cs="宋体"/>
      <w:color w:val="000000"/>
      <w:kern w:val="0"/>
      <w:sz w:val="24"/>
      <w:szCs w:val="24"/>
    </w:rPr>
  </w:style>
  <w:style w:type="paragraph" w:customStyle="1" w:styleId="1414">
    <w:name w:val="正文文本 33"/>
    <w:basedOn w:val="1"/>
    <w:qFormat/>
    <w:uiPriority w:val="0"/>
    <w:pPr>
      <w:jc w:val="center"/>
    </w:pPr>
    <w:rPr>
      <w:sz w:val="16"/>
      <w:szCs w:val="16"/>
    </w:rPr>
  </w:style>
  <w:style w:type="paragraph" w:customStyle="1" w:styleId="1415">
    <w:name w:val="Char Char Char Char Char Char1 Char Char Char1 Char Char Char Char Char Char Char"/>
    <w:basedOn w:val="1"/>
    <w:qFormat/>
    <w:uiPriority w:val="0"/>
    <w:pPr>
      <w:spacing w:line="360" w:lineRule="auto"/>
      <w:ind w:firstLine="200" w:firstLineChars="200"/>
    </w:pPr>
    <w:rPr>
      <w:rFonts w:ascii="宋体" w:hAnsi="宋体" w:cs="宋体"/>
      <w:sz w:val="24"/>
      <w:szCs w:val="24"/>
    </w:rPr>
  </w:style>
  <w:style w:type="paragraph" w:customStyle="1" w:styleId="1416">
    <w:name w:val="页眉 New New New New New New New New New New"/>
    <w:basedOn w:val="1"/>
    <w:qFormat/>
    <w:uiPriority w:val="0"/>
    <w:pPr>
      <w:pBdr>
        <w:bottom w:val="single" w:color="auto" w:sz="6" w:space="1"/>
      </w:pBdr>
      <w:tabs>
        <w:tab w:val="center" w:pos="4153"/>
        <w:tab w:val="right" w:pos="8306"/>
      </w:tabs>
      <w:snapToGrid w:val="0"/>
      <w:jc w:val="center"/>
    </w:pPr>
    <w:rPr>
      <w:rFonts w:ascii="Times New Roman" w:hAnsi="Times New Roman"/>
      <w:spacing w:val="-2"/>
      <w:kern w:val="0"/>
      <w:sz w:val="18"/>
      <w:szCs w:val="18"/>
    </w:rPr>
  </w:style>
  <w:style w:type="paragraph" w:customStyle="1" w:styleId="1417">
    <w:name w:val="xl601"/>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pPr>
    <w:rPr>
      <w:rFonts w:ascii="宋体" w:hAnsi="宋体" w:cs="宋体"/>
      <w:kern w:val="0"/>
      <w:sz w:val="24"/>
      <w:szCs w:val="24"/>
    </w:rPr>
  </w:style>
  <w:style w:type="paragraph" w:customStyle="1" w:styleId="1418">
    <w:name w:val="页脚 New New New New New New New New New New New New New New New"/>
    <w:basedOn w:val="1"/>
    <w:qFormat/>
    <w:uiPriority w:val="0"/>
    <w:pPr>
      <w:tabs>
        <w:tab w:val="center" w:pos="4153"/>
        <w:tab w:val="right" w:pos="8306"/>
      </w:tabs>
      <w:snapToGrid w:val="0"/>
      <w:jc w:val="left"/>
    </w:pPr>
    <w:rPr>
      <w:rFonts w:ascii="Times New Roman" w:hAnsi="Times New Roman"/>
      <w:spacing w:val="-2"/>
      <w:kern w:val="0"/>
      <w:sz w:val="18"/>
      <w:szCs w:val="18"/>
    </w:rPr>
  </w:style>
  <w:style w:type="paragraph" w:customStyle="1" w:styleId="1419">
    <w:name w:val="样式 正文（zha） + 首行缩进:  2 字符"/>
    <w:basedOn w:val="1"/>
    <w:qFormat/>
    <w:uiPriority w:val="0"/>
    <w:pPr>
      <w:adjustRightInd w:val="0"/>
      <w:snapToGrid w:val="0"/>
      <w:spacing w:line="360" w:lineRule="auto"/>
      <w:ind w:firstLine="520" w:firstLineChars="200"/>
      <w:jc w:val="left"/>
    </w:pPr>
    <w:rPr>
      <w:rFonts w:ascii="Times New Roman" w:hAnsi="Times New Roman" w:eastAsia="Times New Roman"/>
      <w:snapToGrid w:val="0"/>
      <w:kern w:val="0"/>
      <w:sz w:val="26"/>
      <w:szCs w:val="20"/>
    </w:rPr>
  </w:style>
  <w:style w:type="paragraph" w:customStyle="1" w:styleId="1420">
    <w:name w:val="正文 11"/>
    <w:basedOn w:val="1"/>
    <w:qFormat/>
    <w:uiPriority w:val="0"/>
    <w:pPr>
      <w:spacing w:line="500" w:lineRule="exact"/>
      <w:ind w:firstLine="567"/>
    </w:pPr>
    <w:rPr>
      <w:rFonts w:ascii="幼圆" w:hAnsi="Times New Roman" w:eastAsia="幼圆"/>
      <w:sz w:val="28"/>
      <w:szCs w:val="20"/>
    </w:rPr>
  </w:style>
  <w:style w:type="paragraph" w:customStyle="1" w:styleId="1421">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color w:val="993366"/>
      <w:kern w:val="0"/>
      <w:sz w:val="22"/>
    </w:rPr>
  </w:style>
  <w:style w:type="paragraph" w:customStyle="1" w:styleId="1422">
    <w:name w:val="1"/>
    <w:qFormat/>
    <w:uiPriority w:val="99"/>
    <w:pPr>
      <w:widowControl w:val="0"/>
      <w:jc w:val="both"/>
    </w:pPr>
    <w:rPr>
      <w:rFonts w:ascii="Calibri" w:hAnsi="Calibri" w:eastAsia="宋体" w:cs="Times New Roman"/>
      <w:kern w:val="2"/>
      <w:sz w:val="21"/>
      <w:szCs w:val="21"/>
      <w:lang w:val="en-US" w:eastAsia="zh-CN" w:bidi="ar-SA"/>
    </w:rPr>
  </w:style>
  <w:style w:type="paragraph" w:customStyle="1" w:styleId="1423">
    <w:name w:val="reader-word-layer"/>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424">
    <w:name w:val="reader-word-layer reader-word-s2-3"/>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425">
    <w:name w:val="样式 纯文本 + 首行缩进:  2 字符 Char Char Char Char Char Char Char Char Char Char Char Char Char Char Char Char Char Char Char Char Char Char Char Char"/>
    <w:basedOn w:val="45"/>
    <w:qFormat/>
    <w:uiPriority w:val="0"/>
    <w:pPr>
      <w:spacing w:line="360" w:lineRule="auto"/>
    </w:pPr>
    <w:rPr>
      <w:kern w:val="0"/>
    </w:rPr>
  </w:style>
  <w:style w:type="paragraph" w:customStyle="1" w:styleId="1426">
    <w:name w:val="正文文本缩进 311"/>
    <w:basedOn w:val="1"/>
    <w:qFormat/>
    <w:uiPriority w:val="0"/>
    <w:pPr>
      <w:spacing w:line="540" w:lineRule="exact"/>
      <w:ind w:firstLine="576"/>
    </w:pPr>
    <w:rPr>
      <w:rFonts w:ascii="宋体" w:hAnsi="宋体" w:cs="Courier New"/>
      <w:spacing w:val="-2"/>
      <w:sz w:val="28"/>
      <w:szCs w:val="24"/>
    </w:rPr>
  </w:style>
  <w:style w:type="paragraph" w:customStyle="1" w:styleId="1427">
    <w:name w:val="公式"/>
    <w:basedOn w:val="1"/>
    <w:qFormat/>
    <w:uiPriority w:val="0"/>
    <w:pPr>
      <w:adjustRightInd w:val="0"/>
      <w:spacing w:before="60" w:line="394" w:lineRule="atLeast"/>
      <w:jc w:val="center"/>
      <w:textAlignment w:val="baseline"/>
    </w:pPr>
    <w:rPr>
      <w:rFonts w:ascii="宋体" w:hAnsi="Times New Roman"/>
      <w:kern w:val="0"/>
      <w:sz w:val="24"/>
      <w:szCs w:val="24"/>
    </w:rPr>
  </w:style>
  <w:style w:type="paragraph" w:customStyle="1" w:styleId="1428">
    <w:name w:val="fldban"/>
    <w:basedOn w:val="1"/>
    <w:qFormat/>
    <w:uiPriority w:val="0"/>
    <w:pPr>
      <w:widowControl/>
      <w:spacing w:before="100" w:beforeAutospacing="1" w:after="100" w:afterAutospacing="1" w:line="300" w:lineRule="atLeast"/>
    </w:pPr>
    <w:rPr>
      <w:rFonts w:ascii="宋体" w:hAnsi="宋体" w:cs="宋体"/>
      <w:kern w:val="0"/>
      <w:sz w:val="18"/>
      <w:szCs w:val="18"/>
    </w:rPr>
  </w:style>
  <w:style w:type="paragraph" w:customStyle="1" w:styleId="1429">
    <w:name w:val="BG表格内容"/>
    <w:qFormat/>
    <w:uiPriority w:val="0"/>
    <w:pPr>
      <w:adjustRightInd w:val="0"/>
      <w:snapToGrid w:val="0"/>
    </w:pPr>
    <w:rPr>
      <w:rFonts w:ascii="Calibri" w:hAnsi="Calibri" w:eastAsia="宋体" w:cs="Times New Roman"/>
      <w:snapToGrid w:val="0"/>
      <w:sz w:val="21"/>
      <w:szCs w:val="21"/>
      <w:lang w:val="en-US" w:eastAsia="zh-CN" w:bidi="ar-SA"/>
    </w:rPr>
  </w:style>
  <w:style w:type="paragraph" w:customStyle="1" w:styleId="1430">
    <w:name w:val="my table"/>
    <w:basedOn w:val="1"/>
    <w:qFormat/>
    <w:uiPriority w:val="0"/>
    <w:pPr>
      <w:widowControl/>
      <w:snapToGrid w:val="0"/>
      <w:spacing w:line="240" w:lineRule="exact"/>
    </w:pPr>
    <w:rPr>
      <w:rFonts w:ascii="宋体" w:hAnsi="宋体"/>
      <w:szCs w:val="20"/>
    </w:rPr>
  </w:style>
  <w:style w:type="paragraph" w:customStyle="1" w:styleId="1431">
    <w:name w:val="reader-word-layer reader-word-s3-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432">
    <w:name w:val="et46"/>
    <w:basedOn w:val="1"/>
    <w:qFormat/>
    <w:uiPriority w:val="0"/>
    <w:pPr>
      <w:widowControl/>
      <w:spacing w:before="100" w:beforeAutospacing="1" w:after="100" w:afterAutospacing="1"/>
      <w:jc w:val="left"/>
      <w:textAlignment w:val="bottom"/>
    </w:pPr>
    <w:rPr>
      <w:rFonts w:ascii="宋体" w:hAnsi="宋体" w:cs="宋体"/>
      <w:color w:val="000000"/>
      <w:kern w:val="0"/>
      <w:sz w:val="24"/>
      <w:szCs w:val="24"/>
    </w:rPr>
  </w:style>
  <w:style w:type="paragraph" w:customStyle="1" w:styleId="1433">
    <w:name w:val="xl59"/>
    <w:basedOn w:val="1"/>
    <w:qFormat/>
    <w:uiPriority w:val="0"/>
    <w:pPr>
      <w:widowControl/>
      <w:pBdr>
        <w:top w:val="double" w:color="auto" w:sz="6" w:space="0"/>
        <w:left w:val="single" w:color="auto" w:sz="4" w:space="0"/>
      </w:pBdr>
      <w:spacing w:before="100" w:beforeAutospacing="1" w:after="100" w:afterAutospacing="1"/>
      <w:jc w:val="center"/>
      <w:textAlignment w:val="center"/>
    </w:pPr>
    <w:rPr>
      <w:rFonts w:ascii="宋体" w:hAnsi="宋体"/>
      <w:kern w:val="0"/>
      <w:sz w:val="24"/>
      <w:szCs w:val="24"/>
    </w:rPr>
  </w:style>
  <w:style w:type="paragraph" w:customStyle="1" w:styleId="1434">
    <w:name w:val="正文 New New New New New New New New New New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1435">
    <w:name w:val="页脚 New New New New New New New New New New New New New New New New New New New New"/>
    <w:basedOn w:val="1436"/>
    <w:qFormat/>
    <w:uiPriority w:val="0"/>
    <w:pPr>
      <w:tabs>
        <w:tab w:val="center" w:pos="4153"/>
        <w:tab w:val="right" w:pos="8306"/>
      </w:tabs>
      <w:snapToGrid w:val="0"/>
      <w:jc w:val="left"/>
    </w:pPr>
    <w:rPr>
      <w:sz w:val="18"/>
      <w:szCs w:val="18"/>
    </w:rPr>
  </w:style>
  <w:style w:type="paragraph" w:customStyle="1" w:styleId="1436">
    <w:name w:val="正文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1437">
    <w:name w:val="reader-word-layer reader-word-s1-34"/>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438">
    <w:name w:val="样式 隶书 二号 首行缩进:  2 字符"/>
    <w:basedOn w:val="1"/>
    <w:qFormat/>
    <w:uiPriority w:val="0"/>
    <w:pPr>
      <w:adjustRightInd w:val="0"/>
      <w:snapToGrid w:val="0"/>
      <w:spacing w:line="360" w:lineRule="auto"/>
      <w:ind w:firstLine="200" w:firstLineChars="200"/>
      <w:jc w:val="center"/>
    </w:pPr>
    <w:rPr>
      <w:rFonts w:ascii="隶书" w:hAnsi="Times New Roman" w:eastAsia="隶书" w:cs="宋体"/>
      <w:sz w:val="52"/>
      <w:szCs w:val="52"/>
    </w:rPr>
  </w:style>
  <w:style w:type="paragraph" w:customStyle="1" w:styleId="1439">
    <w:name w:val="标题1.9"/>
    <w:basedOn w:val="1"/>
    <w:qFormat/>
    <w:uiPriority w:val="0"/>
    <w:pPr>
      <w:spacing w:before="156" w:beforeLines="50" w:line="360" w:lineRule="auto"/>
      <w:outlineLvl w:val="0"/>
    </w:pPr>
    <w:rPr>
      <w:rFonts w:ascii="Times New Roman" w:hAnsi="Times New Roman" w:eastAsia="黑体"/>
      <w:b/>
      <w:spacing w:val="20"/>
      <w:sz w:val="30"/>
      <w:szCs w:val="24"/>
    </w:rPr>
  </w:style>
  <w:style w:type="paragraph" w:customStyle="1" w:styleId="1440">
    <w:name w:val="tm"/>
    <w:basedOn w:val="1"/>
    <w:qFormat/>
    <w:uiPriority w:val="0"/>
    <w:pPr>
      <w:spacing w:line="240" w:lineRule="exact"/>
      <w:jc w:val="center"/>
    </w:pPr>
    <w:rPr>
      <w:rFonts w:ascii="宋体" w:hAnsi="宋体" w:eastAsia="黑体" w:cs="宋体"/>
      <w:spacing w:val="20"/>
      <w:sz w:val="24"/>
    </w:rPr>
  </w:style>
  <w:style w:type="paragraph" w:customStyle="1" w:styleId="1441">
    <w:name w:val="明显引用2"/>
    <w:basedOn w:val="1"/>
    <w:next w:val="1"/>
    <w:qFormat/>
    <w:uiPriority w:val="0"/>
    <w:pPr>
      <w:widowControl/>
      <w:pBdr>
        <w:bottom w:val="single" w:color="4F81BD" w:sz="4" w:space="4"/>
      </w:pBdr>
      <w:spacing w:before="200" w:after="280" w:line="276" w:lineRule="auto"/>
      <w:ind w:left="936" w:right="936"/>
      <w:jc w:val="left"/>
    </w:pPr>
    <w:rPr>
      <w:b/>
      <w:bCs/>
      <w:i/>
      <w:iCs/>
      <w:color w:val="4F81BD"/>
      <w:kern w:val="0"/>
      <w:sz w:val="22"/>
      <w:szCs w:val="24"/>
      <w:lang w:eastAsia="en-US"/>
    </w:rPr>
  </w:style>
  <w:style w:type="paragraph" w:customStyle="1" w:styleId="1442">
    <w:name w:val="报告正文 New"/>
    <w:basedOn w:val="1436"/>
    <w:qFormat/>
    <w:uiPriority w:val="0"/>
    <w:pPr>
      <w:adjustRightInd w:val="0"/>
      <w:snapToGrid w:val="0"/>
      <w:spacing w:line="480" w:lineRule="exact"/>
      <w:ind w:firstLine="560" w:firstLineChars="200"/>
    </w:pPr>
    <w:rPr>
      <w:rFonts w:ascii="宋体"/>
      <w:snapToGrid w:val="0"/>
      <w:color w:val="000000"/>
      <w:sz w:val="28"/>
      <w:szCs w:val="28"/>
    </w:rPr>
  </w:style>
  <w:style w:type="paragraph" w:customStyle="1" w:styleId="1443">
    <w:name w:val="文章正文文字样式"/>
    <w:basedOn w:val="1"/>
    <w:qFormat/>
    <w:uiPriority w:val="0"/>
    <w:pPr>
      <w:spacing w:line="520" w:lineRule="exact"/>
      <w:ind w:firstLine="200" w:firstLineChars="200"/>
      <w:jc w:val="left"/>
    </w:pPr>
    <w:rPr>
      <w:rFonts w:ascii="宋体" w:hAnsi="宋体"/>
      <w:sz w:val="24"/>
      <w:szCs w:val="24"/>
    </w:rPr>
  </w:style>
  <w:style w:type="paragraph" w:customStyle="1" w:styleId="1444">
    <w:name w:val="正文文本缩进 33"/>
    <w:basedOn w:val="1"/>
    <w:qFormat/>
    <w:uiPriority w:val="0"/>
    <w:pPr>
      <w:spacing w:line="540" w:lineRule="exact"/>
      <w:ind w:firstLine="576"/>
    </w:pPr>
    <w:rPr>
      <w:rFonts w:ascii="Times New Roman" w:hAnsi="Times New Roman"/>
      <w:kern w:val="0"/>
      <w:sz w:val="28"/>
      <w:szCs w:val="24"/>
      <w:lang w:val="zh-CN"/>
    </w:rPr>
  </w:style>
  <w:style w:type="paragraph" w:customStyle="1" w:styleId="1445">
    <w:name w:val="正文标准样式 + 黑体"/>
    <w:basedOn w:val="1446"/>
    <w:qFormat/>
    <w:uiPriority w:val="0"/>
    <w:pPr>
      <w:spacing w:line="460" w:lineRule="exact"/>
      <w:ind w:firstLine="0"/>
      <w:outlineLvl w:val="0"/>
    </w:pPr>
    <w:rPr>
      <w:rFonts w:ascii="黑体" w:eastAsia="黑体"/>
      <w:b/>
      <w:sz w:val="28"/>
      <w:szCs w:val="28"/>
    </w:rPr>
  </w:style>
  <w:style w:type="paragraph" w:customStyle="1" w:styleId="1446">
    <w:name w:val="正文标准样式"/>
    <w:basedOn w:val="1"/>
    <w:qFormat/>
    <w:uiPriority w:val="0"/>
    <w:pPr>
      <w:adjustRightInd w:val="0"/>
      <w:spacing w:line="300" w:lineRule="auto"/>
      <w:ind w:firstLine="482"/>
      <w:textAlignment w:val="baseline"/>
    </w:pPr>
    <w:rPr>
      <w:rFonts w:ascii="Times New Roman" w:hAnsi="Times New Roman"/>
      <w:kern w:val="0"/>
      <w:sz w:val="24"/>
      <w:szCs w:val="20"/>
    </w:rPr>
  </w:style>
  <w:style w:type="paragraph" w:customStyle="1" w:styleId="1447">
    <w:name w:val="样式10"/>
    <w:basedOn w:val="1"/>
    <w:qFormat/>
    <w:uiPriority w:val="0"/>
    <w:pPr>
      <w:keepNext/>
      <w:keepLines/>
      <w:tabs>
        <w:tab w:val="left" w:pos="0"/>
        <w:tab w:val="left" w:pos="360"/>
        <w:tab w:val="left" w:pos="540"/>
        <w:tab w:val="left" w:pos="720"/>
      </w:tabs>
      <w:spacing w:before="156" w:beforeLines="50" w:after="156" w:afterLines="50" w:line="360" w:lineRule="auto"/>
      <w:ind w:left="1260" w:hanging="420"/>
      <w:outlineLvl w:val="2"/>
    </w:pPr>
    <w:rPr>
      <w:rFonts w:ascii="Times New Roman" w:hAnsi="Times New Roman" w:eastAsia="黑体"/>
      <w:kern w:val="0"/>
      <w:sz w:val="24"/>
      <w:szCs w:val="32"/>
    </w:rPr>
  </w:style>
  <w:style w:type="paragraph" w:customStyle="1" w:styleId="1448">
    <w:name w:val="正文首行缩进4"/>
    <w:basedOn w:val="34"/>
    <w:qFormat/>
    <w:uiPriority w:val="0"/>
    <w:pPr>
      <w:spacing w:line="360" w:lineRule="auto"/>
      <w:ind w:firstLine="420" w:firstLineChars="100"/>
    </w:pPr>
    <w:rPr>
      <w:rFonts w:ascii="Times New Roman" w:hAnsi="Times New Roman"/>
      <w:kern w:val="0"/>
      <w:sz w:val="24"/>
      <w:szCs w:val="24"/>
    </w:rPr>
  </w:style>
  <w:style w:type="paragraph" w:customStyle="1" w:styleId="1449">
    <w:name w:val="正文 New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1450">
    <w:name w:val="2级大纲"/>
    <w:basedOn w:val="1"/>
    <w:qFormat/>
    <w:uiPriority w:val="0"/>
    <w:pPr>
      <w:widowControl/>
      <w:spacing w:before="156" w:line="360" w:lineRule="auto"/>
    </w:pPr>
    <w:rPr>
      <w:rFonts w:ascii="Times New Roman" w:hAnsi="Times New Roman" w:eastAsia="黑体" w:cs="宋体"/>
      <w:b/>
      <w:bCs/>
      <w:spacing w:val="-2"/>
      <w:kern w:val="0"/>
      <w:sz w:val="28"/>
      <w:szCs w:val="20"/>
    </w:rPr>
  </w:style>
  <w:style w:type="paragraph" w:customStyle="1" w:styleId="1451">
    <w:name w:val="bh1"/>
    <w:basedOn w:val="1"/>
    <w:qFormat/>
    <w:uiPriority w:val="0"/>
    <w:pPr>
      <w:widowControl/>
      <w:jc w:val="left"/>
    </w:pPr>
    <w:rPr>
      <w:rFonts w:ascii="宋体" w:hAnsi="宋体" w:cs="宋体"/>
      <w:kern w:val="0"/>
      <w:sz w:val="24"/>
      <w:szCs w:val="24"/>
    </w:rPr>
  </w:style>
  <w:style w:type="paragraph" w:customStyle="1" w:styleId="1452">
    <w:name w:val="reader-word-layer reader-word-s5-0"/>
    <w:basedOn w:val="1"/>
    <w:qFormat/>
    <w:uiPriority w:val="0"/>
    <w:pPr>
      <w:widowControl/>
      <w:spacing w:before="100" w:beforeAutospacing="1" w:after="100" w:afterAutospacing="1"/>
      <w:jc w:val="left"/>
    </w:pPr>
    <w:rPr>
      <w:rFonts w:ascii="宋体" w:hAnsi="宋体" w:cs="宋体"/>
      <w:spacing w:val="-2"/>
      <w:kern w:val="0"/>
      <w:sz w:val="24"/>
      <w:szCs w:val="20"/>
    </w:rPr>
  </w:style>
  <w:style w:type="paragraph" w:customStyle="1" w:styleId="1453">
    <w:name w:val="CJ 表格题头"/>
    <w:basedOn w:val="1"/>
    <w:qFormat/>
    <w:uiPriority w:val="0"/>
    <w:pPr>
      <w:spacing w:beforeLines="50"/>
      <w:ind w:firstLine="200" w:firstLineChars="200"/>
    </w:pPr>
    <w:rPr>
      <w:rFonts w:ascii="Times New Roman" w:hAnsi="Times New Roman" w:eastAsia="黑体"/>
      <w:sz w:val="24"/>
      <w:szCs w:val="20"/>
    </w:rPr>
  </w:style>
  <w:style w:type="paragraph" w:customStyle="1" w:styleId="1454">
    <w:name w:val="BG三级标题"/>
    <w:next w:val="1455"/>
    <w:qFormat/>
    <w:uiPriority w:val="0"/>
    <w:pPr>
      <w:adjustRightInd w:val="0"/>
      <w:snapToGrid w:val="0"/>
      <w:spacing w:line="360" w:lineRule="auto"/>
      <w:outlineLvl w:val="2"/>
    </w:pPr>
    <w:rPr>
      <w:rFonts w:ascii="Calibri" w:hAnsi="Calibri" w:eastAsia="黑体" w:cs="Times New Roman"/>
      <w:b/>
      <w:snapToGrid w:val="0"/>
      <w:sz w:val="24"/>
      <w:szCs w:val="24"/>
      <w:lang w:val="en-US" w:eastAsia="zh-CN" w:bidi="ar-SA"/>
    </w:rPr>
  </w:style>
  <w:style w:type="paragraph" w:customStyle="1" w:styleId="1455">
    <w:name w:val="BG四级标题"/>
    <w:next w:val="371"/>
    <w:qFormat/>
    <w:uiPriority w:val="0"/>
    <w:pPr>
      <w:adjustRightInd w:val="0"/>
      <w:snapToGrid w:val="0"/>
      <w:spacing w:line="360" w:lineRule="auto"/>
      <w:outlineLvl w:val="3"/>
    </w:pPr>
    <w:rPr>
      <w:rFonts w:ascii="Calibri" w:hAnsi="Calibri" w:eastAsia="黑体" w:cs="Times New Roman"/>
      <w:snapToGrid w:val="0"/>
      <w:sz w:val="24"/>
      <w:lang w:val="en-US" w:eastAsia="zh-CN" w:bidi="ar-SA"/>
    </w:rPr>
  </w:style>
  <w:style w:type="paragraph" w:customStyle="1" w:styleId="1456">
    <w:name w:val="et30"/>
    <w:basedOn w:val="1"/>
    <w:qFormat/>
    <w:uiPriority w:val="0"/>
    <w:pPr>
      <w:widowControl/>
      <w:spacing w:before="100" w:beforeAutospacing="1" w:after="100" w:afterAutospacing="1"/>
      <w:jc w:val="left"/>
      <w:textAlignment w:val="bottom"/>
    </w:pPr>
    <w:rPr>
      <w:rFonts w:ascii="Times New Roman" w:hAnsi="Times New Roman"/>
      <w:color w:val="000000"/>
      <w:kern w:val="0"/>
      <w:sz w:val="24"/>
      <w:szCs w:val="24"/>
    </w:rPr>
  </w:style>
  <w:style w:type="paragraph" w:customStyle="1" w:styleId="1457">
    <w:name w:val="Char Char Char Char Char Char Char11"/>
    <w:basedOn w:val="1"/>
    <w:qFormat/>
    <w:uiPriority w:val="0"/>
    <w:pPr>
      <w:tabs>
        <w:tab w:val="left" w:pos="600"/>
      </w:tabs>
      <w:ind w:left="600" w:hanging="600"/>
    </w:pPr>
    <w:rPr>
      <w:rFonts w:ascii="Times New Roman" w:hAnsi="Times New Roman"/>
      <w:spacing w:val="-2"/>
      <w:kern w:val="0"/>
      <w:sz w:val="28"/>
      <w:szCs w:val="20"/>
    </w:rPr>
  </w:style>
  <w:style w:type="paragraph" w:customStyle="1" w:styleId="1458">
    <w:name w:val="标2"/>
    <w:basedOn w:val="5"/>
    <w:next w:val="45"/>
    <w:qFormat/>
    <w:uiPriority w:val="0"/>
    <w:pPr>
      <w:tabs>
        <w:tab w:val="left" w:pos="992"/>
        <w:tab w:val="center" w:pos="6804"/>
        <w:tab w:val="right" w:pos="7371"/>
      </w:tabs>
      <w:overflowPunct w:val="0"/>
      <w:adjustRightInd w:val="0"/>
      <w:snapToGrid w:val="0"/>
      <w:spacing w:line="500" w:lineRule="exact"/>
      <w:ind w:left="992" w:hanging="567"/>
      <w:jc w:val="left"/>
      <w:textAlignment w:val="baseline"/>
    </w:pPr>
    <w:rPr>
      <w:b w:val="0"/>
      <w:bCs w:val="0"/>
      <w:kern w:val="0"/>
      <w:szCs w:val="20"/>
    </w:rPr>
  </w:style>
  <w:style w:type="paragraph" w:customStyle="1" w:styleId="1459">
    <w:name w:val="表格表头"/>
    <w:basedOn w:val="1"/>
    <w:qFormat/>
    <w:uiPriority w:val="0"/>
    <w:pPr>
      <w:jc w:val="center"/>
    </w:pPr>
    <w:rPr>
      <w:rFonts w:ascii="Times New Roman" w:hAnsi="Times New Roman" w:eastAsia="Times New Roman"/>
      <w:b/>
      <w:bCs/>
      <w:szCs w:val="20"/>
    </w:rPr>
  </w:style>
  <w:style w:type="paragraph" w:customStyle="1" w:styleId="1460">
    <w:name w:val="样式 样式 首行缩进:  2 字符 行距: 1.5 倍行距 + 首行缩进:  2 字符1 Char"/>
    <w:basedOn w:val="1"/>
    <w:qFormat/>
    <w:uiPriority w:val="0"/>
    <w:pPr>
      <w:widowControl/>
      <w:adjustRightInd w:val="0"/>
      <w:snapToGrid w:val="0"/>
      <w:spacing w:line="460" w:lineRule="exact"/>
      <w:ind w:firstLine="485" w:firstLineChars="200"/>
    </w:pPr>
    <w:rPr>
      <w:rFonts w:ascii="Times New Roman" w:hAnsi="Times New Roman"/>
      <w:sz w:val="24"/>
      <w:szCs w:val="24"/>
    </w:rPr>
  </w:style>
  <w:style w:type="paragraph" w:customStyle="1" w:styleId="1461">
    <w:name w:val="et17"/>
    <w:basedOn w:val="1"/>
    <w:qFormat/>
    <w:uiPriority w:val="0"/>
    <w:pPr>
      <w:widowControl/>
      <w:spacing w:before="100" w:beforeAutospacing="1" w:after="100" w:afterAutospacing="1"/>
      <w:jc w:val="left"/>
      <w:textAlignment w:val="bottom"/>
    </w:pPr>
    <w:rPr>
      <w:rFonts w:ascii="宋体" w:hAnsi="宋体" w:cs="宋体"/>
      <w:color w:val="000000"/>
      <w:kern w:val="0"/>
      <w:sz w:val="24"/>
      <w:szCs w:val="24"/>
    </w:rPr>
  </w:style>
  <w:style w:type="paragraph" w:customStyle="1" w:styleId="1462">
    <w:name w:val="2级别"/>
    <w:basedOn w:val="219"/>
    <w:qFormat/>
    <w:uiPriority w:val="0"/>
    <w:pPr>
      <w:spacing w:before="120" w:beforeLines="0" w:after="120" w:afterLines="0"/>
    </w:pPr>
    <w:rPr>
      <w:color w:val="000000"/>
    </w:rPr>
  </w:style>
  <w:style w:type="paragraph" w:styleId="1463">
    <w:name w:val="List Paragraph"/>
    <w:basedOn w:val="1"/>
    <w:qFormat/>
    <w:uiPriority w:val="0"/>
    <w:pPr>
      <w:spacing w:line="440" w:lineRule="exact"/>
      <w:ind w:firstLine="420" w:firstLineChars="200"/>
    </w:pPr>
    <w:rPr>
      <w:rFonts w:ascii="Times New Roman" w:hAnsi="Times New Roman"/>
      <w:sz w:val="24"/>
      <w:szCs w:val="24"/>
    </w:rPr>
  </w:style>
  <w:style w:type="paragraph" w:customStyle="1" w:styleId="1464">
    <w:name w:val="et64"/>
    <w:basedOn w:val="1"/>
    <w:qFormat/>
    <w:uiPriority w:val="0"/>
    <w:pPr>
      <w:widowControl/>
      <w:spacing w:before="100" w:beforeAutospacing="1" w:after="100" w:afterAutospacing="1"/>
      <w:jc w:val="left"/>
      <w:textAlignment w:val="bottom"/>
    </w:pPr>
    <w:rPr>
      <w:rFonts w:ascii="Times New Roman" w:hAnsi="Times New Roman"/>
      <w:color w:val="000000"/>
      <w:kern w:val="0"/>
      <w:sz w:val="24"/>
      <w:szCs w:val="24"/>
    </w:rPr>
  </w:style>
  <w:style w:type="paragraph" w:customStyle="1" w:styleId="1465">
    <w:name w:val="Char1 Char Char Char Char Char Char2"/>
    <w:basedOn w:val="4"/>
    <w:qFormat/>
    <w:uiPriority w:val="0"/>
    <w:pPr>
      <w:keepLines w:val="0"/>
      <w:autoSpaceDE w:val="0"/>
      <w:autoSpaceDN w:val="0"/>
      <w:adjustRightInd w:val="0"/>
      <w:snapToGrid w:val="0"/>
      <w:spacing w:before="312" w:beforeLines="100" w:after="312" w:afterLines="100" w:line="480" w:lineRule="auto"/>
    </w:pPr>
    <w:rPr>
      <w:rFonts w:ascii="宋体" w:hAnsi="宋体"/>
      <w:bCs w:val="0"/>
      <w:color w:val="FF0000"/>
      <w:kern w:val="2"/>
      <w:sz w:val="32"/>
      <w:szCs w:val="24"/>
    </w:rPr>
  </w:style>
  <w:style w:type="paragraph" w:customStyle="1" w:styleId="1466">
    <w:name w:val="正文（首行缩进两字） + 首行缩进:  2 字符1"/>
    <w:basedOn w:val="2"/>
    <w:next w:val="2"/>
    <w:qFormat/>
    <w:uiPriority w:val="0"/>
    <w:pPr>
      <w:tabs>
        <w:tab w:val="left" w:pos="945"/>
        <w:tab w:val="right" w:leader="dot" w:pos="1155"/>
        <w:tab w:val="left" w:pos="8715"/>
      </w:tabs>
      <w:adjustRightInd w:val="0"/>
      <w:snapToGrid w:val="0"/>
      <w:spacing w:line="360" w:lineRule="auto"/>
      <w:ind w:firstLine="480" w:firstLineChars="200"/>
    </w:pPr>
    <w:rPr>
      <w:rFonts w:ascii="宋体" w:hAnsi="宋体"/>
      <w:kern w:val="0"/>
      <w:sz w:val="24"/>
      <w:szCs w:val="21"/>
    </w:rPr>
  </w:style>
  <w:style w:type="paragraph" w:customStyle="1" w:styleId="1467">
    <w:name w:val="样式 标题 2 + 段前: 0.5 行 段后: 0.5 行"/>
    <w:basedOn w:val="5"/>
    <w:qFormat/>
    <w:uiPriority w:val="0"/>
    <w:pPr>
      <w:adjustRightInd w:val="0"/>
      <w:snapToGrid w:val="0"/>
      <w:spacing w:beforeLines="50" w:afterLines="50" w:line="480" w:lineRule="auto"/>
      <w:ind w:firstLine="200"/>
      <w:jc w:val="left"/>
    </w:pPr>
    <w:rPr>
      <w:rFonts w:cs="宋体"/>
      <w:b w:val="0"/>
      <w:kern w:val="0"/>
      <w:sz w:val="36"/>
      <w:szCs w:val="20"/>
    </w:rPr>
  </w:style>
  <w:style w:type="paragraph" w:customStyle="1" w:styleId="1468">
    <w:name w:val="默认段落字体 Para Char Char Char Char Char Char Char Char Char3 Char Char Char Char"/>
    <w:basedOn w:val="26"/>
    <w:qFormat/>
    <w:uiPriority w:val="0"/>
    <w:pPr>
      <w:adjustRightInd w:val="0"/>
      <w:spacing w:line="240" w:lineRule="exact"/>
      <w:ind w:left="357"/>
      <w:jc w:val="left"/>
      <w:outlineLvl w:val="3"/>
    </w:pPr>
    <w:rPr>
      <w:kern w:val="0"/>
      <w:sz w:val="20"/>
    </w:rPr>
  </w:style>
  <w:style w:type="paragraph" w:customStyle="1" w:styleId="1469">
    <w:name w:val="text-1"/>
    <w:basedOn w:val="1"/>
    <w:qFormat/>
    <w:uiPriority w:val="0"/>
    <w:pPr>
      <w:ind w:firstLine="680"/>
    </w:pPr>
    <w:rPr>
      <w:rFonts w:ascii="Times New Roman" w:hAnsi="Times New Roman"/>
      <w:sz w:val="28"/>
      <w:szCs w:val="20"/>
    </w:rPr>
  </w:style>
  <w:style w:type="paragraph" w:customStyle="1" w:styleId="1470">
    <w:name w:val="样式 样式 正文 + + 加宽量  0.75 磅"/>
    <w:basedOn w:val="1"/>
    <w:qFormat/>
    <w:uiPriority w:val="0"/>
    <w:pPr>
      <w:autoSpaceDE w:val="0"/>
      <w:autoSpaceDN w:val="0"/>
      <w:adjustRightInd w:val="0"/>
      <w:spacing w:line="329" w:lineRule="auto"/>
      <w:jc w:val="left"/>
    </w:pPr>
    <w:rPr>
      <w:rFonts w:ascii="Times New Roman" w:hAnsi="Times New Roman"/>
      <w:spacing w:val="6"/>
      <w:kern w:val="0"/>
      <w:sz w:val="24"/>
      <w:szCs w:val="21"/>
    </w:rPr>
  </w:style>
  <w:style w:type="paragraph" w:customStyle="1" w:styleId="1471">
    <w:name w:val="正文首行缩进6"/>
    <w:basedOn w:val="34"/>
    <w:qFormat/>
    <w:uiPriority w:val="0"/>
    <w:pPr>
      <w:spacing w:line="360" w:lineRule="auto"/>
      <w:ind w:firstLine="420" w:firstLineChars="100"/>
    </w:pPr>
    <w:rPr>
      <w:rFonts w:ascii="Times New Roman" w:hAnsi="Times New Roman"/>
      <w:kern w:val="0"/>
      <w:sz w:val="24"/>
      <w:szCs w:val="24"/>
    </w:rPr>
  </w:style>
  <w:style w:type="paragraph" w:customStyle="1" w:styleId="1472">
    <w:name w:val="样式 标题 1标题2－ + 三号 红色 段前: 17 磅 段后: 16.5 磅 行距: 固定值 24 磅"/>
    <w:basedOn w:val="4"/>
    <w:qFormat/>
    <w:uiPriority w:val="0"/>
    <w:pPr>
      <w:spacing w:before="240" w:after="240" w:line="500" w:lineRule="exact"/>
      <w:outlineLvl w:val="2"/>
    </w:pPr>
    <w:rPr>
      <w:rFonts w:cs="宋体"/>
      <w:color w:val="000000"/>
      <w:sz w:val="24"/>
      <w:szCs w:val="20"/>
    </w:rPr>
  </w:style>
  <w:style w:type="paragraph" w:customStyle="1" w:styleId="1473">
    <w:name w:val="题注 New"/>
    <w:basedOn w:val="1"/>
    <w:next w:val="1"/>
    <w:qFormat/>
    <w:uiPriority w:val="0"/>
    <w:pPr>
      <w:adjustRightInd w:val="0"/>
      <w:spacing w:before="100" w:beforeAutospacing="1" w:line="360" w:lineRule="auto"/>
      <w:ind w:firstLine="482"/>
      <w:jc w:val="center"/>
    </w:pPr>
    <w:rPr>
      <w:rFonts w:ascii="宋体" w:hAnsi="宋体"/>
      <w:b/>
      <w:bCs/>
      <w:spacing w:val="-2"/>
      <w:kern w:val="0"/>
      <w:sz w:val="24"/>
      <w:szCs w:val="20"/>
    </w:rPr>
  </w:style>
  <w:style w:type="paragraph" w:customStyle="1" w:styleId="1474">
    <w:name w:val="样式 四号 加粗 首行缩进:  2 字符"/>
    <w:basedOn w:val="6"/>
    <w:qFormat/>
    <w:uiPriority w:val="0"/>
    <w:pPr>
      <w:spacing w:line="240" w:lineRule="auto"/>
      <w:ind w:firstLine="200" w:firstLineChars="200"/>
    </w:pPr>
    <w:rPr>
      <w:rFonts w:cs="宋体"/>
      <w:b w:val="0"/>
      <w:bCs w:val="0"/>
      <w:sz w:val="28"/>
      <w:szCs w:val="20"/>
    </w:rPr>
  </w:style>
  <w:style w:type="paragraph" w:customStyle="1" w:styleId="1475">
    <w:name w:val="表内字体"/>
    <w:basedOn w:val="1"/>
    <w:qFormat/>
    <w:uiPriority w:val="0"/>
    <w:pPr>
      <w:adjustRightInd w:val="0"/>
      <w:snapToGrid w:val="0"/>
      <w:jc w:val="center"/>
      <w:textAlignment w:val="baseline"/>
    </w:pPr>
    <w:rPr>
      <w:rFonts w:ascii="Times New Roman" w:hAnsi="Times New Roman"/>
      <w:kern w:val="0"/>
      <w:sz w:val="18"/>
      <w:szCs w:val="18"/>
    </w:rPr>
  </w:style>
  <w:style w:type="paragraph" w:customStyle="1" w:styleId="1476">
    <w:name w:val="12"/>
    <w:basedOn w:val="1"/>
    <w:next w:val="1"/>
    <w:qFormat/>
    <w:uiPriority w:val="0"/>
    <w:rPr>
      <w:rFonts w:ascii="新宋体" w:hAnsi="新宋体" w:eastAsia="仿宋_GB2312" w:cs="新宋体"/>
      <w:szCs w:val="24"/>
    </w:rPr>
  </w:style>
  <w:style w:type="paragraph" w:customStyle="1" w:styleId="1477">
    <w:name w:val="Char6"/>
    <w:basedOn w:val="1"/>
    <w:qFormat/>
    <w:uiPriority w:val="0"/>
    <w:rPr>
      <w:rFonts w:ascii="Times New Roman" w:hAnsi="Times New Roman"/>
      <w:szCs w:val="24"/>
    </w:rPr>
  </w:style>
  <w:style w:type="paragraph" w:customStyle="1" w:styleId="1478">
    <w:name w:val="Char Char Char1 Char Char Char Char Char Char Char Char Char Char Char Char Char Char Char Char Char Char Char"/>
    <w:basedOn w:val="1"/>
    <w:next w:val="3"/>
    <w:qFormat/>
    <w:uiPriority w:val="0"/>
    <w:pPr>
      <w:spacing w:line="360" w:lineRule="auto"/>
      <w:ind w:firstLine="200" w:firstLineChars="200"/>
    </w:pPr>
    <w:rPr>
      <w:rFonts w:ascii="Times New Roman" w:hAnsi="Times New Roman"/>
      <w:sz w:val="28"/>
      <w:szCs w:val="28"/>
    </w:rPr>
  </w:style>
  <w:style w:type="paragraph" w:customStyle="1" w:styleId="1479">
    <w:name w:val="普通(网站)6"/>
    <w:basedOn w:val="1"/>
    <w:qFormat/>
    <w:uiPriority w:val="0"/>
    <w:pPr>
      <w:widowControl/>
      <w:spacing w:before="100" w:beforeAutospacing="1" w:after="100" w:afterAutospacing="1" w:line="529" w:lineRule="exact"/>
      <w:ind w:firstLine="200" w:firstLineChars="200"/>
      <w:jc w:val="left"/>
    </w:pPr>
    <w:rPr>
      <w:rFonts w:ascii="宋体" w:hAnsi="宋体"/>
      <w:kern w:val="0"/>
      <w:sz w:val="24"/>
      <w:szCs w:val="24"/>
    </w:rPr>
  </w:style>
  <w:style w:type="paragraph" w:customStyle="1" w:styleId="1480">
    <w:name w:val="Table Paragraph"/>
    <w:basedOn w:val="1"/>
    <w:qFormat/>
    <w:uiPriority w:val="0"/>
    <w:pPr>
      <w:jc w:val="left"/>
    </w:pPr>
    <w:rPr>
      <w:kern w:val="0"/>
      <w:sz w:val="22"/>
      <w:lang w:eastAsia="en-US"/>
    </w:rPr>
  </w:style>
  <w:style w:type="paragraph" w:customStyle="1" w:styleId="1481">
    <w:name w:val="TOC 标题1"/>
    <w:basedOn w:val="4"/>
    <w:next w:val="1"/>
    <w:qFormat/>
    <w:uiPriority w:val="39"/>
    <w:pPr>
      <w:spacing w:before="340" w:after="330" w:line="578" w:lineRule="auto"/>
      <w:ind w:left="862" w:firstLine="200" w:firstLineChars="200"/>
      <w:outlineLvl w:val="9"/>
    </w:pPr>
    <w:rPr>
      <w:rFonts w:ascii="Arial" w:hAnsi="Arial" w:eastAsia="宋体"/>
      <w:sz w:val="44"/>
    </w:rPr>
  </w:style>
  <w:style w:type="paragraph" w:customStyle="1" w:styleId="1482">
    <w:name w:val="流程图"/>
    <w:basedOn w:val="1"/>
    <w:qFormat/>
    <w:uiPriority w:val="0"/>
    <w:pPr>
      <w:jc w:val="left"/>
    </w:pPr>
    <w:rPr>
      <w:rFonts w:ascii="宋体" w:hAnsi="Times New Roman"/>
      <w:spacing w:val="-2"/>
      <w:kern w:val="0"/>
      <w:sz w:val="24"/>
      <w:szCs w:val="28"/>
    </w:rPr>
  </w:style>
  <w:style w:type="paragraph" w:customStyle="1" w:styleId="1483">
    <w:name w:val="样式 标题 4标题 14 + 加粗 无下划线 自动设置 段前: 3 磅 段后: 10 磅"/>
    <w:basedOn w:val="7"/>
    <w:qFormat/>
    <w:uiPriority w:val="0"/>
    <w:pPr>
      <w:keepLines w:val="0"/>
      <w:tabs>
        <w:tab w:val="left" w:pos="456"/>
      </w:tabs>
      <w:adjustRightInd w:val="0"/>
      <w:snapToGrid w:val="0"/>
      <w:spacing w:before="60" w:after="200" w:line="240" w:lineRule="auto"/>
      <w:ind w:left="456" w:hanging="456"/>
    </w:pPr>
    <w:rPr>
      <w:rFonts w:eastAsia="宋体"/>
      <w:szCs w:val="20"/>
    </w:rPr>
  </w:style>
  <w:style w:type="paragraph" w:customStyle="1" w:styleId="1484">
    <w:name w:val="明显引用12"/>
    <w:basedOn w:val="1"/>
    <w:next w:val="1"/>
    <w:qFormat/>
    <w:uiPriority w:val="0"/>
    <w:pPr>
      <w:widowControl/>
      <w:pBdr>
        <w:bottom w:val="single" w:color="4F81BD" w:sz="4" w:space="4"/>
      </w:pBdr>
      <w:spacing w:before="200" w:after="280" w:line="276" w:lineRule="auto"/>
      <w:ind w:left="936" w:right="936"/>
      <w:jc w:val="left"/>
    </w:pPr>
    <w:rPr>
      <w:b/>
      <w:bCs/>
      <w:i/>
      <w:iCs/>
      <w:color w:val="4F81BD"/>
      <w:kern w:val="0"/>
      <w:sz w:val="22"/>
      <w:szCs w:val="24"/>
      <w:lang w:eastAsia="en-US"/>
    </w:rPr>
  </w:style>
  <w:style w:type="paragraph" w:customStyle="1" w:styleId="1485">
    <w:name w:val="Char11"/>
    <w:basedOn w:val="1"/>
    <w:qFormat/>
    <w:uiPriority w:val="0"/>
    <w:pPr>
      <w:snapToGrid w:val="0"/>
      <w:spacing w:line="360" w:lineRule="auto"/>
      <w:ind w:firstLine="200" w:firstLineChars="200"/>
    </w:pPr>
    <w:rPr>
      <w:rFonts w:ascii="Times New Roman" w:hAnsi="Times New Roman" w:eastAsia="仿宋_GB2312"/>
      <w:sz w:val="24"/>
      <w:szCs w:val="24"/>
    </w:rPr>
  </w:style>
  <w:style w:type="paragraph" w:customStyle="1" w:styleId="1486">
    <w:name w:val="一"/>
    <w:basedOn w:val="1"/>
    <w:qFormat/>
    <w:uiPriority w:val="0"/>
    <w:pPr>
      <w:widowControl/>
      <w:spacing w:before="100" w:beforeAutospacing="1" w:after="100" w:afterAutospacing="1"/>
    </w:pPr>
    <w:rPr>
      <w:rFonts w:ascii="Times New Roman" w:hAnsi="Times New Roman"/>
      <w:b/>
      <w:bCs/>
      <w:kern w:val="0"/>
      <w:sz w:val="24"/>
      <w:szCs w:val="20"/>
    </w:rPr>
  </w:style>
  <w:style w:type="paragraph" w:customStyle="1" w:styleId="1487">
    <w:name w:val="样式 标题 3条标题1.1.1h3H3level_3PIM 3Level 3 HeadHeading 3 - ol...9"/>
    <w:basedOn w:val="6"/>
    <w:qFormat/>
    <w:uiPriority w:val="0"/>
    <w:pPr>
      <w:tabs>
        <w:tab w:val="left" w:pos="1021"/>
      </w:tabs>
      <w:adjustRightInd w:val="0"/>
      <w:snapToGrid w:val="0"/>
      <w:spacing w:before="156" w:beforeLines="50" w:after="156" w:afterLines="50"/>
      <w:ind w:left="1021" w:hanging="1021"/>
      <w:jc w:val="left"/>
      <w:textAlignment w:val="baseline"/>
    </w:pPr>
    <w:rPr>
      <w:rFonts w:hAnsi="宋体"/>
      <w:snapToGrid w:val="0"/>
      <w:color w:val="FF0000"/>
      <w:spacing w:val="-2"/>
      <w:szCs w:val="20"/>
    </w:rPr>
  </w:style>
  <w:style w:type="paragraph" w:customStyle="1" w:styleId="1488">
    <w:name w:val="正文文本缩进 25"/>
    <w:basedOn w:val="1"/>
    <w:qFormat/>
    <w:uiPriority w:val="0"/>
    <w:pPr>
      <w:spacing w:after="120" w:line="480" w:lineRule="auto"/>
      <w:ind w:left="420" w:leftChars="200" w:firstLine="200" w:firstLineChars="200"/>
    </w:pPr>
    <w:rPr>
      <w:rFonts w:ascii="Times New Roman" w:hAnsi="Times New Roman"/>
      <w:kern w:val="0"/>
      <w:sz w:val="24"/>
      <w:szCs w:val="24"/>
    </w:rPr>
  </w:style>
  <w:style w:type="paragraph" w:customStyle="1" w:styleId="1489">
    <w:name w:val="reader-word-layer reader-word-s2-19"/>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490">
    <w:name w:val="xl56"/>
    <w:basedOn w:val="1"/>
    <w:qFormat/>
    <w:uiPriority w:val="0"/>
    <w:pPr>
      <w:widowControl/>
      <w:pBdr>
        <w:top w:val="double" w:color="auto" w:sz="6" w:space="0"/>
        <w:left w:val="single" w:color="auto" w:sz="4" w:space="0"/>
        <w:right w:val="single" w:color="auto" w:sz="4" w:space="0"/>
      </w:pBdr>
      <w:spacing w:before="100" w:beforeAutospacing="1" w:after="100" w:afterAutospacing="1"/>
      <w:jc w:val="center"/>
      <w:textAlignment w:val="center"/>
    </w:pPr>
    <w:rPr>
      <w:rFonts w:ascii="宋体" w:hAnsi="宋体"/>
      <w:kern w:val="0"/>
      <w:sz w:val="24"/>
      <w:szCs w:val="24"/>
    </w:rPr>
  </w:style>
  <w:style w:type="paragraph" w:customStyle="1" w:styleId="1491">
    <w:name w:val="正文211"/>
    <w:basedOn w:val="1"/>
    <w:qFormat/>
    <w:uiPriority w:val="0"/>
    <w:pPr>
      <w:widowControl/>
      <w:spacing w:before="100" w:beforeAutospacing="1" w:after="100" w:afterAutospacing="1"/>
      <w:ind w:firstLine="200" w:firstLineChars="200"/>
    </w:pPr>
    <w:rPr>
      <w:rFonts w:ascii="Times New Roman" w:hAnsi="Times New Roman"/>
      <w:sz w:val="24"/>
      <w:szCs w:val="21"/>
    </w:rPr>
  </w:style>
  <w:style w:type="paragraph" w:customStyle="1" w:styleId="1492">
    <w:name w:val="表格1"/>
    <w:basedOn w:val="1"/>
    <w:qFormat/>
    <w:uiPriority w:val="0"/>
    <w:pPr>
      <w:adjustRightInd w:val="0"/>
      <w:spacing w:line="20" w:lineRule="atLeast"/>
      <w:ind w:firstLine="200" w:firstLineChars="200"/>
      <w:jc w:val="center"/>
      <w:textAlignment w:val="center"/>
    </w:pPr>
    <w:rPr>
      <w:rFonts w:ascii="宋体" w:hAnsi="宋体"/>
      <w:kern w:val="0"/>
      <w:szCs w:val="24"/>
    </w:rPr>
  </w:style>
  <w:style w:type="paragraph" w:customStyle="1" w:styleId="1493">
    <w:name w:val="et75"/>
    <w:basedOn w:val="1"/>
    <w:qFormat/>
    <w:uiPriority w:val="0"/>
    <w:pPr>
      <w:widowControl/>
      <w:spacing w:before="100" w:beforeAutospacing="1" w:after="100" w:afterAutospacing="1"/>
      <w:jc w:val="left"/>
      <w:textAlignment w:val="bottom"/>
    </w:pPr>
    <w:rPr>
      <w:rFonts w:ascii="宋体" w:hAnsi="宋体" w:cs="宋体"/>
      <w:color w:val="000000"/>
      <w:kern w:val="0"/>
      <w:sz w:val="24"/>
      <w:szCs w:val="24"/>
    </w:rPr>
  </w:style>
  <w:style w:type="paragraph" w:customStyle="1" w:styleId="1494">
    <w:name w:val="Char Char Char Char Char Char Char Char Char Char"/>
    <w:basedOn w:val="1"/>
    <w:qFormat/>
    <w:uiPriority w:val="0"/>
    <w:pPr>
      <w:widowControl/>
      <w:spacing w:after="160" w:line="240" w:lineRule="exact"/>
      <w:jc w:val="left"/>
    </w:pPr>
    <w:rPr>
      <w:rFonts w:ascii="Verdana" w:hAnsi="Verdana" w:eastAsia="仿宋_GB2312"/>
      <w:kern w:val="0"/>
      <w:sz w:val="30"/>
      <w:szCs w:val="30"/>
      <w:lang w:eastAsia="en-US"/>
    </w:rPr>
  </w:style>
  <w:style w:type="paragraph" w:customStyle="1" w:styleId="1495">
    <w:name w:val="HTML 预设格式11"/>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Courier New"/>
      <w:spacing w:val="-2"/>
      <w:sz w:val="24"/>
      <w:szCs w:val="24"/>
    </w:rPr>
  </w:style>
  <w:style w:type="paragraph" w:customStyle="1" w:styleId="1496">
    <w:name w:val="批注主题5"/>
    <w:basedOn w:val="28"/>
    <w:next w:val="28"/>
    <w:qFormat/>
    <w:uiPriority w:val="0"/>
    <w:rPr>
      <w:rFonts w:ascii="Times New Roman" w:hAnsi="Times New Roman"/>
      <w:b/>
      <w:bCs/>
      <w:szCs w:val="24"/>
    </w:rPr>
  </w:style>
  <w:style w:type="paragraph" w:customStyle="1" w:styleId="1497">
    <w:name w:val="环龙公司文本正文"/>
    <w:qFormat/>
    <w:uiPriority w:val="0"/>
    <w:pPr>
      <w:widowControl w:val="0"/>
      <w:spacing w:line="360" w:lineRule="auto"/>
      <w:ind w:firstLine="200" w:firstLineChars="200"/>
      <w:jc w:val="both"/>
    </w:pPr>
    <w:rPr>
      <w:rFonts w:ascii="Calibri" w:hAnsi="Calibri" w:eastAsia="宋体" w:cs="Times New Roman"/>
      <w:kern w:val="2"/>
      <w:sz w:val="24"/>
      <w:szCs w:val="24"/>
      <w:lang w:val="en-US" w:eastAsia="zh-CN" w:bidi="ar-SA"/>
    </w:rPr>
  </w:style>
  <w:style w:type="paragraph" w:customStyle="1" w:styleId="1498">
    <w:name w:val="llll"/>
    <w:basedOn w:val="4"/>
    <w:qFormat/>
    <w:uiPriority w:val="0"/>
    <w:pPr>
      <w:spacing w:line="578" w:lineRule="auto"/>
    </w:pPr>
  </w:style>
  <w:style w:type="paragraph" w:customStyle="1" w:styleId="1499">
    <w:name w:val="正文文本缩进 211"/>
    <w:basedOn w:val="1"/>
    <w:qFormat/>
    <w:uiPriority w:val="0"/>
    <w:pPr>
      <w:spacing w:after="120" w:line="480" w:lineRule="auto"/>
      <w:ind w:left="420" w:leftChars="200" w:firstLine="200" w:firstLineChars="200"/>
    </w:pPr>
    <w:rPr>
      <w:rFonts w:ascii="宋体" w:hAnsi="宋体" w:cs="Courier New"/>
      <w:spacing w:val="-2"/>
      <w:sz w:val="24"/>
      <w:szCs w:val="24"/>
    </w:rPr>
  </w:style>
  <w:style w:type="paragraph" w:customStyle="1" w:styleId="1500">
    <w:name w:val="et12"/>
    <w:basedOn w:val="1"/>
    <w:qFormat/>
    <w:uiPriority w:val="0"/>
    <w:pPr>
      <w:widowControl/>
      <w:spacing w:before="100" w:beforeAutospacing="1" w:after="100" w:afterAutospacing="1"/>
      <w:jc w:val="left"/>
      <w:textAlignment w:val="bottom"/>
    </w:pPr>
    <w:rPr>
      <w:rFonts w:ascii="宋体" w:hAnsi="宋体" w:cs="宋体"/>
      <w:color w:val="000000"/>
      <w:kern w:val="0"/>
      <w:sz w:val="24"/>
      <w:szCs w:val="24"/>
    </w:rPr>
  </w:style>
  <w:style w:type="paragraph" w:customStyle="1" w:styleId="1501">
    <w:name w:val="页脚 New New New New New New New New New New"/>
    <w:basedOn w:val="1"/>
    <w:qFormat/>
    <w:uiPriority w:val="0"/>
    <w:pPr>
      <w:tabs>
        <w:tab w:val="center" w:pos="4153"/>
        <w:tab w:val="right" w:pos="8306"/>
      </w:tabs>
      <w:snapToGrid w:val="0"/>
      <w:jc w:val="left"/>
    </w:pPr>
    <w:rPr>
      <w:rFonts w:ascii="Times New Roman" w:hAnsi="Times New Roman"/>
      <w:spacing w:val="-2"/>
      <w:kern w:val="0"/>
      <w:sz w:val="18"/>
      <w:szCs w:val="18"/>
    </w:rPr>
  </w:style>
  <w:style w:type="paragraph" w:customStyle="1" w:styleId="1502">
    <w:name w:val="reader-word-layer reader-word-s3-3"/>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503">
    <w:name w:val="图文框"/>
    <w:basedOn w:val="1"/>
    <w:qFormat/>
    <w:uiPriority w:val="0"/>
    <w:pPr>
      <w:snapToGrid w:val="0"/>
      <w:spacing w:line="320" w:lineRule="atLeast"/>
      <w:jc w:val="center"/>
    </w:pPr>
    <w:rPr>
      <w:rFonts w:ascii="Times New Roman" w:hAnsi="Times New Roman"/>
      <w:szCs w:val="20"/>
    </w:rPr>
  </w:style>
  <w:style w:type="paragraph" w:customStyle="1" w:styleId="1504">
    <w:name w:val="Char Char Char Char Char Char Char Char Char Char Char Char Char Char Char Char31"/>
    <w:basedOn w:val="1"/>
    <w:qFormat/>
    <w:uiPriority w:val="0"/>
    <w:pPr>
      <w:spacing w:line="360" w:lineRule="auto"/>
      <w:ind w:firstLine="200" w:firstLineChars="200"/>
    </w:pPr>
    <w:rPr>
      <w:rFonts w:ascii="宋体" w:hAnsi="宋体" w:cs="宋体"/>
      <w:spacing w:val="-2"/>
      <w:kern w:val="0"/>
      <w:sz w:val="24"/>
      <w:szCs w:val="20"/>
    </w:rPr>
  </w:style>
  <w:style w:type="paragraph" w:customStyle="1" w:styleId="1505">
    <w:name w:val="3"/>
    <w:basedOn w:val="1"/>
    <w:next w:val="81"/>
    <w:qFormat/>
    <w:uiPriority w:val="0"/>
    <w:rPr>
      <w:rFonts w:ascii="Times New Roman" w:hAnsi="Times New Roman"/>
      <w:sz w:val="24"/>
      <w:szCs w:val="24"/>
    </w:rPr>
  </w:style>
  <w:style w:type="paragraph" w:customStyle="1" w:styleId="1506">
    <w:name w:val="Char Char Char Char Char Char Char Char Char Char Char Char Char"/>
    <w:basedOn w:val="1"/>
    <w:qFormat/>
    <w:uiPriority w:val="0"/>
    <w:rPr>
      <w:rFonts w:ascii="Times New Roman" w:hAnsi="Times New Roman"/>
      <w:szCs w:val="24"/>
    </w:rPr>
  </w:style>
  <w:style w:type="paragraph" w:customStyle="1" w:styleId="1507">
    <w:name w:val="xl30"/>
    <w:basedOn w:val="1"/>
    <w:qFormat/>
    <w:uiPriority w:val="0"/>
    <w:pPr>
      <w:widowControl/>
      <w:spacing w:before="100" w:beforeAutospacing="1" w:after="100" w:afterAutospacing="1"/>
      <w:jc w:val="left"/>
    </w:pPr>
    <w:rPr>
      <w:rFonts w:ascii="Arial Unicode MS" w:hAnsi="Arial Unicode MS" w:eastAsia="Arial Unicode MS" w:cs="Arial Unicode MS"/>
      <w:color w:val="0000FF"/>
      <w:kern w:val="0"/>
      <w:sz w:val="24"/>
      <w:szCs w:val="24"/>
    </w:rPr>
  </w:style>
  <w:style w:type="paragraph" w:customStyle="1" w:styleId="1508">
    <w:name w:val="质正文"/>
    <w:basedOn w:val="1"/>
    <w:qFormat/>
    <w:uiPriority w:val="0"/>
    <w:pPr>
      <w:adjustRightInd w:val="0"/>
      <w:snapToGrid w:val="0"/>
      <w:spacing w:line="360" w:lineRule="auto"/>
      <w:ind w:firstLine="200" w:firstLineChars="200"/>
    </w:pPr>
    <w:rPr>
      <w:rFonts w:ascii="宋体" w:hAnsi="Times New Roman"/>
      <w:sz w:val="24"/>
      <w:szCs w:val="24"/>
    </w:rPr>
  </w:style>
  <w:style w:type="paragraph" w:customStyle="1" w:styleId="1509">
    <w:name w:val="页脚 New New New New New New New New New New New New New New New New New New New New New New New New New"/>
    <w:basedOn w:val="1"/>
    <w:qFormat/>
    <w:uiPriority w:val="0"/>
    <w:pPr>
      <w:tabs>
        <w:tab w:val="center" w:pos="4153"/>
        <w:tab w:val="right" w:pos="8306"/>
      </w:tabs>
      <w:snapToGrid w:val="0"/>
      <w:jc w:val="left"/>
    </w:pPr>
    <w:rPr>
      <w:rFonts w:ascii="Times New Roman" w:hAnsi="Times New Roman"/>
      <w:spacing w:val="-2"/>
      <w:kern w:val="0"/>
      <w:sz w:val="18"/>
      <w:szCs w:val="18"/>
    </w:rPr>
  </w:style>
  <w:style w:type="paragraph" w:customStyle="1" w:styleId="1510">
    <w:name w:val="样式 五号 加粗 居中"/>
    <w:basedOn w:val="1"/>
    <w:qFormat/>
    <w:uiPriority w:val="0"/>
    <w:pPr>
      <w:jc w:val="center"/>
    </w:pPr>
    <w:rPr>
      <w:rFonts w:ascii="Times New Roman" w:hAnsi="Times New Roman" w:cs="宋体"/>
      <w:b/>
      <w:bCs/>
      <w:szCs w:val="20"/>
    </w:rPr>
  </w:style>
  <w:style w:type="paragraph" w:customStyle="1" w:styleId="1511">
    <w:name w:val="Char1 Char Char Char Char Char Char Char Char Char Char Char Char2"/>
    <w:basedOn w:val="1"/>
    <w:qFormat/>
    <w:uiPriority w:val="0"/>
    <w:pPr>
      <w:spacing w:line="360" w:lineRule="auto"/>
      <w:ind w:firstLine="200" w:firstLineChars="200"/>
    </w:pPr>
    <w:rPr>
      <w:rFonts w:ascii="宋体" w:hAnsi="宋体" w:cs="宋体"/>
      <w:spacing w:val="-2"/>
      <w:kern w:val="0"/>
      <w:sz w:val="24"/>
      <w:szCs w:val="20"/>
    </w:rPr>
  </w:style>
  <w:style w:type="paragraph" w:customStyle="1" w:styleId="1512">
    <w:name w:val="Char Char Char Char Char2 Char"/>
    <w:basedOn w:val="1"/>
    <w:qFormat/>
    <w:uiPriority w:val="0"/>
    <w:pPr>
      <w:adjustRightInd w:val="0"/>
      <w:snapToGrid w:val="0"/>
      <w:spacing w:line="360" w:lineRule="auto"/>
      <w:ind w:firstLine="200" w:firstLineChars="200"/>
    </w:pPr>
    <w:rPr>
      <w:rFonts w:ascii="宋体" w:hAnsi="宋体" w:cs="宋体"/>
      <w:sz w:val="24"/>
      <w:szCs w:val="26"/>
    </w:rPr>
  </w:style>
  <w:style w:type="paragraph" w:customStyle="1" w:styleId="1513">
    <w:name w:val="xl62"/>
    <w:basedOn w:val="1"/>
    <w:qFormat/>
    <w:uiPriority w:val="0"/>
    <w:pPr>
      <w:widowControl/>
      <w:pBdr>
        <w:bottom w:val="single" w:color="auto" w:sz="4" w:space="0"/>
      </w:pBdr>
      <w:spacing w:before="100" w:after="100"/>
      <w:jc w:val="center"/>
    </w:pPr>
    <w:rPr>
      <w:rFonts w:hint="eastAsia" w:ascii="宋体" w:hAnsi="宋体"/>
      <w:kern w:val="0"/>
      <w:sz w:val="24"/>
      <w:szCs w:val="20"/>
    </w:rPr>
  </w:style>
  <w:style w:type="paragraph" w:customStyle="1" w:styleId="1514">
    <w:name w:val="节标题"/>
    <w:basedOn w:val="1"/>
    <w:next w:val="1"/>
    <w:qFormat/>
    <w:uiPriority w:val="0"/>
    <w:pPr>
      <w:tabs>
        <w:tab w:val="center" w:pos="3920"/>
      </w:tabs>
      <w:spacing w:before="78" w:beforeLines="25" w:after="78" w:afterLines="25" w:line="520" w:lineRule="exact"/>
      <w:jc w:val="center"/>
      <w:outlineLvl w:val="1"/>
    </w:pPr>
    <w:rPr>
      <w:rFonts w:ascii="宋体" w:hAnsi="宋体"/>
      <w:b/>
      <w:bCs/>
      <w:sz w:val="30"/>
      <w:szCs w:val="30"/>
    </w:rPr>
  </w:style>
  <w:style w:type="paragraph" w:customStyle="1" w:styleId="1515">
    <w:name w:val="et31"/>
    <w:basedOn w:val="1"/>
    <w:qFormat/>
    <w:uiPriority w:val="0"/>
    <w:pPr>
      <w:widowControl/>
      <w:spacing w:before="100" w:beforeAutospacing="1" w:after="100" w:afterAutospacing="1"/>
      <w:jc w:val="left"/>
      <w:textAlignment w:val="bottom"/>
    </w:pPr>
    <w:rPr>
      <w:rFonts w:ascii="Times New Roman" w:hAnsi="Times New Roman"/>
      <w:color w:val="000000"/>
      <w:kern w:val="0"/>
      <w:sz w:val="24"/>
      <w:szCs w:val="24"/>
    </w:rPr>
  </w:style>
  <w:style w:type="paragraph" w:customStyle="1" w:styleId="1516">
    <w:name w:val="样式 标题 3标题 13 + 黑色 段前: 4 磅 段后: 10 磅 行距: 单倍行距"/>
    <w:basedOn w:val="1"/>
    <w:qFormat/>
    <w:uiPriority w:val="0"/>
    <w:rPr>
      <w:rFonts w:ascii="Times New Roman" w:hAnsi="Times New Roman"/>
      <w:sz w:val="28"/>
      <w:szCs w:val="24"/>
    </w:rPr>
  </w:style>
  <w:style w:type="paragraph" w:customStyle="1" w:styleId="1517">
    <w:name w:val="标题04"/>
    <w:basedOn w:val="7"/>
    <w:qFormat/>
    <w:uiPriority w:val="0"/>
    <w:pPr>
      <w:adjustRightInd w:val="0"/>
      <w:snapToGrid w:val="0"/>
      <w:spacing w:beforeLines="50" w:line="300" w:lineRule="auto"/>
      <w:jc w:val="left"/>
    </w:pPr>
    <w:rPr>
      <w:rFonts w:eastAsia="宋体"/>
    </w:rPr>
  </w:style>
  <w:style w:type="paragraph" w:customStyle="1" w:styleId="1518">
    <w:name w:val="et33"/>
    <w:basedOn w:val="1"/>
    <w:qFormat/>
    <w:uiPriority w:val="0"/>
    <w:pPr>
      <w:widowControl/>
      <w:spacing w:before="100" w:beforeAutospacing="1" w:after="100" w:afterAutospacing="1"/>
      <w:jc w:val="left"/>
      <w:textAlignment w:val="bottom"/>
    </w:pPr>
    <w:rPr>
      <w:rFonts w:ascii="宋体" w:hAnsi="宋体" w:cs="宋体"/>
      <w:color w:val="000000"/>
      <w:kern w:val="0"/>
      <w:sz w:val="24"/>
      <w:szCs w:val="24"/>
    </w:rPr>
  </w:style>
  <w:style w:type="paragraph" w:customStyle="1" w:styleId="1519">
    <w:name w:val="reader-word-layer reader-word-s6-8"/>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520">
    <w:name w:val="Char Char2 Char Char Char Char"/>
    <w:basedOn w:val="1"/>
    <w:qFormat/>
    <w:uiPriority w:val="0"/>
    <w:pPr>
      <w:spacing w:line="360" w:lineRule="auto"/>
      <w:ind w:firstLine="200" w:firstLineChars="200"/>
    </w:pPr>
    <w:rPr>
      <w:rFonts w:eastAsia="仿宋_GB2312"/>
      <w:sz w:val="28"/>
      <w:szCs w:val="28"/>
    </w:rPr>
  </w:style>
  <w:style w:type="paragraph" w:customStyle="1" w:styleId="1521">
    <w:name w:val="TOC 标题112"/>
    <w:basedOn w:val="4"/>
    <w:next w:val="1"/>
    <w:qFormat/>
    <w:uiPriority w:val="0"/>
    <w:pPr>
      <w:widowControl/>
      <w:spacing w:before="480" w:line="276" w:lineRule="auto"/>
      <w:jc w:val="left"/>
      <w:outlineLvl w:val="9"/>
    </w:pPr>
    <w:rPr>
      <w:rFonts w:ascii="Cambria" w:hAnsi="Cambria"/>
      <w:color w:val="365F91"/>
      <w:kern w:val="0"/>
      <w:sz w:val="28"/>
      <w:szCs w:val="28"/>
    </w:rPr>
  </w:style>
  <w:style w:type="paragraph" w:customStyle="1" w:styleId="1522">
    <w:name w:val="et14"/>
    <w:basedOn w:val="1"/>
    <w:qFormat/>
    <w:uiPriority w:val="0"/>
    <w:pPr>
      <w:widowControl/>
      <w:spacing w:before="100" w:beforeAutospacing="1" w:after="100" w:afterAutospacing="1"/>
      <w:jc w:val="left"/>
      <w:textAlignment w:val="bottom"/>
    </w:pPr>
    <w:rPr>
      <w:rFonts w:ascii="宋体" w:hAnsi="宋体" w:cs="宋体"/>
      <w:color w:val="000000"/>
      <w:kern w:val="0"/>
      <w:sz w:val="24"/>
      <w:szCs w:val="24"/>
    </w:rPr>
  </w:style>
  <w:style w:type="paragraph" w:customStyle="1" w:styleId="1523">
    <w:name w:val="样式 样式 首行缩进:  2 字符 行距: 1.5 倍行距 + 首行缩进:  2 字符1"/>
    <w:basedOn w:val="1"/>
    <w:qFormat/>
    <w:uiPriority w:val="0"/>
    <w:pPr>
      <w:widowControl/>
      <w:tabs>
        <w:tab w:val="left" w:pos="-2126"/>
      </w:tabs>
      <w:adjustRightInd w:val="0"/>
      <w:snapToGrid w:val="0"/>
      <w:spacing w:line="460" w:lineRule="exact"/>
      <w:ind w:firstLine="200" w:firstLineChars="200"/>
    </w:pPr>
    <w:rPr>
      <w:rFonts w:ascii="Times New Roman" w:hAnsi="Times New Roman"/>
      <w:kern w:val="0"/>
      <w:sz w:val="24"/>
      <w:szCs w:val="24"/>
    </w:rPr>
  </w:style>
  <w:style w:type="paragraph" w:customStyle="1" w:styleId="1524">
    <w:name w:val="et55"/>
    <w:basedOn w:val="1"/>
    <w:qFormat/>
    <w:uiPriority w:val="0"/>
    <w:pPr>
      <w:widowControl/>
      <w:spacing w:before="100" w:beforeAutospacing="1" w:after="100" w:afterAutospacing="1"/>
      <w:jc w:val="left"/>
      <w:textAlignment w:val="bottom"/>
    </w:pPr>
    <w:rPr>
      <w:rFonts w:ascii="Times New Roman" w:hAnsi="Times New Roman"/>
      <w:color w:val="000000"/>
      <w:kern w:val="0"/>
      <w:sz w:val="24"/>
      <w:szCs w:val="24"/>
    </w:rPr>
  </w:style>
  <w:style w:type="paragraph" w:customStyle="1" w:styleId="1525">
    <w:name w:val="页脚 New New New New New New New New New New New New"/>
    <w:basedOn w:val="1"/>
    <w:qFormat/>
    <w:uiPriority w:val="0"/>
    <w:pPr>
      <w:tabs>
        <w:tab w:val="center" w:pos="4153"/>
        <w:tab w:val="right" w:pos="8306"/>
      </w:tabs>
      <w:snapToGrid w:val="0"/>
      <w:jc w:val="left"/>
    </w:pPr>
    <w:rPr>
      <w:rFonts w:ascii="Times New Roman" w:hAnsi="Times New Roman"/>
      <w:spacing w:val="-2"/>
      <w:kern w:val="0"/>
      <w:sz w:val="18"/>
      <w:szCs w:val="18"/>
    </w:rPr>
  </w:style>
  <w:style w:type="paragraph" w:customStyle="1" w:styleId="1526">
    <w:name w:val="我的标题3"/>
    <w:basedOn w:val="1"/>
    <w:qFormat/>
    <w:uiPriority w:val="0"/>
    <w:pPr>
      <w:ind w:firstLine="538" w:firstLineChars="192"/>
    </w:pPr>
    <w:rPr>
      <w:rFonts w:ascii="Times New Roman" w:hAnsi="Times New Roman" w:eastAsia="黑体"/>
      <w:sz w:val="28"/>
      <w:szCs w:val="24"/>
    </w:rPr>
  </w:style>
  <w:style w:type="paragraph" w:customStyle="1" w:styleId="1527">
    <w:name w:val="Char1 Char Char Char Char Char Char Char Char Char Char Char Char"/>
    <w:basedOn w:val="1"/>
    <w:qFormat/>
    <w:uiPriority w:val="0"/>
    <w:pPr>
      <w:spacing w:line="360" w:lineRule="auto"/>
      <w:ind w:firstLine="200" w:firstLineChars="200"/>
    </w:pPr>
    <w:rPr>
      <w:rFonts w:ascii="宋体" w:hAnsi="宋体" w:cs="宋体"/>
      <w:spacing w:val="-2"/>
      <w:kern w:val="0"/>
      <w:sz w:val="24"/>
      <w:szCs w:val="20"/>
    </w:rPr>
  </w:style>
  <w:style w:type="paragraph" w:customStyle="1" w:styleId="1528">
    <w:name w:val="Char Char210"/>
    <w:basedOn w:val="1"/>
    <w:qFormat/>
    <w:uiPriority w:val="0"/>
    <w:pPr>
      <w:tabs>
        <w:tab w:val="left" w:pos="420"/>
      </w:tabs>
      <w:spacing w:line="360" w:lineRule="auto"/>
    </w:pPr>
    <w:rPr>
      <w:rFonts w:ascii="宋体" w:hAnsi="宋体" w:cs="宋体"/>
      <w:sz w:val="24"/>
      <w:szCs w:val="24"/>
    </w:rPr>
  </w:style>
  <w:style w:type="paragraph" w:customStyle="1" w:styleId="1529">
    <w:name w:val="et71"/>
    <w:basedOn w:val="1"/>
    <w:qFormat/>
    <w:uiPriority w:val="0"/>
    <w:pPr>
      <w:widowControl/>
      <w:spacing w:before="100" w:beforeAutospacing="1" w:after="100" w:afterAutospacing="1"/>
      <w:jc w:val="left"/>
      <w:textAlignment w:val="bottom"/>
    </w:pPr>
    <w:rPr>
      <w:rFonts w:ascii="Times New Roman" w:hAnsi="Times New Roman"/>
      <w:color w:val="000000"/>
      <w:kern w:val="0"/>
      <w:sz w:val="24"/>
      <w:szCs w:val="24"/>
    </w:rPr>
  </w:style>
  <w:style w:type="paragraph" w:customStyle="1" w:styleId="1530">
    <w:name w:val="正文12"/>
    <w:basedOn w:val="34"/>
    <w:qFormat/>
    <w:uiPriority w:val="0"/>
    <w:pPr>
      <w:spacing w:after="0" w:line="360" w:lineRule="auto"/>
      <w:ind w:firstLine="200" w:firstLineChars="200"/>
    </w:pPr>
    <w:rPr>
      <w:rFonts w:ascii="Times New Roman" w:hAnsi="Times New Roman"/>
      <w:sz w:val="24"/>
      <w:szCs w:val="24"/>
    </w:rPr>
  </w:style>
  <w:style w:type="paragraph" w:customStyle="1" w:styleId="1531">
    <w:name w:val="页脚 New New New New New New New New New New New New New New New New New New New"/>
    <w:basedOn w:val="1532"/>
    <w:qFormat/>
    <w:uiPriority w:val="0"/>
    <w:pPr>
      <w:tabs>
        <w:tab w:val="center" w:pos="4153"/>
        <w:tab w:val="right" w:pos="8306"/>
      </w:tabs>
      <w:snapToGrid w:val="0"/>
      <w:jc w:val="left"/>
    </w:pPr>
    <w:rPr>
      <w:sz w:val="18"/>
      <w:szCs w:val="18"/>
    </w:rPr>
  </w:style>
  <w:style w:type="paragraph" w:customStyle="1" w:styleId="1532">
    <w:name w:val="正文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1533">
    <w:name w:val="正文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1534">
    <w:name w:val="reader-word-layer reader-word-s1-3 reader-word-s1-15"/>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535">
    <w:name w:val="xl618"/>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1536">
    <w:name w:val="Char Char Char1 Char1"/>
    <w:basedOn w:val="1"/>
    <w:next w:val="1"/>
    <w:qFormat/>
    <w:uiPriority w:val="0"/>
    <w:pPr>
      <w:spacing w:line="360" w:lineRule="auto"/>
      <w:ind w:firstLine="200" w:firstLineChars="200"/>
    </w:pPr>
    <w:rPr>
      <w:rFonts w:ascii="宋体" w:hAnsi="宋体" w:cs="宋体"/>
      <w:sz w:val="24"/>
      <w:szCs w:val="24"/>
    </w:rPr>
  </w:style>
  <w:style w:type="paragraph" w:customStyle="1" w:styleId="1537">
    <w:name w:val="文档结构图4"/>
    <w:basedOn w:val="1"/>
    <w:qFormat/>
    <w:uiPriority w:val="0"/>
    <w:pPr>
      <w:shd w:val="clear" w:color="auto" w:fill="000080"/>
    </w:pPr>
    <w:rPr>
      <w:rFonts w:ascii="Times New Roman" w:hAnsi="Times New Roman"/>
      <w:kern w:val="0"/>
      <w:sz w:val="20"/>
      <w:szCs w:val="24"/>
      <w:shd w:val="clear" w:color="auto" w:fill="000080"/>
    </w:rPr>
  </w:style>
  <w:style w:type="paragraph" w:customStyle="1" w:styleId="1538">
    <w:name w:val="正文 New New New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1539">
    <w:name w:val="我"/>
    <w:basedOn w:val="1"/>
    <w:qFormat/>
    <w:uiPriority w:val="0"/>
    <w:pPr>
      <w:tabs>
        <w:tab w:val="left" w:pos="0"/>
      </w:tabs>
      <w:adjustRightInd w:val="0"/>
      <w:snapToGrid w:val="0"/>
      <w:spacing w:line="520" w:lineRule="exact"/>
      <w:ind w:firstLine="200" w:firstLineChars="200"/>
      <w:jc w:val="left"/>
    </w:pPr>
    <w:rPr>
      <w:rFonts w:ascii="Times New Roman" w:hAnsi="Times New Roman" w:cs="宋体"/>
      <w:sz w:val="28"/>
      <w:szCs w:val="28"/>
    </w:rPr>
  </w:style>
  <w:style w:type="paragraph" w:customStyle="1" w:styleId="1540">
    <w:name w:val="样式25"/>
    <w:basedOn w:val="1"/>
    <w:qFormat/>
    <w:uiPriority w:val="0"/>
    <w:pPr>
      <w:adjustRightInd w:val="0"/>
      <w:snapToGrid w:val="0"/>
      <w:spacing w:line="360" w:lineRule="auto"/>
      <w:ind w:firstLine="480" w:firstLineChars="200"/>
    </w:pPr>
    <w:rPr>
      <w:rFonts w:ascii="宋体" w:hAnsi="宋体"/>
      <w:spacing w:val="-2"/>
      <w:kern w:val="0"/>
      <w:sz w:val="24"/>
      <w:szCs w:val="20"/>
    </w:rPr>
  </w:style>
  <w:style w:type="paragraph" w:customStyle="1" w:styleId="1541">
    <w:name w:val="正文 New New New New New New New New New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1542">
    <w:name w:val="Char13"/>
    <w:basedOn w:val="1"/>
    <w:qFormat/>
    <w:uiPriority w:val="0"/>
    <w:pPr>
      <w:snapToGrid w:val="0"/>
      <w:spacing w:line="360" w:lineRule="auto"/>
      <w:ind w:firstLine="200" w:firstLineChars="200"/>
    </w:pPr>
    <w:rPr>
      <w:rFonts w:ascii="Times New Roman" w:hAnsi="Times New Roman" w:eastAsia="仿宋_GB2312"/>
      <w:sz w:val="24"/>
      <w:szCs w:val="24"/>
    </w:rPr>
  </w:style>
  <w:style w:type="paragraph" w:customStyle="1" w:styleId="1543">
    <w:name w:val="hjj"/>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544">
    <w:name w:val="HTML 预设格式3"/>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rPr>
  </w:style>
  <w:style w:type="paragraph" w:customStyle="1" w:styleId="1545">
    <w:name w:val="xl63"/>
    <w:basedOn w:val="1"/>
    <w:qFormat/>
    <w:uiPriority w:val="0"/>
    <w:pPr>
      <w:widowControl/>
      <w:pBdr>
        <w:left w:val="single" w:color="auto" w:sz="4" w:space="0"/>
        <w:right w:val="single" w:color="auto" w:sz="4" w:space="0"/>
      </w:pBdr>
      <w:spacing w:before="100" w:beforeAutospacing="1" w:after="100" w:afterAutospacing="1" w:line="360" w:lineRule="auto"/>
      <w:ind w:firstLine="200" w:firstLineChars="200"/>
      <w:jc w:val="center"/>
    </w:pPr>
    <w:rPr>
      <w:rFonts w:ascii="Arial Unicode MS" w:hAnsi="Arial Unicode MS" w:eastAsia="Arial Unicode MS"/>
      <w:kern w:val="0"/>
      <w:sz w:val="24"/>
      <w:szCs w:val="24"/>
    </w:rPr>
  </w:style>
  <w:style w:type="paragraph" w:customStyle="1" w:styleId="1546">
    <w:name w:val="reader-word-layer reader-word-s1-35"/>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547">
    <w:name w:val="Char Char Char Char Char Char Char Char Char Char1"/>
    <w:basedOn w:val="1"/>
    <w:qFormat/>
    <w:uiPriority w:val="0"/>
    <w:rPr>
      <w:rFonts w:ascii="Times New Roman" w:hAnsi="Times New Roman"/>
      <w:szCs w:val="20"/>
    </w:rPr>
  </w:style>
  <w:style w:type="paragraph" w:customStyle="1" w:styleId="1548">
    <w:name w:val="Char Char Char Char Char Char Char Char Char Char Char Char Char Char Char Char Char Char Char Char Char Char"/>
    <w:basedOn w:val="1"/>
    <w:next w:val="1"/>
    <w:qFormat/>
    <w:uiPriority w:val="0"/>
    <w:pPr>
      <w:spacing w:line="360" w:lineRule="auto"/>
      <w:ind w:firstLine="200" w:firstLineChars="200"/>
    </w:pPr>
    <w:rPr>
      <w:rFonts w:ascii="宋体" w:hAnsi="宋体" w:cs="宋体"/>
      <w:sz w:val="24"/>
      <w:szCs w:val="24"/>
    </w:rPr>
  </w:style>
  <w:style w:type="paragraph" w:customStyle="1" w:styleId="1549">
    <w:name w:val="Char Char Char Char Char Char Char Char Char Char Char Char2"/>
    <w:basedOn w:val="1"/>
    <w:qFormat/>
    <w:uiPriority w:val="0"/>
    <w:pPr>
      <w:spacing w:line="360" w:lineRule="auto"/>
      <w:ind w:firstLine="200" w:firstLineChars="200"/>
    </w:pPr>
    <w:rPr>
      <w:rFonts w:ascii="宋体" w:hAnsi="宋体" w:cs="宋体"/>
      <w:sz w:val="24"/>
      <w:szCs w:val="24"/>
    </w:rPr>
  </w:style>
  <w:style w:type="paragraph" w:customStyle="1" w:styleId="1550">
    <w:name w:val="日期6"/>
    <w:basedOn w:val="1"/>
    <w:next w:val="1"/>
    <w:qFormat/>
    <w:uiPriority w:val="0"/>
    <w:pPr>
      <w:autoSpaceDE w:val="0"/>
      <w:autoSpaceDN w:val="0"/>
      <w:adjustRightInd w:val="0"/>
      <w:textAlignment w:val="baseline"/>
    </w:pPr>
  </w:style>
  <w:style w:type="paragraph" w:customStyle="1" w:styleId="1551">
    <w:name w:val="列表接续 24"/>
    <w:basedOn w:val="1"/>
    <w:qFormat/>
    <w:uiPriority w:val="0"/>
    <w:pPr>
      <w:spacing w:after="120"/>
      <w:ind w:left="840" w:leftChars="400"/>
    </w:pPr>
    <w:rPr>
      <w:rFonts w:ascii="宋体" w:hAnsi="宋体"/>
      <w:kern w:val="0"/>
      <w:sz w:val="24"/>
      <w:szCs w:val="24"/>
    </w:rPr>
  </w:style>
  <w:style w:type="paragraph" w:customStyle="1" w:styleId="1552">
    <w:name w:val="xl615"/>
    <w:basedOn w:val="1"/>
    <w:qFormat/>
    <w:uiPriority w:val="0"/>
    <w:pPr>
      <w:widowControl/>
      <w:pBdr>
        <w:top w:val="single" w:color="auto" w:sz="4" w:space="0"/>
        <w:left w:val="single" w:color="auto" w:sz="4" w:space="0"/>
        <w:bottom w:val="single" w:color="auto" w:sz="4" w:space="0"/>
        <w:right w:val="single" w:color="auto" w:sz="4" w:space="0"/>
      </w:pBdr>
      <w:shd w:val="clear" w:color="auto" w:fill="CCCCFF"/>
      <w:spacing w:before="100" w:beforeAutospacing="1" w:after="100" w:afterAutospacing="1"/>
      <w:jc w:val="center"/>
      <w:textAlignment w:val="center"/>
    </w:pPr>
    <w:rPr>
      <w:rFonts w:ascii="宋体" w:hAnsi="宋体" w:cs="宋体"/>
      <w:b/>
      <w:bCs/>
      <w:color w:val="333399"/>
      <w:kern w:val="0"/>
      <w:sz w:val="24"/>
      <w:szCs w:val="24"/>
    </w:rPr>
  </w:style>
  <w:style w:type="paragraph" w:customStyle="1" w:styleId="1553">
    <w:name w:val="表格（窄）"/>
    <w:basedOn w:val="1"/>
    <w:qFormat/>
    <w:uiPriority w:val="0"/>
    <w:pPr>
      <w:jc w:val="center"/>
    </w:pPr>
    <w:rPr>
      <w:rFonts w:ascii="Times New Roman" w:hAnsi="Times New Roman"/>
      <w:kern w:val="0"/>
      <w:szCs w:val="24"/>
    </w:rPr>
  </w:style>
  <w:style w:type="paragraph" w:customStyle="1" w:styleId="1554">
    <w:name w:val="et28"/>
    <w:basedOn w:val="1"/>
    <w:qFormat/>
    <w:uiPriority w:val="0"/>
    <w:pPr>
      <w:widowControl/>
      <w:spacing w:before="100" w:beforeAutospacing="1" w:after="100" w:afterAutospacing="1"/>
      <w:jc w:val="left"/>
      <w:textAlignment w:val="bottom"/>
    </w:pPr>
    <w:rPr>
      <w:rFonts w:ascii="宋体" w:hAnsi="宋体" w:cs="宋体"/>
      <w:color w:val="000000"/>
      <w:kern w:val="0"/>
      <w:sz w:val="24"/>
      <w:szCs w:val="24"/>
    </w:rPr>
  </w:style>
  <w:style w:type="paragraph" w:customStyle="1" w:styleId="1555">
    <w:name w:val="标题3YHY"/>
    <w:basedOn w:val="6"/>
    <w:next w:val="7"/>
    <w:qFormat/>
    <w:uiPriority w:val="0"/>
    <w:pPr>
      <w:spacing w:beforeLines="50" w:afterLines="50"/>
    </w:pPr>
    <w:rPr>
      <w:b w:val="0"/>
      <w:bCs w:val="0"/>
      <w:szCs w:val="24"/>
    </w:rPr>
  </w:style>
  <w:style w:type="paragraph" w:customStyle="1" w:styleId="1556">
    <w:name w:val="p19"/>
    <w:basedOn w:val="1"/>
    <w:qFormat/>
    <w:uiPriority w:val="0"/>
    <w:pPr>
      <w:widowControl/>
      <w:spacing w:line="360" w:lineRule="atLeast"/>
      <w:jc w:val="center"/>
    </w:pPr>
    <w:rPr>
      <w:rFonts w:ascii="Times New Roman" w:hAnsi="Times New Roman"/>
      <w:kern w:val="0"/>
      <w:szCs w:val="21"/>
    </w:rPr>
  </w:style>
  <w:style w:type="paragraph" w:customStyle="1" w:styleId="1557">
    <w:name w:val="font3"/>
    <w:basedOn w:val="1"/>
    <w:qFormat/>
    <w:uiPriority w:val="0"/>
    <w:pPr>
      <w:widowControl/>
      <w:spacing w:before="100" w:beforeAutospacing="1" w:after="100" w:afterAutospacing="1"/>
      <w:jc w:val="left"/>
    </w:pPr>
    <w:rPr>
      <w:rFonts w:ascii="Times New Roman" w:hAnsi="Times New Roman" w:cs="Times NewRoman"/>
      <w:b/>
      <w:bCs/>
      <w:color w:val="333399"/>
      <w:kern w:val="0"/>
      <w:sz w:val="24"/>
      <w:szCs w:val="24"/>
    </w:rPr>
  </w:style>
  <w:style w:type="paragraph" w:customStyle="1" w:styleId="1558">
    <w:name w:val="xl1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559">
    <w:name w:val="正文（首行缩进两字） Char Char Char Char Char Char Char Char Char Char Char Char Char Char Char Char Char Char Char Char Char Char Char Char Char Char Char Char Char Char Char Char Char Char Char Char Char Char Char Char"/>
    <w:basedOn w:val="1"/>
    <w:qFormat/>
    <w:uiPriority w:val="0"/>
    <w:pPr>
      <w:spacing w:after="120" w:line="360" w:lineRule="auto"/>
      <w:ind w:left="1440" w:leftChars="700" w:right="1440" w:rightChars="700"/>
    </w:pPr>
    <w:rPr>
      <w:rFonts w:ascii="Times New Roman" w:hAnsi="Times New Roman"/>
      <w:sz w:val="24"/>
      <w:szCs w:val="28"/>
    </w:rPr>
  </w:style>
  <w:style w:type="paragraph" w:customStyle="1" w:styleId="1560">
    <w:name w:val="样式 表格 + 宋体 居中"/>
    <w:basedOn w:val="966"/>
    <w:qFormat/>
    <w:uiPriority w:val="0"/>
    <w:pPr>
      <w:keepNext w:val="0"/>
      <w:autoSpaceDE/>
      <w:autoSpaceDN/>
      <w:adjustRightInd/>
      <w:spacing w:line="360" w:lineRule="auto"/>
      <w:textAlignment w:val="center"/>
    </w:pPr>
    <w:rPr>
      <w:rFonts w:ascii="Times New Roman" w:hAnsi="Times New Roman" w:eastAsia="宋体"/>
      <w:w w:val="100"/>
    </w:rPr>
  </w:style>
  <w:style w:type="paragraph" w:customStyle="1" w:styleId="1561">
    <w:name w:val="样式 标题 2标题 2 Char2标题 2 Char1 Charb2 Char1 Char节标题 1.1 Char Ch..."/>
    <w:basedOn w:val="5"/>
    <w:qFormat/>
    <w:uiPriority w:val="0"/>
    <w:pPr>
      <w:widowControl/>
      <w:tabs>
        <w:tab w:val="left" w:pos="240"/>
        <w:tab w:val="left" w:pos="360"/>
      </w:tabs>
      <w:adjustRightInd w:val="0"/>
      <w:snapToGrid w:val="0"/>
      <w:jc w:val="left"/>
    </w:pPr>
    <w:rPr>
      <w:rFonts w:ascii="宋体" w:hAnsi="宋体" w:eastAsia="宋体"/>
      <w:b w:val="0"/>
      <w:kern w:val="0"/>
      <w:sz w:val="24"/>
      <w:szCs w:val="24"/>
    </w:rPr>
  </w:style>
  <w:style w:type="paragraph" w:customStyle="1" w:styleId="1562">
    <w:name w:val="et47"/>
    <w:basedOn w:val="1"/>
    <w:qFormat/>
    <w:uiPriority w:val="0"/>
    <w:pPr>
      <w:widowControl/>
      <w:spacing w:before="100" w:beforeAutospacing="1" w:after="100" w:afterAutospacing="1"/>
      <w:jc w:val="left"/>
      <w:textAlignment w:val="bottom"/>
    </w:pPr>
    <w:rPr>
      <w:rFonts w:ascii="宋体" w:hAnsi="宋体" w:cs="宋体"/>
      <w:color w:val="000000"/>
      <w:kern w:val="0"/>
      <w:sz w:val="24"/>
      <w:szCs w:val="24"/>
    </w:rPr>
  </w:style>
  <w:style w:type="paragraph" w:customStyle="1" w:styleId="1563">
    <w:name w:val="YHY"/>
    <w:basedOn w:val="1"/>
    <w:qFormat/>
    <w:uiPriority w:val="0"/>
    <w:pPr>
      <w:spacing w:before="156" w:beforeLines="50" w:after="156" w:afterLines="50" w:line="360" w:lineRule="auto"/>
      <w:ind w:firstLine="200" w:firstLineChars="200"/>
    </w:pPr>
    <w:rPr>
      <w:rFonts w:ascii="Times New Roman" w:hAnsi="Times New Roman" w:cs="宋体"/>
      <w:spacing w:val="-2"/>
      <w:kern w:val="0"/>
      <w:sz w:val="24"/>
      <w:szCs w:val="20"/>
    </w:rPr>
  </w:style>
  <w:style w:type="paragraph" w:customStyle="1" w:styleId="1564">
    <w:name w:val="Char1 Char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1565">
    <w:name w:val="样式 正文文字缩进 2 + 首行缩进:  2 字符"/>
    <w:basedOn w:val="51"/>
    <w:qFormat/>
    <w:uiPriority w:val="0"/>
    <w:pPr>
      <w:spacing w:line="312" w:lineRule="auto"/>
      <w:ind w:left="0" w:leftChars="0"/>
    </w:pPr>
    <w:rPr>
      <w:rFonts w:ascii="宋体" w:hAnsi="宋体"/>
      <w:color w:val="000000"/>
      <w:kern w:val="0"/>
      <w:sz w:val="24"/>
    </w:rPr>
  </w:style>
  <w:style w:type="paragraph" w:customStyle="1" w:styleId="1566">
    <w:name w:val="样式 标题 1标题2－ + 三号 黑色 行距: 固定值 24 磅"/>
    <w:basedOn w:val="4"/>
    <w:qFormat/>
    <w:uiPriority w:val="0"/>
    <w:pPr>
      <w:spacing w:before="240" w:after="240" w:line="480" w:lineRule="exact"/>
      <w:outlineLvl w:val="1"/>
    </w:pPr>
    <w:rPr>
      <w:rFonts w:cs="宋体"/>
      <w:color w:val="000000"/>
      <w:szCs w:val="20"/>
    </w:rPr>
  </w:style>
  <w:style w:type="paragraph" w:customStyle="1" w:styleId="1567">
    <w:name w:val="xl84"/>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b/>
      <w:bCs/>
      <w:kern w:val="0"/>
      <w:sz w:val="20"/>
      <w:szCs w:val="20"/>
    </w:rPr>
  </w:style>
  <w:style w:type="paragraph" w:customStyle="1" w:styleId="1568">
    <w:name w:val="小四表文左齐"/>
    <w:basedOn w:val="1"/>
    <w:qFormat/>
    <w:uiPriority w:val="0"/>
    <w:rPr>
      <w:rFonts w:ascii="宋体" w:hAnsi="宋体"/>
      <w:szCs w:val="24"/>
    </w:rPr>
  </w:style>
  <w:style w:type="paragraph" w:customStyle="1" w:styleId="1569">
    <w:name w:val="正文 New New New New New New New New New New New New New New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1570">
    <w:name w:val="英标"/>
    <w:basedOn w:val="1"/>
    <w:qFormat/>
    <w:uiPriority w:val="0"/>
    <w:pPr>
      <w:autoSpaceDE w:val="0"/>
      <w:autoSpaceDN w:val="0"/>
      <w:adjustRightInd w:val="0"/>
      <w:spacing w:line="360" w:lineRule="auto"/>
      <w:outlineLvl w:val="4"/>
    </w:pPr>
    <w:rPr>
      <w:rFonts w:ascii="宋体" w:hAnsi="宋体"/>
      <w:kern w:val="0"/>
      <w:sz w:val="24"/>
      <w:szCs w:val="20"/>
    </w:rPr>
  </w:style>
  <w:style w:type="paragraph" w:customStyle="1" w:styleId="1571">
    <w:name w:val="样式 标题 3标题 3 Char + 左侧:  1 字符 右侧:  1 字符"/>
    <w:basedOn w:val="6"/>
    <w:qFormat/>
    <w:uiPriority w:val="0"/>
    <w:pPr>
      <w:widowControl/>
      <w:adjustRightInd w:val="0"/>
      <w:snapToGrid w:val="0"/>
      <w:spacing w:before="156" w:beforeLines="50" w:line="460" w:lineRule="exact"/>
      <w:ind w:firstLine="200" w:firstLineChars="200"/>
    </w:pPr>
    <w:rPr>
      <w:rFonts w:cs="Arial"/>
      <w:bCs w:val="0"/>
      <w:snapToGrid w:val="0"/>
      <w:color w:val="000000"/>
      <w:sz w:val="26"/>
      <w:szCs w:val="26"/>
    </w:rPr>
  </w:style>
  <w:style w:type="paragraph" w:customStyle="1" w:styleId="1572">
    <w:name w:val="赵正文"/>
    <w:basedOn w:val="1"/>
    <w:qFormat/>
    <w:uiPriority w:val="0"/>
    <w:pPr>
      <w:spacing w:line="360" w:lineRule="auto"/>
      <w:ind w:firstLine="200" w:firstLineChars="200"/>
      <w:jc w:val="left"/>
    </w:pPr>
    <w:rPr>
      <w:rFonts w:ascii="Times New Roman" w:hAnsi="Times New Roman"/>
      <w:bCs/>
      <w:sz w:val="24"/>
      <w:szCs w:val="24"/>
    </w:rPr>
  </w:style>
  <w:style w:type="paragraph" w:customStyle="1" w:styleId="1573">
    <w:name w:val="样式 标题 4标题 14 + 加粗 无下划线 自动设置 段前: 3 磅 段后: 10 磅2"/>
    <w:basedOn w:val="7"/>
    <w:qFormat/>
    <w:uiPriority w:val="0"/>
    <w:pPr>
      <w:keepLines w:val="0"/>
      <w:tabs>
        <w:tab w:val="left" w:pos="1080"/>
      </w:tabs>
      <w:adjustRightInd w:val="0"/>
      <w:snapToGrid w:val="0"/>
      <w:spacing w:before="60" w:after="200" w:line="240" w:lineRule="auto"/>
      <w:ind w:left="851" w:hanging="851"/>
    </w:pPr>
    <w:rPr>
      <w:rFonts w:eastAsia="宋体"/>
      <w:szCs w:val="20"/>
    </w:rPr>
  </w:style>
  <w:style w:type="paragraph" w:customStyle="1" w:styleId="1574">
    <w:name w:val="Char Char Char Char Char Char Char Char Char Char Char Char Char Char Char Char Char Char1"/>
    <w:basedOn w:val="1"/>
    <w:qFormat/>
    <w:uiPriority w:val="0"/>
    <w:rPr>
      <w:rFonts w:ascii="Times New Roman" w:hAnsi="Times New Roman"/>
      <w:sz w:val="24"/>
      <w:szCs w:val="24"/>
    </w:rPr>
  </w:style>
  <w:style w:type="paragraph" w:customStyle="1" w:styleId="1575">
    <w:name w:val="p9"/>
    <w:basedOn w:val="1"/>
    <w:qFormat/>
    <w:uiPriority w:val="0"/>
    <w:pPr>
      <w:widowControl/>
      <w:spacing w:before="100" w:beforeAutospacing="1" w:after="100" w:afterAutospacing="1" w:line="432" w:lineRule="auto"/>
      <w:jc w:val="left"/>
    </w:pPr>
    <w:rPr>
      <w:rFonts w:ascii="ˎ̥" w:hAnsi="ˎ̥" w:cs="宋体"/>
      <w:color w:val="000000"/>
      <w:kern w:val="0"/>
      <w:sz w:val="18"/>
      <w:szCs w:val="18"/>
    </w:rPr>
  </w:style>
  <w:style w:type="paragraph" w:customStyle="1" w:styleId="1576">
    <w:name w:val="图片"/>
    <w:basedOn w:val="1"/>
    <w:qFormat/>
    <w:uiPriority w:val="0"/>
    <w:pPr>
      <w:spacing w:line="440" w:lineRule="exact"/>
    </w:pPr>
    <w:rPr>
      <w:rFonts w:ascii="Times New Roman" w:hAnsi="Times New Roman"/>
      <w:sz w:val="24"/>
      <w:szCs w:val="24"/>
    </w:rPr>
  </w:style>
  <w:style w:type="paragraph" w:customStyle="1" w:styleId="1577">
    <w:name w:val="样式 标题 2标题 21标题 121 + Times New Roman 小三 非加粗 黑色 段前: 8 磅 段...2"/>
    <w:basedOn w:val="5"/>
    <w:qFormat/>
    <w:uiPriority w:val="0"/>
    <w:pPr>
      <w:tabs>
        <w:tab w:val="left" w:pos="780"/>
      </w:tabs>
      <w:spacing w:before="160" w:after="160" w:line="240" w:lineRule="auto"/>
      <w:ind w:left="780" w:hanging="360"/>
    </w:pPr>
    <w:rPr>
      <w:b w:val="0"/>
      <w:bCs w:val="0"/>
      <w:color w:val="000000"/>
      <w:sz w:val="30"/>
      <w:szCs w:val="20"/>
    </w:rPr>
  </w:style>
  <w:style w:type="paragraph" w:customStyle="1" w:styleId="1578">
    <w:name w:val="13"/>
    <w:basedOn w:val="1"/>
    <w:next w:val="81"/>
    <w:qFormat/>
    <w:uiPriority w:val="0"/>
    <w:pPr>
      <w:widowControl/>
      <w:spacing w:before="100" w:beforeAutospacing="1" w:after="100" w:afterAutospacing="1" w:line="360" w:lineRule="auto"/>
      <w:jc w:val="left"/>
    </w:pPr>
    <w:rPr>
      <w:rFonts w:ascii="宋体" w:hAnsi="宋体"/>
      <w:kern w:val="0"/>
      <w:sz w:val="24"/>
      <w:szCs w:val="24"/>
    </w:rPr>
  </w:style>
  <w:style w:type="paragraph" w:customStyle="1" w:styleId="1579">
    <w:name w:val="标题 1YHY"/>
    <w:basedOn w:val="4"/>
    <w:qFormat/>
    <w:uiPriority w:val="0"/>
    <w:pPr>
      <w:spacing w:before="156" w:beforeLines="50" w:after="156" w:afterLines="50"/>
    </w:pPr>
    <w:rPr>
      <w:rFonts w:cs="宋体"/>
      <w:bCs w:val="0"/>
      <w:color w:val="000000"/>
      <w:spacing w:val="-2"/>
      <w:szCs w:val="30"/>
    </w:rPr>
  </w:style>
  <w:style w:type="paragraph" w:customStyle="1" w:styleId="1580">
    <w:name w:val="标题4 YHY"/>
    <w:basedOn w:val="7"/>
    <w:next w:val="1"/>
    <w:qFormat/>
    <w:uiPriority w:val="0"/>
    <w:pPr>
      <w:keepNext w:val="0"/>
      <w:keepLines w:val="0"/>
      <w:spacing w:beforeLines="50" w:afterLines="50"/>
    </w:pPr>
    <w:rPr>
      <w:rFonts w:eastAsia="宋体"/>
      <w:bCs w:val="0"/>
      <w:szCs w:val="24"/>
    </w:rPr>
  </w:style>
  <w:style w:type="paragraph" w:customStyle="1" w:styleId="1581">
    <w:name w:val="et37"/>
    <w:basedOn w:val="1"/>
    <w:qFormat/>
    <w:uiPriority w:val="0"/>
    <w:pPr>
      <w:widowControl/>
      <w:spacing w:before="100" w:beforeAutospacing="1" w:after="100" w:afterAutospacing="1"/>
      <w:jc w:val="left"/>
      <w:textAlignment w:val="bottom"/>
    </w:pPr>
    <w:rPr>
      <w:rFonts w:ascii="宋体" w:hAnsi="宋体" w:cs="宋体"/>
      <w:color w:val="000000"/>
      <w:kern w:val="0"/>
      <w:sz w:val="24"/>
      <w:szCs w:val="24"/>
    </w:rPr>
  </w:style>
  <w:style w:type="paragraph" w:customStyle="1" w:styleId="1582">
    <w:name w:val="HTML 预设格式5"/>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szCs w:val="24"/>
    </w:rPr>
  </w:style>
  <w:style w:type="paragraph" w:customStyle="1" w:styleId="1583">
    <w:name w:val="xl645"/>
    <w:basedOn w:val="1"/>
    <w:qFormat/>
    <w:uiPriority w:val="0"/>
    <w:pPr>
      <w:widowControl/>
      <w:pBdr>
        <w:left w:val="single" w:color="auto" w:sz="4" w:space="0"/>
        <w:bottom w:val="single" w:color="auto" w:sz="4" w:space="0"/>
        <w:right w:val="single" w:color="auto" w:sz="4" w:space="0"/>
      </w:pBdr>
      <w:shd w:val="clear" w:color="auto" w:fill="FFFF00"/>
      <w:spacing w:before="100" w:beforeAutospacing="1" w:after="100" w:afterAutospacing="1"/>
      <w:jc w:val="center"/>
      <w:textAlignment w:val="center"/>
    </w:pPr>
    <w:rPr>
      <w:rFonts w:ascii="Times New Roman" w:hAnsi="Times New Roman"/>
      <w:kern w:val="0"/>
      <w:sz w:val="24"/>
      <w:szCs w:val="24"/>
    </w:rPr>
  </w:style>
  <w:style w:type="paragraph" w:customStyle="1" w:styleId="1584">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2"/>
    </w:rPr>
  </w:style>
  <w:style w:type="paragraph" w:customStyle="1" w:styleId="1585">
    <w:name w:val="reader-word-layer reader-word-s2-1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586">
    <w:name w:val="页眉 New New New New New New New New New New New New New New New New New New New"/>
    <w:basedOn w:val="1"/>
    <w:qFormat/>
    <w:uiPriority w:val="0"/>
    <w:pPr>
      <w:pBdr>
        <w:bottom w:val="single" w:color="auto" w:sz="6" w:space="1"/>
      </w:pBdr>
      <w:tabs>
        <w:tab w:val="center" w:pos="4153"/>
        <w:tab w:val="right" w:pos="8306"/>
      </w:tabs>
      <w:snapToGrid w:val="0"/>
      <w:jc w:val="center"/>
    </w:pPr>
    <w:rPr>
      <w:rFonts w:ascii="Times New Roman" w:hAnsi="Times New Roman"/>
      <w:spacing w:val="-2"/>
      <w:kern w:val="0"/>
      <w:sz w:val="18"/>
      <w:szCs w:val="18"/>
    </w:rPr>
  </w:style>
  <w:style w:type="paragraph" w:customStyle="1" w:styleId="1587">
    <w:name w:val="样式 样式 首行缩进:  1.01 厘米 + 首行缩进:  2 字符"/>
    <w:basedOn w:val="1588"/>
    <w:qFormat/>
    <w:uiPriority w:val="0"/>
    <w:pPr>
      <w:ind w:firstLine="560"/>
      <w:jc w:val="both"/>
    </w:pPr>
    <w:rPr>
      <w:rFonts w:cs="宋体"/>
    </w:rPr>
  </w:style>
  <w:style w:type="paragraph" w:customStyle="1" w:styleId="1588">
    <w:name w:val="样式 首行缩进:  1.01 厘米"/>
    <w:basedOn w:val="1"/>
    <w:qFormat/>
    <w:uiPriority w:val="0"/>
    <w:pPr>
      <w:spacing w:line="460" w:lineRule="exact"/>
      <w:jc w:val="center"/>
    </w:pPr>
    <w:rPr>
      <w:rFonts w:ascii="黑体" w:hAnsi="Times New Roman" w:eastAsia="黑体"/>
      <w:sz w:val="28"/>
      <w:szCs w:val="28"/>
    </w:rPr>
  </w:style>
  <w:style w:type="paragraph" w:customStyle="1" w:styleId="1589">
    <w:name w:val="正文文本 32"/>
    <w:basedOn w:val="1"/>
    <w:qFormat/>
    <w:uiPriority w:val="0"/>
    <w:pPr>
      <w:jc w:val="center"/>
    </w:pPr>
    <w:rPr>
      <w:rFonts w:ascii="Times New Roman" w:hAnsi="Times New Roman"/>
      <w:kern w:val="0"/>
      <w:szCs w:val="20"/>
      <w:lang w:val="zh-CN"/>
    </w:rPr>
  </w:style>
  <w:style w:type="paragraph" w:customStyle="1" w:styleId="1590">
    <w:name w:val="页脚 New New New New New New New New New New New"/>
    <w:basedOn w:val="1"/>
    <w:qFormat/>
    <w:uiPriority w:val="0"/>
    <w:pPr>
      <w:tabs>
        <w:tab w:val="center" w:pos="4153"/>
        <w:tab w:val="right" w:pos="8306"/>
      </w:tabs>
      <w:snapToGrid w:val="0"/>
      <w:jc w:val="left"/>
    </w:pPr>
    <w:rPr>
      <w:rFonts w:ascii="Times New Roman" w:hAnsi="Times New Roman"/>
      <w:spacing w:val="-2"/>
      <w:kern w:val="0"/>
      <w:sz w:val="18"/>
      <w:szCs w:val="18"/>
    </w:rPr>
  </w:style>
  <w:style w:type="paragraph" w:customStyle="1" w:styleId="1591">
    <w:name w:val="页脚 New New New New New New New New New"/>
    <w:basedOn w:val="1"/>
    <w:qFormat/>
    <w:uiPriority w:val="0"/>
    <w:pPr>
      <w:tabs>
        <w:tab w:val="center" w:pos="4153"/>
        <w:tab w:val="right" w:pos="8306"/>
      </w:tabs>
      <w:snapToGrid w:val="0"/>
      <w:jc w:val="left"/>
    </w:pPr>
    <w:rPr>
      <w:rFonts w:ascii="Times New Roman" w:hAnsi="Times New Roman"/>
      <w:spacing w:val="-2"/>
      <w:kern w:val="0"/>
      <w:sz w:val="18"/>
      <w:szCs w:val="18"/>
    </w:rPr>
  </w:style>
  <w:style w:type="paragraph" w:customStyle="1" w:styleId="1592">
    <w:name w:val="et21"/>
    <w:basedOn w:val="1"/>
    <w:qFormat/>
    <w:uiPriority w:val="0"/>
    <w:pPr>
      <w:widowControl/>
      <w:spacing w:before="100" w:beforeAutospacing="1" w:after="100" w:afterAutospacing="1"/>
      <w:jc w:val="left"/>
      <w:textAlignment w:val="bottom"/>
    </w:pPr>
    <w:rPr>
      <w:rFonts w:ascii="宋体" w:hAnsi="宋体" w:cs="宋体"/>
      <w:color w:val="000000"/>
      <w:kern w:val="0"/>
      <w:sz w:val="24"/>
      <w:szCs w:val="24"/>
    </w:rPr>
  </w:style>
  <w:style w:type="paragraph" w:customStyle="1" w:styleId="1593">
    <w:name w:val="样式8"/>
    <w:basedOn w:val="1"/>
    <w:qFormat/>
    <w:uiPriority w:val="0"/>
    <w:pPr>
      <w:keepNext/>
      <w:keepLines/>
      <w:tabs>
        <w:tab w:val="left" w:pos="322"/>
      </w:tabs>
      <w:spacing w:before="156" w:beforeLines="50" w:after="156" w:afterLines="50" w:line="360" w:lineRule="auto"/>
      <w:outlineLvl w:val="0"/>
    </w:pPr>
    <w:rPr>
      <w:rFonts w:ascii="Times New Roman" w:hAnsi="Times New Roman" w:eastAsia="黑体"/>
      <w:kern w:val="44"/>
      <w:sz w:val="30"/>
      <w:szCs w:val="44"/>
    </w:rPr>
  </w:style>
  <w:style w:type="paragraph" w:customStyle="1" w:styleId="1594">
    <w:name w:val="注释标题2"/>
    <w:basedOn w:val="1"/>
    <w:next w:val="1"/>
    <w:qFormat/>
    <w:uiPriority w:val="0"/>
    <w:pPr>
      <w:jc w:val="center"/>
    </w:pPr>
    <w:rPr>
      <w:kern w:val="0"/>
      <w:sz w:val="28"/>
      <w:szCs w:val="24"/>
    </w:rPr>
  </w:style>
  <w:style w:type="paragraph" w:customStyle="1" w:styleId="1595">
    <w:name w:val="xl24"/>
    <w:basedOn w:val="1"/>
    <w:qFormat/>
    <w:uiPriority w:val="0"/>
    <w:pPr>
      <w:widowControl/>
      <w:spacing w:before="100" w:beforeAutospacing="1" w:after="100" w:afterAutospacing="1"/>
      <w:jc w:val="left"/>
    </w:pPr>
    <w:rPr>
      <w:rFonts w:ascii="Times New Roman" w:hAnsi="Times New Roman"/>
      <w:kern w:val="0"/>
      <w:sz w:val="20"/>
      <w:szCs w:val="20"/>
    </w:rPr>
  </w:style>
  <w:style w:type="paragraph" w:customStyle="1" w:styleId="1596">
    <w:name w:val="Char Char Char Char Char Char1 Char1 Char Char Char Char Char Char13"/>
    <w:basedOn w:val="1"/>
    <w:qFormat/>
    <w:uiPriority w:val="0"/>
    <w:pPr>
      <w:ind w:left="510"/>
    </w:pPr>
    <w:rPr>
      <w:rFonts w:ascii="Times New Roman" w:hAnsi="Times New Roman"/>
      <w:szCs w:val="21"/>
    </w:rPr>
  </w:style>
  <w:style w:type="paragraph" w:customStyle="1" w:styleId="1597">
    <w:name w:val="标题4"/>
    <w:basedOn w:val="1"/>
    <w:next w:val="35"/>
    <w:qFormat/>
    <w:uiPriority w:val="0"/>
    <w:pPr>
      <w:widowControl/>
      <w:tabs>
        <w:tab w:val="left" w:pos="851"/>
        <w:tab w:val="left" w:pos="2240"/>
      </w:tabs>
      <w:spacing w:line="360" w:lineRule="auto"/>
      <w:ind w:left="2240" w:hanging="420"/>
      <w:outlineLvl w:val="3"/>
    </w:pPr>
    <w:rPr>
      <w:rFonts w:ascii="Times New Roman" w:hAnsi="Times New Roman" w:eastAsia="创艺简魏碑"/>
      <w:sz w:val="28"/>
      <w:szCs w:val="20"/>
    </w:rPr>
  </w:style>
  <w:style w:type="paragraph" w:customStyle="1" w:styleId="1598">
    <w:name w:val="dxj图名"/>
    <w:basedOn w:val="1"/>
    <w:qFormat/>
    <w:uiPriority w:val="0"/>
    <w:pPr>
      <w:adjustRightInd w:val="0"/>
      <w:snapToGrid w:val="0"/>
      <w:spacing w:before="156" w:beforeLines="50" w:after="156" w:afterLines="50" w:line="360" w:lineRule="auto"/>
      <w:jc w:val="center"/>
    </w:pPr>
    <w:rPr>
      <w:rFonts w:ascii="Times New Roman" w:hAnsi="Times New Roman" w:eastAsia="黑体"/>
      <w:snapToGrid w:val="0"/>
      <w:color w:val="000000"/>
      <w:kern w:val="0"/>
      <w:sz w:val="24"/>
      <w:szCs w:val="21"/>
    </w:rPr>
  </w:style>
  <w:style w:type="paragraph" w:customStyle="1" w:styleId="1599">
    <w:name w:val="正文 New New New New New New New New New New New New New New New New New New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1600">
    <w:name w:val="第2层"/>
    <w:basedOn w:val="5"/>
    <w:qFormat/>
    <w:uiPriority w:val="0"/>
    <w:pPr>
      <w:spacing w:line="560" w:lineRule="exact"/>
    </w:pPr>
    <w:rPr>
      <w:rFonts w:ascii="宋体" w:hAnsi="宋体" w:eastAsia="宋体"/>
      <w:bCs w:val="0"/>
      <w:szCs w:val="20"/>
    </w:rPr>
  </w:style>
  <w:style w:type="paragraph" w:customStyle="1" w:styleId="1601">
    <w:name w:val="表格，内容"/>
    <w:basedOn w:val="1"/>
    <w:qFormat/>
    <w:uiPriority w:val="0"/>
    <w:pPr>
      <w:jc w:val="center"/>
    </w:pPr>
    <w:rPr>
      <w:rFonts w:ascii="Times New Roman" w:hAnsi="Times New Roman"/>
      <w:spacing w:val="10"/>
      <w:kern w:val="44"/>
      <w:szCs w:val="24"/>
    </w:rPr>
  </w:style>
  <w:style w:type="paragraph" w:customStyle="1" w:styleId="1602">
    <w:name w:val="xl9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603">
    <w:name w:val="四级标题S"/>
    <w:basedOn w:val="7"/>
    <w:next w:val="1604"/>
    <w:qFormat/>
    <w:uiPriority w:val="0"/>
    <w:pPr>
      <w:tabs>
        <w:tab w:val="left" w:pos="864"/>
      </w:tabs>
      <w:ind w:left="864" w:hanging="864"/>
    </w:pPr>
    <w:rPr>
      <w:rFonts w:eastAsia="仿宋_GB2312"/>
      <w:bCs w:val="0"/>
      <w:szCs w:val="24"/>
    </w:rPr>
  </w:style>
  <w:style w:type="paragraph" w:customStyle="1" w:styleId="1604">
    <w:name w:val="正文段落S"/>
    <w:basedOn w:val="1"/>
    <w:qFormat/>
    <w:uiPriority w:val="0"/>
    <w:pPr>
      <w:spacing w:line="360" w:lineRule="auto"/>
      <w:ind w:firstLine="420" w:firstLineChars="200"/>
    </w:pPr>
    <w:rPr>
      <w:rFonts w:ascii="Times New Roman" w:hAnsi="Times New Roman" w:eastAsia="仿宋_GB2312"/>
      <w:snapToGrid w:val="0"/>
      <w:kern w:val="0"/>
      <w:sz w:val="24"/>
      <w:szCs w:val="20"/>
    </w:rPr>
  </w:style>
  <w:style w:type="paragraph" w:customStyle="1" w:styleId="1605">
    <w:name w:val="xl44"/>
    <w:basedOn w:val="1"/>
    <w:qFormat/>
    <w:uiPriority w:val="0"/>
    <w:pPr>
      <w:widowControl/>
      <w:pBdr>
        <w:top w:val="single" w:color="auto" w:sz="4" w:space="0"/>
        <w:left w:val="single" w:color="auto" w:sz="4" w:space="0"/>
        <w:bottom w:val="double" w:color="auto" w:sz="6" w:space="0"/>
        <w:right w:val="double" w:color="auto" w:sz="6" w:space="0"/>
      </w:pBdr>
      <w:spacing w:before="100" w:beforeAutospacing="1" w:after="100" w:afterAutospacing="1"/>
      <w:jc w:val="center"/>
      <w:textAlignment w:val="center"/>
    </w:pPr>
    <w:rPr>
      <w:rFonts w:ascii="宋体" w:hAnsi="宋体"/>
      <w:b/>
      <w:bCs/>
      <w:kern w:val="0"/>
      <w:sz w:val="24"/>
      <w:szCs w:val="24"/>
    </w:rPr>
  </w:style>
  <w:style w:type="paragraph" w:customStyle="1" w:styleId="1606">
    <w:name w:val="et43"/>
    <w:basedOn w:val="1"/>
    <w:qFormat/>
    <w:uiPriority w:val="0"/>
    <w:pPr>
      <w:widowControl/>
      <w:spacing w:before="100" w:beforeAutospacing="1" w:after="100" w:afterAutospacing="1"/>
      <w:jc w:val="left"/>
      <w:textAlignment w:val="bottom"/>
    </w:pPr>
    <w:rPr>
      <w:rFonts w:ascii="宋体" w:hAnsi="宋体" w:cs="宋体"/>
      <w:color w:val="000000"/>
      <w:kern w:val="0"/>
      <w:sz w:val="24"/>
      <w:szCs w:val="24"/>
    </w:rPr>
  </w:style>
  <w:style w:type="paragraph" w:customStyle="1" w:styleId="1607">
    <w:name w:val="xl33"/>
    <w:basedOn w:val="1"/>
    <w:qFormat/>
    <w:uiPriority w:val="0"/>
    <w:pPr>
      <w:widowControl/>
      <w:spacing w:before="100" w:beforeAutospacing="1" w:after="100" w:afterAutospacing="1"/>
      <w:jc w:val="left"/>
    </w:pPr>
    <w:rPr>
      <w:rFonts w:ascii="Arial Unicode MS" w:hAnsi="Arial Unicode MS" w:eastAsia="Arial Unicode MS" w:cs="Arial Unicode MS"/>
      <w:color w:val="0000FF"/>
      <w:kern w:val="0"/>
      <w:sz w:val="24"/>
      <w:szCs w:val="24"/>
    </w:rPr>
  </w:style>
  <w:style w:type="paragraph" w:customStyle="1" w:styleId="1608">
    <w:name w:val="reader-word-layer reader-word-s2-14"/>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609">
    <w:name w:val="表标题"/>
    <w:basedOn w:val="8"/>
    <w:qFormat/>
    <w:uiPriority w:val="0"/>
    <w:pPr>
      <w:keepNext/>
      <w:keepLines/>
      <w:tabs>
        <w:tab w:val="clear" w:pos="927"/>
      </w:tabs>
      <w:autoSpaceDE/>
      <w:autoSpaceDN/>
      <w:snapToGrid/>
      <w:spacing w:before="120" w:line="300" w:lineRule="auto"/>
      <w:textAlignment w:val="baseline"/>
    </w:pPr>
    <w:rPr>
      <w:kern w:val="0"/>
      <w:szCs w:val="20"/>
    </w:rPr>
  </w:style>
  <w:style w:type="paragraph" w:customStyle="1" w:styleId="1610">
    <w:name w:val="xl646"/>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pPr>
    <w:rPr>
      <w:rFonts w:ascii="宋体" w:hAnsi="宋体" w:cs="宋体"/>
      <w:kern w:val="0"/>
      <w:sz w:val="24"/>
      <w:szCs w:val="24"/>
    </w:rPr>
  </w:style>
  <w:style w:type="paragraph" w:customStyle="1" w:styleId="1611">
    <w:name w:val="样式 标题 3头小节标题小标题H3标题 3 Char Char Char Char Char标题 3 Char Ch..."/>
    <w:basedOn w:val="6"/>
    <w:qFormat/>
    <w:uiPriority w:val="0"/>
    <w:pPr>
      <w:adjustRightInd w:val="0"/>
      <w:spacing w:line="440" w:lineRule="exact"/>
      <w:jc w:val="left"/>
      <w:textAlignment w:val="baseline"/>
    </w:pPr>
    <w:rPr>
      <w:rFonts w:cs="宋体"/>
      <w:b w:val="0"/>
      <w:bCs w:val="0"/>
      <w:kern w:val="0"/>
      <w:szCs w:val="20"/>
    </w:rPr>
  </w:style>
  <w:style w:type="paragraph" w:customStyle="1" w:styleId="1612">
    <w:name w:val="xl5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szCs w:val="24"/>
    </w:rPr>
  </w:style>
  <w:style w:type="paragraph" w:customStyle="1" w:styleId="1613">
    <w:name w:val="xl609"/>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pPr>
    <w:rPr>
      <w:rFonts w:ascii="Times New Roman" w:hAnsi="Times New Roman"/>
      <w:kern w:val="0"/>
      <w:sz w:val="24"/>
      <w:szCs w:val="24"/>
    </w:rPr>
  </w:style>
  <w:style w:type="paragraph" w:customStyle="1" w:styleId="1614">
    <w:name w:val="Char Char Char Char Char Char Char Char Char Char Char Char3"/>
    <w:basedOn w:val="1"/>
    <w:qFormat/>
    <w:uiPriority w:val="0"/>
    <w:pPr>
      <w:spacing w:line="360" w:lineRule="auto"/>
      <w:ind w:firstLine="200" w:firstLineChars="200"/>
    </w:pPr>
    <w:rPr>
      <w:rFonts w:ascii="宋体" w:hAnsi="宋体" w:cs="宋体"/>
      <w:sz w:val="24"/>
      <w:szCs w:val="24"/>
    </w:rPr>
  </w:style>
  <w:style w:type="paragraph" w:customStyle="1" w:styleId="1615">
    <w:name w:val="样式 报告表标题 + 四号 黑色 居中"/>
    <w:basedOn w:val="1"/>
    <w:qFormat/>
    <w:uiPriority w:val="0"/>
    <w:pPr>
      <w:tabs>
        <w:tab w:val="left" w:pos="720"/>
      </w:tabs>
      <w:ind w:left="360" w:hanging="360"/>
    </w:pPr>
    <w:rPr>
      <w:rFonts w:ascii="Times New Roman" w:hAnsi="Times New Roman"/>
      <w:szCs w:val="24"/>
    </w:rPr>
  </w:style>
  <w:style w:type="paragraph" w:customStyle="1" w:styleId="1616">
    <w:name w:val="纯文本4"/>
    <w:basedOn w:val="1"/>
    <w:qFormat/>
    <w:uiPriority w:val="0"/>
    <w:pPr>
      <w:adjustRightInd w:val="0"/>
      <w:textAlignment w:val="baseline"/>
    </w:pPr>
    <w:rPr>
      <w:rFonts w:ascii="宋体" w:hAnsi="Courier New"/>
      <w:szCs w:val="20"/>
    </w:rPr>
  </w:style>
  <w:style w:type="paragraph" w:customStyle="1" w:styleId="1617">
    <w:name w:val="自动4"/>
    <w:basedOn w:val="1"/>
    <w:qFormat/>
    <w:uiPriority w:val="0"/>
    <w:pPr>
      <w:keepNext/>
      <w:keepLines/>
      <w:tabs>
        <w:tab w:val="left" w:pos="1131"/>
      </w:tabs>
      <w:spacing w:before="156" w:beforeLines="50" w:after="156" w:afterLines="50" w:line="360" w:lineRule="auto"/>
      <w:outlineLvl w:val="3"/>
    </w:pPr>
    <w:rPr>
      <w:rFonts w:ascii="宋体" w:hAnsi="宋体"/>
      <w:bCs/>
      <w:color w:val="000000"/>
      <w:sz w:val="24"/>
      <w:szCs w:val="24"/>
    </w:rPr>
  </w:style>
  <w:style w:type="paragraph" w:customStyle="1" w:styleId="1618">
    <w:name w:val="Char42"/>
    <w:basedOn w:val="1"/>
    <w:qFormat/>
    <w:uiPriority w:val="0"/>
    <w:pPr>
      <w:spacing w:line="360" w:lineRule="auto"/>
      <w:ind w:firstLine="200" w:firstLineChars="200"/>
    </w:pPr>
    <w:rPr>
      <w:rFonts w:ascii="宋体" w:hAnsi="宋体" w:cs="宋体"/>
      <w:sz w:val="24"/>
      <w:szCs w:val="24"/>
    </w:rPr>
  </w:style>
  <w:style w:type="paragraph" w:customStyle="1" w:styleId="1619">
    <w:name w:val="样式 标题 2标题 21标题 121 + Times New Roman 小三 非加粗 黑色 段前: 8 磅 段..."/>
    <w:basedOn w:val="5"/>
    <w:qFormat/>
    <w:uiPriority w:val="0"/>
    <w:pPr>
      <w:tabs>
        <w:tab w:val="left" w:pos="360"/>
      </w:tabs>
      <w:spacing w:before="160" w:after="160" w:line="240" w:lineRule="auto"/>
    </w:pPr>
    <w:rPr>
      <w:b w:val="0"/>
      <w:bCs w:val="0"/>
      <w:color w:val="000000"/>
      <w:sz w:val="30"/>
      <w:szCs w:val="20"/>
    </w:rPr>
  </w:style>
  <w:style w:type="paragraph" w:customStyle="1" w:styleId="1620">
    <w:name w:val="Char Char Char Char Char Char Char Char Char Char Char Char Char Char Char Char Char Char Char Char Char Char Char Char Char Char Char Char Char Char Char Char Char Char Char Char3"/>
    <w:basedOn w:val="1"/>
    <w:qFormat/>
    <w:uiPriority w:val="0"/>
    <w:pPr>
      <w:snapToGrid w:val="0"/>
      <w:spacing w:line="440" w:lineRule="atLeast"/>
      <w:ind w:firstLine="200" w:firstLineChars="200"/>
    </w:pPr>
    <w:rPr>
      <w:rFonts w:ascii="Times New Roman" w:hAnsi="Times New Roman"/>
      <w:szCs w:val="20"/>
    </w:rPr>
  </w:style>
  <w:style w:type="paragraph" w:customStyle="1" w:styleId="1621">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622">
    <w:name w:val="xl637"/>
    <w:basedOn w:val="1"/>
    <w:qFormat/>
    <w:uiPriority w:val="0"/>
    <w:pPr>
      <w:widowControl/>
      <w:pBdr>
        <w:bottom w:val="single" w:color="auto" w:sz="8" w:space="0"/>
        <w:right w:val="single" w:color="auto" w:sz="8" w:space="0"/>
      </w:pBdr>
      <w:spacing w:before="100" w:beforeAutospacing="1" w:after="100" w:afterAutospacing="1"/>
      <w:jc w:val="center"/>
    </w:pPr>
    <w:rPr>
      <w:rFonts w:ascii="宋体" w:hAnsi="宋体" w:cs="宋体"/>
      <w:kern w:val="0"/>
      <w:szCs w:val="21"/>
    </w:rPr>
  </w:style>
  <w:style w:type="paragraph" w:customStyle="1" w:styleId="1623">
    <w:name w:val="xl107"/>
    <w:basedOn w:val="1"/>
    <w:qFormat/>
    <w:uiPriority w:val="0"/>
    <w:pPr>
      <w:widowControl/>
      <w:pBdr>
        <w:left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1624">
    <w:name w:val="页眉 New New New New New New New"/>
    <w:basedOn w:val="1"/>
    <w:qFormat/>
    <w:uiPriority w:val="0"/>
    <w:pPr>
      <w:pBdr>
        <w:bottom w:val="single" w:color="auto" w:sz="6" w:space="1"/>
      </w:pBdr>
      <w:tabs>
        <w:tab w:val="center" w:pos="4153"/>
        <w:tab w:val="right" w:pos="8306"/>
      </w:tabs>
      <w:snapToGrid w:val="0"/>
      <w:jc w:val="center"/>
    </w:pPr>
    <w:rPr>
      <w:rFonts w:ascii="Times New Roman" w:hAnsi="Times New Roman"/>
      <w:spacing w:val="-2"/>
      <w:kern w:val="0"/>
      <w:sz w:val="18"/>
      <w:szCs w:val="18"/>
    </w:rPr>
  </w:style>
  <w:style w:type="paragraph" w:customStyle="1" w:styleId="1625">
    <w:name w:val="索引 14"/>
    <w:basedOn w:val="1"/>
    <w:next w:val="1"/>
    <w:qFormat/>
    <w:uiPriority w:val="0"/>
    <w:pPr>
      <w:adjustRightInd w:val="0"/>
      <w:spacing w:line="529" w:lineRule="exact"/>
      <w:textAlignment w:val="baseline"/>
    </w:pPr>
    <w:rPr>
      <w:rFonts w:ascii="宋体" w:hAnsi="宋体" w:eastAsia="汉鼎简书宋"/>
      <w:kern w:val="0"/>
      <w:sz w:val="24"/>
      <w:szCs w:val="20"/>
    </w:rPr>
  </w:style>
  <w:style w:type="paragraph" w:customStyle="1" w:styleId="1626">
    <w:name w:val="批注主题4"/>
    <w:basedOn w:val="28"/>
    <w:next w:val="28"/>
    <w:qFormat/>
    <w:uiPriority w:val="0"/>
    <w:rPr>
      <w:rFonts w:ascii="Times New Roman" w:hAnsi="Times New Roman"/>
      <w:b/>
      <w:bCs/>
      <w:szCs w:val="20"/>
    </w:rPr>
  </w:style>
  <w:style w:type="paragraph" w:customStyle="1" w:styleId="1627">
    <w:name w:val="xl49"/>
    <w:basedOn w:val="1"/>
    <w:qFormat/>
    <w:uiPriority w:val="0"/>
    <w:pPr>
      <w:widowControl/>
      <w:pBdr>
        <w:top w:val="double" w:color="auto" w:sz="6" w:space="0"/>
        <w:left w:val="single" w:color="auto" w:sz="4" w:space="0"/>
        <w:bottom w:val="single" w:color="auto" w:sz="4" w:space="0"/>
        <w:right w:val="double" w:color="auto" w:sz="6" w:space="0"/>
      </w:pBdr>
      <w:spacing w:before="100" w:beforeAutospacing="1" w:after="100" w:afterAutospacing="1"/>
      <w:jc w:val="center"/>
      <w:textAlignment w:val="center"/>
    </w:pPr>
    <w:rPr>
      <w:rFonts w:ascii="宋体" w:hAnsi="宋体"/>
      <w:kern w:val="0"/>
      <w:sz w:val="24"/>
      <w:szCs w:val="24"/>
    </w:rPr>
  </w:style>
  <w:style w:type="paragraph" w:customStyle="1" w:styleId="1628">
    <w:name w:val="Char Char Char Char Char Char Char Char Char Char2"/>
    <w:basedOn w:val="1"/>
    <w:qFormat/>
    <w:uiPriority w:val="0"/>
    <w:pPr>
      <w:widowControl/>
      <w:spacing w:after="160" w:line="240" w:lineRule="exact"/>
      <w:jc w:val="left"/>
    </w:pPr>
    <w:rPr>
      <w:rFonts w:ascii="Verdana" w:hAnsi="Verdana" w:eastAsia="仿宋_GB2312"/>
      <w:kern w:val="0"/>
      <w:sz w:val="30"/>
      <w:szCs w:val="30"/>
      <w:lang w:eastAsia="en-US"/>
    </w:rPr>
  </w:style>
  <w:style w:type="paragraph" w:customStyle="1" w:styleId="1629">
    <w:name w:val="文档结构图3"/>
    <w:basedOn w:val="1"/>
    <w:qFormat/>
    <w:uiPriority w:val="0"/>
    <w:pPr>
      <w:shd w:val="clear" w:color="auto" w:fill="000080"/>
    </w:pPr>
    <w:rPr>
      <w:rFonts w:ascii="宋体"/>
      <w:sz w:val="18"/>
      <w:szCs w:val="18"/>
      <w:shd w:val="clear" w:color="auto" w:fill="000080"/>
    </w:rPr>
  </w:style>
  <w:style w:type="paragraph" w:customStyle="1" w:styleId="1630">
    <w:name w:val="样式 四号 红色 行距: 1.5 倍行距 首行缩进:  2 字符"/>
    <w:basedOn w:val="1"/>
    <w:qFormat/>
    <w:uiPriority w:val="0"/>
    <w:pPr>
      <w:spacing w:line="360" w:lineRule="auto"/>
      <w:ind w:firstLine="560" w:firstLineChars="200"/>
    </w:pPr>
    <w:rPr>
      <w:rFonts w:ascii="Times New Roman" w:hAnsi="Times New Roman" w:cs="宋体"/>
      <w:color w:val="FF0000"/>
      <w:sz w:val="24"/>
      <w:szCs w:val="20"/>
    </w:rPr>
  </w:style>
  <w:style w:type="paragraph" w:customStyle="1" w:styleId="1631">
    <w:name w:val="xl88"/>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Times New Roman" w:hAnsi="Times New Roman"/>
      <w:kern w:val="0"/>
      <w:sz w:val="22"/>
    </w:rPr>
  </w:style>
  <w:style w:type="paragraph" w:customStyle="1" w:styleId="1632">
    <w:name w:val="缩进"/>
    <w:basedOn w:val="1"/>
    <w:qFormat/>
    <w:uiPriority w:val="0"/>
    <w:pPr>
      <w:autoSpaceDE w:val="0"/>
      <w:autoSpaceDN w:val="0"/>
      <w:adjustRightInd w:val="0"/>
      <w:spacing w:line="400" w:lineRule="atLeast"/>
      <w:ind w:firstLine="200" w:firstLineChars="200"/>
      <w:textAlignment w:val="baseline"/>
    </w:pPr>
    <w:rPr>
      <w:rFonts w:ascii="Times New Roman" w:hAnsi="Times New Roman"/>
      <w:kern w:val="0"/>
      <w:sz w:val="24"/>
      <w:szCs w:val="20"/>
    </w:rPr>
  </w:style>
  <w:style w:type="paragraph" w:customStyle="1" w:styleId="1633">
    <w:name w:val="et27"/>
    <w:basedOn w:val="1"/>
    <w:qFormat/>
    <w:uiPriority w:val="0"/>
    <w:pPr>
      <w:widowControl/>
      <w:spacing w:before="100" w:beforeAutospacing="1" w:after="100" w:afterAutospacing="1"/>
      <w:jc w:val="left"/>
      <w:textAlignment w:val="bottom"/>
    </w:pPr>
    <w:rPr>
      <w:rFonts w:ascii="Times New Roman" w:hAnsi="Times New Roman" w:cs="Times NewRoman"/>
      <w:color w:val="000000"/>
      <w:kern w:val="0"/>
      <w:sz w:val="24"/>
      <w:szCs w:val="24"/>
    </w:rPr>
  </w:style>
  <w:style w:type="paragraph" w:customStyle="1" w:styleId="1634">
    <w:name w:val="图表内文字"/>
    <w:basedOn w:val="1"/>
    <w:qFormat/>
    <w:uiPriority w:val="0"/>
    <w:pPr>
      <w:adjustRightInd w:val="0"/>
      <w:snapToGrid w:val="0"/>
    </w:pPr>
    <w:rPr>
      <w:rFonts w:ascii="宋体" w:hAnsi="Times New Roman"/>
      <w:szCs w:val="24"/>
    </w:rPr>
  </w:style>
  <w:style w:type="paragraph" w:customStyle="1" w:styleId="1635">
    <w:name w:val="Char Char Char Char Char Char Char Char Char Char Char Char Char Char Char Char4"/>
    <w:basedOn w:val="1"/>
    <w:qFormat/>
    <w:uiPriority w:val="0"/>
    <w:pPr>
      <w:spacing w:line="360" w:lineRule="auto"/>
      <w:ind w:firstLine="200" w:firstLineChars="200"/>
    </w:pPr>
    <w:rPr>
      <w:rFonts w:ascii="宋体" w:hAnsi="宋体" w:cs="宋体"/>
      <w:spacing w:val="-2"/>
      <w:kern w:val="0"/>
      <w:sz w:val="24"/>
      <w:szCs w:val="20"/>
    </w:rPr>
  </w:style>
  <w:style w:type="paragraph" w:customStyle="1" w:styleId="1636">
    <w:name w:val="zhang正文"/>
    <w:basedOn w:val="35"/>
    <w:qFormat/>
    <w:uiPriority w:val="0"/>
    <w:pPr>
      <w:widowControl/>
      <w:overflowPunct w:val="0"/>
      <w:autoSpaceDE w:val="0"/>
      <w:autoSpaceDN w:val="0"/>
      <w:adjustRightInd w:val="0"/>
      <w:spacing w:after="120" w:line="300" w:lineRule="auto"/>
      <w:ind w:left="420" w:leftChars="200" w:firstLine="200"/>
    </w:pPr>
    <w:rPr>
      <w:kern w:val="0"/>
    </w:rPr>
  </w:style>
  <w:style w:type="paragraph" w:customStyle="1" w:styleId="1637">
    <w:name w:val="引用2"/>
    <w:basedOn w:val="1"/>
    <w:next w:val="1"/>
    <w:qFormat/>
    <w:uiPriority w:val="29"/>
    <w:pPr>
      <w:widowControl/>
      <w:spacing w:after="200" w:line="276" w:lineRule="auto"/>
      <w:jc w:val="left"/>
    </w:pPr>
    <w:rPr>
      <w:i/>
      <w:iCs/>
      <w:color w:val="000000"/>
      <w:sz w:val="22"/>
      <w:lang w:eastAsia="en-US" w:bidi="en-US"/>
    </w:rPr>
  </w:style>
  <w:style w:type="paragraph" w:customStyle="1" w:styleId="1638">
    <w:name w:val="xl621"/>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kern w:val="0"/>
      <w:sz w:val="24"/>
      <w:szCs w:val="24"/>
    </w:rPr>
  </w:style>
  <w:style w:type="paragraph" w:customStyle="1" w:styleId="1639">
    <w:name w:val="表格文字 New New New New New New New New New New New New"/>
    <w:basedOn w:val="1"/>
    <w:qFormat/>
    <w:uiPriority w:val="0"/>
    <w:pPr>
      <w:spacing w:line="0" w:lineRule="atLeast"/>
      <w:jc w:val="center"/>
    </w:pPr>
    <w:rPr>
      <w:rFonts w:ascii="Times New Roman" w:hAnsi="Times New Roman"/>
      <w:sz w:val="28"/>
      <w:szCs w:val="24"/>
    </w:rPr>
  </w:style>
  <w:style w:type="paragraph" w:customStyle="1" w:styleId="1640">
    <w:name w:val="正文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1641">
    <w:name w:val="正文文本 21"/>
    <w:basedOn w:val="1"/>
    <w:qFormat/>
    <w:uiPriority w:val="0"/>
    <w:pPr>
      <w:autoSpaceDE w:val="0"/>
      <w:autoSpaceDN w:val="0"/>
      <w:adjustRightInd w:val="0"/>
      <w:spacing w:before="120" w:line="400" w:lineRule="atLeast"/>
      <w:ind w:firstLine="480"/>
      <w:textAlignment w:val="bottom"/>
    </w:pPr>
    <w:rPr>
      <w:rFonts w:ascii="Times New Roman" w:hAnsi="Times New Roman"/>
      <w:kern w:val="0"/>
      <w:sz w:val="24"/>
      <w:szCs w:val="20"/>
    </w:rPr>
  </w:style>
  <w:style w:type="paragraph" w:customStyle="1" w:styleId="1642">
    <w:name w:val="xl6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1643">
    <w:name w:val="Char Char Char1 Char"/>
    <w:basedOn w:val="1"/>
    <w:next w:val="1"/>
    <w:semiHidden/>
    <w:qFormat/>
    <w:uiPriority w:val="0"/>
    <w:pPr>
      <w:spacing w:line="360" w:lineRule="auto"/>
      <w:ind w:firstLine="200" w:firstLineChars="200"/>
    </w:pPr>
    <w:rPr>
      <w:rFonts w:ascii="宋体" w:hAnsi="宋体" w:cs="宋体"/>
      <w:sz w:val="24"/>
      <w:szCs w:val="24"/>
    </w:rPr>
  </w:style>
  <w:style w:type="paragraph" w:customStyle="1" w:styleId="1644">
    <w:name w:val="xl649"/>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pPr>
    <w:rPr>
      <w:rFonts w:ascii="Times New Roman" w:hAnsi="Times New Roman"/>
      <w:kern w:val="0"/>
      <w:sz w:val="24"/>
      <w:szCs w:val="24"/>
    </w:rPr>
  </w:style>
  <w:style w:type="paragraph" w:customStyle="1" w:styleId="1645">
    <w:name w:val="无间隔4"/>
    <w:qFormat/>
    <w:uiPriority w:val="0"/>
    <w:rPr>
      <w:rFonts w:ascii="Calibri" w:hAnsi="Calibri" w:eastAsia="宋体" w:cs="Times New Roman"/>
      <w:sz w:val="22"/>
      <w:lang w:val="en-US" w:eastAsia="zh-CN" w:bidi="ar-SA"/>
    </w:rPr>
  </w:style>
  <w:style w:type="paragraph" w:customStyle="1" w:styleId="1646">
    <w:name w:val="et83"/>
    <w:basedOn w:val="1"/>
    <w:qFormat/>
    <w:uiPriority w:val="0"/>
    <w:pPr>
      <w:widowControl/>
      <w:spacing w:before="100" w:beforeAutospacing="1" w:after="100" w:afterAutospacing="1"/>
      <w:jc w:val="left"/>
      <w:textAlignment w:val="bottom"/>
    </w:pPr>
    <w:rPr>
      <w:rFonts w:ascii="Times New Roman" w:hAnsi="Times New Roman"/>
      <w:color w:val="000000"/>
      <w:kern w:val="0"/>
      <w:sz w:val="24"/>
      <w:szCs w:val="24"/>
    </w:rPr>
  </w:style>
  <w:style w:type="paragraph" w:customStyle="1" w:styleId="1647">
    <w:name w:val="标3"/>
    <w:basedOn w:val="6"/>
    <w:next w:val="45"/>
    <w:qFormat/>
    <w:uiPriority w:val="0"/>
    <w:pPr>
      <w:tabs>
        <w:tab w:val="left" w:pos="578"/>
        <w:tab w:val="left" w:pos="1418"/>
        <w:tab w:val="center" w:pos="6804"/>
        <w:tab w:val="right" w:pos="7371"/>
      </w:tabs>
      <w:overflowPunct w:val="0"/>
      <w:adjustRightInd w:val="0"/>
      <w:snapToGrid w:val="0"/>
      <w:spacing w:line="500" w:lineRule="exact"/>
      <w:ind w:left="1418" w:hanging="567"/>
      <w:jc w:val="left"/>
      <w:textAlignment w:val="baseline"/>
    </w:pPr>
    <w:rPr>
      <w:rFonts w:ascii="宋体" w:hAnsi="宋体"/>
      <w:b w:val="0"/>
      <w:color w:val="0000FF"/>
      <w:sz w:val="28"/>
      <w:szCs w:val="20"/>
    </w:rPr>
  </w:style>
  <w:style w:type="paragraph" w:customStyle="1" w:styleId="1648">
    <w:name w:val="样式 宋体 居中 行距: 1.5 倍行距"/>
    <w:basedOn w:val="1"/>
    <w:qFormat/>
    <w:uiPriority w:val="0"/>
    <w:pPr>
      <w:adjustRightInd w:val="0"/>
      <w:snapToGrid w:val="0"/>
      <w:spacing w:line="360" w:lineRule="auto"/>
      <w:ind w:firstLine="200" w:firstLineChars="200"/>
      <w:jc w:val="center"/>
    </w:pPr>
    <w:rPr>
      <w:rFonts w:ascii="宋体" w:hAnsi="Times New Roman" w:cs="宋体"/>
      <w:sz w:val="24"/>
      <w:szCs w:val="20"/>
    </w:rPr>
  </w:style>
  <w:style w:type="paragraph" w:customStyle="1" w:styleId="1649">
    <w:name w:val="样式96"/>
    <w:basedOn w:val="1"/>
    <w:qFormat/>
    <w:uiPriority w:val="0"/>
    <w:pPr>
      <w:spacing w:line="360" w:lineRule="auto"/>
      <w:ind w:right="-40"/>
      <w:jc w:val="center"/>
    </w:pPr>
    <w:rPr>
      <w:rFonts w:ascii="宋体" w:hAnsi="宋体"/>
      <w:b/>
      <w:bCs/>
      <w:szCs w:val="21"/>
    </w:rPr>
  </w:style>
  <w:style w:type="paragraph" w:customStyle="1" w:styleId="1650">
    <w:name w:val="Default Text:1"/>
    <w:basedOn w:val="1"/>
    <w:qFormat/>
    <w:uiPriority w:val="0"/>
    <w:pPr>
      <w:widowControl/>
      <w:overflowPunct w:val="0"/>
      <w:autoSpaceDE w:val="0"/>
      <w:autoSpaceDN w:val="0"/>
      <w:adjustRightInd w:val="0"/>
      <w:spacing w:line="360" w:lineRule="auto"/>
      <w:jc w:val="left"/>
      <w:textAlignment w:val="baseline"/>
    </w:pPr>
    <w:rPr>
      <w:rFonts w:ascii="Times New Roman" w:hAnsi="Times New Roman"/>
      <w:kern w:val="0"/>
      <w:sz w:val="24"/>
      <w:szCs w:val="20"/>
    </w:rPr>
  </w:style>
  <w:style w:type="paragraph" w:customStyle="1" w:styleId="1651">
    <w:name w:val="et39"/>
    <w:basedOn w:val="1"/>
    <w:qFormat/>
    <w:uiPriority w:val="0"/>
    <w:pPr>
      <w:widowControl/>
      <w:spacing w:before="100" w:beforeAutospacing="1" w:after="100" w:afterAutospacing="1"/>
      <w:jc w:val="left"/>
      <w:textAlignment w:val="bottom"/>
    </w:pPr>
    <w:rPr>
      <w:rFonts w:ascii="宋体" w:hAnsi="宋体" w:cs="宋体"/>
      <w:color w:val="000000"/>
      <w:kern w:val="0"/>
      <w:sz w:val="24"/>
      <w:szCs w:val="24"/>
    </w:rPr>
  </w:style>
  <w:style w:type="paragraph" w:customStyle="1" w:styleId="1652">
    <w:name w:val="中文报告书样式"/>
    <w:basedOn w:val="1"/>
    <w:qFormat/>
    <w:uiPriority w:val="0"/>
    <w:pPr>
      <w:adjustRightInd w:val="0"/>
      <w:spacing w:line="480" w:lineRule="atLeast"/>
      <w:ind w:firstLine="482"/>
      <w:textAlignment w:val="baseline"/>
    </w:pPr>
    <w:rPr>
      <w:rFonts w:ascii="Times New Roman" w:hAnsi="Times New Roman"/>
      <w:spacing w:val="-2"/>
      <w:kern w:val="24"/>
      <w:sz w:val="24"/>
      <w:szCs w:val="20"/>
    </w:rPr>
  </w:style>
  <w:style w:type="paragraph" w:customStyle="1" w:styleId="1653">
    <w:name w:val="et72"/>
    <w:basedOn w:val="1"/>
    <w:qFormat/>
    <w:uiPriority w:val="0"/>
    <w:pPr>
      <w:widowControl/>
      <w:spacing w:before="100" w:beforeAutospacing="1" w:after="100" w:afterAutospacing="1"/>
      <w:jc w:val="left"/>
      <w:textAlignment w:val="bottom"/>
    </w:pPr>
    <w:rPr>
      <w:rFonts w:ascii="Times New Roman" w:hAnsi="Times New Roman"/>
      <w:color w:val="000000"/>
      <w:kern w:val="0"/>
      <w:sz w:val="24"/>
      <w:szCs w:val="24"/>
    </w:rPr>
  </w:style>
  <w:style w:type="paragraph" w:customStyle="1" w:styleId="1654">
    <w:name w:val="正文2"/>
    <w:basedOn w:val="1"/>
    <w:qFormat/>
    <w:uiPriority w:val="0"/>
    <w:pPr>
      <w:adjustRightInd w:val="0"/>
      <w:spacing w:line="480" w:lineRule="exact"/>
      <w:textAlignment w:val="baseline"/>
    </w:pPr>
    <w:rPr>
      <w:rFonts w:ascii="Times New Roman" w:hAnsi="Times New Roman"/>
      <w:spacing w:val="-2"/>
      <w:kern w:val="0"/>
      <w:sz w:val="28"/>
      <w:szCs w:val="20"/>
    </w:rPr>
  </w:style>
  <w:style w:type="paragraph" w:customStyle="1" w:styleId="1655">
    <w:name w:val="Char Char Char Char Char Char1 Char Char Char1 Char Char Char Char Char Char Char11"/>
    <w:basedOn w:val="1"/>
    <w:qFormat/>
    <w:uiPriority w:val="0"/>
    <w:pPr>
      <w:spacing w:line="360" w:lineRule="auto"/>
      <w:ind w:firstLine="200" w:firstLineChars="200"/>
    </w:pPr>
    <w:rPr>
      <w:rFonts w:ascii="宋体" w:hAnsi="宋体" w:cs="宋体"/>
      <w:sz w:val="24"/>
      <w:szCs w:val="24"/>
    </w:rPr>
  </w:style>
  <w:style w:type="paragraph" w:customStyle="1" w:styleId="1656">
    <w:name w:val="T"/>
    <w:basedOn w:val="1"/>
    <w:qFormat/>
    <w:uiPriority w:val="0"/>
    <w:pPr>
      <w:widowControl/>
      <w:overflowPunct w:val="0"/>
      <w:autoSpaceDE w:val="0"/>
      <w:autoSpaceDN w:val="0"/>
      <w:adjustRightInd w:val="0"/>
      <w:spacing w:before="120" w:after="120" w:line="360" w:lineRule="auto"/>
      <w:jc w:val="center"/>
      <w:textAlignment w:val="baseline"/>
    </w:pPr>
    <w:rPr>
      <w:rFonts w:ascii="黑体" w:hAnsi="Times New Roman" w:eastAsia="黑体" w:cs="黑体"/>
      <w:b/>
      <w:bCs/>
      <w:kern w:val="0"/>
      <w:sz w:val="28"/>
      <w:szCs w:val="28"/>
    </w:rPr>
  </w:style>
  <w:style w:type="paragraph" w:customStyle="1" w:styleId="1657">
    <w:name w:val="正文 New New New New New New New New New New New New New New New New New New New New New New New New New New New New New New New New New New New New New New New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1658">
    <w:name w:val="font4"/>
    <w:basedOn w:val="1"/>
    <w:qFormat/>
    <w:uiPriority w:val="0"/>
    <w:pPr>
      <w:widowControl/>
      <w:spacing w:before="100" w:beforeAutospacing="1" w:after="100" w:afterAutospacing="1"/>
      <w:jc w:val="left"/>
    </w:pPr>
    <w:rPr>
      <w:rFonts w:ascii="Times New Roman" w:hAnsi="Times New Roman" w:cs="Times NewRoman"/>
      <w:b/>
      <w:bCs/>
      <w:color w:val="333399"/>
      <w:kern w:val="0"/>
      <w:sz w:val="24"/>
      <w:szCs w:val="24"/>
    </w:rPr>
  </w:style>
  <w:style w:type="paragraph" w:customStyle="1" w:styleId="1659">
    <w:name w:val="et70"/>
    <w:basedOn w:val="1"/>
    <w:qFormat/>
    <w:uiPriority w:val="0"/>
    <w:pPr>
      <w:widowControl/>
      <w:spacing w:before="100" w:beforeAutospacing="1" w:after="100" w:afterAutospacing="1"/>
      <w:jc w:val="left"/>
      <w:textAlignment w:val="bottom"/>
    </w:pPr>
    <w:rPr>
      <w:rFonts w:ascii="Times New Roman" w:hAnsi="Times New Roman"/>
      <w:color w:val="000000"/>
      <w:kern w:val="0"/>
      <w:sz w:val="24"/>
      <w:szCs w:val="24"/>
    </w:rPr>
  </w:style>
  <w:style w:type="paragraph" w:customStyle="1" w:styleId="1660">
    <w:name w:val="1级大纲"/>
    <w:basedOn w:val="1"/>
    <w:qFormat/>
    <w:uiPriority w:val="0"/>
    <w:pPr>
      <w:spacing w:line="360" w:lineRule="auto"/>
    </w:pPr>
    <w:rPr>
      <w:rFonts w:ascii="Times New Roman" w:hAnsi="Times New Roman" w:eastAsia="黑体" w:cs="宋体"/>
      <w:b/>
      <w:bCs/>
      <w:spacing w:val="-2"/>
      <w:kern w:val="0"/>
      <w:sz w:val="30"/>
      <w:szCs w:val="20"/>
    </w:rPr>
  </w:style>
  <w:style w:type="paragraph" w:customStyle="1" w:styleId="1661">
    <w:name w:val="样式 标题 3 + 四号 段后: 0 磅"/>
    <w:basedOn w:val="6"/>
    <w:qFormat/>
    <w:uiPriority w:val="0"/>
    <w:pPr>
      <w:spacing w:before="120"/>
    </w:pPr>
    <w:rPr>
      <w:rFonts w:cs="宋体"/>
      <w:kern w:val="0"/>
      <w:sz w:val="28"/>
      <w:szCs w:val="20"/>
    </w:rPr>
  </w:style>
  <w:style w:type="paragraph" w:customStyle="1" w:styleId="1662">
    <w:name w:val="Char Char2 Char Char1"/>
    <w:basedOn w:val="1"/>
    <w:qFormat/>
    <w:uiPriority w:val="0"/>
    <w:pPr>
      <w:widowControl/>
      <w:spacing w:after="160" w:line="240" w:lineRule="exact"/>
      <w:jc w:val="left"/>
    </w:pPr>
    <w:rPr>
      <w:rFonts w:ascii="Times New Roman" w:hAnsi="Times New Roman"/>
      <w:szCs w:val="20"/>
    </w:rPr>
  </w:style>
  <w:style w:type="paragraph" w:customStyle="1" w:styleId="1663">
    <w:name w:val="et10"/>
    <w:basedOn w:val="1"/>
    <w:qFormat/>
    <w:uiPriority w:val="0"/>
    <w:pPr>
      <w:widowControl/>
      <w:spacing w:before="100" w:beforeAutospacing="1" w:after="100" w:afterAutospacing="1"/>
      <w:jc w:val="left"/>
      <w:textAlignment w:val="bottom"/>
    </w:pPr>
    <w:rPr>
      <w:rFonts w:ascii="Times New Roman" w:hAnsi="Times New Roman"/>
      <w:color w:val="000000"/>
      <w:kern w:val="0"/>
      <w:sz w:val="24"/>
      <w:szCs w:val="24"/>
    </w:rPr>
  </w:style>
  <w:style w:type="paragraph" w:customStyle="1" w:styleId="1664">
    <w:name w:val="标题 2 New"/>
    <w:basedOn w:val="1"/>
    <w:next w:val="1"/>
    <w:qFormat/>
    <w:uiPriority w:val="0"/>
    <w:pPr>
      <w:keepNext/>
      <w:keepLines/>
      <w:spacing w:before="260" w:after="260" w:line="413" w:lineRule="auto"/>
      <w:outlineLvl w:val="1"/>
    </w:pPr>
    <w:rPr>
      <w:rFonts w:ascii="Arial" w:hAnsi="Arial" w:eastAsia="黑体"/>
      <w:b/>
      <w:bCs/>
      <w:spacing w:val="-2"/>
      <w:kern w:val="0"/>
      <w:sz w:val="32"/>
      <w:szCs w:val="32"/>
    </w:rPr>
  </w:style>
  <w:style w:type="paragraph" w:customStyle="1" w:styleId="1665">
    <w:name w:val="xl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黑体" w:hAnsi="Arial Unicode MS" w:eastAsia="黑体" w:cs="Arial Unicode MS"/>
      <w:kern w:val="0"/>
      <w:sz w:val="24"/>
      <w:szCs w:val="24"/>
    </w:rPr>
  </w:style>
  <w:style w:type="paragraph" w:customStyle="1" w:styleId="1666">
    <w:name w:val="表格式"/>
    <w:basedOn w:val="66"/>
    <w:qFormat/>
    <w:uiPriority w:val="0"/>
    <w:pPr>
      <w:widowControl w:val="0"/>
      <w:spacing w:line="360" w:lineRule="exact"/>
      <w:ind w:left="21" w:firstLine="0"/>
      <w:jc w:val="center"/>
    </w:pPr>
    <w:rPr>
      <w:sz w:val="21"/>
      <w:szCs w:val="24"/>
    </w:rPr>
  </w:style>
  <w:style w:type="paragraph" w:customStyle="1" w:styleId="1667">
    <w:name w:val="Char Char Char Char Char Char Char Char Char Char Char Char Char Char Char Char Char Char Char Char Char Char12"/>
    <w:basedOn w:val="1"/>
    <w:next w:val="1"/>
    <w:qFormat/>
    <w:uiPriority w:val="0"/>
    <w:pPr>
      <w:spacing w:line="360" w:lineRule="auto"/>
      <w:ind w:firstLine="200" w:firstLineChars="200"/>
    </w:pPr>
    <w:rPr>
      <w:rFonts w:ascii="宋体" w:hAnsi="宋体" w:cs="宋体"/>
      <w:sz w:val="24"/>
      <w:szCs w:val="24"/>
    </w:rPr>
  </w:style>
  <w:style w:type="paragraph" w:customStyle="1" w:styleId="1668">
    <w:name w:val="BG二级标题"/>
    <w:next w:val="1454"/>
    <w:qFormat/>
    <w:uiPriority w:val="0"/>
    <w:pPr>
      <w:adjustRightInd w:val="0"/>
      <w:snapToGrid w:val="0"/>
      <w:spacing w:before="50" w:beforeLines="50" w:line="360" w:lineRule="auto"/>
      <w:outlineLvl w:val="1"/>
    </w:pPr>
    <w:rPr>
      <w:rFonts w:ascii="Calibri" w:hAnsi="Calibri" w:eastAsia="黑体" w:cs="Times New Roman"/>
      <w:b/>
      <w:snapToGrid w:val="0"/>
      <w:sz w:val="28"/>
      <w:szCs w:val="28"/>
      <w:lang w:val="en-US" w:eastAsia="zh-CN" w:bidi="ar-SA"/>
    </w:rPr>
  </w:style>
  <w:style w:type="paragraph" w:customStyle="1" w:styleId="1669">
    <w:name w:val="Char Char Char3"/>
    <w:basedOn w:val="1"/>
    <w:next w:val="3"/>
    <w:qFormat/>
    <w:uiPriority w:val="0"/>
    <w:rPr>
      <w:rFonts w:ascii="Times New Roman" w:hAnsi="Times New Roman"/>
      <w:sz w:val="28"/>
      <w:szCs w:val="20"/>
    </w:rPr>
  </w:style>
  <w:style w:type="paragraph" w:customStyle="1" w:styleId="1670">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671">
    <w:name w:val="正文 New New New New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1672">
    <w:name w:val="环评表头"/>
    <w:basedOn w:val="1"/>
    <w:qFormat/>
    <w:uiPriority w:val="0"/>
    <w:pPr>
      <w:spacing w:line="440" w:lineRule="exact"/>
      <w:jc w:val="center"/>
    </w:pPr>
    <w:rPr>
      <w:rFonts w:ascii="黑体" w:hAnsi="Arial" w:eastAsia="黑体" w:cs="Arial"/>
      <w:b/>
      <w:color w:val="000000"/>
      <w:sz w:val="24"/>
      <w:szCs w:val="24"/>
    </w:rPr>
  </w:style>
  <w:style w:type="paragraph" w:customStyle="1" w:styleId="1673">
    <w:name w:val="日期3"/>
    <w:basedOn w:val="1"/>
    <w:next w:val="1"/>
    <w:qFormat/>
    <w:uiPriority w:val="0"/>
    <w:pPr>
      <w:autoSpaceDE w:val="0"/>
      <w:autoSpaceDN w:val="0"/>
      <w:adjustRightInd w:val="0"/>
      <w:textAlignment w:val="baseline"/>
    </w:pPr>
    <w:rPr>
      <w:rFonts w:ascii="Times New Roman" w:hAnsi="Times New Roman"/>
      <w:spacing w:val="5"/>
      <w:kern w:val="0"/>
      <w:sz w:val="24"/>
      <w:szCs w:val="20"/>
    </w:rPr>
  </w:style>
  <w:style w:type="paragraph" w:customStyle="1" w:styleId="1674">
    <w:name w:val="表格文字居中"/>
    <w:basedOn w:val="1"/>
    <w:next w:val="1"/>
    <w:qFormat/>
    <w:uiPriority w:val="0"/>
    <w:pPr>
      <w:adjustRightInd w:val="0"/>
      <w:snapToGrid w:val="0"/>
      <w:spacing w:line="460" w:lineRule="exact"/>
      <w:ind w:firstLine="200" w:firstLineChars="200"/>
      <w:jc w:val="center"/>
    </w:pPr>
    <w:rPr>
      <w:rFonts w:ascii="Times New Roman" w:hAnsi="Times New Roman"/>
      <w:snapToGrid w:val="0"/>
      <w:color w:val="000000"/>
      <w:sz w:val="22"/>
    </w:rPr>
  </w:style>
  <w:style w:type="paragraph" w:customStyle="1" w:styleId="1675">
    <w:name w:val="表内文字"/>
    <w:basedOn w:val="1"/>
    <w:qFormat/>
    <w:uiPriority w:val="0"/>
    <w:pPr>
      <w:spacing w:line="360" w:lineRule="atLeast"/>
      <w:jc w:val="center"/>
    </w:pPr>
    <w:rPr>
      <w:rFonts w:ascii="Times New Roman" w:hAnsi="Times New Roman"/>
      <w:szCs w:val="24"/>
    </w:rPr>
  </w:style>
  <w:style w:type="paragraph" w:customStyle="1" w:styleId="1676">
    <w:name w:val="封面文字"/>
    <w:basedOn w:val="1"/>
    <w:qFormat/>
    <w:uiPriority w:val="0"/>
    <w:pPr>
      <w:spacing w:before="100" w:beforeAutospacing="1"/>
      <w:jc w:val="center"/>
    </w:pPr>
    <w:rPr>
      <w:rFonts w:ascii="仿宋_GB2312" w:hAnsi="Times New Roman" w:eastAsia="仿宋_GB2312"/>
      <w:b/>
      <w:sz w:val="48"/>
      <w:szCs w:val="24"/>
    </w:rPr>
  </w:style>
  <w:style w:type="paragraph" w:customStyle="1" w:styleId="1677">
    <w:name w:val="表头标题"/>
    <w:basedOn w:val="1538"/>
    <w:qFormat/>
    <w:uiPriority w:val="0"/>
    <w:pPr>
      <w:spacing w:beforeLines="50" w:line="520" w:lineRule="exact"/>
      <w:jc w:val="center"/>
    </w:pPr>
    <w:rPr>
      <w:rFonts w:ascii="黑体" w:hAnsi="宋体" w:eastAsia="黑体"/>
      <w:sz w:val="24"/>
      <w:szCs w:val="20"/>
    </w:rPr>
  </w:style>
  <w:style w:type="paragraph" w:customStyle="1" w:styleId="1678">
    <w:name w:val="样式 标题 4 + 宋体 小四 非加粗"/>
    <w:basedOn w:val="7"/>
    <w:qFormat/>
    <w:uiPriority w:val="0"/>
    <w:pPr>
      <w:spacing w:line="376" w:lineRule="auto"/>
      <w:ind w:left="540"/>
    </w:pPr>
    <w:rPr>
      <w:rFonts w:ascii="宋体" w:hAnsi="宋体" w:eastAsia="宋体"/>
      <w:bCs w:val="0"/>
    </w:rPr>
  </w:style>
  <w:style w:type="paragraph" w:customStyle="1" w:styleId="1679">
    <w:name w:val="xl108"/>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1680">
    <w:name w:val="项目编号"/>
    <w:basedOn w:val="1"/>
    <w:next w:val="1"/>
    <w:qFormat/>
    <w:uiPriority w:val="0"/>
    <w:pPr>
      <w:spacing w:before="120" w:after="120" w:line="360" w:lineRule="auto"/>
    </w:pPr>
    <w:rPr>
      <w:rFonts w:ascii="Times New Roman" w:hAnsi="Times New Roman"/>
      <w:sz w:val="24"/>
      <w:szCs w:val="20"/>
    </w:rPr>
  </w:style>
  <w:style w:type="paragraph" w:customStyle="1" w:styleId="1681">
    <w:name w:val="文档结构图6"/>
    <w:basedOn w:val="1"/>
    <w:qFormat/>
    <w:uiPriority w:val="0"/>
    <w:pPr>
      <w:shd w:val="clear" w:color="auto" w:fill="000080"/>
    </w:pPr>
    <w:rPr>
      <w:rFonts w:ascii="Times New Roman" w:hAnsi="Times New Roman"/>
      <w:kern w:val="0"/>
      <w:szCs w:val="24"/>
      <w:shd w:val="clear" w:color="auto" w:fill="000080"/>
    </w:rPr>
  </w:style>
  <w:style w:type="paragraph" w:customStyle="1" w:styleId="1682">
    <w:name w:val="表头名称"/>
    <w:basedOn w:val="2"/>
    <w:qFormat/>
    <w:uiPriority w:val="0"/>
    <w:pPr>
      <w:autoSpaceDE w:val="0"/>
      <w:autoSpaceDN w:val="0"/>
      <w:adjustRightInd w:val="0"/>
      <w:spacing w:line="360" w:lineRule="auto"/>
      <w:ind w:firstLine="0"/>
      <w:jc w:val="center"/>
    </w:pPr>
    <w:rPr>
      <w:rFonts w:ascii="黑体" w:hAnsi="宋体" w:eastAsia="黑体"/>
      <w:kern w:val="0"/>
      <w:sz w:val="24"/>
    </w:rPr>
  </w:style>
  <w:style w:type="paragraph" w:customStyle="1" w:styleId="1683">
    <w:name w:val="标题附件2"/>
    <w:basedOn w:val="35"/>
    <w:qFormat/>
    <w:uiPriority w:val="0"/>
    <w:pPr>
      <w:spacing w:beforeLines="50" w:after="120" w:afterLines="50" w:line="240" w:lineRule="auto"/>
      <w:ind w:firstLine="171" w:firstLineChars="171"/>
    </w:pPr>
    <w:rPr>
      <w:rFonts w:ascii="Calibri" w:hAnsi="Calibri" w:eastAsia="黑体"/>
      <w:kern w:val="0"/>
      <w:sz w:val="28"/>
      <w:szCs w:val="20"/>
    </w:rPr>
  </w:style>
  <w:style w:type="paragraph" w:customStyle="1" w:styleId="1684">
    <w:name w:val="et20"/>
    <w:basedOn w:val="1"/>
    <w:qFormat/>
    <w:uiPriority w:val="0"/>
    <w:pPr>
      <w:widowControl/>
      <w:spacing w:before="100" w:beforeAutospacing="1" w:after="100" w:afterAutospacing="1"/>
      <w:jc w:val="left"/>
      <w:textAlignment w:val="bottom"/>
    </w:pPr>
    <w:rPr>
      <w:rFonts w:ascii="Times New Roman" w:hAnsi="Times New Roman"/>
      <w:color w:val="000000"/>
      <w:kern w:val="0"/>
      <w:sz w:val="24"/>
      <w:szCs w:val="24"/>
    </w:rPr>
  </w:style>
  <w:style w:type="paragraph" w:customStyle="1" w:styleId="1685">
    <w:name w:val="Title_u"/>
    <w:basedOn w:val="1"/>
    <w:qFormat/>
    <w:uiPriority w:val="0"/>
    <w:pPr>
      <w:widowControl/>
      <w:overflowPunct w:val="0"/>
      <w:autoSpaceDE w:val="0"/>
      <w:autoSpaceDN w:val="0"/>
      <w:adjustRightInd w:val="0"/>
      <w:spacing w:before="120" w:after="120" w:line="360" w:lineRule="auto"/>
      <w:jc w:val="center"/>
      <w:textAlignment w:val="baseline"/>
    </w:pPr>
    <w:rPr>
      <w:rFonts w:ascii="黑体" w:hAnsi="Times New Roman" w:eastAsia="黑体"/>
      <w:b/>
      <w:kern w:val="0"/>
      <w:sz w:val="28"/>
      <w:szCs w:val="20"/>
    </w:rPr>
  </w:style>
  <w:style w:type="paragraph" w:customStyle="1" w:styleId="1686">
    <w:name w:val="table1"/>
    <w:basedOn w:val="1"/>
    <w:qFormat/>
    <w:uiPriority w:val="0"/>
    <w:pPr>
      <w:overflowPunct w:val="0"/>
      <w:autoSpaceDE w:val="0"/>
      <w:autoSpaceDN w:val="0"/>
      <w:adjustRightInd w:val="0"/>
      <w:spacing w:before="60" w:after="60"/>
      <w:jc w:val="center"/>
      <w:textAlignment w:val="baseline"/>
    </w:pPr>
    <w:rPr>
      <w:rFonts w:ascii="宋体" w:hAnsi="Times New Roman"/>
      <w:kern w:val="28"/>
      <w:szCs w:val="20"/>
    </w:rPr>
  </w:style>
  <w:style w:type="paragraph" w:customStyle="1" w:styleId="1687">
    <w:name w:val="Char Char Char Char Char Char1 Char1 Char Char Char Char Char Char111"/>
    <w:basedOn w:val="1"/>
    <w:qFormat/>
    <w:uiPriority w:val="0"/>
    <w:pPr>
      <w:ind w:left="510"/>
    </w:pPr>
    <w:rPr>
      <w:rFonts w:ascii="Times New Roman" w:hAnsi="Times New Roman"/>
      <w:szCs w:val="21"/>
    </w:rPr>
  </w:style>
  <w:style w:type="paragraph" w:customStyle="1" w:styleId="1688">
    <w:name w:val="Char32"/>
    <w:basedOn w:val="26"/>
    <w:qFormat/>
    <w:uiPriority w:val="0"/>
    <w:pPr>
      <w:spacing w:line="360" w:lineRule="auto"/>
    </w:pPr>
    <w:rPr>
      <w:rFonts w:ascii="Tahoma" w:hAnsi="Tahoma"/>
    </w:rPr>
  </w:style>
  <w:style w:type="paragraph" w:customStyle="1" w:styleId="1689">
    <w:name w:val="本表正文"/>
    <w:basedOn w:val="1"/>
    <w:qFormat/>
    <w:uiPriority w:val="0"/>
    <w:pPr>
      <w:spacing w:line="360" w:lineRule="auto"/>
    </w:pPr>
    <w:rPr>
      <w:rFonts w:hint="eastAsia" w:ascii="Times New Roman" w:hAnsi="Times New Roman"/>
      <w:kern w:val="0"/>
      <w:sz w:val="24"/>
      <w:szCs w:val="20"/>
    </w:rPr>
  </w:style>
  <w:style w:type="paragraph" w:customStyle="1" w:styleId="1690">
    <w:name w:val="Char21"/>
    <w:basedOn w:val="1"/>
    <w:qFormat/>
    <w:uiPriority w:val="0"/>
    <w:pPr>
      <w:snapToGrid w:val="0"/>
      <w:spacing w:line="440" w:lineRule="atLeast"/>
      <w:ind w:firstLine="200" w:firstLineChars="200"/>
    </w:pPr>
    <w:rPr>
      <w:rFonts w:hint="eastAsia" w:ascii="Times New Roman" w:hAnsi="Times New Roman"/>
      <w:szCs w:val="20"/>
    </w:rPr>
  </w:style>
  <w:style w:type="paragraph" w:customStyle="1" w:styleId="1691">
    <w:name w:val="a封面－项目名称"/>
    <w:basedOn w:val="1"/>
    <w:next w:val="1"/>
    <w:qFormat/>
    <w:uiPriority w:val="0"/>
    <w:pPr>
      <w:spacing w:before="156" w:beforeLines="50" w:after="156" w:afterLines="50" w:line="360" w:lineRule="auto"/>
      <w:jc w:val="center"/>
    </w:pPr>
    <w:rPr>
      <w:rFonts w:ascii="Times New Roman" w:hAnsi="Times New Roman" w:eastAsia="黑体"/>
      <w:b/>
      <w:sz w:val="48"/>
      <w:szCs w:val="24"/>
    </w:rPr>
  </w:style>
  <w:style w:type="paragraph" w:customStyle="1" w:styleId="1692">
    <w:name w:val="Char Char Char Char1 Char Char Char"/>
    <w:basedOn w:val="1"/>
    <w:qFormat/>
    <w:uiPriority w:val="0"/>
    <w:pPr>
      <w:ind w:firstLine="200" w:firstLineChars="200"/>
    </w:pPr>
    <w:rPr>
      <w:rFonts w:ascii="宋体" w:hAnsi="宋体" w:cs="宋体"/>
      <w:sz w:val="24"/>
      <w:szCs w:val="24"/>
    </w:rPr>
  </w:style>
  <w:style w:type="paragraph" w:customStyle="1" w:styleId="1693">
    <w:name w:val="污水表格"/>
    <w:basedOn w:val="1"/>
    <w:qFormat/>
    <w:uiPriority w:val="0"/>
    <w:pPr>
      <w:spacing w:line="0" w:lineRule="atLeast"/>
      <w:jc w:val="center"/>
    </w:pPr>
    <w:rPr>
      <w:rFonts w:ascii="Times New Roman" w:hAnsi="Times New Roman"/>
      <w:spacing w:val="-2"/>
      <w:kern w:val="0"/>
      <w:sz w:val="28"/>
      <w:szCs w:val="20"/>
    </w:rPr>
  </w:style>
  <w:style w:type="paragraph" w:customStyle="1" w:styleId="1694">
    <w:name w:val="样式19"/>
    <w:basedOn w:val="1"/>
    <w:qFormat/>
    <w:uiPriority w:val="0"/>
    <w:pPr>
      <w:widowControl/>
      <w:spacing w:line="320" w:lineRule="exact"/>
      <w:jc w:val="center"/>
    </w:pPr>
    <w:rPr>
      <w:rFonts w:ascii="Times New Roman" w:hAnsi="Times New Roman"/>
      <w:color w:val="000000"/>
      <w:kern w:val="0"/>
      <w:szCs w:val="21"/>
    </w:rPr>
  </w:style>
  <w:style w:type="paragraph" w:customStyle="1" w:styleId="1695">
    <w:name w:val="纯文本111"/>
    <w:basedOn w:val="1"/>
    <w:qFormat/>
    <w:uiPriority w:val="0"/>
    <w:pPr>
      <w:adjustRightInd w:val="0"/>
      <w:textAlignment w:val="baseline"/>
    </w:pPr>
    <w:rPr>
      <w:rFonts w:ascii="宋体" w:hAnsi="Courier New"/>
      <w:szCs w:val="20"/>
    </w:rPr>
  </w:style>
  <w:style w:type="paragraph" w:customStyle="1" w:styleId="1696">
    <w:name w:val="xl639"/>
    <w:basedOn w:val="1"/>
    <w:qFormat/>
    <w:uiPriority w:val="0"/>
    <w:pPr>
      <w:widowControl/>
      <w:pBdr>
        <w:bottom w:val="single" w:color="auto" w:sz="12" w:space="0"/>
        <w:right w:val="single" w:color="auto" w:sz="8" w:space="0"/>
      </w:pBdr>
      <w:spacing w:before="100" w:beforeAutospacing="1" w:after="100" w:afterAutospacing="1"/>
      <w:jc w:val="center"/>
    </w:pPr>
    <w:rPr>
      <w:rFonts w:ascii="Times New Roman" w:hAnsi="Times New Roman"/>
      <w:kern w:val="0"/>
      <w:szCs w:val="21"/>
    </w:rPr>
  </w:style>
  <w:style w:type="paragraph" w:customStyle="1" w:styleId="1697">
    <w:name w:val="Char Char110"/>
    <w:basedOn w:val="1"/>
    <w:qFormat/>
    <w:uiPriority w:val="0"/>
    <w:pPr>
      <w:spacing w:line="360" w:lineRule="auto"/>
      <w:ind w:firstLine="200" w:firstLineChars="200"/>
    </w:pPr>
    <w:rPr>
      <w:rFonts w:ascii="宋体" w:hAnsi="宋体" w:cs="宋体"/>
      <w:sz w:val="24"/>
      <w:szCs w:val="24"/>
    </w:rPr>
  </w:style>
  <w:style w:type="paragraph" w:customStyle="1" w:styleId="1698">
    <w:name w:val="image_subtitle"/>
    <w:basedOn w:val="1"/>
    <w:qFormat/>
    <w:uiPriority w:val="0"/>
    <w:pPr>
      <w:widowControl/>
      <w:spacing w:line="360" w:lineRule="auto"/>
      <w:jc w:val="left"/>
    </w:pPr>
    <w:rPr>
      <w:rFonts w:ascii="宋体" w:hAnsi="宋体" w:cs="宋体"/>
      <w:kern w:val="0"/>
      <w:sz w:val="15"/>
      <w:szCs w:val="15"/>
    </w:rPr>
  </w:style>
  <w:style w:type="paragraph" w:customStyle="1" w:styleId="1699">
    <w:name w:val="reader-word-layer reader-word-s2-17"/>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700">
    <w:name w:val="xl48"/>
    <w:basedOn w:val="1"/>
    <w:qFormat/>
    <w:uiPriority w:val="0"/>
    <w:pPr>
      <w:widowControl/>
      <w:spacing w:before="100" w:beforeAutospacing="1" w:after="100" w:afterAutospacing="1"/>
      <w:jc w:val="left"/>
      <w:textAlignment w:val="center"/>
    </w:pPr>
    <w:rPr>
      <w:rFonts w:ascii="宋体" w:hAnsi="宋体"/>
      <w:kern w:val="0"/>
      <w:sz w:val="24"/>
      <w:szCs w:val="24"/>
    </w:rPr>
  </w:style>
  <w:style w:type="paragraph" w:customStyle="1" w:styleId="1701">
    <w:name w:val="*cs10 additive Default P"/>
    <w:qFormat/>
    <w:uiPriority w:val="0"/>
    <w:pPr>
      <w:widowControl w:val="0"/>
      <w:adjustRightInd w:val="0"/>
      <w:snapToGrid w:val="0"/>
      <w:jc w:val="center"/>
      <w:textAlignment w:val="baseline"/>
    </w:pPr>
    <w:rPr>
      <w:rFonts w:ascii="Calibri" w:hAnsi="Calibri" w:eastAsia="黑体" w:cs="Times New Roman"/>
      <w:b/>
      <w:sz w:val="21"/>
      <w:lang w:val="en-US" w:eastAsia="zh-CN" w:bidi="ar-SA"/>
    </w:rPr>
  </w:style>
  <w:style w:type="paragraph" w:customStyle="1" w:styleId="1702">
    <w:name w:val="et60"/>
    <w:basedOn w:val="1"/>
    <w:qFormat/>
    <w:uiPriority w:val="0"/>
    <w:pPr>
      <w:widowControl/>
      <w:spacing w:before="100" w:beforeAutospacing="1" w:after="100" w:afterAutospacing="1"/>
      <w:jc w:val="left"/>
      <w:textAlignment w:val="bottom"/>
    </w:pPr>
    <w:rPr>
      <w:rFonts w:ascii="Times New Roman" w:hAnsi="Times New Roman"/>
      <w:color w:val="000000"/>
      <w:kern w:val="0"/>
      <w:sz w:val="24"/>
      <w:szCs w:val="24"/>
    </w:rPr>
  </w:style>
  <w:style w:type="paragraph" w:customStyle="1" w:styleId="1703">
    <w:name w:val="标题 3 New"/>
    <w:basedOn w:val="1"/>
    <w:next w:val="1"/>
    <w:qFormat/>
    <w:uiPriority w:val="0"/>
    <w:pPr>
      <w:keepNext/>
      <w:keepLines/>
      <w:spacing w:before="260" w:after="260" w:line="413" w:lineRule="auto"/>
      <w:outlineLvl w:val="2"/>
    </w:pPr>
    <w:rPr>
      <w:rFonts w:ascii="Times New Roman" w:hAnsi="Times New Roman"/>
      <w:b/>
      <w:bCs/>
      <w:spacing w:val="-2"/>
      <w:kern w:val="0"/>
      <w:sz w:val="32"/>
      <w:szCs w:val="32"/>
    </w:rPr>
  </w:style>
  <w:style w:type="paragraph" w:customStyle="1" w:styleId="1704">
    <w:name w:val="样式22"/>
    <w:basedOn w:val="1"/>
    <w:qFormat/>
    <w:uiPriority w:val="0"/>
    <w:pPr>
      <w:adjustRightInd w:val="0"/>
      <w:snapToGrid w:val="0"/>
      <w:spacing w:line="360" w:lineRule="auto"/>
      <w:ind w:firstLine="480" w:firstLineChars="200"/>
    </w:pPr>
    <w:rPr>
      <w:rFonts w:ascii="Times New Roman" w:hAnsi="Times New Roman"/>
      <w:spacing w:val="-2"/>
      <w:kern w:val="0"/>
      <w:sz w:val="24"/>
      <w:szCs w:val="20"/>
    </w:rPr>
  </w:style>
  <w:style w:type="paragraph" w:customStyle="1" w:styleId="1705">
    <w:name w:val="Char1 Char Char Char Char Char Char Char Char Char Char Char Char11"/>
    <w:basedOn w:val="1"/>
    <w:qFormat/>
    <w:uiPriority w:val="0"/>
    <w:pPr>
      <w:spacing w:line="360" w:lineRule="auto"/>
      <w:ind w:firstLine="200" w:firstLineChars="200"/>
    </w:pPr>
    <w:rPr>
      <w:rFonts w:ascii="宋体" w:hAnsi="宋体" w:cs="宋体"/>
      <w:spacing w:val="-2"/>
      <w:kern w:val="0"/>
      <w:sz w:val="24"/>
      <w:szCs w:val="20"/>
    </w:rPr>
  </w:style>
  <w:style w:type="paragraph" w:customStyle="1" w:styleId="1706">
    <w:name w:val="正文 New New New New New New New New New New New New New New New New New New New New New New New New New New New New New New New New New New New New New New New New New New New New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1707">
    <w:name w:val="reader-word-layer reader-word-s1-1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708">
    <w:name w:val="表中正文"/>
    <w:basedOn w:val="1"/>
    <w:qFormat/>
    <w:uiPriority w:val="0"/>
    <w:pPr>
      <w:autoSpaceDE w:val="0"/>
      <w:autoSpaceDN w:val="0"/>
      <w:adjustRightInd w:val="0"/>
      <w:snapToGrid w:val="0"/>
      <w:spacing w:line="300" w:lineRule="atLeast"/>
    </w:pPr>
    <w:rPr>
      <w:rFonts w:ascii="宋体" w:hAnsi="Times New Roman"/>
      <w:sz w:val="24"/>
      <w:szCs w:val="20"/>
    </w:rPr>
  </w:style>
  <w:style w:type="paragraph" w:customStyle="1" w:styleId="1709">
    <w:name w:val="正文文本缩进4"/>
    <w:basedOn w:val="1"/>
    <w:qFormat/>
    <w:uiPriority w:val="0"/>
    <w:pPr>
      <w:spacing w:line="520" w:lineRule="exact"/>
      <w:ind w:firstLine="540"/>
    </w:pPr>
    <w:rPr>
      <w:rFonts w:ascii="Times New Roman" w:hAnsi="Times New Roman"/>
      <w:sz w:val="28"/>
      <w:szCs w:val="28"/>
    </w:rPr>
  </w:style>
  <w:style w:type="paragraph" w:customStyle="1" w:styleId="1710">
    <w:name w:val="样式 标题 1标题 11一、My title1章名章标题 1h11st levelSection Headl1..."/>
    <w:basedOn w:val="4"/>
    <w:qFormat/>
    <w:uiPriority w:val="0"/>
    <w:pPr>
      <w:spacing w:before="240" w:after="240" w:line="500" w:lineRule="exact"/>
      <w:outlineLvl w:val="2"/>
    </w:pPr>
    <w:rPr>
      <w:rFonts w:cs="宋体"/>
      <w:color w:val="000000"/>
      <w:sz w:val="24"/>
      <w:szCs w:val="20"/>
    </w:rPr>
  </w:style>
  <w:style w:type="paragraph" w:customStyle="1" w:styleId="1711">
    <w:name w:val="样式11"/>
    <w:basedOn w:val="1"/>
    <w:qFormat/>
    <w:uiPriority w:val="0"/>
    <w:pPr>
      <w:keepNext/>
      <w:keepLines/>
      <w:tabs>
        <w:tab w:val="left" w:pos="720"/>
      </w:tabs>
      <w:spacing w:before="156" w:beforeLines="50" w:after="156" w:afterLines="50" w:line="360" w:lineRule="auto"/>
      <w:ind w:left="1680" w:hanging="420"/>
      <w:outlineLvl w:val="3"/>
    </w:pPr>
    <w:rPr>
      <w:rFonts w:ascii="Times New Roman" w:hAnsi="Times New Roman"/>
      <w:sz w:val="24"/>
      <w:szCs w:val="28"/>
    </w:rPr>
  </w:style>
  <w:style w:type="paragraph" w:customStyle="1" w:styleId="1712">
    <w:name w:val="xl40"/>
    <w:basedOn w:val="1"/>
    <w:qFormat/>
    <w:uiPriority w:val="0"/>
    <w:pPr>
      <w:widowControl/>
      <w:pBdr>
        <w:bottom w:val="single" w:color="auto" w:sz="8" w:space="0"/>
      </w:pBdr>
      <w:spacing w:before="100" w:after="100"/>
      <w:jc w:val="center"/>
    </w:pPr>
    <w:rPr>
      <w:rFonts w:ascii="宋体" w:hAnsi="Times New Roman"/>
      <w:kern w:val="0"/>
      <w:sz w:val="24"/>
      <w:szCs w:val="20"/>
    </w:rPr>
  </w:style>
  <w:style w:type="paragraph" w:customStyle="1" w:styleId="1713">
    <w:name w:val="普通(网站)1"/>
    <w:basedOn w:val="1"/>
    <w:qFormat/>
    <w:uiPriority w:val="0"/>
    <w:pPr>
      <w:widowControl/>
      <w:spacing w:before="100" w:beforeAutospacing="1" w:after="100" w:afterAutospacing="1" w:line="529" w:lineRule="exact"/>
      <w:ind w:firstLine="200" w:firstLineChars="200"/>
      <w:jc w:val="left"/>
    </w:pPr>
    <w:rPr>
      <w:rFonts w:ascii="宋体" w:hAnsi="宋体"/>
      <w:kern w:val="0"/>
      <w:sz w:val="24"/>
      <w:szCs w:val="24"/>
    </w:rPr>
  </w:style>
  <w:style w:type="paragraph" w:customStyle="1" w:styleId="1714">
    <w:name w:val="xl1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715">
    <w:name w:val="reader-word-layer reader-word-s1-2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716">
    <w:name w:val="標準（日本語）"/>
    <w:basedOn w:val="1"/>
    <w:qFormat/>
    <w:uiPriority w:val="0"/>
    <w:pPr>
      <w:overflowPunct w:val="0"/>
      <w:adjustRightInd w:val="0"/>
      <w:spacing w:afterLines="50" w:line="360" w:lineRule="auto"/>
      <w:ind w:firstLine="465"/>
    </w:pPr>
    <w:rPr>
      <w:rFonts w:ascii="Times New Roman" w:hAnsi="Times New Roman" w:eastAsia="MS Mincho"/>
      <w:kern w:val="0"/>
      <w:sz w:val="24"/>
      <w:szCs w:val="20"/>
      <w:lang w:eastAsia="ja-JP"/>
    </w:rPr>
  </w:style>
  <w:style w:type="paragraph" w:customStyle="1" w:styleId="1717">
    <w:name w:val="et56"/>
    <w:basedOn w:val="1"/>
    <w:qFormat/>
    <w:uiPriority w:val="0"/>
    <w:pPr>
      <w:widowControl/>
      <w:spacing w:before="100" w:beforeAutospacing="1" w:after="100" w:afterAutospacing="1"/>
      <w:jc w:val="left"/>
      <w:textAlignment w:val="bottom"/>
    </w:pPr>
    <w:rPr>
      <w:rFonts w:ascii="Times New Roman" w:hAnsi="Times New Roman"/>
      <w:color w:val="000000"/>
      <w:kern w:val="0"/>
      <w:sz w:val="24"/>
      <w:szCs w:val="24"/>
    </w:rPr>
  </w:style>
  <w:style w:type="paragraph" w:customStyle="1" w:styleId="1718">
    <w:name w:val="称呼6"/>
    <w:basedOn w:val="1"/>
    <w:next w:val="1"/>
    <w:qFormat/>
    <w:uiPriority w:val="0"/>
    <w:rPr>
      <w:rFonts w:ascii="Times New Roman" w:hAnsi="Times New Roman"/>
      <w:kern w:val="0"/>
      <w:szCs w:val="24"/>
    </w:rPr>
  </w:style>
  <w:style w:type="paragraph" w:customStyle="1" w:styleId="1719">
    <w:name w:val="日期1"/>
    <w:basedOn w:val="1"/>
    <w:next w:val="1"/>
    <w:qFormat/>
    <w:uiPriority w:val="0"/>
    <w:pPr>
      <w:autoSpaceDE w:val="0"/>
      <w:autoSpaceDN w:val="0"/>
      <w:adjustRightInd w:val="0"/>
      <w:textAlignment w:val="baseline"/>
    </w:pPr>
    <w:rPr>
      <w:rFonts w:ascii="Times New Roman" w:hAnsi="Times New Roman"/>
      <w:spacing w:val="5"/>
      <w:kern w:val="0"/>
      <w:sz w:val="24"/>
      <w:szCs w:val="20"/>
    </w:rPr>
  </w:style>
  <w:style w:type="paragraph" w:customStyle="1" w:styleId="1720">
    <w:name w:val="et18"/>
    <w:basedOn w:val="1"/>
    <w:qFormat/>
    <w:uiPriority w:val="0"/>
    <w:pPr>
      <w:widowControl/>
      <w:spacing w:before="100" w:beforeAutospacing="1" w:after="100" w:afterAutospacing="1"/>
      <w:jc w:val="left"/>
      <w:textAlignment w:val="bottom"/>
    </w:pPr>
    <w:rPr>
      <w:rFonts w:ascii="Times New Roman" w:hAnsi="Times New Roman"/>
      <w:color w:val="000000"/>
      <w:kern w:val="0"/>
      <w:sz w:val="24"/>
      <w:szCs w:val="24"/>
    </w:rPr>
  </w:style>
  <w:style w:type="paragraph" w:customStyle="1" w:styleId="1721">
    <w:name w:val="Char Char Char Char Char Char Char Char Char Char Char Char Char Char Char Char2"/>
    <w:basedOn w:val="1"/>
    <w:qFormat/>
    <w:uiPriority w:val="0"/>
    <w:pPr>
      <w:spacing w:line="360" w:lineRule="auto"/>
      <w:ind w:firstLine="200" w:firstLineChars="200"/>
    </w:pPr>
    <w:rPr>
      <w:rFonts w:ascii="宋体" w:hAnsi="宋体" w:cs="宋体"/>
      <w:spacing w:val="-2"/>
      <w:kern w:val="0"/>
      <w:sz w:val="24"/>
      <w:szCs w:val="20"/>
    </w:rPr>
  </w:style>
  <w:style w:type="paragraph" w:customStyle="1" w:styleId="1722">
    <w:name w:val="样式 标题 4条标题1.1.1标题 yjm3标题zsc3条标题1.1.1 Char Char条标题1.1.1 Char..."/>
    <w:basedOn w:val="7"/>
    <w:qFormat/>
    <w:uiPriority w:val="0"/>
    <w:rPr>
      <w:rFonts w:eastAsia="宋体"/>
      <w:bCs w:val="0"/>
    </w:rPr>
  </w:style>
  <w:style w:type="paragraph" w:customStyle="1" w:styleId="1723">
    <w:name w:val="Char14"/>
    <w:basedOn w:val="1"/>
    <w:next w:val="1"/>
    <w:qFormat/>
    <w:uiPriority w:val="0"/>
    <w:pPr>
      <w:spacing w:line="360" w:lineRule="auto"/>
      <w:ind w:firstLine="200" w:firstLineChars="200"/>
    </w:pPr>
    <w:rPr>
      <w:rFonts w:ascii="宋体" w:hAnsi="宋体" w:cs="宋体"/>
      <w:sz w:val="24"/>
      <w:szCs w:val="24"/>
    </w:rPr>
  </w:style>
  <w:style w:type="paragraph" w:customStyle="1" w:styleId="1724">
    <w:name w:val="Char Char14 Char Char Char Char Char Char Char Char Char Char Char Char Char Char Char Char Char Char Char Char Char Char Char Char Char Char Char Char"/>
    <w:basedOn w:val="1"/>
    <w:next w:val="1"/>
    <w:qFormat/>
    <w:uiPriority w:val="0"/>
    <w:rPr>
      <w:rFonts w:ascii="新宋体" w:hAnsi="新宋体" w:eastAsia="仿宋_GB2312" w:cs="新宋体"/>
      <w:szCs w:val="24"/>
    </w:rPr>
  </w:style>
  <w:style w:type="paragraph" w:customStyle="1" w:styleId="1725">
    <w:name w:val="标题02"/>
    <w:basedOn w:val="5"/>
    <w:next w:val="6"/>
    <w:qFormat/>
    <w:uiPriority w:val="0"/>
    <w:pPr>
      <w:tabs>
        <w:tab w:val="left" w:pos="576"/>
      </w:tabs>
      <w:adjustRightInd w:val="0"/>
      <w:snapToGrid w:val="0"/>
      <w:ind w:left="576" w:hanging="576"/>
      <w:jc w:val="left"/>
    </w:pPr>
    <w:rPr>
      <w:kern w:val="0"/>
      <w:szCs w:val="28"/>
    </w:rPr>
  </w:style>
  <w:style w:type="paragraph" w:customStyle="1" w:styleId="1726">
    <w:name w:val="正文 New New New New New New New New New New New New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1727">
    <w:name w:val="正文文本缩进 23"/>
    <w:basedOn w:val="1"/>
    <w:qFormat/>
    <w:uiPriority w:val="0"/>
    <w:pPr>
      <w:spacing w:after="120" w:line="480" w:lineRule="auto"/>
      <w:ind w:left="420" w:leftChars="200" w:firstLine="200" w:firstLineChars="200"/>
    </w:pPr>
  </w:style>
  <w:style w:type="paragraph" w:customStyle="1" w:styleId="1728">
    <w:name w:val="et59"/>
    <w:basedOn w:val="1"/>
    <w:qFormat/>
    <w:uiPriority w:val="0"/>
    <w:pPr>
      <w:widowControl/>
      <w:spacing w:before="100" w:beforeAutospacing="1" w:after="100" w:afterAutospacing="1"/>
      <w:jc w:val="left"/>
      <w:textAlignment w:val="bottom"/>
    </w:pPr>
    <w:rPr>
      <w:rFonts w:ascii="Times New Roman" w:hAnsi="Times New Roman"/>
      <w:color w:val="000000"/>
      <w:kern w:val="0"/>
      <w:sz w:val="24"/>
      <w:szCs w:val="24"/>
    </w:rPr>
  </w:style>
  <w:style w:type="paragraph" w:customStyle="1" w:styleId="1729">
    <w:name w:val="正文文本 34"/>
    <w:basedOn w:val="1"/>
    <w:qFormat/>
    <w:uiPriority w:val="0"/>
    <w:pPr>
      <w:jc w:val="center"/>
    </w:pPr>
    <w:rPr>
      <w:rFonts w:ascii="Times New Roman" w:hAnsi="Times New Roman"/>
      <w:kern w:val="0"/>
      <w:sz w:val="20"/>
      <w:szCs w:val="20"/>
    </w:rPr>
  </w:style>
  <w:style w:type="paragraph" w:customStyle="1" w:styleId="1730">
    <w:name w:val="日期5"/>
    <w:basedOn w:val="1"/>
    <w:next w:val="1"/>
    <w:qFormat/>
    <w:uiPriority w:val="0"/>
    <w:pPr>
      <w:autoSpaceDE w:val="0"/>
      <w:autoSpaceDN w:val="0"/>
      <w:adjustRightInd w:val="0"/>
      <w:textAlignment w:val="baseline"/>
    </w:pPr>
    <w:rPr>
      <w:rFonts w:ascii="Times New Roman" w:hAnsi="Times New Roman"/>
      <w:spacing w:val="5"/>
      <w:kern w:val="0"/>
      <w:sz w:val="24"/>
      <w:szCs w:val="20"/>
    </w:rPr>
  </w:style>
  <w:style w:type="paragraph" w:customStyle="1" w:styleId="1731">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kern w:val="0"/>
      <w:sz w:val="22"/>
    </w:rPr>
  </w:style>
  <w:style w:type="paragraph" w:customStyle="1" w:styleId="1732">
    <w:name w:val="日期4"/>
    <w:basedOn w:val="1"/>
    <w:next w:val="1"/>
    <w:qFormat/>
    <w:uiPriority w:val="0"/>
    <w:pPr>
      <w:autoSpaceDE w:val="0"/>
      <w:autoSpaceDN w:val="0"/>
      <w:adjustRightInd w:val="0"/>
      <w:textAlignment w:val="baseline"/>
    </w:pPr>
    <w:rPr>
      <w:rFonts w:ascii="Times New Roman" w:hAnsi="Times New Roman"/>
      <w:spacing w:val="5"/>
      <w:kern w:val="0"/>
      <w:sz w:val="24"/>
      <w:szCs w:val="20"/>
    </w:rPr>
  </w:style>
  <w:style w:type="paragraph" w:customStyle="1" w:styleId="1733">
    <w:name w:val="reader-word-layer reader-word-s1-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734">
    <w:name w:val="et45"/>
    <w:basedOn w:val="1"/>
    <w:qFormat/>
    <w:uiPriority w:val="0"/>
    <w:pPr>
      <w:widowControl/>
      <w:spacing w:before="100" w:beforeAutospacing="1" w:after="100" w:afterAutospacing="1"/>
      <w:jc w:val="left"/>
      <w:textAlignment w:val="bottom"/>
    </w:pPr>
    <w:rPr>
      <w:rFonts w:ascii="Times New Roman" w:hAnsi="Times New Roman"/>
      <w:color w:val="000000"/>
      <w:kern w:val="0"/>
      <w:sz w:val="24"/>
      <w:szCs w:val="24"/>
    </w:rPr>
  </w:style>
  <w:style w:type="paragraph" w:customStyle="1" w:styleId="1735">
    <w:name w:val="reader-word-layer reader-word-s6-6"/>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736">
    <w:name w:val="font9"/>
    <w:basedOn w:val="1"/>
    <w:qFormat/>
    <w:uiPriority w:val="0"/>
    <w:pPr>
      <w:widowControl/>
      <w:spacing w:before="100" w:beforeAutospacing="1" w:after="100" w:afterAutospacing="1"/>
      <w:jc w:val="left"/>
    </w:pPr>
    <w:rPr>
      <w:rFonts w:ascii="Times New Roman" w:hAnsi="Times New Roman"/>
      <w:kern w:val="0"/>
      <w:sz w:val="20"/>
      <w:szCs w:val="20"/>
    </w:rPr>
  </w:style>
  <w:style w:type="paragraph" w:customStyle="1" w:styleId="1737">
    <w:name w:val="503定义正文"/>
    <w:basedOn w:val="1"/>
    <w:qFormat/>
    <w:uiPriority w:val="0"/>
    <w:pPr>
      <w:adjustRightInd w:val="0"/>
      <w:snapToGrid w:val="0"/>
      <w:spacing w:line="360" w:lineRule="auto"/>
      <w:ind w:firstLine="200" w:firstLineChars="200"/>
    </w:pPr>
    <w:rPr>
      <w:rFonts w:ascii="Times New Roman" w:hAnsi="Times New Roman" w:eastAsia="Verdana"/>
      <w:sz w:val="24"/>
      <w:szCs w:val="24"/>
    </w:rPr>
  </w:style>
  <w:style w:type="paragraph" w:customStyle="1" w:styleId="1738">
    <w:name w:val="xl52"/>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kern w:val="0"/>
      <w:sz w:val="24"/>
      <w:szCs w:val="24"/>
    </w:rPr>
  </w:style>
  <w:style w:type="paragraph" w:customStyle="1" w:styleId="1739">
    <w:name w:val="font8"/>
    <w:basedOn w:val="1"/>
    <w:qFormat/>
    <w:uiPriority w:val="0"/>
    <w:pPr>
      <w:widowControl/>
      <w:spacing w:before="100" w:beforeAutospacing="1" w:after="100" w:afterAutospacing="1"/>
      <w:jc w:val="left"/>
    </w:pPr>
    <w:rPr>
      <w:rFonts w:hint="eastAsia" w:ascii="宋体" w:hAnsi="宋体"/>
      <w:kern w:val="0"/>
      <w:sz w:val="20"/>
      <w:szCs w:val="20"/>
    </w:rPr>
  </w:style>
  <w:style w:type="paragraph" w:customStyle="1" w:styleId="1740">
    <w:name w:val="样式155"/>
    <w:basedOn w:val="1"/>
    <w:qFormat/>
    <w:uiPriority w:val="0"/>
    <w:pPr>
      <w:spacing w:line="360" w:lineRule="auto"/>
      <w:ind w:right="-40"/>
      <w:jc w:val="center"/>
    </w:pPr>
    <w:rPr>
      <w:rFonts w:ascii="宋体" w:hAnsi="宋体"/>
      <w:b/>
      <w:bCs/>
      <w:szCs w:val="21"/>
    </w:rPr>
  </w:style>
  <w:style w:type="paragraph" w:customStyle="1" w:styleId="1741">
    <w:name w:val="一级"/>
    <w:basedOn w:val="1"/>
    <w:qFormat/>
    <w:uiPriority w:val="0"/>
    <w:pPr>
      <w:spacing w:line="600" w:lineRule="exact"/>
    </w:pPr>
    <w:rPr>
      <w:rFonts w:ascii="Times New Roman" w:hAnsi="Times New Roman"/>
      <w:b/>
      <w:bCs/>
      <w:sz w:val="32"/>
      <w:szCs w:val="24"/>
    </w:rPr>
  </w:style>
  <w:style w:type="paragraph" w:customStyle="1" w:styleId="1742">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kern w:val="0"/>
      <w:sz w:val="22"/>
    </w:rPr>
  </w:style>
  <w:style w:type="paragraph" w:customStyle="1" w:styleId="1743">
    <w:name w:val="dxj表后"/>
    <w:basedOn w:val="1019"/>
    <w:qFormat/>
    <w:uiPriority w:val="0"/>
    <w:pPr>
      <w:keepLines/>
      <w:spacing w:line="280" w:lineRule="exact"/>
      <w:ind w:firstLine="0" w:firstLineChars="0"/>
    </w:pPr>
    <w:rPr>
      <w:sz w:val="18"/>
    </w:rPr>
  </w:style>
  <w:style w:type="paragraph" w:customStyle="1" w:styleId="1744">
    <w:name w:val="1 Char Char Char Char Char Char Char Char Char Char Char Char Char Char Char Char Char Char Char Char Char Char"/>
    <w:basedOn w:val="1"/>
    <w:qFormat/>
    <w:uiPriority w:val="0"/>
    <w:rPr>
      <w:rFonts w:ascii="Times New Roman" w:hAnsi="Times New Roman"/>
      <w:szCs w:val="24"/>
    </w:rPr>
  </w:style>
  <w:style w:type="paragraph" w:customStyle="1" w:styleId="1745">
    <w:name w:val="表格文字 New New"/>
    <w:basedOn w:val="1"/>
    <w:qFormat/>
    <w:uiPriority w:val="0"/>
    <w:pPr>
      <w:jc w:val="center"/>
    </w:pPr>
    <w:rPr>
      <w:rFonts w:ascii="Times New Roman" w:hAnsi="Times New Roman"/>
      <w:spacing w:val="-2"/>
      <w:kern w:val="0"/>
      <w:sz w:val="24"/>
      <w:szCs w:val="20"/>
    </w:rPr>
  </w:style>
  <w:style w:type="paragraph" w:customStyle="1" w:styleId="1746">
    <w:name w:val="表注"/>
    <w:qFormat/>
    <w:uiPriority w:val="0"/>
    <w:pPr>
      <w:adjustRightInd w:val="0"/>
    </w:pPr>
    <w:rPr>
      <w:rFonts w:ascii="Calibri" w:hAnsi="Calibri" w:eastAsia="宋体" w:cs="Times New Roman"/>
      <w:kern w:val="15"/>
      <w:sz w:val="15"/>
      <w:lang w:val="en-US" w:eastAsia="zh-CN" w:bidi="ar-SA"/>
    </w:rPr>
  </w:style>
  <w:style w:type="paragraph" w:customStyle="1" w:styleId="1747">
    <w:name w:val="et87"/>
    <w:basedOn w:val="1"/>
    <w:qFormat/>
    <w:uiPriority w:val="0"/>
    <w:pPr>
      <w:widowControl/>
      <w:spacing w:before="100" w:beforeAutospacing="1" w:after="100" w:afterAutospacing="1"/>
      <w:jc w:val="left"/>
      <w:textAlignment w:val="bottom"/>
    </w:pPr>
    <w:rPr>
      <w:rFonts w:ascii="Times New Roman" w:hAnsi="Times New Roman"/>
      <w:color w:val="000000"/>
      <w:kern w:val="0"/>
      <w:sz w:val="24"/>
      <w:szCs w:val="24"/>
    </w:rPr>
  </w:style>
  <w:style w:type="paragraph" w:customStyle="1" w:styleId="1748">
    <w:name w:val="xl100"/>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1749">
    <w:name w:val="正文 New New New New New New New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1750">
    <w:name w:val="Char Char111"/>
    <w:basedOn w:val="1"/>
    <w:qFormat/>
    <w:uiPriority w:val="0"/>
    <w:pPr>
      <w:tabs>
        <w:tab w:val="left" w:pos="632"/>
      </w:tabs>
      <w:spacing w:line="360" w:lineRule="auto"/>
      <w:ind w:left="632" w:hanging="432"/>
    </w:pPr>
    <w:rPr>
      <w:rFonts w:ascii="宋体" w:hAnsi="宋体" w:cs="宋体"/>
      <w:sz w:val="24"/>
      <w:szCs w:val="24"/>
    </w:rPr>
  </w:style>
  <w:style w:type="paragraph" w:customStyle="1" w:styleId="1751">
    <w:name w:val="et23"/>
    <w:basedOn w:val="1"/>
    <w:qFormat/>
    <w:uiPriority w:val="0"/>
    <w:pPr>
      <w:widowControl/>
      <w:spacing w:before="100" w:beforeAutospacing="1" w:after="100" w:afterAutospacing="1"/>
      <w:jc w:val="left"/>
      <w:textAlignment w:val="bottom"/>
    </w:pPr>
    <w:rPr>
      <w:rFonts w:ascii="宋体" w:hAnsi="宋体" w:cs="宋体"/>
      <w:color w:val="000000"/>
      <w:kern w:val="0"/>
      <w:sz w:val="24"/>
      <w:szCs w:val="24"/>
    </w:rPr>
  </w:style>
  <w:style w:type="paragraph" w:customStyle="1" w:styleId="1752">
    <w:name w:val="索引标题5"/>
    <w:basedOn w:val="1"/>
    <w:next w:val="1625"/>
    <w:qFormat/>
    <w:uiPriority w:val="0"/>
    <w:rPr>
      <w:rFonts w:ascii="宋体" w:hAnsi="宋体"/>
      <w:w w:val="90"/>
      <w:kern w:val="0"/>
      <w:sz w:val="28"/>
      <w:szCs w:val="24"/>
    </w:rPr>
  </w:style>
  <w:style w:type="paragraph" w:customStyle="1" w:styleId="1753">
    <w:name w:val="4"/>
    <w:basedOn w:val="1"/>
    <w:next w:val="2"/>
    <w:qFormat/>
    <w:uiPriority w:val="0"/>
    <w:pPr>
      <w:spacing w:line="300" w:lineRule="auto"/>
      <w:ind w:firstLine="480" w:firstLineChars="200"/>
    </w:pPr>
    <w:rPr>
      <w:rFonts w:ascii="Times New Roman" w:hAnsi="Times New Roman"/>
      <w:sz w:val="24"/>
      <w:szCs w:val="20"/>
    </w:rPr>
  </w:style>
  <w:style w:type="paragraph" w:customStyle="1" w:styleId="1754">
    <w:name w:val="一级条标题"/>
    <w:next w:val="1"/>
    <w:qFormat/>
    <w:uiPriority w:val="0"/>
    <w:pPr>
      <w:tabs>
        <w:tab w:val="left" w:pos="1747"/>
      </w:tabs>
      <w:ind w:left="1747" w:hanging="420"/>
      <w:outlineLvl w:val="2"/>
    </w:pPr>
    <w:rPr>
      <w:rFonts w:ascii="Calibri" w:hAnsi="Calibri" w:eastAsia="黑体" w:cs="Times New Roman"/>
      <w:sz w:val="21"/>
      <w:lang w:val="en-US" w:eastAsia="zh-CN" w:bidi="ar-SA"/>
    </w:rPr>
  </w:style>
  <w:style w:type="paragraph" w:customStyle="1" w:styleId="1755">
    <w:name w:val="_Style 62"/>
    <w:basedOn w:val="1"/>
    <w:qFormat/>
    <w:uiPriority w:val="0"/>
    <w:pPr>
      <w:adjustRightInd w:val="0"/>
      <w:spacing w:line="360" w:lineRule="atLeast"/>
      <w:jc w:val="left"/>
      <w:textAlignment w:val="baseline"/>
    </w:pPr>
    <w:rPr>
      <w:sz w:val="28"/>
      <w:szCs w:val="28"/>
    </w:rPr>
  </w:style>
  <w:style w:type="paragraph" w:customStyle="1" w:styleId="1756">
    <w:name w:val="xl605"/>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pPr>
    <w:rPr>
      <w:rFonts w:ascii="宋体" w:hAnsi="宋体" w:cs="宋体"/>
      <w:kern w:val="0"/>
      <w:sz w:val="24"/>
      <w:szCs w:val="24"/>
    </w:rPr>
  </w:style>
  <w:style w:type="paragraph" w:customStyle="1" w:styleId="1757">
    <w:name w:val="正文缩进 New"/>
    <w:basedOn w:val="1"/>
    <w:qFormat/>
    <w:uiPriority w:val="0"/>
    <w:pPr>
      <w:spacing w:line="520" w:lineRule="exact"/>
    </w:pPr>
    <w:rPr>
      <w:rFonts w:ascii="Times New Roman" w:hAnsi="Times New Roman"/>
      <w:spacing w:val="-2"/>
      <w:kern w:val="0"/>
      <w:sz w:val="28"/>
      <w:szCs w:val="20"/>
    </w:rPr>
  </w:style>
  <w:style w:type="paragraph" w:customStyle="1" w:styleId="1758">
    <w:name w:val="纯文本5"/>
    <w:basedOn w:val="1"/>
    <w:qFormat/>
    <w:uiPriority w:val="0"/>
    <w:pPr>
      <w:spacing w:line="500" w:lineRule="exact"/>
      <w:ind w:firstLine="200" w:firstLineChars="200"/>
    </w:pPr>
    <w:rPr>
      <w:rFonts w:ascii="宋体" w:hAnsi="Courier New"/>
      <w:kern w:val="0"/>
      <w:sz w:val="20"/>
      <w:szCs w:val="21"/>
      <w:lang w:val="zh-CN"/>
    </w:rPr>
  </w:style>
  <w:style w:type="paragraph" w:customStyle="1" w:styleId="1759">
    <w:name w:val="Char Char2 Char Char Char Char11"/>
    <w:basedOn w:val="1"/>
    <w:qFormat/>
    <w:uiPriority w:val="0"/>
    <w:pPr>
      <w:spacing w:line="360" w:lineRule="auto"/>
      <w:ind w:firstLine="200" w:firstLineChars="200"/>
    </w:pPr>
    <w:rPr>
      <w:rFonts w:eastAsia="仿宋_GB2312"/>
      <w:sz w:val="28"/>
      <w:szCs w:val="28"/>
    </w:rPr>
  </w:style>
  <w:style w:type="paragraph" w:customStyle="1" w:styleId="1760">
    <w:name w:val="普通(网站)3"/>
    <w:basedOn w:val="1"/>
    <w:qFormat/>
    <w:uiPriority w:val="0"/>
    <w:pPr>
      <w:widowControl/>
      <w:spacing w:before="100" w:beforeAutospacing="1" w:after="100" w:afterAutospacing="1" w:line="529" w:lineRule="exact"/>
      <w:ind w:firstLine="200" w:firstLineChars="200"/>
      <w:jc w:val="left"/>
    </w:pPr>
    <w:rPr>
      <w:rFonts w:ascii="宋体" w:hAnsi="宋体"/>
      <w:kern w:val="0"/>
      <w:sz w:val="24"/>
      <w:szCs w:val="24"/>
    </w:rPr>
  </w:style>
  <w:style w:type="paragraph" w:customStyle="1" w:styleId="1761">
    <w:name w:val="特殊标题３"/>
    <w:basedOn w:val="1"/>
    <w:qFormat/>
    <w:uiPriority w:val="0"/>
    <w:pPr>
      <w:overflowPunct w:val="0"/>
      <w:autoSpaceDE w:val="0"/>
      <w:autoSpaceDN w:val="0"/>
      <w:adjustRightInd w:val="0"/>
      <w:spacing w:line="360" w:lineRule="auto"/>
    </w:pPr>
    <w:rPr>
      <w:rFonts w:ascii="Times New Roman" w:hAnsi="Times New Roman" w:eastAsia="仿宋_GB2312"/>
      <w:kern w:val="0"/>
      <w:sz w:val="28"/>
      <w:szCs w:val="20"/>
    </w:rPr>
  </w:style>
  <w:style w:type="paragraph" w:customStyle="1" w:styleId="1762">
    <w:name w:val="二级标题 Char Char Char"/>
    <w:basedOn w:val="1"/>
    <w:next w:val="1"/>
    <w:qFormat/>
    <w:uiPriority w:val="0"/>
    <w:pPr>
      <w:spacing w:line="529" w:lineRule="exact"/>
      <w:ind w:firstLine="200" w:firstLineChars="200"/>
    </w:pPr>
    <w:rPr>
      <w:rFonts w:ascii="宋体" w:hAnsi="宋体" w:cs="宋体"/>
      <w:sz w:val="24"/>
      <w:szCs w:val="24"/>
    </w:rPr>
  </w:style>
  <w:style w:type="paragraph" w:customStyle="1" w:styleId="1763">
    <w:name w:val="正文首行缩进2"/>
    <w:basedOn w:val="34"/>
    <w:qFormat/>
    <w:uiPriority w:val="0"/>
    <w:pPr>
      <w:spacing w:line="360" w:lineRule="auto"/>
      <w:ind w:firstLine="420" w:firstLineChars="100"/>
    </w:pPr>
    <w:rPr>
      <w:rFonts w:ascii="Times New Roman" w:hAnsi="Times New Roman"/>
      <w:kern w:val="0"/>
      <w:sz w:val="24"/>
      <w:szCs w:val="24"/>
      <w:lang w:val="zh-CN"/>
    </w:rPr>
  </w:style>
  <w:style w:type="paragraph" w:customStyle="1" w:styleId="1764">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Arial Unicode MS"/>
      <w:color w:val="FF0000"/>
      <w:kern w:val="0"/>
      <w:szCs w:val="21"/>
    </w:rPr>
  </w:style>
  <w:style w:type="paragraph" w:customStyle="1" w:styleId="1765">
    <w:name w:val="6"/>
    <w:basedOn w:val="1"/>
    <w:next w:val="35"/>
    <w:qFormat/>
    <w:uiPriority w:val="0"/>
    <w:pPr>
      <w:spacing w:line="360" w:lineRule="auto"/>
      <w:ind w:firstLine="332" w:firstLineChars="100"/>
    </w:pPr>
    <w:rPr>
      <w:rFonts w:ascii="Times New Roman" w:hAnsi="Times New Roman"/>
      <w:spacing w:val="26"/>
      <w:sz w:val="28"/>
      <w:szCs w:val="28"/>
    </w:rPr>
  </w:style>
  <w:style w:type="paragraph" w:customStyle="1" w:styleId="1766">
    <w:name w:val="无间隔5"/>
    <w:qFormat/>
    <w:uiPriority w:val="0"/>
    <w:rPr>
      <w:rFonts w:ascii="Calibri" w:hAnsi="Calibri" w:eastAsia="宋体" w:cs="Times New Roman"/>
      <w:sz w:val="22"/>
      <w:lang w:val="en-US" w:eastAsia="zh-CN" w:bidi="ar-SA"/>
    </w:rPr>
  </w:style>
  <w:style w:type="paragraph" w:customStyle="1" w:styleId="1767">
    <w:name w:val="Char Char Char Char Char Char1 Char1 Char Char Char Char Char Char1"/>
    <w:basedOn w:val="1"/>
    <w:qFormat/>
    <w:uiPriority w:val="0"/>
    <w:pPr>
      <w:ind w:left="510"/>
    </w:pPr>
    <w:rPr>
      <w:rFonts w:ascii="Times New Roman" w:hAnsi="Times New Roman"/>
      <w:szCs w:val="21"/>
    </w:rPr>
  </w:style>
  <w:style w:type="paragraph" w:customStyle="1" w:styleId="1768">
    <w:name w:val="图表头"/>
    <w:basedOn w:val="1"/>
    <w:qFormat/>
    <w:uiPriority w:val="0"/>
    <w:pPr>
      <w:adjustRightInd w:val="0"/>
      <w:spacing w:line="360" w:lineRule="auto"/>
      <w:jc w:val="center"/>
      <w:textAlignment w:val="baseline"/>
    </w:pPr>
    <w:rPr>
      <w:rFonts w:ascii="黑体" w:hAnsi="Times New Roman" w:eastAsia="黑体"/>
      <w:spacing w:val="5"/>
      <w:kern w:val="0"/>
      <w:szCs w:val="20"/>
    </w:rPr>
  </w:style>
  <w:style w:type="paragraph" w:customStyle="1" w:styleId="1769">
    <w:name w:val="明显引用11"/>
    <w:basedOn w:val="1"/>
    <w:next w:val="1"/>
    <w:qFormat/>
    <w:uiPriority w:val="0"/>
    <w:pPr>
      <w:widowControl/>
      <w:pBdr>
        <w:bottom w:val="single" w:color="4F81BD" w:sz="4" w:space="4"/>
      </w:pBdr>
      <w:spacing w:before="200" w:after="280" w:line="276" w:lineRule="auto"/>
      <w:ind w:left="936" w:right="936"/>
      <w:jc w:val="left"/>
    </w:pPr>
    <w:rPr>
      <w:b/>
      <w:bCs/>
      <w:i/>
      <w:iCs/>
      <w:color w:val="4F81BD"/>
      <w:kern w:val="0"/>
      <w:sz w:val="22"/>
      <w:szCs w:val="24"/>
      <w:lang w:eastAsia="en-US"/>
    </w:rPr>
  </w:style>
  <w:style w:type="paragraph" w:customStyle="1" w:styleId="1770">
    <w:name w:val="页脚 New New New"/>
    <w:basedOn w:val="1"/>
    <w:qFormat/>
    <w:uiPriority w:val="0"/>
    <w:pPr>
      <w:tabs>
        <w:tab w:val="center" w:pos="4153"/>
        <w:tab w:val="right" w:pos="8306"/>
      </w:tabs>
      <w:snapToGrid w:val="0"/>
      <w:jc w:val="left"/>
    </w:pPr>
    <w:rPr>
      <w:rFonts w:ascii="Times New Roman" w:hAnsi="Times New Roman"/>
      <w:spacing w:val="-2"/>
      <w:kern w:val="0"/>
      <w:sz w:val="18"/>
      <w:szCs w:val="18"/>
    </w:rPr>
  </w:style>
  <w:style w:type="paragraph" w:customStyle="1" w:styleId="1771">
    <w:name w:val="图表号及标题"/>
    <w:basedOn w:val="2"/>
    <w:qFormat/>
    <w:uiPriority w:val="0"/>
    <w:pPr>
      <w:spacing w:line="500" w:lineRule="exact"/>
      <w:ind w:firstLine="0"/>
      <w:jc w:val="center"/>
    </w:pPr>
    <w:rPr>
      <w:rFonts w:ascii="黑体" w:hAnsi="宋体" w:eastAsia="黑体"/>
      <w:sz w:val="24"/>
    </w:rPr>
  </w:style>
  <w:style w:type="paragraph" w:customStyle="1" w:styleId="1772">
    <w:name w:val="样式 黑体 小四 加粗 行距: 固定值 20 磅1"/>
    <w:basedOn w:val="1"/>
    <w:qFormat/>
    <w:uiPriority w:val="0"/>
    <w:pPr>
      <w:spacing w:line="400" w:lineRule="exact"/>
    </w:pPr>
    <w:rPr>
      <w:rFonts w:ascii="黑体" w:hAnsi="Times New Roman" w:eastAsia="黑体" w:cs="宋体"/>
      <w:b/>
      <w:bCs/>
      <w:sz w:val="28"/>
      <w:szCs w:val="20"/>
    </w:rPr>
  </w:style>
  <w:style w:type="paragraph" w:customStyle="1" w:styleId="1773">
    <w:name w:val="reader-word-layer reader-word-s1-5"/>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774">
    <w:name w:val="正文文本缩进3"/>
    <w:basedOn w:val="1"/>
    <w:qFormat/>
    <w:uiPriority w:val="0"/>
    <w:pPr>
      <w:spacing w:line="520" w:lineRule="exact"/>
      <w:ind w:firstLine="540"/>
    </w:pPr>
    <w:rPr>
      <w:rFonts w:ascii="Times New Roman" w:hAnsi="Times New Roman"/>
      <w:sz w:val="28"/>
      <w:szCs w:val="28"/>
    </w:rPr>
  </w:style>
  <w:style w:type="paragraph" w:customStyle="1" w:styleId="1775">
    <w:name w:val="font6"/>
    <w:basedOn w:val="1"/>
    <w:qFormat/>
    <w:uiPriority w:val="0"/>
    <w:pPr>
      <w:widowControl/>
      <w:spacing w:before="100" w:beforeAutospacing="1" w:after="100" w:afterAutospacing="1"/>
      <w:jc w:val="left"/>
    </w:pPr>
    <w:rPr>
      <w:rFonts w:hint="eastAsia" w:ascii="宋体" w:hAnsi="宋体"/>
      <w:b/>
      <w:bCs/>
      <w:kern w:val="0"/>
      <w:sz w:val="36"/>
      <w:szCs w:val="36"/>
    </w:rPr>
  </w:style>
  <w:style w:type="paragraph" w:customStyle="1" w:styleId="1776">
    <w:name w:val="正文文本2"/>
    <w:basedOn w:val="1"/>
    <w:qFormat/>
    <w:uiPriority w:val="0"/>
    <w:pPr>
      <w:spacing w:before="100" w:after="120" w:line="400" w:lineRule="exact"/>
    </w:pPr>
    <w:rPr>
      <w:rFonts w:ascii="Times New Roman" w:hAnsi="Times New Roman"/>
      <w:sz w:val="24"/>
      <w:szCs w:val="24"/>
    </w:rPr>
  </w:style>
  <w:style w:type="paragraph" w:customStyle="1" w:styleId="1777">
    <w:name w:val="正文 New New New New New New New New New New New New New New New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1778">
    <w:name w:val="xl2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top"/>
    </w:pPr>
    <w:rPr>
      <w:rFonts w:ascii="宋体" w:hAnsi="宋体"/>
      <w:kern w:val="0"/>
      <w:szCs w:val="21"/>
    </w:rPr>
  </w:style>
  <w:style w:type="paragraph" w:customStyle="1" w:styleId="1779">
    <w:name w:val="xl34"/>
    <w:basedOn w:val="1"/>
    <w:qFormat/>
    <w:uiPriority w:val="0"/>
    <w:pPr>
      <w:widowControl/>
      <w:spacing w:before="100" w:beforeAutospacing="1" w:after="100" w:afterAutospacing="1"/>
      <w:jc w:val="left"/>
    </w:pPr>
    <w:rPr>
      <w:rFonts w:ascii="Times New Roman" w:hAnsi="Times New Roman" w:eastAsia="Arial Unicode MS"/>
      <w:color w:val="0000FF"/>
      <w:kern w:val="0"/>
      <w:sz w:val="24"/>
      <w:szCs w:val="24"/>
    </w:rPr>
  </w:style>
  <w:style w:type="paragraph" w:customStyle="1" w:styleId="1780">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kern w:val="0"/>
      <w:sz w:val="22"/>
    </w:rPr>
  </w:style>
  <w:style w:type="paragraph" w:customStyle="1" w:styleId="1781">
    <w:name w:val="页眉 New New New New New New New New New"/>
    <w:basedOn w:val="1"/>
    <w:qFormat/>
    <w:uiPriority w:val="0"/>
    <w:pPr>
      <w:pBdr>
        <w:bottom w:val="single" w:color="auto" w:sz="6" w:space="1"/>
      </w:pBdr>
      <w:tabs>
        <w:tab w:val="center" w:pos="4153"/>
        <w:tab w:val="right" w:pos="8306"/>
      </w:tabs>
      <w:snapToGrid w:val="0"/>
      <w:jc w:val="center"/>
    </w:pPr>
    <w:rPr>
      <w:rFonts w:ascii="Times New Roman" w:hAnsi="Times New Roman"/>
      <w:spacing w:val="-2"/>
      <w:kern w:val="0"/>
      <w:sz w:val="18"/>
      <w:szCs w:val="18"/>
    </w:rPr>
  </w:style>
  <w:style w:type="paragraph" w:customStyle="1" w:styleId="1782">
    <w:name w:val="Normal New New New New"/>
    <w:qFormat/>
    <w:uiPriority w:val="0"/>
    <w:pPr>
      <w:jc w:val="both"/>
    </w:pPr>
    <w:rPr>
      <w:rFonts w:ascii="Calibri" w:hAnsi="Calibri" w:eastAsia="宋体" w:cs="Times New Roman"/>
      <w:kern w:val="2"/>
      <w:sz w:val="21"/>
      <w:lang w:val="en-US" w:eastAsia="zh-CN" w:bidi="ar-SA"/>
    </w:rPr>
  </w:style>
  <w:style w:type="paragraph" w:customStyle="1" w:styleId="1783">
    <w:name w:val="Char Char11"/>
    <w:basedOn w:val="1"/>
    <w:qFormat/>
    <w:uiPriority w:val="0"/>
    <w:pPr>
      <w:tabs>
        <w:tab w:val="left" w:pos="632"/>
      </w:tabs>
      <w:spacing w:line="360" w:lineRule="auto"/>
      <w:ind w:left="632" w:hanging="432"/>
    </w:pPr>
    <w:rPr>
      <w:rFonts w:ascii="宋体" w:hAnsi="宋体" w:cs="宋体"/>
      <w:sz w:val="24"/>
      <w:szCs w:val="24"/>
    </w:rPr>
  </w:style>
  <w:style w:type="paragraph" w:customStyle="1" w:styleId="1784">
    <w:name w:val="正文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1785">
    <w:name w:val="xl631"/>
    <w:basedOn w:val="1"/>
    <w:qFormat/>
    <w:uiPriority w:val="0"/>
    <w:pPr>
      <w:widowControl/>
      <w:pBdr>
        <w:top w:val="single" w:color="auto" w:sz="12" w:space="0"/>
        <w:left w:val="single" w:color="auto" w:sz="12" w:space="0"/>
        <w:right w:val="single" w:color="auto" w:sz="8" w:space="0"/>
      </w:pBdr>
      <w:spacing w:before="100" w:beforeAutospacing="1" w:after="100" w:afterAutospacing="1"/>
      <w:jc w:val="center"/>
    </w:pPr>
    <w:rPr>
      <w:rFonts w:ascii="宋体" w:hAnsi="宋体" w:cs="宋体"/>
      <w:b/>
      <w:bCs/>
      <w:kern w:val="0"/>
      <w:szCs w:val="21"/>
    </w:rPr>
  </w:style>
  <w:style w:type="paragraph" w:customStyle="1" w:styleId="1786">
    <w:name w:val="正文 New New New New New New New New New New New New New New New New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1787">
    <w:name w:val="Char41"/>
    <w:basedOn w:val="1"/>
    <w:qFormat/>
    <w:uiPriority w:val="0"/>
    <w:pPr>
      <w:spacing w:line="360" w:lineRule="auto"/>
      <w:ind w:firstLine="200" w:firstLineChars="200"/>
    </w:pPr>
    <w:rPr>
      <w:rFonts w:ascii="宋体" w:hAnsi="宋体" w:cs="宋体"/>
      <w:sz w:val="24"/>
      <w:szCs w:val="24"/>
    </w:rPr>
  </w:style>
  <w:style w:type="paragraph" w:customStyle="1" w:styleId="1788">
    <w:name w:val="reader-word-layer reader-word-s6-2"/>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789">
    <w:name w:val="Char312"/>
    <w:basedOn w:val="26"/>
    <w:qFormat/>
    <w:uiPriority w:val="0"/>
    <w:pPr>
      <w:spacing w:line="360" w:lineRule="auto"/>
    </w:pPr>
    <w:rPr>
      <w:rFonts w:ascii="Tahoma" w:hAnsi="Tahoma"/>
      <w:kern w:val="0"/>
    </w:rPr>
  </w:style>
  <w:style w:type="paragraph" w:customStyle="1" w:styleId="1790">
    <w:name w:val="Char1 Char Char Char Char Char Char3"/>
    <w:basedOn w:val="4"/>
    <w:qFormat/>
    <w:uiPriority w:val="0"/>
    <w:pPr>
      <w:keepLines w:val="0"/>
      <w:autoSpaceDE w:val="0"/>
      <w:autoSpaceDN w:val="0"/>
      <w:adjustRightInd w:val="0"/>
      <w:snapToGrid w:val="0"/>
      <w:spacing w:before="312" w:beforeLines="100" w:after="312" w:afterLines="100" w:line="480" w:lineRule="auto"/>
    </w:pPr>
    <w:rPr>
      <w:rFonts w:ascii="宋体" w:hAnsi="宋体"/>
      <w:bCs w:val="0"/>
      <w:color w:val="FF0000"/>
      <w:kern w:val="2"/>
      <w:sz w:val="32"/>
      <w:szCs w:val="24"/>
    </w:rPr>
  </w:style>
  <w:style w:type="paragraph" w:customStyle="1" w:styleId="1791">
    <w:name w:val="xl606"/>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pPr>
    <w:rPr>
      <w:rFonts w:ascii="Times New Roman" w:hAnsi="Times New Roman"/>
      <w:kern w:val="0"/>
      <w:sz w:val="24"/>
      <w:szCs w:val="24"/>
    </w:rPr>
  </w:style>
  <w:style w:type="paragraph" w:customStyle="1" w:styleId="1792">
    <w:name w:val="正文8"/>
    <w:basedOn w:val="34"/>
    <w:qFormat/>
    <w:uiPriority w:val="0"/>
    <w:pPr>
      <w:spacing w:after="0" w:line="360" w:lineRule="auto"/>
      <w:ind w:firstLine="200" w:firstLineChars="200"/>
    </w:pPr>
    <w:rPr>
      <w:rFonts w:ascii="Times New Roman" w:hAnsi="Times New Roman"/>
      <w:kern w:val="0"/>
      <w:sz w:val="24"/>
      <w:szCs w:val="24"/>
    </w:rPr>
  </w:style>
  <w:style w:type="paragraph" w:customStyle="1" w:styleId="1793">
    <w:name w:val="样式 样式 标题 4标题 14 + 自动设置 + 无下划线"/>
    <w:basedOn w:val="1406"/>
    <w:qFormat/>
    <w:uiPriority w:val="0"/>
    <w:pPr>
      <w:tabs>
        <w:tab w:val="left" w:pos="1680"/>
      </w:tabs>
      <w:ind w:left="1680" w:hanging="420"/>
    </w:pPr>
    <w:rPr>
      <w:u w:val="none"/>
    </w:rPr>
  </w:style>
  <w:style w:type="paragraph" w:customStyle="1" w:styleId="1794">
    <w:name w:val="标题 2 New New"/>
    <w:basedOn w:val="1"/>
    <w:next w:val="1"/>
    <w:qFormat/>
    <w:uiPriority w:val="0"/>
    <w:pPr>
      <w:keepNext/>
      <w:keepLines/>
      <w:spacing w:before="260" w:after="260" w:line="413" w:lineRule="auto"/>
      <w:outlineLvl w:val="1"/>
    </w:pPr>
    <w:rPr>
      <w:rFonts w:ascii="Arial" w:hAnsi="Arial" w:eastAsia="黑体"/>
      <w:b/>
      <w:bCs/>
      <w:spacing w:val="-2"/>
      <w:kern w:val="0"/>
      <w:sz w:val="32"/>
      <w:szCs w:val="32"/>
    </w:rPr>
  </w:style>
  <w:style w:type="paragraph" w:customStyle="1" w:styleId="1795">
    <w:name w:val="Char Char Char Char Char Char Char Char Char1 Char Char Char Char Char Char Char Char Char Char12"/>
    <w:basedOn w:val="1"/>
    <w:qFormat/>
    <w:uiPriority w:val="0"/>
    <w:rPr>
      <w:rFonts w:ascii="宋体" w:hAnsi="宋体" w:cs="Courier New"/>
      <w:sz w:val="32"/>
      <w:szCs w:val="32"/>
    </w:rPr>
  </w:style>
  <w:style w:type="paragraph" w:customStyle="1" w:styleId="1796">
    <w:name w:val="样式 正文首行缩进:  2 字符 + 首行缩进:  2 字符"/>
    <w:basedOn w:val="1"/>
    <w:qFormat/>
    <w:uiPriority w:val="0"/>
    <w:pPr>
      <w:spacing w:line="360" w:lineRule="auto"/>
      <w:ind w:firstLine="480" w:firstLineChars="200"/>
    </w:pPr>
    <w:rPr>
      <w:rFonts w:ascii="Times New Roman" w:hAnsi="Times New Roman" w:cs="宋体"/>
      <w:sz w:val="24"/>
      <w:szCs w:val="20"/>
    </w:rPr>
  </w:style>
  <w:style w:type="paragraph" w:customStyle="1" w:styleId="1797">
    <w:name w:val="Char4"/>
    <w:basedOn w:val="1"/>
    <w:qFormat/>
    <w:uiPriority w:val="0"/>
    <w:pPr>
      <w:spacing w:line="360" w:lineRule="auto"/>
      <w:ind w:firstLine="200" w:firstLineChars="200"/>
    </w:pPr>
    <w:rPr>
      <w:rFonts w:ascii="宋体" w:hAnsi="宋体" w:cs="宋体"/>
      <w:sz w:val="24"/>
      <w:szCs w:val="24"/>
    </w:rPr>
  </w:style>
  <w:style w:type="paragraph" w:customStyle="1" w:styleId="1798">
    <w:name w:val="目录3"/>
    <w:basedOn w:val="1"/>
    <w:next w:val="1"/>
    <w:qFormat/>
    <w:uiPriority w:val="0"/>
    <w:pPr>
      <w:widowControl/>
      <w:tabs>
        <w:tab w:val="left" w:leader="dot" w:pos="8503"/>
      </w:tabs>
      <w:spacing w:line="317" w:lineRule="atLeast"/>
      <w:ind w:left="419" w:firstLine="419"/>
      <w:textAlignment w:val="baseline"/>
    </w:pPr>
    <w:rPr>
      <w:rFonts w:ascii="Times New Roman" w:hAnsi="Times New Roman"/>
      <w:color w:val="000000"/>
      <w:kern w:val="0"/>
      <w:szCs w:val="20"/>
    </w:rPr>
  </w:style>
  <w:style w:type="paragraph" w:customStyle="1" w:styleId="1799">
    <w:name w:val="页脚 New New New New New New New New New New New New New New New New New New New New New New New"/>
    <w:basedOn w:val="1"/>
    <w:qFormat/>
    <w:uiPriority w:val="0"/>
    <w:pPr>
      <w:tabs>
        <w:tab w:val="center" w:pos="4153"/>
        <w:tab w:val="right" w:pos="8306"/>
      </w:tabs>
      <w:snapToGrid w:val="0"/>
      <w:jc w:val="left"/>
    </w:pPr>
    <w:rPr>
      <w:rFonts w:ascii="Times New Roman" w:hAnsi="Times New Roman"/>
      <w:spacing w:val="-2"/>
      <w:kern w:val="0"/>
      <w:sz w:val="18"/>
      <w:szCs w:val="18"/>
    </w:rPr>
  </w:style>
  <w:style w:type="paragraph" w:customStyle="1" w:styleId="1800">
    <w:name w:val="正文缩进8"/>
    <w:basedOn w:val="1"/>
    <w:qFormat/>
    <w:uiPriority w:val="0"/>
    <w:pPr>
      <w:ind w:firstLine="420"/>
    </w:pPr>
    <w:rPr>
      <w:rFonts w:ascii="Times New Roman" w:hAnsi="Times New Roman"/>
      <w:kern w:val="0"/>
      <w:sz w:val="28"/>
      <w:szCs w:val="28"/>
    </w:rPr>
  </w:style>
  <w:style w:type="paragraph" w:customStyle="1" w:styleId="1801">
    <w:name w:val="CM3"/>
    <w:basedOn w:val="1"/>
    <w:next w:val="1"/>
    <w:qFormat/>
    <w:uiPriority w:val="0"/>
    <w:pPr>
      <w:autoSpaceDE w:val="0"/>
      <w:autoSpaceDN w:val="0"/>
      <w:adjustRightInd w:val="0"/>
      <w:spacing w:line="468" w:lineRule="atLeast"/>
      <w:jc w:val="left"/>
    </w:pPr>
    <w:rPr>
      <w:rFonts w:ascii="Times New Roman" w:hAnsi="Times New Roman"/>
      <w:kern w:val="0"/>
      <w:sz w:val="24"/>
      <w:szCs w:val="24"/>
    </w:rPr>
  </w:style>
  <w:style w:type="paragraph" w:customStyle="1" w:styleId="1802">
    <w:name w:val="样式 标题 2标题节标题 2 Char Char + 段前: 2 行"/>
    <w:basedOn w:val="5"/>
    <w:next w:val="1"/>
    <w:qFormat/>
    <w:uiPriority w:val="0"/>
    <w:pPr>
      <w:adjustRightInd w:val="0"/>
      <w:snapToGrid w:val="0"/>
      <w:spacing w:before="156" w:beforeLines="50" w:line="460" w:lineRule="exact"/>
      <w:ind w:firstLine="200" w:firstLineChars="200"/>
    </w:pPr>
    <w:rPr>
      <w:rFonts w:cs="Arial"/>
      <w:bCs w:val="0"/>
      <w:sz w:val="26"/>
      <w:szCs w:val="20"/>
    </w:rPr>
  </w:style>
  <w:style w:type="paragraph" w:customStyle="1" w:styleId="1803">
    <w:name w:val="xl635"/>
    <w:basedOn w:val="1"/>
    <w:qFormat/>
    <w:uiPriority w:val="0"/>
    <w:pPr>
      <w:widowControl/>
      <w:pBdr>
        <w:right w:val="single" w:color="auto" w:sz="12" w:space="0"/>
      </w:pBdr>
      <w:spacing w:before="100" w:beforeAutospacing="1" w:after="100" w:afterAutospacing="1"/>
      <w:jc w:val="left"/>
    </w:pPr>
    <w:rPr>
      <w:rFonts w:ascii="宋体" w:hAnsi="宋体" w:cs="宋体"/>
      <w:kern w:val="0"/>
      <w:sz w:val="24"/>
      <w:szCs w:val="24"/>
    </w:rPr>
  </w:style>
  <w:style w:type="paragraph" w:customStyle="1" w:styleId="1804">
    <w:name w:val="xl93"/>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1805">
    <w:name w:val="明显引用1"/>
    <w:basedOn w:val="1"/>
    <w:next w:val="1"/>
    <w:qFormat/>
    <w:uiPriority w:val="30"/>
    <w:pPr>
      <w:widowControl/>
      <w:pBdr>
        <w:bottom w:val="single" w:color="4F81BD" w:sz="4" w:space="4"/>
      </w:pBdr>
      <w:spacing w:before="200" w:after="280" w:line="276" w:lineRule="auto"/>
      <w:ind w:left="936" w:right="936"/>
      <w:jc w:val="left"/>
    </w:pPr>
    <w:rPr>
      <w:b/>
      <w:bCs/>
      <w:i/>
      <w:iCs/>
      <w:color w:val="4F81BD"/>
      <w:kern w:val="0"/>
      <w:sz w:val="22"/>
      <w:szCs w:val="24"/>
      <w:lang w:eastAsia="en-US"/>
    </w:rPr>
  </w:style>
  <w:style w:type="paragraph" w:customStyle="1" w:styleId="1806">
    <w:name w:val="样式 纯文本 + (西文) Times New Roman (中文) 黑体 四号 加粗2"/>
    <w:basedOn w:val="5"/>
    <w:qFormat/>
    <w:uiPriority w:val="0"/>
    <w:pPr>
      <w:spacing w:line="240" w:lineRule="auto"/>
    </w:pPr>
    <w:rPr>
      <w:rFonts w:cs="宋体"/>
      <w:spacing w:val="14"/>
      <w:kern w:val="0"/>
      <w:szCs w:val="20"/>
    </w:rPr>
  </w:style>
  <w:style w:type="paragraph" w:customStyle="1" w:styleId="1807">
    <w:name w:val="页眉 New New New New New New New New"/>
    <w:basedOn w:val="1"/>
    <w:qFormat/>
    <w:uiPriority w:val="0"/>
    <w:pPr>
      <w:pBdr>
        <w:bottom w:val="single" w:color="auto" w:sz="6" w:space="1"/>
      </w:pBdr>
      <w:tabs>
        <w:tab w:val="center" w:pos="4153"/>
        <w:tab w:val="right" w:pos="8306"/>
      </w:tabs>
      <w:snapToGrid w:val="0"/>
      <w:jc w:val="center"/>
    </w:pPr>
    <w:rPr>
      <w:rFonts w:ascii="Times New Roman" w:hAnsi="Times New Roman"/>
      <w:spacing w:val="-2"/>
      <w:kern w:val="0"/>
      <w:sz w:val="18"/>
      <w:szCs w:val="18"/>
    </w:rPr>
  </w:style>
  <w:style w:type="paragraph" w:customStyle="1" w:styleId="1808">
    <w:name w:val="HTML 预设格式4"/>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szCs w:val="24"/>
    </w:rPr>
  </w:style>
  <w:style w:type="paragraph" w:customStyle="1" w:styleId="1809">
    <w:name w:val="标题 3 New New New"/>
    <w:basedOn w:val="1532"/>
    <w:next w:val="1532"/>
    <w:qFormat/>
    <w:uiPriority w:val="0"/>
    <w:pPr>
      <w:keepNext/>
      <w:keepLines/>
      <w:spacing w:before="260" w:after="260" w:line="413" w:lineRule="auto"/>
      <w:outlineLvl w:val="2"/>
    </w:pPr>
    <w:rPr>
      <w:b/>
      <w:bCs/>
      <w:sz w:val="32"/>
      <w:szCs w:val="32"/>
    </w:rPr>
  </w:style>
  <w:style w:type="paragraph" w:customStyle="1" w:styleId="1810">
    <w:name w:val="样式 四号 首行缩进:  1.01 厘米 行距: 固定值 25 磅"/>
    <w:basedOn w:val="1"/>
    <w:qFormat/>
    <w:uiPriority w:val="0"/>
    <w:pPr>
      <w:spacing w:line="500" w:lineRule="exact"/>
      <w:ind w:firstLine="200" w:firstLineChars="200"/>
    </w:pPr>
    <w:rPr>
      <w:rFonts w:hint="eastAsia" w:ascii="Times New Roman" w:hAnsi="Times New Roman" w:cs="宋体"/>
      <w:sz w:val="28"/>
      <w:szCs w:val="20"/>
    </w:rPr>
  </w:style>
  <w:style w:type="paragraph" w:customStyle="1" w:styleId="1811">
    <w:name w:val="reader-word-layer reader-word-s1-13"/>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812">
    <w:name w:val="15正文"/>
    <w:qFormat/>
    <w:uiPriority w:val="0"/>
    <w:pPr>
      <w:spacing w:line="300" w:lineRule="exact"/>
    </w:pPr>
    <w:rPr>
      <w:rFonts w:ascii="Calibri" w:hAnsi="Calibri" w:eastAsia="宋体" w:cs="Times New Roman"/>
      <w:kern w:val="44"/>
      <w:sz w:val="24"/>
      <w:szCs w:val="44"/>
      <w:lang w:val="en-US" w:eastAsia="zh-CN" w:bidi="ar-SA"/>
    </w:rPr>
  </w:style>
  <w:style w:type="paragraph" w:customStyle="1" w:styleId="1813">
    <w:name w:val="样式 标题 3标题 13 + (中文) 宋体 小四 行距: 1.5 倍行距"/>
    <w:basedOn w:val="6"/>
    <w:qFormat/>
    <w:uiPriority w:val="0"/>
    <w:pPr>
      <w:keepLines w:val="0"/>
    </w:pPr>
    <w:rPr>
      <w:rFonts w:cs="宋体"/>
      <w:szCs w:val="20"/>
    </w:rPr>
  </w:style>
  <w:style w:type="paragraph" w:customStyle="1" w:styleId="1814">
    <w:name w:val="标题3 Char Char Char Char"/>
    <w:basedOn w:val="1"/>
    <w:next w:val="1"/>
    <w:qFormat/>
    <w:uiPriority w:val="0"/>
    <w:rPr>
      <w:rFonts w:ascii="Arial" w:hAnsi="Arial" w:cs="Arial"/>
      <w:color w:val="FF0000"/>
      <w:szCs w:val="21"/>
    </w:rPr>
  </w:style>
  <w:style w:type="paragraph" w:customStyle="1" w:styleId="1815">
    <w:name w:val="新正文1"/>
    <w:basedOn w:val="35"/>
    <w:qFormat/>
    <w:uiPriority w:val="0"/>
    <w:pPr>
      <w:spacing w:line="440" w:lineRule="exact"/>
      <w:ind w:firstLine="200"/>
    </w:pPr>
  </w:style>
  <w:style w:type="paragraph" w:customStyle="1" w:styleId="1816">
    <w:name w:val="国函"/>
    <w:next w:val="1"/>
    <w:qFormat/>
    <w:uiPriority w:val="0"/>
    <w:pPr>
      <w:adjustRightInd w:val="0"/>
      <w:spacing w:after="300"/>
      <w:jc w:val="center"/>
    </w:pPr>
    <w:rPr>
      <w:rFonts w:ascii="Calibri" w:hAnsi="Calibri" w:eastAsia="楷体_GB2312" w:cs="Times New Roman"/>
      <w:lang w:val="en-US" w:eastAsia="zh-CN" w:bidi="ar-SA"/>
    </w:rPr>
  </w:style>
  <w:style w:type="paragraph" w:customStyle="1" w:styleId="1817">
    <w:name w:val="样式 标题 4 + (西文) Times New Roman (中文) 宋体 小四 非加粗"/>
    <w:basedOn w:val="7"/>
    <w:qFormat/>
    <w:uiPriority w:val="0"/>
    <w:pPr>
      <w:spacing w:line="500" w:lineRule="exact"/>
    </w:pPr>
    <w:rPr>
      <w:rFonts w:eastAsia="宋体"/>
      <w:bCs w:val="0"/>
    </w:rPr>
  </w:style>
  <w:style w:type="paragraph" w:customStyle="1" w:styleId="1818">
    <w:name w:val="表、图名宋旭峰"/>
    <w:basedOn w:val="1"/>
    <w:qFormat/>
    <w:uiPriority w:val="0"/>
    <w:pPr>
      <w:spacing w:beforeLines="50" w:afterLines="50" w:line="360" w:lineRule="auto"/>
      <w:ind w:firstLine="420" w:firstLineChars="200"/>
      <w:jc w:val="center"/>
    </w:pPr>
    <w:rPr>
      <w:rFonts w:ascii="Times New Roman" w:hAnsi="宋体" w:eastAsia="黑体"/>
      <w:color w:val="000000"/>
      <w:kern w:val="24"/>
      <w:sz w:val="24"/>
      <w:szCs w:val="21"/>
    </w:rPr>
  </w:style>
  <w:style w:type="paragraph" w:customStyle="1" w:styleId="1819">
    <w:name w:val="et51"/>
    <w:basedOn w:val="1"/>
    <w:qFormat/>
    <w:uiPriority w:val="0"/>
    <w:pPr>
      <w:widowControl/>
      <w:spacing w:before="100" w:beforeAutospacing="1" w:after="100" w:afterAutospacing="1"/>
      <w:jc w:val="left"/>
      <w:textAlignment w:val="bottom"/>
    </w:pPr>
    <w:rPr>
      <w:rFonts w:ascii="Times New Roman" w:hAnsi="Times New Roman"/>
      <w:color w:val="000000"/>
      <w:kern w:val="0"/>
      <w:sz w:val="24"/>
      <w:szCs w:val="24"/>
    </w:rPr>
  </w:style>
  <w:style w:type="paragraph" w:customStyle="1" w:styleId="1820">
    <w:name w:val="样式 宋体 10 磅 左"/>
    <w:basedOn w:val="1"/>
    <w:qFormat/>
    <w:uiPriority w:val="0"/>
    <w:pPr>
      <w:spacing w:line="460" w:lineRule="exact"/>
      <w:ind w:firstLine="360" w:firstLineChars="150"/>
      <w:jc w:val="left"/>
    </w:pPr>
    <w:rPr>
      <w:rFonts w:ascii="宋体" w:hAnsi="宋体"/>
      <w:kern w:val="0"/>
      <w:sz w:val="24"/>
      <w:szCs w:val="20"/>
    </w:rPr>
  </w:style>
  <w:style w:type="paragraph" w:customStyle="1" w:styleId="1821">
    <w:name w:val="文章大标题"/>
    <w:basedOn w:val="1"/>
    <w:qFormat/>
    <w:uiPriority w:val="0"/>
    <w:pPr>
      <w:spacing w:before="312" w:beforeLines="100" w:after="312" w:afterLines="100" w:line="520" w:lineRule="exact"/>
      <w:jc w:val="center"/>
      <w:outlineLvl w:val="0"/>
    </w:pPr>
    <w:rPr>
      <w:rFonts w:ascii="Times New Roman" w:hAnsi="Times New Roman" w:eastAsia="黑体" w:cs="宋体"/>
      <w:sz w:val="36"/>
      <w:szCs w:val="20"/>
    </w:rPr>
  </w:style>
  <w:style w:type="paragraph" w:customStyle="1" w:styleId="1822">
    <w:name w:val="Char Char1 Char Char Char Char Char Char Char Char Char Char Char Char Char Char Char Char Char Char"/>
    <w:basedOn w:val="1"/>
    <w:semiHidden/>
    <w:qFormat/>
    <w:uiPriority w:val="0"/>
    <w:pPr>
      <w:spacing w:line="360" w:lineRule="auto"/>
      <w:ind w:firstLine="200" w:firstLineChars="200"/>
    </w:pPr>
    <w:rPr>
      <w:rFonts w:ascii="宋体" w:hAnsi="宋体" w:cs="宋体"/>
      <w:sz w:val="24"/>
      <w:szCs w:val="24"/>
    </w:rPr>
  </w:style>
  <w:style w:type="paragraph" w:customStyle="1" w:styleId="1823">
    <w:name w:val="8"/>
    <w:basedOn w:val="1"/>
    <w:next w:val="70"/>
    <w:qFormat/>
    <w:uiPriority w:val="0"/>
    <w:pPr>
      <w:spacing w:line="360" w:lineRule="auto"/>
      <w:ind w:firstLine="425"/>
    </w:pPr>
    <w:rPr>
      <w:rFonts w:ascii="Times New Roman" w:hAnsi="Times New Roman"/>
      <w:sz w:val="24"/>
      <w:szCs w:val="20"/>
    </w:rPr>
  </w:style>
  <w:style w:type="paragraph" w:customStyle="1" w:styleId="1824">
    <w:name w:val="p17"/>
    <w:basedOn w:val="1"/>
    <w:qFormat/>
    <w:uiPriority w:val="0"/>
    <w:pPr>
      <w:widowControl/>
    </w:pPr>
    <w:rPr>
      <w:rFonts w:ascii="Times New Roman" w:hAnsi="Times New Roman"/>
      <w:spacing w:val="-2"/>
      <w:kern w:val="0"/>
      <w:sz w:val="24"/>
      <w:szCs w:val="20"/>
    </w:rPr>
  </w:style>
  <w:style w:type="paragraph" w:customStyle="1" w:styleId="1825">
    <w:name w:val="Char Char Char Char Char Char Char Char Char Char Char Char Char Char Char Char Char Char Char Char Char Char11"/>
    <w:basedOn w:val="1"/>
    <w:next w:val="1"/>
    <w:qFormat/>
    <w:uiPriority w:val="0"/>
    <w:pPr>
      <w:spacing w:line="360" w:lineRule="auto"/>
      <w:ind w:firstLine="200" w:firstLineChars="200"/>
    </w:pPr>
    <w:rPr>
      <w:rFonts w:ascii="宋体" w:hAnsi="宋体" w:cs="宋体"/>
      <w:sz w:val="24"/>
      <w:szCs w:val="24"/>
    </w:rPr>
  </w:style>
  <w:style w:type="paragraph" w:customStyle="1" w:styleId="1826">
    <w:name w:val="TOC 标题111"/>
    <w:basedOn w:val="4"/>
    <w:next w:val="1"/>
    <w:unhideWhenUsed/>
    <w:qFormat/>
    <w:uiPriority w:val="0"/>
    <w:pPr>
      <w:spacing w:line="578" w:lineRule="auto"/>
      <w:ind w:firstLine="200" w:firstLineChars="200"/>
      <w:outlineLvl w:val="9"/>
    </w:pPr>
  </w:style>
  <w:style w:type="paragraph" w:customStyle="1" w:styleId="1827">
    <w:name w:val="reader-word-layer reader-word-s2-18"/>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828">
    <w:name w:val="正文1"/>
    <w:basedOn w:val="34"/>
    <w:qFormat/>
    <w:uiPriority w:val="0"/>
    <w:pPr>
      <w:spacing w:after="0" w:line="360" w:lineRule="auto"/>
      <w:ind w:firstLine="200" w:firstLineChars="200"/>
    </w:pPr>
    <w:rPr>
      <w:sz w:val="24"/>
      <w:szCs w:val="24"/>
    </w:rPr>
  </w:style>
  <w:style w:type="paragraph" w:customStyle="1" w:styleId="1829">
    <w:name w:val="报告"/>
    <w:basedOn w:val="1"/>
    <w:qFormat/>
    <w:uiPriority w:val="0"/>
    <w:pPr>
      <w:adjustRightInd w:val="0"/>
      <w:spacing w:line="360" w:lineRule="auto"/>
      <w:ind w:firstLine="505"/>
      <w:textAlignment w:val="center"/>
    </w:pPr>
    <w:rPr>
      <w:rFonts w:ascii="TimesNewRoman" w:hAnsi="TimesNewRoman"/>
      <w:kern w:val="0"/>
      <w:sz w:val="24"/>
      <w:szCs w:val="20"/>
    </w:rPr>
  </w:style>
  <w:style w:type="paragraph" w:customStyle="1" w:styleId="1830">
    <w:name w:val="样式 标题 2标题 21标题 121H2SeHead wsa2标题 1.1 + 小三 非加粗 段前: 12.5..."/>
    <w:basedOn w:val="5"/>
    <w:qFormat/>
    <w:uiPriority w:val="0"/>
    <w:pPr>
      <w:tabs>
        <w:tab w:val="left" w:pos="238"/>
      </w:tabs>
      <w:spacing w:before="120" w:line="415" w:lineRule="auto"/>
      <w:ind w:left="238"/>
    </w:pPr>
    <w:rPr>
      <w:rFonts w:cs="宋体"/>
      <w:b w:val="0"/>
      <w:bCs w:val="0"/>
      <w:sz w:val="30"/>
      <w:szCs w:val="20"/>
    </w:rPr>
  </w:style>
  <w:style w:type="paragraph" w:customStyle="1" w:styleId="1831">
    <w:name w:val="_Style 1"/>
    <w:basedOn w:val="1"/>
    <w:qFormat/>
    <w:uiPriority w:val="34"/>
    <w:pPr>
      <w:ind w:firstLine="420" w:firstLineChars="200"/>
    </w:pPr>
    <w:rPr>
      <w:szCs w:val="21"/>
    </w:rPr>
  </w:style>
  <w:style w:type="paragraph" w:customStyle="1" w:styleId="1832">
    <w:name w:val="brdrw15brsp20 tqctx4153t"/>
    <w:qFormat/>
    <w:uiPriority w:val="0"/>
    <w:pPr>
      <w:widowControl w:val="0"/>
      <w:pBdr>
        <w:bottom w:val="single" w:color="auto" w:sz="6" w:space="0"/>
      </w:pBdr>
      <w:adjustRightInd w:val="0"/>
      <w:spacing w:line="312" w:lineRule="atLeast"/>
      <w:jc w:val="center"/>
      <w:textAlignment w:val="baseline"/>
    </w:pPr>
    <w:rPr>
      <w:rFonts w:ascii="Calibri" w:hAnsi="Calibri" w:eastAsia="宋体" w:cs="Times New Roman"/>
      <w:sz w:val="21"/>
      <w:lang w:val="en-US" w:eastAsia="zh-CN" w:bidi="ar-SA"/>
    </w:rPr>
  </w:style>
  <w:style w:type="paragraph" w:customStyle="1" w:styleId="1833">
    <w:name w:val="样式 表头 + 段前: 0.5 行 行距: 1.5 倍行距"/>
    <w:basedOn w:val="520"/>
    <w:qFormat/>
    <w:uiPriority w:val="0"/>
    <w:pPr>
      <w:widowControl/>
      <w:overflowPunct w:val="0"/>
      <w:spacing w:before="156" w:beforeLines="50"/>
      <w:ind w:firstLine="422"/>
      <w:textAlignment w:val="bottom"/>
    </w:pPr>
    <w:rPr>
      <w:rFonts w:ascii="黑体" w:eastAsia="黑体" w:cs="Times New Roman"/>
      <w:bCs/>
      <w:kern w:val="2"/>
      <w:sz w:val="21"/>
      <w:szCs w:val="20"/>
    </w:rPr>
  </w:style>
  <w:style w:type="paragraph" w:customStyle="1" w:styleId="1834">
    <w:name w:val="样式 样式 样式 标题 2 + 宋体 黑色 段前: 0 磅 段后: 0 磅 行距: 单倍行距 + 四号 段前: 0.5 行 段后..."/>
    <w:basedOn w:val="1"/>
    <w:qFormat/>
    <w:uiPriority w:val="0"/>
    <w:pPr>
      <w:keepNext/>
      <w:keepLines/>
      <w:spacing w:line="480" w:lineRule="exact"/>
      <w:outlineLvl w:val="1"/>
    </w:pPr>
    <w:rPr>
      <w:rFonts w:ascii="宋体" w:hAnsi="宋体" w:cs="宋体"/>
      <w:b/>
      <w:bCs/>
      <w:color w:val="000000"/>
      <w:kern w:val="0"/>
      <w:sz w:val="30"/>
      <w:szCs w:val="20"/>
    </w:rPr>
  </w:style>
  <w:style w:type="paragraph" w:customStyle="1" w:styleId="1835">
    <w:name w:val="表格文字2"/>
    <w:basedOn w:val="1"/>
    <w:qFormat/>
    <w:uiPriority w:val="0"/>
    <w:pPr>
      <w:tabs>
        <w:tab w:val="left" w:pos="277"/>
        <w:tab w:val="left" w:pos="600"/>
        <w:tab w:val="left" w:pos="780"/>
        <w:tab w:val="left" w:pos="2517"/>
      </w:tabs>
      <w:adjustRightInd w:val="0"/>
      <w:spacing w:before="60"/>
      <w:jc w:val="center"/>
      <w:textAlignment w:val="baseline"/>
    </w:pPr>
    <w:rPr>
      <w:rFonts w:ascii="Times New Roman" w:hAnsi="Times New Roman"/>
      <w:kern w:val="0"/>
      <w:szCs w:val="21"/>
    </w:rPr>
  </w:style>
  <w:style w:type="paragraph" w:customStyle="1" w:styleId="1836">
    <w:name w:val="et15"/>
    <w:basedOn w:val="1"/>
    <w:qFormat/>
    <w:uiPriority w:val="0"/>
    <w:pPr>
      <w:widowControl/>
      <w:spacing w:before="100" w:beforeAutospacing="1" w:after="100" w:afterAutospacing="1"/>
      <w:jc w:val="left"/>
      <w:textAlignment w:val="bottom"/>
    </w:pPr>
    <w:rPr>
      <w:rFonts w:ascii="Times New Roman" w:hAnsi="Times New Roman"/>
      <w:color w:val="000000"/>
      <w:kern w:val="0"/>
      <w:sz w:val="24"/>
      <w:szCs w:val="24"/>
    </w:rPr>
  </w:style>
  <w:style w:type="paragraph" w:customStyle="1" w:styleId="1837">
    <w:name w:val="正文文本缩进 212"/>
    <w:basedOn w:val="1"/>
    <w:qFormat/>
    <w:uiPriority w:val="0"/>
    <w:pPr>
      <w:spacing w:after="120" w:line="480" w:lineRule="auto"/>
      <w:ind w:left="420" w:leftChars="200" w:firstLine="200" w:firstLineChars="200"/>
    </w:pPr>
    <w:rPr>
      <w:kern w:val="0"/>
      <w:sz w:val="24"/>
      <w:szCs w:val="24"/>
    </w:rPr>
  </w:style>
  <w:style w:type="paragraph" w:customStyle="1" w:styleId="1838">
    <w:name w:val="样式 标题 3 + 小四 段前: 0 磅 段后: 0 磅 行距: 固定值 25 磅"/>
    <w:basedOn w:val="6"/>
    <w:qFormat/>
    <w:uiPriority w:val="0"/>
    <w:pPr>
      <w:spacing w:line="500" w:lineRule="exact"/>
    </w:pPr>
    <w:rPr>
      <w:b w:val="0"/>
      <w:szCs w:val="20"/>
    </w:rPr>
  </w:style>
  <w:style w:type="paragraph" w:customStyle="1" w:styleId="1839">
    <w:name w:val="xl6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Times New Roman" w:hAnsi="Times New Roman"/>
      <w:kern w:val="0"/>
      <w:sz w:val="24"/>
      <w:szCs w:val="24"/>
    </w:rPr>
  </w:style>
  <w:style w:type="paragraph" w:customStyle="1" w:styleId="1840">
    <w:name w:val="样式 样式 标题 4 + (西文) Times New Roman (中文) 宋体 小四 非加粗 +"/>
    <w:basedOn w:val="1817"/>
    <w:qFormat/>
    <w:uiPriority w:val="0"/>
  </w:style>
  <w:style w:type="paragraph" w:customStyle="1" w:styleId="1841">
    <w:name w:val="xl8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b/>
      <w:bCs/>
      <w:kern w:val="0"/>
      <w:sz w:val="20"/>
      <w:szCs w:val="20"/>
    </w:rPr>
  </w:style>
  <w:style w:type="paragraph" w:customStyle="1" w:styleId="1842">
    <w:name w:val="p20"/>
    <w:basedOn w:val="1"/>
    <w:qFormat/>
    <w:uiPriority w:val="0"/>
    <w:pPr>
      <w:widowControl/>
      <w:spacing w:before="93" w:line="400" w:lineRule="atLeast"/>
      <w:ind w:firstLine="420"/>
    </w:pPr>
    <w:rPr>
      <w:rFonts w:ascii="Arial" w:hAnsi="Arial" w:cs="Arial"/>
      <w:kern w:val="0"/>
      <w:sz w:val="24"/>
      <w:szCs w:val="24"/>
    </w:rPr>
  </w:style>
  <w:style w:type="paragraph" w:customStyle="1" w:styleId="1843">
    <w:name w:val="正文14"/>
    <w:basedOn w:val="34"/>
    <w:qFormat/>
    <w:uiPriority w:val="0"/>
    <w:pPr>
      <w:spacing w:after="0" w:line="360" w:lineRule="auto"/>
      <w:ind w:firstLine="200" w:firstLineChars="200"/>
    </w:pPr>
    <w:rPr>
      <w:rFonts w:ascii="Times New Roman" w:hAnsi="Times New Roman"/>
      <w:kern w:val="0"/>
      <w:sz w:val="24"/>
      <w:szCs w:val="24"/>
    </w:rPr>
  </w:style>
  <w:style w:type="paragraph" w:customStyle="1" w:styleId="1844">
    <w:name w:val="Char Char Char1 Char Char Char Char Char Char Char Char Char Char Char Char Char Char Char Char Char Char Char12"/>
    <w:basedOn w:val="1"/>
    <w:next w:val="3"/>
    <w:qFormat/>
    <w:uiPriority w:val="0"/>
    <w:rPr>
      <w:rFonts w:ascii="Times New Roman" w:hAnsi="Times New Roman"/>
      <w:szCs w:val="24"/>
    </w:rPr>
  </w:style>
  <w:style w:type="paragraph" w:customStyle="1" w:styleId="1845">
    <w:name w:val="et29"/>
    <w:basedOn w:val="1"/>
    <w:qFormat/>
    <w:uiPriority w:val="0"/>
    <w:pPr>
      <w:widowControl/>
      <w:spacing w:before="100" w:beforeAutospacing="1" w:after="100" w:afterAutospacing="1"/>
      <w:jc w:val="left"/>
      <w:textAlignment w:val="bottom"/>
    </w:pPr>
    <w:rPr>
      <w:rFonts w:ascii="Times New Roman" w:hAnsi="Times New Roman" w:cs="Times NewRoman"/>
      <w:color w:val="000000"/>
      <w:kern w:val="0"/>
      <w:sz w:val="24"/>
      <w:szCs w:val="24"/>
    </w:rPr>
  </w:style>
  <w:style w:type="paragraph" w:customStyle="1" w:styleId="1846">
    <w:name w:val="小标题"/>
    <w:basedOn w:val="1"/>
    <w:qFormat/>
    <w:uiPriority w:val="0"/>
    <w:pPr>
      <w:adjustRightInd w:val="0"/>
      <w:spacing w:before="156" w:beforeLines="50" w:after="156" w:afterLines="50" w:line="380" w:lineRule="atLeast"/>
      <w:ind w:left="300" w:leftChars="300" w:firstLine="100" w:firstLineChars="100"/>
      <w:jc w:val="left"/>
      <w:textAlignment w:val="baseline"/>
    </w:pPr>
    <w:rPr>
      <w:rFonts w:ascii="黑体" w:hAnsi="Times New Roman" w:eastAsia="黑体"/>
      <w:bCs/>
      <w:kern w:val="0"/>
      <w:sz w:val="24"/>
      <w:szCs w:val="20"/>
      <w:u w:val="single"/>
    </w:rPr>
  </w:style>
  <w:style w:type="paragraph" w:customStyle="1" w:styleId="1847">
    <w:name w:val="样式 左 首行缩进:  1.01 厘米"/>
    <w:basedOn w:val="1"/>
    <w:qFormat/>
    <w:uiPriority w:val="0"/>
    <w:pPr>
      <w:adjustRightInd w:val="0"/>
      <w:snapToGrid w:val="0"/>
      <w:spacing w:line="460" w:lineRule="exact"/>
      <w:ind w:firstLine="200" w:firstLineChars="200"/>
    </w:pPr>
    <w:rPr>
      <w:rFonts w:ascii="Times New Roman" w:hAnsi="Times New Roman" w:cs="宋体"/>
      <w:sz w:val="26"/>
      <w:szCs w:val="26"/>
    </w:rPr>
  </w:style>
  <w:style w:type="paragraph" w:customStyle="1" w:styleId="1848">
    <w:name w:val="一号标题"/>
    <w:basedOn w:val="5"/>
    <w:qFormat/>
    <w:uiPriority w:val="0"/>
    <w:pPr>
      <w:spacing w:before="240" w:after="240" w:line="520" w:lineRule="exact"/>
      <w:jc w:val="left"/>
    </w:pPr>
    <w:rPr>
      <w:b w:val="0"/>
      <w:bCs w:val="0"/>
      <w:kern w:val="24"/>
    </w:rPr>
  </w:style>
  <w:style w:type="paragraph" w:customStyle="1" w:styleId="1849">
    <w:name w:val="图表3"/>
    <w:basedOn w:val="1"/>
    <w:qFormat/>
    <w:uiPriority w:val="0"/>
    <w:pPr>
      <w:widowControl/>
      <w:overflowPunct w:val="0"/>
      <w:autoSpaceDE w:val="0"/>
      <w:autoSpaceDN w:val="0"/>
      <w:adjustRightInd w:val="0"/>
      <w:jc w:val="center"/>
      <w:textAlignment w:val="baseline"/>
    </w:pPr>
    <w:rPr>
      <w:rFonts w:ascii="宋体" w:hAnsi="Times New Roman"/>
      <w:kern w:val="28"/>
      <w:sz w:val="20"/>
      <w:szCs w:val="20"/>
    </w:rPr>
  </w:style>
  <w:style w:type="paragraph" w:customStyle="1" w:styleId="1850">
    <w:name w:val="Char Char Char Char Char Char1 Char Char Char1 Char Char Char Char Char Char Char1"/>
    <w:basedOn w:val="1"/>
    <w:qFormat/>
    <w:uiPriority w:val="0"/>
    <w:pPr>
      <w:spacing w:line="360" w:lineRule="auto"/>
      <w:ind w:firstLine="200" w:firstLineChars="200"/>
    </w:pPr>
    <w:rPr>
      <w:rFonts w:ascii="宋体" w:hAnsi="宋体" w:cs="宋体"/>
      <w:sz w:val="24"/>
      <w:szCs w:val="24"/>
    </w:rPr>
  </w:style>
  <w:style w:type="paragraph" w:customStyle="1" w:styleId="1851">
    <w:name w:val="样式 13 磅 黑色 行距: 固定值 23 磅"/>
    <w:basedOn w:val="1"/>
    <w:qFormat/>
    <w:uiPriority w:val="0"/>
    <w:pPr>
      <w:adjustRightInd w:val="0"/>
      <w:snapToGrid w:val="0"/>
      <w:spacing w:line="440" w:lineRule="exact"/>
      <w:jc w:val="center"/>
    </w:pPr>
    <w:rPr>
      <w:rFonts w:ascii="宋体" w:hAnsi="宋体" w:cs="Arial"/>
      <w:snapToGrid w:val="0"/>
      <w:sz w:val="24"/>
      <w:szCs w:val="24"/>
    </w:rPr>
  </w:style>
  <w:style w:type="paragraph" w:customStyle="1" w:styleId="1852">
    <w:name w:val="reader-word-layer reader-word-s1-8"/>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853">
    <w:name w:val="环评标题"/>
    <w:basedOn w:val="398"/>
    <w:qFormat/>
    <w:uiPriority w:val="0"/>
    <w:pPr>
      <w:widowControl w:val="0"/>
      <w:adjustRightInd w:val="0"/>
      <w:snapToGrid w:val="0"/>
      <w:ind w:firstLine="482"/>
      <w:jc w:val="both"/>
    </w:pPr>
    <w:rPr>
      <w:rFonts w:ascii="黑体" w:hAnsi="宋体" w:eastAsia="黑体" w:cs="Times New Roman"/>
      <w:b/>
      <w:bCs w:val="0"/>
    </w:rPr>
  </w:style>
  <w:style w:type="paragraph" w:customStyle="1" w:styleId="1854">
    <w:name w:val="电镀正文"/>
    <w:basedOn w:val="2"/>
    <w:qFormat/>
    <w:uiPriority w:val="0"/>
    <w:pPr>
      <w:spacing w:line="312" w:lineRule="auto"/>
      <w:ind w:firstLine="200" w:firstLineChars="200"/>
    </w:pPr>
    <w:rPr>
      <w:rFonts w:ascii="宋体" w:hAnsi="宋体"/>
      <w:sz w:val="24"/>
      <w:szCs w:val="20"/>
    </w:rPr>
  </w:style>
  <w:style w:type="paragraph" w:customStyle="1" w:styleId="1855">
    <w:name w:val="Char Char Char Char Char2 Char Char Char Char"/>
    <w:basedOn w:val="1"/>
    <w:qFormat/>
    <w:uiPriority w:val="0"/>
    <w:pPr>
      <w:adjustRightInd w:val="0"/>
      <w:snapToGrid w:val="0"/>
      <w:spacing w:line="360" w:lineRule="auto"/>
      <w:ind w:firstLine="200" w:firstLineChars="200"/>
    </w:pPr>
    <w:rPr>
      <w:rFonts w:ascii="宋体" w:hAnsi="宋体" w:cs="宋体"/>
      <w:sz w:val="24"/>
      <w:szCs w:val="26"/>
    </w:rPr>
  </w:style>
  <w:style w:type="paragraph" w:customStyle="1" w:styleId="1856">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b/>
      <w:bCs/>
      <w:kern w:val="0"/>
      <w:sz w:val="20"/>
      <w:szCs w:val="20"/>
    </w:rPr>
  </w:style>
  <w:style w:type="paragraph" w:customStyle="1" w:styleId="1857">
    <w:name w:val="正文文本 311"/>
    <w:basedOn w:val="1"/>
    <w:qFormat/>
    <w:uiPriority w:val="0"/>
    <w:pPr>
      <w:jc w:val="center"/>
    </w:pPr>
    <w:rPr>
      <w:rFonts w:ascii="宋体" w:hAnsi="宋体" w:cs="Courier New"/>
      <w:spacing w:val="-2"/>
      <w:szCs w:val="32"/>
    </w:rPr>
  </w:style>
  <w:style w:type="paragraph" w:customStyle="1" w:styleId="1858">
    <w:name w:val="样式 标题 2 + 首行缩进:  2 字符"/>
    <w:basedOn w:val="5"/>
    <w:qFormat/>
    <w:uiPriority w:val="0"/>
    <w:pPr>
      <w:tabs>
        <w:tab w:val="left" w:pos="1206"/>
      </w:tabs>
      <w:spacing w:line="300" w:lineRule="auto"/>
      <w:ind w:left="1206" w:hanging="576"/>
    </w:pPr>
    <w:rPr>
      <w:rFonts w:cs="宋体"/>
      <w:b w:val="0"/>
      <w:sz w:val="30"/>
      <w:szCs w:val="20"/>
    </w:rPr>
  </w:style>
  <w:style w:type="paragraph" w:customStyle="1" w:styleId="1859">
    <w:name w:val="et82"/>
    <w:basedOn w:val="1"/>
    <w:qFormat/>
    <w:uiPriority w:val="0"/>
    <w:pPr>
      <w:widowControl/>
      <w:spacing w:before="100" w:beforeAutospacing="1" w:after="100" w:afterAutospacing="1"/>
      <w:jc w:val="left"/>
      <w:textAlignment w:val="bottom"/>
    </w:pPr>
    <w:rPr>
      <w:rFonts w:ascii="Times New Roman" w:hAnsi="Times New Roman"/>
      <w:color w:val="000000"/>
      <w:kern w:val="0"/>
      <w:sz w:val="24"/>
      <w:szCs w:val="24"/>
    </w:rPr>
  </w:style>
  <w:style w:type="paragraph" w:customStyle="1" w:styleId="1860">
    <w:name w:val="reader-word-layer reader-word-s1-16"/>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861">
    <w:name w:val="Char3"/>
    <w:basedOn w:val="26"/>
    <w:qFormat/>
    <w:uiPriority w:val="0"/>
    <w:pPr>
      <w:spacing w:line="360" w:lineRule="auto"/>
    </w:pPr>
    <w:rPr>
      <w:rFonts w:ascii="Tahoma" w:hAnsi="Tahoma"/>
    </w:rPr>
  </w:style>
  <w:style w:type="paragraph" w:customStyle="1" w:styleId="1862">
    <w:name w:val="Char Char Char Char Char Char1 Char Char Char1 Char Char Char Char Char Char Char3"/>
    <w:basedOn w:val="1"/>
    <w:qFormat/>
    <w:uiPriority w:val="0"/>
    <w:pPr>
      <w:spacing w:line="360" w:lineRule="auto"/>
      <w:ind w:firstLine="200" w:firstLineChars="200"/>
    </w:pPr>
    <w:rPr>
      <w:rFonts w:ascii="宋体" w:hAnsi="宋体" w:cs="宋体"/>
      <w:sz w:val="24"/>
      <w:szCs w:val="24"/>
    </w:rPr>
  </w:style>
  <w:style w:type="paragraph" w:customStyle="1" w:styleId="1863">
    <w:name w:val="xl617"/>
    <w:basedOn w:val="1"/>
    <w:qFormat/>
    <w:uiPriority w:val="0"/>
    <w:pPr>
      <w:widowControl/>
      <w:spacing w:before="100" w:beforeAutospacing="1" w:after="100" w:afterAutospacing="1"/>
      <w:jc w:val="left"/>
    </w:pPr>
    <w:rPr>
      <w:rFonts w:ascii="Times New Roman" w:hAnsi="Times New Roman"/>
      <w:kern w:val="0"/>
      <w:sz w:val="24"/>
      <w:szCs w:val="24"/>
    </w:rPr>
  </w:style>
  <w:style w:type="paragraph" w:customStyle="1" w:styleId="1864">
    <w:name w:val="Char Char Char1 Char Char Char Char Char Char Char Char Char Char Char Char Char Char Char Char Char Char Char2"/>
    <w:basedOn w:val="1"/>
    <w:next w:val="3"/>
    <w:qFormat/>
    <w:uiPriority w:val="0"/>
    <w:rPr>
      <w:rFonts w:ascii="Times New Roman" w:hAnsi="Times New Roman"/>
      <w:szCs w:val="24"/>
    </w:rPr>
  </w:style>
  <w:style w:type="paragraph" w:customStyle="1" w:styleId="1865">
    <w:name w:val="日期21"/>
    <w:basedOn w:val="1"/>
    <w:next w:val="1"/>
    <w:qFormat/>
    <w:uiPriority w:val="0"/>
    <w:pPr>
      <w:autoSpaceDE w:val="0"/>
      <w:autoSpaceDN w:val="0"/>
      <w:adjustRightInd w:val="0"/>
      <w:textAlignment w:val="baseline"/>
    </w:pPr>
    <w:rPr>
      <w:rFonts w:ascii="宋体" w:hAnsi="宋体" w:cs="Courier New"/>
      <w:spacing w:val="5"/>
      <w:sz w:val="24"/>
      <w:szCs w:val="32"/>
    </w:rPr>
  </w:style>
  <w:style w:type="paragraph" w:customStyle="1" w:styleId="1866">
    <w:name w:val="样式 样式 标题 2标题节标题 2 Char Char + 段前: 2 行 + 段前: 0.5 行 段后: 0.5 行1"/>
    <w:basedOn w:val="1802"/>
    <w:qFormat/>
    <w:uiPriority w:val="0"/>
  </w:style>
  <w:style w:type="paragraph" w:customStyle="1" w:styleId="1867">
    <w:name w:val="main"/>
    <w:basedOn w:val="1"/>
    <w:qFormat/>
    <w:uiPriority w:val="0"/>
    <w:pPr>
      <w:widowControl/>
      <w:spacing w:before="100" w:beforeAutospacing="1" w:after="100" w:afterAutospacing="1" w:line="360" w:lineRule="auto"/>
      <w:jc w:val="left"/>
    </w:pPr>
    <w:rPr>
      <w:rFonts w:ascii="宋体" w:hAnsi="宋体" w:cs="宋体"/>
      <w:color w:val="333333"/>
      <w:kern w:val="0"/>
      <w:szCs w:val="21"/>
    </w:rPr>
  </w:style>
  <w:style w:type="paragraph" w:customStyle="1" w:styleId="1868">
    <w:name w:val="xl644"/>
    <w:basedOn w:val="1"/>
    <w:qFormat/>
    <w:uiPriority w:val="0"/>
    <w:pPr>
      <w:widowControl/>
      <w:shd w:val="clear" w:color="auto" w:fill="FFFF00"/>
      <w:spacing w:before="100" w:beforeAutospacing="1" w:after="100" w:afterAutospacing="1"/>
      <w:jc w:val="center"/>
    </w:pPr>
    <w:rPr>
      <w:rFonts w:ascii="宋体" w:hAnsi="宋体" w:cs="宋体"/>
      <w:kern w:val="0"/>
      <w:sz w:val="24"/>
      <w:szCs w:val="24"/>
    </w:rPr>
  </w:style>
  <w:style w:type="paragraph" w:customStyle="1" w:styleId="1869">
    <w:name w:val="正文01"/>
    <w:basedOn w:val="1"/>
    <w:qFormat/>
    <w:uiPriority w:val="0"/>
    <w:pPr>
      <w:spacing w:before="60" w:line="460" w:lineRule="exact"/>
      <w:ind w:firstLine="200" w:firstLineChars="200"/>
    </w:pPr>
    <w:rPr>
      <w:rFonts w:ascii="Times New Roman" w:hAnsi="Times New Roman"/>
      <w:sz w:val="24"/>
      <w:szCs w:val="24"/>
    </w:rPr>
  </w:style>
  <w:style w:type="paragraph" w:customStyle="1" w:styleId="1870">
    <w:name w:val="WPS Plain"/>
    <w:qFormat/>
    <w:uiPriority w:val="0"/>
    <w:rPr>
      <w:rFonts w:ascii="Calibri" w:hAnsi="Calibri" w:eastAsia="宋体" w:cs="Times New Roman"/>
      <w:lang w:val="en-US" w:eastAsia="zh-CN" w:bidi="ar-SA"/>
    </w:rPr>
  </w:style>
  <w:style w:type="paragraph" w:customStyle="1" w:styleId="1871">
    <w:name w:val="My table tailer"/>
    <w:basedOn w:val="66"/>
    <w:qFormat/>
    <w:uiPriority w:val="0"/>
    <w:pPr>
      <w:widowControl w:val="0"/>
      <w:suppressAutoHyphens/>
      <w:spacing w:line="240" w:lineRule="auto"/>
      <w:ind w:left="0" w:firstLine="0"/>
    </w:pPr>
    <w:rPr>
      <w:rFonts w:ascii="宋体" w:hAnsi="宋体"/>
      <w:spacing w:val="-1"/>
      <w:kern w:val="0"/>
      <w:sz w:val="21"/>
      <w:szCs w:val="21"/>
    </w:rPr>
  </w:style>
  <w:style w:type="paragraph" w:customStyle="1" w:styleId="1872">
    <w:name w:val="索引标题6"/>
    <w:basedOn w:val="1"/>
    <w:next w:val="1873"/>
    <w:qFormat/>
    <w:uiPriority w:val="0"/>
    <w:rPr>
      <w:rFonts w:ascii="宋体" w:hAnsi="宋体"/>
      <w:w w:val="90"/>
      <w:kern w:val="0"/>
      <w:sz w:val="28"/>
      <w:szCs w:val="24"/>
    </w:rPr>
  </w:style>
  <w:style w:type="paragraph" w:customStyle="1" w:styleId="1873">
    <w:name w:val="索引 15"/>
    <w:basedOn w:val="1"/>
    <w:next w:val="1"/>
    <w:qFormat/>
    <w:uiPriority w:val="0"/>
    <w:pPr>
      <w:adjustRightInd w:val="0"/>
      <w:spacing w:line="529" w:lineRule="exact"/>
      <w:textAlignment w:val="baseline"/>
    </w:pPr>
    <w:rPr>
      <w:rFonts w:ascii="宋体" w:hAnsi="宋体" w:eastAsia="汉鼎简书宋"/>
      <w:kern w:val="0"/>
      <w:sz w:val="24"/>
      <w:szCs w:val="20"/>
    </w:rPr>
  </w:style>
  <w:style w:type="paragraph" w:customStyle="1" w:styleId="1874">
    <w:name w:val="xl10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1875">
    <w:name w:val="样式 标题 1 + (中文) 黑体 小二 居中 段前: 0 磅 段后: 0 磅 行距: 1.5 倍行距"/>
    <w:basedOn w:val="4"/>
    <w:qFormat/>
    <w:uiPriority w:val="0"/>
    <w:pPr>
      <w:jc w:val="center"/>
    </w:pPr>
    <w:rPr>
      <w:rFonts w:cs="宋体"/>
      <w:sz w:val="32"/>
      <w:szCs w:val="32"/>
    </w:rPr>
  </w:style>
  <w:style w:type="paragraph" w:customStyle="1" w:styleId="1876">
    <w:name w:val="HTML 预设格式2"/>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szCs w:val="24"/>
      <w:lang w:val="zh-CN"/>
    </w:rPr>
  </w:style>
  <w:style w:type="paragraph" w:customStyle="1" w:styleId="1877">
    <w:name w:val="注释标题11"/>
    <w:basedOn w:val="1"/>
    <w:next w:val="1"/>
    <w:qFormat/>
    <w:uiPriority w:val="0"/>
    <w:pPr>
      <w:jc w:val="center"/>
    </w:pPr>
    <w:rPr>
      <w:rFonts w:ascii="宋体" w:hAnsi="宋体" w:cs="Courier New"/>
      <w:spacing w:val="-2"/>
      <w:sz w:val="28"/>
      <w:szCs w:val="24"/>
    </w:rPr>
  </w:style>
  <w:style w:type="paragraph" w:customStyle="1" w:styleId="1878">
    <w:name w:val="表格03"/>
    <w:basedOn w:val="1"/>
    <w:qFormat/>
    <w:uiPriority w:val="0"/>
    <w:pPr>
      <w:spacing w:line="400" w:lineRule="exact"/>
      <w:jc w:val="center"/>
    </w:pPr>
    <w:rPr>
      <w:rFonts w:ascii="Times New Roman" w:hAnsi="Times New Roman"/>
      <w:sz w:val="24"/>
      <w:szCs w:val="21"/>
    </w:rPr>
  </w:style>
  <w:style w:type="paragraph" w:customStyle="1" w:styleId="1879">
    <w:name w:val="样式 7表格(治) + (中文) 宋体"/>
    <w:basedOn w:val="1"/>
    <w:qFormat/>
    <w:uiPriority w:val="0"/>
    <w:pPr>
      <w:textAlignment w:val="baseline"/>
    </w:pPr>
    <w:rPr>
      <w:rFonts w:ascii="宋体" w:hAnsi="宋体"/>
      <w:kern w:val="0"/>
      <w:szCs w:val="20"/>
    </w:rPr>
  </w:style>
  <w:style w:type="paragraph" w:customStyle="1" w:styleId="1880">
    <w:name w:val="Char Char Char Char Char Char Char Char Char Char Char Char Char Char Char Char Char Char Char Char Char Char Char Char Char Char Char Char Char Char Char Char Char Char Char Char11"/>
    <w:basedOn w:val="1"/>
    <w:qFormat/>
    <w:uiPriority w:val="0"/>
    <w:pPr>
      <w:snapToGrid w:val="0"/>
      <w:spacing w:line="440" w:lineRule="atLeast"/>
      <w:ind w:firstLine="200" w:firstLineChars="200"/>
    </w:pPr>
    <w:rPr>
      <w:rFonts w:ascii="Times New Roman" w:hAnsi="Times New Roman"/>
      <w:szCs w:val="20"/>
    </w:rPr>
  </w:style>
  <w:style w:type="paragraph" w:customStyle="1" w:styleId="1881">
    <w:name w:val="二级正文"/>
    <w:basedOn w:val="1"/>
    <w:qFormat/>
    <w:uiPriority w:val="0"/>
    <w:pPr>
      <w:tabs>
        <w:tab w:val="left" w:pos="3280"/>
      </w:tabs>
      <w:adjustRightInd w:val="0"/>
      <w:snapToGrid w:val="0"/>
      <w:spacing w:after="240"/>
      <w:ind w:left="578"/>
      <w:textAlignment w:val="baseline"/>
    </w:pPr>
    <w:rPr>
      <w:rFonts w:ascii="Times New Roman" w:hAnsi="Times New Roman"/>
      <w:kern w:val="0"/>
      <w:szCs w:val="20"/>
    </w:rPr>
  </w:style>
  <w:style w:type="paragraph" w:customStyle="1" w:styleId="1882">
    <w:name w:val="章标题"/>
    <w:next w:val="1"/>
    <w:qFormat/>
    <w:uiPriority w:val="0"/>
    <w:pPr>
      <w:tabs>
        <w:tab w:val="left" w:pos="1327"/>
      </w:tabs>
      <w:spacing w:before="156" w:beforeLines="50" w:after="156" w:afterLines="50"/>
      <w:ind w:left="1327" w:hanging="420"/>
      <w:jc w:val="both"/>
      <w:outlineLvl w:val="1"/>
    </w:pPr>
    <w:rPr>
      <w:rFonts w:ascii="黑体" w:hAnsi="Calibri" w:eastAsia="黑体" w:cs="Times New Roman"/>
      <w:sz w:val="21"/>
      <w:lang w:val="en-US" w:eastAsia="zh-CN" w:bidi="ar-SA"/>
    </w:rPr>
  </w:style>
  <w:style w:type="paragraph" w:customStyle="1" w:styleId="1883">
    <w:name w:val="无划线页脚"/>
    <w:basedOn w:val="55"/>
    <w:qFormat/>
    <w:uiPriority w:val="0"/>
    <w:rPr>
      <w:rFonts w:ascii="Times New Roman" w:hAnsi="Times New Roman"/>
      <w:kern w:val="0"/>
    </w:rPr>
  </w:style>
  <w:style w:type="paragraph" w:customStyle="1" w:styleId="1884">
    <w:name w:val="Char Char2131"/>
    <w:basedOn w:val="1"/>
    <w:qFormat/>
    <w:uiPriority w:val="0"/>
    <w:pPr>
      <w:tabs>
        <w:tab w:val="left" w:pos="420"/>
      </w:tabs>
      <w:spacing w:line="360" w:lineRule="auto"/>
      <w:ind w:left="1202" w:hanging="720"/>
    </w:pPr>
    <w:rPr>
      <w:rFonts w:ascii="宋体" w:hAnsi="宋体" w:cs="宋体"/>
      <w:sz w:val="24"/>
      <w:szCs w:val="24"/>
    </w:rPr>
  </w:style>
  <w:style w:type="paragraph" w:customStyle="1" w:styleId="1885">
    <w:name w:val="样式10001"/>
    <w:basedOn w:val="1"/>
    <w:qFormat/>
    <w:uiPriority w:val="0"/>
    <w:pPr>
      <w:spacing w:before="156" w:beforeLines="50" w:after="156" w:afterLines="50" w:line="360" w:lineRule="auto"/>
      <w:ind w:firstLine="480" w:firstLineChars="200"/>
    </w:pPr>
    <w:rPr>
      <w:rFonts w:ascii="Times New Roman" w:hAnsi="Times New Roman"/>
      <w:color w:val="000000"/>
      <w:spacing w:val="-2"/>
      <w:kern w:val="0"/>
      <w:sz w:val="24"/>
      <w:szCs w:val="20"/>
    </w:rPr>
  </w:style>
  <w:style w:type="paragraph" w:customStyle="1" w:styleId="1886">
    <w:name w:val="reader-word-layer reader-word-s6-5"/>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887">
    <w:name w:val="et35"/>
    <w:basedOn w:val="1"/>
    <w:qFormat/>
    <w:uiPriority w:val="0"/>
    <w:pPr>
      <w:widowControl/>
      <w:spacing w:before="100" w:beforeAutospacing="1" w:after="100" w:afterAutospacing="1"/>
      <w:jc w:val="left"/>
      <w:textAlignment w:val="bottom"/>
    </w:pPr>
    <w:rPr>
      <w:rFonts w:ascii="Times New Roman" w:hAnsi="Times New Roman"/>
      <w:color w:val="000000"/>
      <w:kern w:val="0"/>
      <w:sz w:val="24"/>
      <w:szCs w:val="24"/>
    </w:rPr>
  </w:style>
  <w:style w:type="paragraph" w:customStyle="1" w:styleId="1888">
    <w:name w:val="Char4 Char Char Char11"/>
    <w:basedOn w:val="1"/>
    <w:qFormat/>
    <w:uiPriority w:val="0"/>
    <w:pPr>
      <w:adjustRightInd w:val="0"/>
      <w:snapToGrid w:val="0"/>
      <w:spacing w:line="360" w:lineRule="auto"/>
      <w:ind w:firstLine="200" w:firstLineChars="200"/>
    </w:pPr>
    <w:rPr>
      <w:rFonts w:ascii="宋体" w:hAnsi="宋体" w:cs="宋体"/>
      <w:sz w:val="24"/>
      <w:szCs w:val="26"/>
    </w:rPr>
  </w:style>
  <w:style w:type="paragraph" w:customStyle="1" w:styleId="1889">
    <w:name w:val="Char Char Char Char Char Char1 Char1 Char Char Char Char Char Char11"/>
    <w:basedOn w:val="1"/>
    <w:qFormat/>
    <w:uiPriority w:val="0"/>
    <w:pPr>
      <w:ind w:left="510"/>
    </w:pPr>
    <w:rPr>
      <w:rFonts w:ascii="Times New Roman" w:hAnsi="Times New Roman"/>
      <w:szCs w:val="21"/>
    </w:rPr>
  </w:style>
  <w:style w:type="paragraph" w:customStyle="1" w:styleId="1890">
    <w:name w:val="样式 标题 3标题 13标题 3 Char1 Char Char Char标题 31ReHead 3 WSAh3B..."/>
    <w:basedOn w:val="6"/>
    <w:qFormat/>
    <w:uiPriority w:val="0"/>
    <w:pPr>
      <w:adjustRightInd w:val="0"/>
      <w:snapToGrid w:val="0"/>
      <w:spacing w:after="120"/>
      <w:jc w:val="left"/>
    </w:pPr>
    <w:rPr>
      <w:rFonts w:eastAsia="Times New Roman" w:cs="宋体"/>
      <w:b w:val="0"/>
      <w:szCs w:val="20"/>
    </w:rPr>
  </w:style>
  <w:style w:type="paragraph" w:customStyle="1" w:styleId="1891">
    <w:name w:val="默认段落字体 Para Char Char Char Char"/>
    <w:basedOn w:val="1"/>
    <w:qFormat/>
    <w:uiPriority w:val="0"/>
    <w:rPr>
      <w:rFonts w:ascii="Times New Roman" w:hAnsi="Times New Roman"/>
      <w:sz w:val="24"/>
      <w:szCs w:val="24"/>
    </w:rPr>
  </w:style>
  <w:style w:type="paragraph" w:customStyle="1" w:styleId="1892">
    <w:name w:val="样式 标题 2 + 首行缩进:  0 字符"/>
    <w:basedOn w:val="5"/>
    <w:qFormat/>
    <w:uiPriority w:val="0"/>
    <w:rPr>
      <w:rFonts w:cs="宋体"/>
      <w:szCs w:val="20"/>
    </w:rPr>
  </w:style>
  <w:style w:type="paragraph" w:customStyle="1" w:styleId="1893">
    <w:name w:val="xl101"/>
    <w:basedOn w:val="1"/>
    <w:qFormat/>
    <w:uiPriority w:val="0"/>
    <w:pPr>
      <w:widowControl/>
      <w:pBdr>
        <w:left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1894">
    <w:name w:val="页眉 New New New New New New New New New New New New New"/>
    <w:basedOn w:val="1"/>
    <w:qFormat/>
    <w:uiPriority w:val="0"/>
    <w:pPr>
      <w:pBdr>
        <w:bottom w:val="single" w:color="auto" w:sz="6" w:space="1"/>
      </w:pBdr>
      <w:tabs>
        <w:tab w:val="center" w:pos="4153"/>
        <w:tab w:val="right" w:pos="8306"/>
      </w:tabs>
      <w:snapToGrid w:val="0"/>
      <w:jc w:val="center"/>
    </w:pPr>
    <w:rPr>
      <w:rFonts w:ascii="Times New Roman" w:hAnsi="Times New Roman"/>
      <w:spacing w:val="-2"/>
      <w:kern w:val="0"/>
      <w:sz w:val="18"/>
      <w:szCs w:val="18"/>
    </w:rPr>
  </w:style>
  <w:style w:type="paragraph" w:customStyle="1" w:styleId="1895">
    <w:name w:val="reader-word-layer reader-word-s1-15"/>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896">
    <w:name w:val="样式 表格文字 Char + 段前: 0.5 行"/>
    <w:basedOn w:val="1"/>
    <w:qFormat/>
    <w:uiPriority w:val="0"/>
    <w:pPr>
      <w:spacing w:beforeLines="50" w:line="360" w:lineRule="auto"/>
      <w:jc w:val="center"/>
    </w:pPr>
    <w:rPr>
      <w:rFonts w:ascii="Times New Roman" w:hAnsi="Times New Roman"/>
      <w:sz w:val="24"/>
      <w:szCs w:val="20"/>
    </w:rPr>
  </w:style>
  <w:style w:type="paragraph" w:customStyle="1" w:styleId="1897">
    <w:name w:val="xl604"/>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pPr>
    <w:rPr>
      <w:rFonts w:ascii="Times New Roman" w:hAnsi="Times New Roman"/>
      <w:kern w:val="0"/>
      <w:sz w:val="24"/>
      <w:szCs w:val="24"/>
    </w:rPr>
  </w:style>
  <w:style w:type="paragraph" w:customStyle="1" w:styleId="1898">
    <w:name w:val="font10"/>
    <w:basedOn w:val="1"/>
    <w:qFormat/>
    <w:uiPriority w:val="0"/>
    <w:pPr>
      <w:widowControl/>
      <w:spacing w:before="100" w:beforeAutospacing="1" w:after="100" w:afterAutospacing="1"/>
      <w:jc w:val="left"/>
    </w:pPr>
    <w:rPr>
      <w:rFonts w:ascii="Times New Roman" w:hAnsi="Times New Roman"/>
      <w:kern w:val="0"/>
      <w:sz w:val="22"/>
    </w:rPr>
  </w:style>
  <w:style w:type="paragraph" w:customStyle="1" w:styleId="1899">
    <w:name w:val="文章"/>
    <w:basedOn w:val="35"/>
    <w:qFormat/>
    <w:uiPriority w:val="0"/>
    <w:pPr>
      <w:spacing w:before="156" w:beforeLines="50" w:after="156" w:afterLines="50" w:line="360" w:lineRule="auto"/>
    </w:pPr>
    <w:rPr>
      <w:rFonts w:ascii="Times New Roman" w:hAnsi="Times New Roman"/>
      <w:kern w:val="0"/>
    </w:rPr>
  </w:style>
  <w:style w:type="paragraph" w:customStyle="1" w:styleId="1900">
    <w:name w:val="无间隔111"/>
    <w:qFormat/>
    <w:uiPriority w:val="0"/>
    <w:rPr>
      <w:rFonts w:ascii="Calibri" w:hAnsi="Calibri" w:eastAsia="宋体" w:cs="Times New Roman"/>
      <w:sz w:val="22"/>
      <w:lang w:val="en-US" w:eastAsia="zh-CN" w:bidi="ar-SA"/>
    </w:rPr>
  </w:style>
  <w:style w:type="paragraph" w:customStyle="1" w:styleId="1901">
    <w:name w:val="正文7"/>
    <w:basedOn w:val="1"/>
    <w:qFormat/>
    <w:uiPriority w:val="0"/>
    <w:pPr>
      <w:adjustRightInd w:val="0"/>
      <w:spacing w:line="480" w:lineRule="exact"/>
      <w:textAlignment w:val="baseline"/>
    </w:pPr>
    <w:rPr>
      <w:rFonts w:ascii="Times New Roman" w:hAnsi="Times New Roman"/>
      <w:spacing w:val="-2"/>
      <w:kern w:val="0"/>
      <w:sz w:val="28"/>
      <w:szCs w:val="20"/>
    </w:rPr>
  </w:style>
  <w:style w:type="paragraph" w:customStyle="1" w:styleId="1902">
    <w:name w:val="称呼5"/>
    <w:basedOn w:val="1"/>
    <w:next w:val="1"/>
    <w:qFormat/>
    <w:uiPriority w:val="0"/>
    <w:rPr>
      <w:rFonts w:ascii="Times New Roman" w:hAnsi="Times New Roman"/>
      <w:kern w:val="0"/>
      <w:szCs w:val="24"/>
    </w:rPr>
  </w:style>
  <w:style w:type="paragraph" w:customStyle="1" w:styleId="1903">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kern w:val="0"/>
      <w:sz w:val="20"/>
      <w:szCs w:val="20"/>
    </w:rPr>
  </w:style>
  <w:style w:type="paragraph" w:customStyle="1" w:styleId="1904">
    <w:name w:val="页眉 New New New New New"/>
    <w:basedOn w:val="1"/>
    <w:qFormat/>
    <w:uiPriority w:val="0"/>
    <w:pPr>
      <w:pBdr>
        <w:bottom w:val="single" w:color="auto" w:sz="6" w:space="1"/>
      </w:pBdr>
      <w:tabs>
        <w:tab w:val="center" w:pos="4153"/>
        <w:tab w:val="right" w:pos="8306"/>
      </w:tabs>
      <w:snapToGrid w:val="0"/>
      <w:jc w:val="center"/>
    </w:pPr>
    <w:rPr>
      <w:rFonts w:ascii="Times New Roman" w:hAnsi="Times New Roman"/>
      <w:spacing w:val="-2"/>
      <w:kern w:val="0"/>
      <w:sz w:val="18"/>
      <w:szCs w:val="18"/>
    </w:rPr>
  </w:style>
  <w:style w:type="paragraph" w:customStyle="1" w:styleId="1905">
    <w:name w:val="正文缩进1"/>
    <w:basedOn w:val="1"/>
    <w:qFormat/>
    <w:uiPriority w:val="0"/>
    <w:pPr>
      <w:ind w:firstLine="420"/>
    </w:pPr>
    <w:rPr>
      <w:rFonts w:ascii="Times New Roman" w:hAnsi="Times New Roman"/>
      <w:kern w:val="0"/>
      <w:sz w:val="28"/>
      <w:szCs w:val="28"/>
    </w:rPr>
  </w:style>
  <w:style w:type="paragraph" w:customStyle="1" w:styleId="1906">
    <w:name w:val="arial15"/>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907">
    <w:name w:val="Char Char Char Char Char Char Char Char Char1 Char Char Char Char Char Char Char Char Char Char"/>
    <w:basedOn w:val="1"/>
    <w:semiHidden/>
    <w:qFormat/>
    <w:uiPriority w:val="0"/>
    <w:rPr>
      <w:rFonts w:ascii="宋体" w:hAnsi="宋体" w:cs="Courier New"/>
      <w:sz w:val="32"/>
      <w:szCs w:val="32"/>
    </w:rPr>
  </w:style>
  <w:style w:type="paragraph" w:customStyle="1" w:styleId="1908">
    <w:name w:val="xl87"/>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Times New Roman" w:hAnsi="Times New Roman"/>
      <w:kern w:val="0"/>
      <w:sz w:val="22"/>
    </w:rPr>
  </w:style>
  <w:style w:type="paragraph" w:customStyle="1" w:styleId="1909">
    <w:name w:val="xl58"/>
    <w:basedOn w:val="1"/>
    <w:qFormat/>
    <w:uiPriority w:val="0"/>
    <w:pPr>
      <w:widowControl/>
      <w:pBdr>
        <w:top w:val="double" w:color="auto" w:sz="6"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szCs w:val="24"/>
    </w:rPr>
  </w:style>
  <w:style w:type="paragraph" w:customStyle="1" w:styleId="1910">
    <w:name w:val="xl95"/>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911">
    <w:name w:val="已有表格"/>
    <w:basedOn w:val="1"/>
    <w:qFormat/>
    <w:uiPriority w:val="0"/>
    <w:pPr>
      <w:adjustRightInd w:val="0"/>
      <w:spacing w:before="40" w:after="40"/>
      <w:jc w:val="center"/>
      <w:textAlignment w:val="baseline"/>
    </w:pPr>
    <w:rPr>
      <w:rFonts w:ascii="Times New Roman" w:hAnsi="Times New Roman"/>
      <w:b/>
      <w:kern w:val="0"/>
      <w:sz w:val="24"/>
      <w:szCs w:val="20"/>
    </w:rPr>
  </w:style>
  <w:style w:type="paragraph" w:customStyle="1" w:styleId="1912">
    <w:name w:val="et32"/>
    <w:basedOn w:val="1"/>
    <w:qFormat/>
    <w:uiPriority w:val="0"/>
    <w:pPr>
      <w:widowControl/>
      <w:spacing w:before="100" w:beforeAutospacing="1" w:after="100" w:afterAutospacing="1"/>
      <w:jc w:val="left"/>
      <w:textAlignment w:val="bottom"/>
    </w:pPr>
    <w:rPr>
      <w:rFonts w:ascii="宋体" w:hAnsi="宋体" w:cs="宋体"/>
      <w:color w:val="000000"/>
      <w:kern w:val="0"/>
      <w:sz w:val="24"/>
      <w:szCs w:val="24"/>
    </w:rPr>
  </w:style>
  <w:style w:type="paragraph" w:customStyle="1" w:styleId="1913">
    <w:name w:val="批注主题3"/>
    <w:basedOn w:val="28"/>
    <w:next w:val="28"/>
    <w:qFormat/>
    <w:uiPriority w:val="0"/>
    <w:rPr>
      <w:b/>
      <w:bCs/>
    </w:rPr>
  </w:style>
  <w:style w:type="paragraph" w:customStyle="1" w:styleId="1914">
    <w:name w:val="正文首行缩进11"/>
    <w:basedOn w:val="34"/>
    <w:qFormat/>
    <w:uiPriority w:val="0"/>
    <w:pPr>
      <w:spacing w:line="360" w:lineRule="auto"/>
      <w:ind w:firstLine="420" w:firstLineChars="100"/>
    </w:pPr>
    <w:rPr>
      <w:spacing w:val="-2"/>
      <w:sz w:val="24"/>
      <w:szCs w:val="24"/>
    </w:rPr>
  </w:style>
  <w:style w:type="paragraph" w:customStyle="1" w:styleId="1915">
    <w:name w:val="et2"/>
    <w:basedOn w:val="1"/>
    <w:qFormat/>
    <w:uiPriority w:val="0"/>
    <w:pPr>
      <w:widowControl/>
      <w:spacing w:before="100" w:beforeAutospacing="1" w:after="100" w:afterAutospacing="1"/>
      <w:jc w:val="left"/>
      <w:textAlignment w:val="bottom"/>
    </w:pPr>
    <w:rPr>
      <w:rFonts w:ascii="宋体" w:hAnsi="宋体" w:cs="宋体"/>
      <w:color w:val="000000"/>
      <w:kern w:val="0"/>
      <w:sz w:val="24"/>
      <w:szCs w:val="24"/>
    </w:rPr>
  </w:style>
  <w:style w:type="paragraph" w:customStyle="1" w:styleId="1916">
    <w:name w:val="法规"/>
    <w:basedOn w:val="1"/>
    <w:qFormat/>
    <w:uiPriority w:val="0"/>
    <w:pPr>
      <w:tabs>
        <w:tab w:val="left" w:pos="400"/>
      </w:tabs>
      <w:spacing w:line="440" w:lineRule="exact"/>
      <w:ind w:firstLine="400"/>
    </w:pPr>
    <w:rPr>
      <w:rFonts w:ascii="Times New Roman" w:hAnsi="Times New Roman" w:eastAsia="Verdana"/>
      <w:sz w:val="25"/>
      <w:szCs w:val="24"/>
    </w:rPr>
  </w:style>
  <w:style w:type="paragraph" w:customStyle="1" w:styleId="1917">
    <w:name w:val="p1"/>
    <w:basedOn w:val="1"/>
    <w:qFormat/>
    <w:uiPriority w:val="0"/>
    <w:pPr>
      <w:widowControl/>
      <w:spacing w:before="100" w:beforeAutospacing="1" w:after="100" w:afterAutospacing="1" w:line="360" w:lineRule="auto"/>
      <w:ind w:firstLine="465"/>
      <w:jc w:val="left"/>
    </w:pPr>
    <w:rPr>
      <w:rFonts w:ascii="ˎ̥" w:hAnsi="ˎ̥"/>
      <w:kern w:val="0"/>
      <w:sz w:val="22"/>
      <w:szCs w:val="20"/>
    </w:rPr>
  </w:style>
  <w:style w:type="paragraph" w:customStyle="1" w:styleId="1918">
    <w:name w:val="样式 正文首行缩进 + 首行缩进:  2 字符 段前: 0.5 行"/>
    <w:basedOn w:val="86"/>
    <w:qFormat/>
    <w:uiPriority w:val="0"/>
    <w:pPr>
      <w:adjustRightInd w:val="0"/>
      <w:spacing w:after="0"/>
      <w:ind w:firstLine="480" w:firstLineChars="200"/>
      <w:textAlignment w:val="baseline"/>
    </w:pPr>
    <w:rPr>
      <w:rFonts w:ascii="宋体" w:hAnsi="宋体"/>
      <w:kern w:val="0"/>
      <w:szCs w:val="20"/>
    </w:rPr>
  </w:style>
  <w:style w:type="paragraph" w:customStyle="1" w:styleId="1919">
    <w:name w:val="Char Char Char Char Char Char Char Char Char Char Char Char Char Char Char Char Char Char2"/>
    <w:basedOn w:val="1"/>
    <w:qFormat/>
    <w:uiPriority w:val="0"/>
    <w:rPr>
      <w:rFonts w:ascii="Times New Roman" w:hAnsi="Times New Roman"/>
      <w:sz w:val="24"/>
      <w:szCs w:val="24"/>
    </w:rPr>
  </w:style>
  <w:style w:type="paragraph" w:customStyle="1" w:styleId="1920">
    <w:name w:val="reader-word-layer reader-word-s1-36"/>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921">
    <w:name w:val="xl36"/>
    <w:basedOn w:val="1"/>
    <w:qFormat/>
    <w:uiPriority w:val="0"/>
    <w:pPr>
      <w:widowControl/>
      <w:spacing w:before="100" w:beforeAutospacing="1" w:after="100" w:afterAutospacing="1"/>
      <w:jc w:val="left"/>
    </w:pPr>
    <w:rPr>
      <w:rFonts w:ascii="Times New Roman" w:hAnsi="Times New Roman" w:eastAsia="Arial Unicode MS"/>
      <w:color w:val="0000FF"/>
      <w:kern w:val="0"/>
      <w:sz w:val="24"/>
      <w:szCs w:val="24"/>
    </w:rPr>
  </w:style>
  <w:style w:type="paragraph" w:customStyle="1" w:styleId="1922">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Arial Unicode MS" w:hAnsi="Arial Unicode MS"/>
      <w:kern w:val="0"/>
      <w:sz w:val="20"/>
      <w:szCs w:val="20"/>
    </w:rPr>
  </w:style>
  <w:style w:type="paragraph" w:customStyle="1" w:styleId="1923">
    <w:name w:val="et9"/>
    <w:basedOn w:val="1"/>
    <w:qFormat/>
    <w:uiPriority w:val="0"/>
    <w:pPr>
      <w:widowControl/>
      <w:spacing w:before="100" w:beforeAutospacing="1" w:after="100" w:afterAutospacing="1"/>
      <w:jc w:val="left"/>
      <w:textAlignment w:val="bottom"/>
    </w:pPr>
    <w:rPr>
      <w:rFonts w:ascii="宋体" w:hAnsi="宋体" w:cs="宋体"/>
      <w:color w:val="000000"/>
      <w:kern w:val="0"/>
      <w:sz w:val="24"/>
      <w:szCs w:val="24"/>
    </w:rPr>
  </w:style>
  <w:style w:type="paragraph" w:customStyle="1" w:styleId="1924">
    <w:name w:val="正文首行缩进5"/>
    <w:basedOn w:val="34"/>
    <w:qFormat/>
    <w:uiPriority w:val="0"/>
    <w:pPr>
      <w:spacing w:line="360" w:lineRule="auto"/>
      <w:ind w:firstLine="420" w:firstLineChars="100"/>
    </w:pPr>
    <w:rPr>
      <w:rFonts w:ascii="Times New Roman" w:hAnsi="Times New Roman"/>
      <w:sz w:val="24"/>
      <w:szCs w:val="24"/>
    </w:rPr>
  </w:style>
  <w:style w:type="paragraph" w:customStyle="1" w:styleId="1925">
    <w:name w:val="ST20_1"/>
    <w:basedOn w:val="1"/>
    <w:qFormat/>
    <w:uiPriority w:val="0"/>
    <w:pPr>
      <w:autoSpaceDE w:val="0"/>
      <w:autoSpaceDN w:val="0"/>
      <w:adjustRightInd w:val="0"/>
      <w:spacing w:line="312" w:lineRule="atLeast"/>
      <w:jc w:val="center"/>
      <w:textAlignment w:val="baseline"/>
    </w:pPr>
    <w:rPr>
      <w:rFonts w:ascii="宋体" w:hAnsi="Tms Rmn"/>
      <w:spacing w:val="-2"/>
      <w:kern w:val="0"/>
      <w:sz w:val="24"/>
      <w:szCs w:val="20"/>
    </w:rPr>
  </w:style>
  <w:style w:type="paragraph" w:customStyle="1" w:styleId="1926">
    <w:name w:val="表中文字"/>
    <w:basedOn w:val="1"/>
    <w:qFormat/>
    <w:uiPriority w:val="0"/>
    <w:pPr>
      <w:tabs>
        <w:tab w:val="left" w:pos="2700"/>
      </w:tabs>
      <w:spacing w:line="360" w:lineRule="exact"/>
      <w:jc w:val="center"/>
    </w:pPr>
    <w:rPr>
      <w:rFonts w:ascii="Arial" w:hAnsi="Arial"/>
      <w:kern w:val="0"/>
      <w:szCs w:val="21"/>
    </w:rPr>
  </w:style>
  <w:style w:type="paragraph" w:customStyle="1" w:styleId="1927">
    <w:name w:val="列表2"/>
    <w:basedOn w:val="66"/>
    <w:qFormat/>
    <w:uiPriority w:val="0"/>
    <w:pPr>
      <w:widowControl w:val="0"/>
      <w:adjustRightInd w:val="0"/>
      <w:snapToGrid w:val="0"/>
      <w:spacing w:line="400" w:lineRule="exact"/>
      <w:ind w:left="0" w:firstLine="0"/>
    </w:pPr>
    <w:rPr>
      <w:kern w:val="0"/>
      <w:sz w:val="24"/>
    </w:rPr>
  </w:style>
  <w:style w:type="paragraph" w:customStyle="1" w:styleId="1928">
    <w:name w:val="Body Text 21"/>
    <w:basedOn w:val="1"/>
    <w:qFormat/>
    <w:uiPriority w:val="0"/>
    <w:pPr>
      <w:adjustRightInd w:val="0"/>
      <w:snapToGrid w:val="0"/>
      <w:spacing w:line="312" w:lineRule="auto"/>
      <w:textAlignment w:val="baseline"/>
    </w:pPr>
    <w:rPr>
      <w:rFonts w:ascii="Times New Roman" w:hAnsi="Times New Roman"/>
      <w:kern w:val="0"/>
      <w:sz w:val="28"/>
      <w:szCs w:val="20"/>
    </w:rPr>
  </w:style>
  <w:style w:type="paragraph" w:customStyle="1" w:styleId="1929">
    <w:name w:val="页眉 New"/>
    <w:basedOn w:val="1"/>
    <w:qFormat/>
    <w:uiPriority w:val="0"/>
    <w:pPr>
      <w:pBdr>
        <w:bottom w:val="single" w:color="auto" w:sz="6" w:space="1"/>
      </w:pBdr>
      <w:tabs>
        <w:tab w:val="center" w:pos="4153"/>
        <w:tab w:val="right" w:pos="8306"/>
      </w:tabs>
      <w:snapToGrid w:val="0"/>
      <w:jc w:val="center"/>
    </w:pPr>
    <w:rPr>
      <w:rFonts w:ascii="Times New Roman" w:hAnsi="Times New Roman"/>
      <w:spacing w:val="-2"/>
      <w:kern w:val="0"/>
      <w:sz w:val="18"/>
      <w:szCs w:val="18"/>
    </w:rPr>
  </w:style>
  <w:style w:type="paragraph" w:customStyle="1" w:styleId="1930">
    <w:name w:val="日期7"/>
    <w:basedOn w:val="1"/>
    <w:next w:val="1"/>
    <w:qFormat/>
    <w:uiPriority w:val="0"/>
    <w:pPr>
      <w:ind w:left="100" w:leftChars="2500"/>
    </w:pPr>
    <w:rPr>
      <w:rFonts w:ascii="Times New Roman" w:hAnsi="Times New Roman"/>
      <w:kern w:val="0"/>
      <w:sz w:val="20"/>
      <w:szCs w:val="24"/>
    </w:rPr>
  </w:style>
  <w:style w:type="paragraph" w:customStyle="1" w:styleId="1931">
    <w:name w:val="正文 + 首行缩进:  2 字符"/>
    <w:basedOn w:val="1"/>
    <w:qFormat/>
    <w:uiPriority w:val="0"/>
    <w:pPr>
      <w:ind w:firstLine="480" w:firstLineChars="200"/>
    </w:pPr>
    <w:rPr>
      <w:rFonts w:ascii="Times New Roman" w:hAnsi="Times New Roman" w:cs="宋体"/>
      <w:sz w:val="24"/>
      <w:szCs w:val="20"/>
    </w:rPr>
  </w:style>
  <w:style w:type="paragraph" w:customStyle="1" w:styleId="1932">
    <w:name w:val="表内"/>
    <w:basedOn w:val="2"/>
    <w:qFormat/>
    <w:uiPriority w:val="0"/>
    <w:pPr>
      <w:spacing w:line="240" w:lineRule="auto"/>
      <w:ind w:firstLine="0"/>
      <w:jc w:val="center"/>
    </w:pPr>
    <w:rPr>
      <w:szCs w:val="24"/>
    </w:rPr>
  </w:style>
  <w:style w:type="paragraph" w:customStyle="1" w:styleId="1933">
    <w:name w:val="样式 样式 样式 首行缩进:  2 字符 + 首行缩进:  2 字符 + 首行缩进:  2 字符"/>
    <w:basedOn w:val="1"/>
    <w:qFormat/>
    <w:uiPriority w:val="0"/>
    <w:pPr>
      <w:spacing w:line="360" w:lineRule="auto"/>
      <w:ind w:firstLine="480" w:firstLineChars="200"/>
    </w:pPr>
    <w:rPr>
      <w:rFonts w:ascii="Times New Roman" w:hAnsi="Times New Roman" w:eastAsia="仿宋_GB2312" w:cs="宋体"/>
      <w:sz w:val="24"/>
      <w:szCs w:val="20"/>
    </w:rPr>
  </w:style>
  <w:style w:type="paragraph" w:customStyle="1" w:styleId="1934">
    <w:name w:val="reader-word-layer reader-word-s2-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935">
    <w:name w:val="Char Char Char Char Char Char1 Char1 Char Char Char Char Char Char12"/>
    <w:basedOn w:val="1"/>
    <w:qFormat/>
    <w:uiPriority w:val="0"/>
    <w:pPr>
      <w:ind w:left="510"/>
    </w:pPr>
    <w:rPr>
      <w:rFonts w:ascii="Times New Roman" w:hAnsi="Times New Roman"/>
      <w:szCs w:val="21"/>
    </w:rPr>
  </w:style>
  <w:style w:type="paragraph" w:customStyle="1" w:styleId="1936">
    <w:name w:val="样式 首行缩进:  2 字符"/>
    <w:basedOn w:val="1"/>
    <w:qFormat/>
    <w:uiPriority w:val="0"/>
    <w:pPr>
      <w:spacing w:line="360" w:lineRule="auto"/>
      <w:ind w:firstLine="480" w:firstLineChars="200"/>
    </w:pPr>
    <w:rPr>
      <w:rFonts w:ascii="宋体" w:hAnsi="宋体"/>
      <w:color w:val="FF00FF"/>
      <w:sz w:val="24"/>
      <w:szCs w:val="24"/>
    </w:rPr>
  </w:style>
  <w:style w:type="paragraph" w:customStyle="1" w:styleId="1937">
    <w:name w:val="Char1 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1938">
    <w:name w:val="列表接续 23"/>
    <w:basedOn w:val="1"/>
    <w:qFormat/>
    <w:uiPriority w:val="0"/>
    <w:pPr>
      <w:spacing w:after="120"/>
      <w:ind w:left="840" w:leftChars="400"/>
    </w:pPr>
    <w:rPr>
      <w:rFonts w:ascii="宋体" w:hAnsi="宋体"/>
      <w:kern w:val="0"/>
      <w:sz w:val="24"/>
      <w:szCs w:val="24"/>
    </w:rPr>
  </w:style>
  <w:style w:type="paragraph" w:customStyle="1" w:styleId="1939">
    <w:name w:val="Char Char Char1 Char Char Char Char"/>
    <w:basedOn w:val="1"/>
    <w:qFormat/>
    <w:uiPriority w:val="0"/>
    <w:pPr>
      <w:adjustRightInd w:val="0"/>
      <w:snapToGrid w:val="0"/>
      <w:spacing w:line="360" w:lineRule="auto"/>
      <w:ind w:firstLine="200" w:firstLineChars="200"/>
    </w:pPr>
    <w:rPr>
      <w:rFonts w:ascii="宋体" w:hAnsi="宋体" w:cs="宋体"/>
      <w:sz w:val="24"/>
      <w:szCs w:val="26"/>
    </w:rPr>
  </w:style>
  <w:style w:type="paragraph" w:customStyle="1" w:styleId="1940">
    <w:name w:val="表内式样"/>
    <w:qFormat/>
    <w:uiPriority w:val="0"/>
    <w:pPr>
      <w:widowControl w:val="0"/>
      <w:adjustRightInd w:val="0"/>
      <w:snapToGrid w:val="0"/>
      <w:jc w:val="center"/>
    </w:pPr>
    <w:rPr>
      <w:rFonts w:ascii="Calibri" w:hAnsi="Calibri" w:eastAsia="宋体" w:cs="Times New Roman"/>
      <w:snapToGrid w:val="0"/>
      <w:color w:val="000000"/>
      <w:sz w:val="21"/>
      <w:szCs w:val="24"/>
      <w:lang w:val="en-US" w:eastAsia="zh-CN" w:bidi="ar-SA"/>
    </w:rPr>
  </w:style>
  <w:style w:type="paragraph" w:customStyle="1" w:styleId="1941">
    <w:name w:val="Char Char1 Char Char1 Char Char1 Char Char1 Char Char Char Char Char Char Char"/>
    <w:basedOn w:val="1"/>
    <w:qFormat/>
    <w:uiPriority w:val="0"/>
    <w:rPr>
      <w:rFonts w:ascii="Tahoma" w:hAnsi="Tahoma"/>
      <w:sz w:val="24"/>
      <w:szCs w:val="24"/>
    </w:rPr>
  </w:style>
  <w:style w:type="paragraph" w:customStyle="1" w:styleId="1942">
    <w:name w:val="普通(网站)4"/>
    <w:basedOn w:val="1"/>
    <w:qFormat/>
    <w:uiPriority w:val="0"/>
    <w:pPr>
      <w:widowControl/>
      <w:spacing w:before="100" w:beforeAutospacing="1" w:after="100" w:afterAutospacing="1" w:line="529" w:lineRule="exact"/>
      <w:ind w:firstLine="200" w:firstLineChars="200"/>
      <w:jc w:val="left"/>
    </w:pPr>
    <w:rPr>
      <w:rFonts w:ascii="宋体" w:hAnsi="宋体"/>
      <w:kern w:val="0"/>
      <w:sz w:val="24"/>
      <w:szCs w:val="24"/>
    </w:rPr>
  </w:style>
  <w:style w:type="paragraph" w:customStyle="1" w:styleId="1943">
    <w:name w:val="xl61"/>
    <w:basedOn w:val="1"/>
    <w:qFormat/>
    <w:uiPriority w:val="0"/>
    <w:pPr>
      <w:widowControl/>
      <w:pBdr>
        <w:top w:val="single" w:color="auto" w:sz="4" w:space="0"/>
        <w:left w:val="single" w:color="auto" w:sz="4" w:space="0"/>
        <w:bottom w:val="single" w:color="auto" w:sz="8" w:space="0"/>
      </w:pBdr>
      <w:shd w:val="clear" w:color="auto" w:fill="FFFFFF"/>
      <w:spacing w:before="100" w:beforeAutospacing="1" w:after="100" w:afterAutospacing="1" w:line="360" w:lineRule="auto"/>
      <w:jc w:val="center"/>
      <w:textAlignment w:val="bottom"/>
    </w:pPr>
    <w:rPr>
      <w:rFonts w:ascii="宋体" w:hAnsi="宋体" w:cs="宋体"/>
      <w:b/>
      <w:bCs/>
      <w:kern w:val="0"/>
      <w:sz w:val="18"/>
      <w:szCs w:val="18"/>
    </w:rPr>
  </w:style>
  <w:style w:type="paragraph" w:customStyle="1" w:styleId="1944">
    <w:name w:val="Char Char2 Char Char Char Char1"/>
    <w:basedOn w:val="1"/>
    <w:qFormat/>
    <w:uiPriority w:val="0"/>
    <w:pPr>
      <w:spacing w:line="360" w:lineRule="auto"/>
      <w:ind w:firstLine="200" w:firstLineChars="200"/>
    </w:pPr>
    <w:rPr>
      <w:rFonts w:eastAsia="仿宋_GB2312"/>
      <w:sz w:val="28"/>
      <w:szCs w:val="28"/>
    </w:rPr>
  </w:style>
  <w:style w:type="paragraph" w:customStyle="1" w:styleId="1945">
    <w:name w:val="Char Char Char Char Char Char Char Char Char Char Char Char Char Char Char Char Char Char Char Char Char Char Char Char Char Char Char Char Char Char Char Char Char Char Char Char Char Char Char Char Char Char Char Char Char Char"/>
    <w:basedOn w:val="1"/>
    <w:next w:val="1"/>
    <w:qFormat/>
    <w:uiPriority w:val="0"/>
    <w:pPr>
      <w:pBdr>
        <w:right w:val="single" w:color="auto" w:sz="12" w:space="4"/>
      </w:pBdr>
      <w:spacing w:line="360" w:lineRule="auto"/>
      <w:ind w:firstLine="200" w:firstLineChars="200"/>
    </w:pPr>
    <w:rPr>
      <w:rFonts w:ascii="Times New Roman" w:hAnsi="Times New Roman"/>
      <w:spacing w:val="-2"/>
      <w:kern w:val="0"/>
      <w:sz w:val="28"/>
      <w:szCs w:val="20"/>
    </w:rPr>
  </w:style>
  <w:style w:type="paragraph" w:customStyle="1" w:styleId="1946">
    <w:name w:val="正文 New New New New New New New New New New New New New New New New New New New New New New New New New New New New New New New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1947">
    <w:name w:val="列表接续 27"/>
    <w:basedOn w:val="1"/>
    <w:qFormat/>
    <w:uiPriority w:val="0"/>
    <w:pPr>
      <w:spacing w:after="120"/>
      <w:ind w:left="840" w:leftChars="400"/>
    </w:pPr>
    <w:rPr>
      <w:rFonts w:ascii="宋体" w:hAnsi="宋体"/>
      <w:kern w:val="0"/>
      <w:sz w:val="24"/>
      <w:szCs w:val="24"/>
    </w:rPr>
  </w:style>
  <w:style w:type="paragraph" w:customStyle="1" w:styleId="1948">
    <w:name w:val="et34"/>
    <w:basedOn w:val="1"/>
    <w:qFormat/>
    <w:uiPriority w:val="0"/>
    <w:pPr>
      <w:widowControl/>
      <w:spacing w:before="100" w:beforeAutospacing="1" w:after="100" w:afterAutospacing="1"/>
      <w:jc w:val="left"/>
      <w:textAlignment w:val="bottom"/>
    </w:pPr>
    <w:rPr>
      <w:rFonts w:ascii="宋体" w:hAnsi="宋体" w:cs="宋体"/>
      <w:color w:val="000000"/>
      <w:kern w:val="0"/>
      <w:sz w:val="24"/>
      <w:szCs w:val="24"/>
    </w:rPr>
  </w:style>
  <w:style w:type="paragraph" w:customStyle="1" w:styleId="1949">
    <w:name w:val="样式 样式 标题 2 + 黑体 四号 段前: 0.5 行 + 左侧:  2 字符 段前: 0.5 行"/>
    <w:basedOn w:val="1"/>
    <w:qFormat/>
    <w:uiPriority w:val="0"/>
    <w:pPr>
      <w:keepNext/>
      <w:keepLines/>
      <w:adjustRightInd w:val="0"/>
      <w:snapToGrid w:val="0"/>
      <w:spacing w:before="50" w:line="360" w:lineRule="auto"/>
      <w:ind w:left="200" w:leftChars="200"/>
      <w:outlineLvl w:val="1"/>
    </w:pPr>
    <w:rPr>
      <w:rFonts w:ascii="黑体" w:hAnsi="仿宋" w:eastAsia="黑体" w:cs="宋体"/>
      <w:bCs/>
      <w:sz w:val="28"/>
      <w:szCs w:val="20"/>
    </w:rPr>
  </w:style>
  <w:style w:type="paragraph" w:customStyle="1" w:styleId="1950">
    <w:name w:val="样式 标题 2标题 21标题 121节H2SeHead wsa2标题 1.1 + 黑体 四号 非加粗"/>
    <w:basedOn w:val="5"/>
    <w:qFormat/>
    <w:uiPriority w:val="0"/>
    <w:pPr>
      <w:tabs>
        <w:tab w:val="left" w:pos="1327"/>
      </w:tabs>
      <w:spacing w:line="416" w:lineRule="auto"/>
      <w:ind w:left="1327" w:hanging="420"/>
    </w:pPr>
    <w:rPr>
      <w:rFonts w:ascii="黑体" w:hAnsi="黑体"/>
      <w:b w:val="0"/>
      <w:bCs w:val="0"/>
    </w:rPr>
  </w:style>
  <w:style w:type="paragraph" w:customStyle="1" w:styleId="1951">
    <w:name w:val="et68"/>
    <w:basedOn w:val="1"/>
    <w:qFormat/>
    <w:uiPriority w:val="0"/>
    <w:pPr>
      <w:widowControl/>
      <w:spacing w:before="100" w:beforeAutospacing="1" w:after="100" w:afterAutospacing="1"/>
      <w:jc w:val="left"/>
      <w:textAlignment w:val="bottom"/>
    </w:pPr>
    <w:rPr>
      <w:rFonts w:ascii="宋体" w:hAnsi="宋体" w:cs="宋体"/>
      <w:color w:val="000000"/>
      <w:kern w:val="0"/>
      <w:sz w:val="24"/>
      <w:szCs w:val="24"/>
    </w:rPr>
  </w:style>
  <w:style w:type="paragraph" w:customStyle="1" w:styleId="1952">
    <w:name w:val="et53"/>
    <w:basedOn w:val="1"/>
    <w:qFormat/>
    <w:uiPriority w:val="0"/>
    <w:pPr>
      <w:widowControl/>
      <w:spacing w:before="100" w:beforeAutospacing="1" w:after="100" w:afterAutospacing="1"/>
      <w:jc w:val="left"/>
      <w:textAlignment w:val="bottom"/>
    </w:pPr>
    <w:rPr>
      <w:rFonts w:ascii="宋体" w:hAnsi="宋体" w:cs="宋体"/>
      <w:color w:val="000000"/>
      <w:kern w:val="0"/>
      <w:sz w:val="24"/>
      <w:szCs w:val="24"/>
    </w:rPr>
  </w:style>
  <w:style w:type="paragraph" w:customStyle="1" w:styleId="1953">
    <w:name w:val="xl620"/>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Times New Roman" w:hAnsi="Times New Roman"/>
      <w:kern w:val="0"/>
      <w:sz w:val="24"/>
      <w:szCs w:val="24"/>
    </w:rPr>
  </w:style>
  <w:style w:type="paragraph" w:customStyle="1" w:styleId="1954">
    <w:name w:val="标是1.9"/>
    <w:basedOn w:val="1"/>
    <w:qFormat/>
    <w:uiPriority w:val="0"/>
    <w:pPr>
      <w:keepNext/>
      <w:keepLines/>
      <w:spacing w:before="156" w:beforeLines="50" w:line="360" w:lineRule="auto"/>
      <w:outlineLvl w:val="0"/>
    </w:pPr>
    <w:rPr>
      <w:rFonts w:ascii="Times New Roman" w:hAnsi="Times New Roman" w:eastAsia="黑体"/>
      <w:b/>
      <w:color w:val="000000"/>
      <w:kern w:val="44"/>
      <w:sz w:val="30"/>
      <w:szCs w:val="30"/>
    </w:rPr>
  </w:style>
  <w:style w:type="paragraph" w:customStyle="1" w:styleId="1955">
    <w:name w:val="页眉 New New New New New New New New New New New New"/>
    <w:basedOn w:val="1"/>
    <w:qFormat/>
    <w:uiPriority w:val="0"/>
    <w:pPr>
      <w:pBdr>
        <w:bottom w:val="single" w:color="auto" w:sz="6" w:space="1"/>
      </w:pBdr>
      <w:tabs>
        <w:tab w:val="center" w:pos="4153"/>
        <w:tab w:val="right" w:pos="8306"/>
      </w:tabs>
      <w:snapToGrid w:val="0"/>
      <w:jc w:val="center"/>
    </w:pPr>
    <w:rPr>
      <w:rFonts w:ascii="Times New Roman" w:hAnsi="Times New Roman"/>
      <w:spacing w:val="-2"/>
      <w:kern w:val="0"/>
      <w:sz w:val="18"/>
      <w:szCs w:val="18"/>
    </w:rPr>
  </w:style>
  <w:style w:type="paragraph" w:customStyle="1" w:styleId="1956">
    <w:name w:val="小表"/>
    <w:basedOn w:val="1"/>
    <w:qFormat/>
    <w:uiPriority w:val="0"/>
    <w:pPr>
      <w:widowControl/>
      <w:overflowPunct w:val="0"/>
      <w:autoSpaceDE w:val="0"/>
      <w:autoSpaceDN w:val="0"/>
      <w:adjustRightInd w:val="0"/>
      <w:jc w:val="center"/>
      <w:textAlignment w:val="bottom"/>
    </w:pPr>
    <w:rPr>
      <w:rFonts w:ascii="Times New Roman" w:hAnsi="Times New Roman"/>
      <w:kern w:val="0"/>
      <w:szCs w:val="20"/>
    </w:rPr>
  </w:style>
  <w:style w:type="paragraph" w:customStyle="1" w:styleId="1957">
    <w:name w:val="小小标题"/>
    <w:basedOn w:val="1"/>
    <w:qFormat/>
    <w:uiPriority w:val="0"/>
    <w:pPr>
      <w:adjustRightInd w:val="0"/>
      <w:spacing w:line="360" w:lineRule="atLeast"/>
      <w:jc w:val="left"/>
      <w:textAlignment w:val="baseline"/>
    </w:pPr>
    <w:rPr>
      <w:rFonts w:ascii="宋体" w:hAnsi="Times New Roman"/>
      <w:spacing w:val="20"/>
      <w:kern w:val="0"/>
      <w:sz w:val="24"/>
      <w:szCs w:val="20"/>
    </w:rPr>
  </w:style>
  <w:style w:type="paragraph" w:customStyle="1" w:styleId="1958">
    <w:name w:val="正文 New New New New New New New New New New New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1959">
    <w:name w:val="font13"/>
    <w:basedOn w:val="1"/>
    <w:qFormat/>
    <w:uiPriority w:val="0"/>
    <w:pPr>
      <w:widowControl/>
      <w:spacing w:before="100" w:beforeAutospacing="1" w:after="100" w:afterAutospacing="1"/>
      <w:jc w:val="left"/>
    </w:pPr>
    <w:rPr>
      <w:rFonts w:hint="eastAsia" w:ascii="黑体" w:hAnsi="Arial Unicode MS" w:eastAsia="黑体" w:cs="Arial Unicode MS"/>
      <w:kern w:val="0"/>
      <w:sz w:val="22"/>
    </w:rPr>
  </w:style>
  <w:style w:type="paragraph" w:customStyle="1" w:styleId="1960">
    <w:name w:val="acee01"/>
    <w:basedOn w:val="1"/>
    <w:qFormat/>
    <w:uiPriority w:val="0"/>
    <w:pPr>
      <w:adjustRightInd w:val="0"/>
      <w:snapToGrid w:val="0"/>
      <w:spacing w:line="400" w:lineRule="exact"/>
      <w:outlineLvl w:val="0"/>
    </w:pPr>
    <w:rPr>
      <w:rFonts w:ascii="黑体" w:hAnsi="宋体" w:eastAsia="黑体"/>
      <w:sz w:val="24"/>
      <w:szCs w:val="24"/>
    </w:rPr>
  </w:style>
  <w:style w:type="paragraph" w:customStyle="1" w:styleId="1961">
    <w:name w:val="Char Char121"/>
    <w:basedOn w:val="1"/>
    <w:qFormat/>
    <w:uiPriority w:val="0"/>
    <w:pPr>
      <w:spacing w:line="360" w:lineRule="auto"/>
      <w:ind w:firstLine="200" w:firstLineChars="200"/>
    </w:pPr>
    <w:rPr>
      <w:rFonts w:ascii="宋体" w:hAnsi="宋体" w:cs="宋体"/>
      <w:sz w:val="24"/>
      <w:szCs w:val="24"/>
    </w:rPr>
  </w:style>
  <w:style w:type="paragraph" w:customStyle="1" w:styleId="1962">
    <w:name w:val="顺风正文"/>
    <w:basedOn w:val="1"/>
    <w:qFormat/>
    <w:uiPriority w:val="0"/>
    <w:pPr>
      <w:adjustRightInd w:val="0"/>
      <w:snapToGrid w:val="0"/>
      <w:spacing w:line="360" w:lineRule="auto"/>
      <w:ind w:firstLine="200" w:firstLineChars="200"/>
    </w:pPr>
    <w:rPr>
      <w:rFonts w:ascii="宋体" w:hAnsi="Times New Roman" w:cs="宋体"/>
      <w:sz w:val="24"/>
      <w:szCs w:val="20"/>
    </w:rPr>
  </w:style>
  <w:style w:type="paragraph" w:customStyle="1" w:styleId="1963">
    <w:name w:val="索引 111"/>
    <w:basedOn w:val="1"/>
    <w:next w:val="1"/>
    <w:qFormat/>
    <w:uiPriority w:val="0"/>
    <w:pPr>
      <w:adjustRightInd w:val="0"/>
      <w:spacing w:line="529" w:lineRule="exact"/>
      <w:textAlignment w:val="baseline"/>
    </w:pPr>
    <w:rPr>
      <w:rFonts w:ascii="宋体" w:hAnsi="宋体" w:eastAsia="汉鼎简书宋"/>
      <w:kern w:val="0"/>
      <w:sz w:val="24"/>
      <w:szCs w:val="20"/>
    </w:rPr>
  </w:style>
  <w:style w:type="paragraph" w:customStyle="1" w:styleId="1964">
    <w:name w:val="样2"/>
    <w:basedOn w:val="1"/>
    <w:next w:val="1"/>
    <w:qFormat/>
    <w:uiPriority w:val="0"/>
    <w:pPr>
      <w:adjustRightInd w:val="0"/>
      <w:jc w:val="center"/>
    </w:pPr>
    <w:rPr>
      <w:kern w:val="0"/>
      <w:szCs w:val="20"/>
    </w:rPr>
  </w:style>
  <w:style w:type="paragraph" w:customStyle="1" w:styleId="1965">
    <w:name w:val="xl6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Times New Roman" w:hAnsi="Times New Roman"/>
      <w:kern w:val="0"/>
      <w:sz w:val="24"/>
      <w:szCs w:val="24"/>
    </w:rPr>
  </w:style>
  <w:style w:type="paragraph" w:customStyle="1" w:styleId="1966">
    <w:name w:val="页眉 New New New New New New New New New New New New New New New New New New New New"/>
    <w:basedOn w:val="1"/>
    <w:qFormat/>
    <w:uiPriority w:val="0"/>
    <w:pPr>
      <w:pBdr>
        <w:bottom w:val="single" w:color="auto" w:sz="6" w:space="1"/>
      </w:pBdr>
      <w:tabs>
        <w:tab w:val="center" w:pos="4153"/>
        <w:tab w:val="right" w:pos="8306"/>
      </w:tabs>
      <w:snapToGrid w:val="0"/>
      <w:jc w:val="center"/>
    </w:pPr>
    <w:rPr>
      <w:rFonts w:ascii="Times New Roman" w:hAnsi="Times New Roman"/>
      <w:spacing w:val="-2"/>
      <w:kern w:val="0"/>
      <w:sz w:val="18"/>
      <w:szCs w:val="18"/>
    </w:rPr>
  </w:style>
  <w:style w:type="paragraph" w:customStyle="1" w:styleId="1967">
    <w:name w:val="reader-word-layer reader-word-s1-1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968">
    <w:name w:val="标题12"/>
    <w:basedOn w:val="4"/>
    <w:qFormat/>
    <w:uiPriority w:val="0"/>
    <w:pPr>
      <w:pageBreakBefore/>
      <w:widowControl/>
      <w:tabs>
        <w:tab w:val="left" w:pos="360"/>
        <w:tab w:val="left" w:pos="1280"/>
      </w:tabs>
      <w:spacing w:after="120" w:line="200" w:lineRule="atLeast"/>
      <w:ind w:left="425" w:hanging="425"/>
    </w:pPr>
    <w:rPr>
      <w:rFonts w:ascii="黑体"/>
      <w:bCs w:val="0"/>
      <w:sz w:val="32"/>
      <w:szCs w:val="20"/>
      <w:lang w:val="zh-CN"/>
    </w:rPr>
  </w:style>
  <w:style w:type="paragraph" w:customStyle="1" w:styleId="1969">
    <w:name w:val="标题2YHY"/>
    <w:basedOn w:val="5"/>
    <w:next w:val="6"/>
    <w:qFormat/>
    <w:uiPriority w:val="0"/>
    <w:pPr>
      <w:spacing w:beforeLines="50" w:afterLines="50"/>
    </w:pPr>
    <w:rPr>
      <w:rFonts w:eastAsia="宋体" w:cs="宋体"/>
      <w:szCs w:val="28"/>
    </w:rPr>
  </w:style>
  <w:style w:type="paragraph" w:customStyle="1" w:styleId="1970">
    <w:name w:val="xl60"/>
    <w:basedOn w:val="1"/>
    <w:qFormat/>
    <w:uiPriority w:val="0"/>
    <w:pPr>
      <w:widowControl/>
      <w:pBdr>
        <w:top w:val="single" w:color="auto" w:sz="8" w:space="0"/>
        <w:left w:val="single" w:color="auto" w:sz="4" w:space="0"/>
        <w:bottom w:val="single" w:color="auto" w:sz="4" w:space="0"/>
        <w:right w:val="single" w:color="auto" w:sz="8" w:space="0"/>
      </w:pBdr>
      <w:shd w:val="clear" w:color="auto" w:fill="FFFFFF"/>
      <w:spacing w:before="100" w:beforeAutospacing="1" w:after="100" w:afterAutospacing="1" w:line="360" w:lineRule="auto"/>
      <w:jc w:val="center"/>
    </w:pPr>
    <w:rPr>
      <w:rFonts w:ascii="宋体" w:hAnsi="宋体" w:cs="宋体"/>
      <w:b/>
      <w:bCs/>
      <w:kern w:val="0"/>
      <w:sz w:val="18"/>
      <w:szCs w:val="18"/>
    </w:rPr>
  </w:style>
  <w:style w:type="paragraph" w:customStyle="1" w:styleId="1971">
    <w:name w:val="称呼111"/>
    <w:basedOn w:val="1"/>
    <w:next w:val="1"/>
    <w:qFormat/>
    <w:uiPriority w:val="0"/>
    <w:rPr>
      <w:kern w:val="0"/>
      <w:szCs w:val="24"/>
    </w:rPr>
  </w:style>
  <w:style w:type="paragraph" w:customStyle="1" w:styleId="1972">
    <w:name w:val="Char311"/>
    <w:basedOn w:val="26"/>
    <w:qFormat/>
    <w:uiPriority w:val="0"/>
    <w:pPr>
      <w:spacing w:line="360" w:lineRule="auto"/>
    </w:pPr>
    <w:rPr>
      <w:rFonts w:ascii="Tahoma" w:hAnsi="Tahoma"/>
      <w:kern w:val="0"/>
    </w:rPr>
  </w:style>
  <w:style w:type="paragraph" w:customStyle="1" w:styleId="1973">
    <w:name w:val="页脚 New New New New New New New"/>
    <w:basedOn w:val="1"/>
    <w:qFormat/>
    <w:uiPriority w:val="0"/>
    <w:pPr>
      <w:tabs>
        <w:tab w:val="center" w:pos="4153"/>
        <w:tab w:val="right" w:pos="8306"/>
      </w:tabs>
      <w:snapToGrid w:val="0"/>
      <w:jc w:val="left"/>
    </w:pPr>
    <w:rPr>
      <w:rFonts w:ascii="Times New Roman" w:hAnsi="Times New Roman"/>
      <w:spacing w:val="-2"/>
      <w:kern w:val="0"/>
      <w:sz w:val="18"/>
      <w:szCs w:val="18"/>
    </w:rPr>
  </w:style>
  <w:style w:type="paragraph" w:customStyle="1" w:styleId="1974">
    <w:name w:val="reader-word-layer reader-word-s1-9"/>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975">
    <w:name w:val="表格填充1"/>
    <w:basedOn w:val="1"/>
    <w:qFormat/>
    <w:uiPriority w:val="0"/>
    <w:pPr>
      <w:adjustRightInd w:val="0"/>
      <w:snapToGrid w:val="0"/>
      <w:spacing w:line="400" w:lineRule="exact"/>
      <w:jc w:val="center"/>
    </w:pPr>
    <w:rPr>
      <w:rFonts w:ascii="Times New Roman" w:hAnsi="Times New Roman"/>
      <w:kern w:val="0"/>
      <w:szCs w:val="18"/>
    </w:rPr>
  </w:style>
  <w:style w:type="paragraph" w:customStyle="1" w:styleId="1976">
    <w:name w:val="xl611"/>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pPr>
    <w:rPr>
      <w:rFonts w:ascii="宋体" w:hAnsi="宋体" w:cs="宋体"/>
      <w:color w:val="FF0000"/>
      <w:kern w:val="0"/>
      <w:sz w:val="24"/>
      <w:szCs w:val="24"/>
    </w:rPr>
  </w:style>
  <w:style w:type="paragraph" w:customStyle="1" w:styleId="1977">
    <w:name w:val="样式 (西文) 宋体 小四 行距: 1.5 倍行距"/>
    <w:basedOn w:val="1"/>
    <w:qFormat/>
    <w:uiPriority w:val="0"/>
    <w:pPr>
      <w:spacing w:line="360" w:lineRule="auto"/>
      <w:ind w:firstLine="480" w:firstLineChars="200"/>
    </w:pPr>
    <w:rPr>
      <w:rFonts w:ascii="宋体" w:hAnsi="宋体" w:cs="宋体"/>
      <w:sz w:val="24"/>
      <w:szCs w:val="20"/>
    </w:rPr>
  </w:style>
  <w:style w:type="paragraph" w:customStyle="1" w:styleId="1978">
    <w:name w:val="报告表格内文"/>
    <w:basedOn w:val="39"/>
    <w:qFormat/>
    <w:uiPriority w:val="0"/>
    <w:pPr>
      <w:tabs>
        <w:tab w:val="left" w:pos="0"/>
      </w:tabs>
      <w:adjustRightInd w:val="0"/>
      <w:spacing w:after="0" w:line="400" w:lineRule="exact"/>
      <w:ind w:left="0" w:leftChars="0" w:right="0" w:rightChars="0"/>
      <w:jc w:val="center"/>
    </w:pPr>
    <w:rPr>
      <w:bCs/>
      <w:color w:val="000000"/>
      <w:sz w:val="21"/>
      <w:szCs w:val="24"/>
    </w:rPr>
  </w:style>
  <w:style w:type="paragraph" w:customStyle="1" w:styleId="1979">
    <w:name w:val="正文缩进6"/>
    <w:basedOn w:val="1"/>
    <w:qFormat/>
    <w:uiPriority w:val="0"/>
    <w:pPr>
      <w:ind w:firstLine="420"/>
    </w:pPr>
    <w:rPr>
      <w:rFonts w:ascii="Times New Roman" w:hAnsi="Times New Roman"/>
      <w:kern w:val="0"/>
      <w:sz w:val="28"/>
      <w:szCs w:val="28"/>
    </w:rPr>
  </w:style>
  <w:style w:type="paragraph" w:customStyle="1" w:styleId="1980">
    <w:name w:val="普通 (Web)"/>
    <w:basedOn w:val="1"/>
    <w:qFormat/>
    <w:uiPriority w:val="0"/>
    <w:pPr>
      <w:widowControl/>
      <w:autoSpaceDE w:val="0"/>
      <w:autoSpaceDN w:val="0"/>
      <w:spacing w:before="100" w:after="100"/>
      <w:jc w:val="left"/>
    </w:pPr>
    <w:rPr>
      <w:rFonts w:hint="eastAsia" w:ascii="宋体" w:hAnsi="宋体"/>
      <w:kern w:val="0"/>
      <w:sz w:val="24"/>
      <w:szCs w:val="20"/>
    </w:rPr>
  </w:style>
  <w:style w:type="paragraph" w:customStyle="1" w:styleId="1981">
    <w:name w:val="lux"/>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982">
    <w:name w:val="123"/>
    <w:basedOn w:val="2"/>
    <w:qFormat/>
    <w:uiPriority w:val="0"/>
    <w:pPr>
      <w:widowControl/>
      <w:tabs>
        <w:tab w:val="left" w:pos="352"/>
      </w:tabs>
      <w:overflowPunct w:val="0"/>
      <w:autoSpaceDE w:val="0"/>
      <w:autoSpaceDN w:val="0"/>
      <w:adjustRightInd w:val="0"/>
      <w:snapToGrid w:val="0"/>
      <w:spacing w:before="50" w:line="460" w:lineRule="exact"/>
      <w:ind w:firstLine="200" w:firstLineChars="200"/>
      <w:textAlignment w:val="bottom"/>
    </w:pPr>
    <w:rPr>
      <w:color w:val="000000"/>
      <w:kern w:val="0"/>
    </w:rPr>
  </w:style>
  <w:style w:type="paragraph" w:customStyle="1" w:styleId="1983">
    <w:name w:val="pic-info"/>
    <w:basedOn w:val="1"/>
    <w:qFormat/>
    <w:uiPriority w:val="0"/>
    <w:pPr>
      <w:widowControl/>
      <w:spacing w:before="100" w:beforeAutospacing="1" w:after="100" w:afterAutospacing="1"/>
      <w:jc w:val="left"/>
    </w:pPr>
    <w:rPr>
      <w:rFonts w:ascii="幼圆" w:hAnsi="幼圆" w:cs="幼圆"/>
      <w:kern w:val="0"/>
      <w:sz w:val="24"/>
      <w:szCs w:val="24"/>
    </w:rPr>
  </w:style>
  <w:style w:type="paragraph" w:customStyle="1" w:styleId="1984">
    <w:name w:val="reader-word-layer reader-word-s6-3"/>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985">
    <w:name w:val="文档标签"/>
    <w:basedOn w:val="1"/>
    <w:qFormat/>
    <w:uiPriority w:val="0"/>
    <w:pPr>
      <w:keepNext/>
      <w:keepLines/>
      <w:widowControl/>
      <w:spacing w:before="400" w:after="120" w:line="240" w:lineRule="atLeast"/>
      <w:jc w:val="left"/>
    </w:pPr>
    <w:rPr>
      <w:rFonts w:ascii="Arial Black" w:hAnsi="Arial Black"/>
      <w:spacing w:val="-100"/>
      <w:kern w:val="28"/>
      <w:sz w:val="108"/>
      <w:szCs w:val="20"/>
    </w:rPr>
  </w:style>
  <w:style w:type="paragraph" w:customStyle="1" w:styleId="1986">
    <w:name w:val="et8"/>
    <w:basedOn w:val="1"/>
    <w:qFormat/>
    <w:uiPriority w:val="0"/>
    <w:pPr>
      <w:widowControl/>
      <w:spacing w:before="100" w:beforeAutospacing="1" w:after="100" w:afterAutospacing="1"/>
      <w:jc w:val="left"/>
      <w:textAlignment w:val="bottom"/>
    </w:pPr>
    <w:rPr>
      <w:rFonts w:ascii="宋体" w:hAnsi="宋体" w:cs="宋体"/>
      <w:color w:val="000000"/>
      <w:kern w:val="0"/>
      <w:sz w:val="24"/>
      <w:szCs w:val="24"/>
    </w:rPr>
  </w:style>
  <w:style w:type="paragraph" w:customStyle="1" w:styleId="1987">
    <w:name w:val="Char Char Char Char Char Char Char Char Char Char Char Char Char Char Char Char Char Char Char Char Char Char2"/>
    <w:basedOn w:val="1"/>
    <w:next w:val="1"/>
    <w:qFormat/>
    <w:uiPriority w:val="0"/>
    <w:pPr>
      <w:spacing w:line="360" w:lineRule="auto"/>
      <w:ind w:firstLine="200" w:firstLineChars="200"/>
    </w:pPr>
    <w:rPr>
      <w:rFonts w:ascii="宋体" w:hAnsi="宋体" w:cs="宋体"/>
      <w:sz w:val="24"/>
      <w:szCs w:val="24"/>
    </w:rPr>
  </w:style>
  <w:style w:type="paragraph" w:customStyle="1" w:styleId="1988">
    <w:name w:val="Char Char2 Char Char Char Char2"/>
    <w:basedOn w:val="1"/>
    <w:qFormat/>
    <w:uiPriority w:val="0"/>
    <w:pPr>
      <w:spacing w:line="360" w:lineRule="auto"/>
      <w:ind w:firstLine="200" w:firstLineChars="200"/>
    </w:pPr>
    <w:rPr>
      <w:rFonts w:eastAsia="仿宋_GB2312"/>
      <w:sz w:val="28"/>
      <w:szCs w:val="28"/>
    </w:rPr>
  </w:style>
  <w:style w:type="paragraph" w:customStyle="1" w:styleId="1989">
    <w:name w:val="无间隔6"/>
    <w:qFormat/>
    <w:uiPriority w:val="0"/>
    <w:rPr>
      <w:rFonts w:ascii="Calibri" w:hAnsi="Calibri" w:eastAsia="宋体" w:cs="Times New Roman"/>
      <w:sz w:val="22"/>
      <w:lang w:val="en-US" w:eastAsia="zh-CN" w:bidi="ar-SA"/>
    </w:rPr>
  </w:style>
  <w:style w:type="paragraph" w:customStyle="1" w:styleId="1990">
    <w:name w:val="条题"/>
    <w:basedOn w:val="1"/>
    <w:qFormat/>
    <w:uiPriority w:val="0"/>
    <w:pPr>
      <w:tabs>
        <w:tab w:val="left" w:pos="432"/>
      </w:tabs>
      <w:spacing w:line="420" w:lineRule="exact"/>
      <w:ind w:firstLine="560" w:firstLineChars="200"/>
    </w:pPr>
    <w:rPr>
      <w:rFonts w:ascii="Times New Roman" w:hAnsi="Times New Roman"/>
      <w:sz w:val="24"/>
      <w:szCs w:val="24"/>
    </w:rPr>
  </w:style>
  <w:style w:type="paragraph" w:customStyle="1" w:styleId="1991">
    <w:name w:val="正文10"/>
    <w:basedOn w:val="1"/>
    <w:qFormat/>
    <w:uiPriority w:val="0"/>
    <w:pPr>
      <w:adjustRightInd w:val="0"/>
      <w:spacing w:line="480" w:lineRule="exact"/>
      <w:textAlignment w:val="baseline"/>
    </w:pPr>
    <w:rPr>
      <w:rFonts w:ascii="Times New Roman" w:hAnsi="Times New Roman"/>
      <w:spacing w:val="-2"/>
      <w:kern w:val="0"/>
      <w:sz w:val="28"/>
      <w:szCs w:val="20"/>
    </w:rPr>
  </w:style>
  <w:style w:type="paragraph" w:customStyle="1" w:styleId="1992">
    <w:name w:val="dxj表内容"/>
    <w:basedOn w:val="1"/>
    <w:next w:val="1"/>
    <w:qFormat/>
    <w:uiPriority w:val="0"/>
    <w:pPr>
      <w:spacing w:line="280" w:lineRule="exact"/>
      <w:jc w:val="center"/>
    </w:pPr>
    <w:rPr>
      <w:rFonts w:ascii="Times New Roman" w:hAnsi="Times New Roman"/>
      <w:sz w:val="18"/>
      <w:szCs w:val="18"/>
    </w:rPr>
  </w:style>
  <w:style w:type="paragraph" w:customStyle="1" w:styleId="1993">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994">
    <w:name w:val="索引 16"/>
    <w:basedOn w:val="1"/>
    <w:next w:val="1"/>
    <w:qFormat/>
    <w:uiPriority w:val="0"/>
    <w:pPr>
      <w:adjustRightInd w:val="0"/>
      <w:spacing w:line="529" w:lineRule="exact"/>
      <w:textAlignment w:val="baseline"/>
    </w:pPr>
    <w:rPr>
      <w:rFonts w:ascii="宋体" w:hAnsi="宋体" w:eastAsia="汉鼎简书宋"/>
      <w:kern w:val="0"/>
      <w:sz w:val="24"/>
      <w:szCs w:val="20"/>
    </w:rPr>
  </w:style>
  <w:style w:type="paragraph" w:customStyle="1" w:styleId="1995">
    <w:name w:val="正文样式1"/>
    <w:basedOn w:val="1"/>
    <w:qFormat/>
    <w:uiPriority w:val="0"/>
    <w:pPr>
      <w:widowControl/>
      <w:spacing w:beforeLines="50" w:afterLines="50" w:line="360" w:lineRule="auto"/>
      <w:ind w:left="-2" w:firstLine="2"/>
    </w:pPr>
    <w:rPr>
      <w:rFonts w:ascii="宋体" w:hAnsi="宋体"/>
      <w:bCs/>
      <w:color w:val="000000"/>
      <w:kern w:val="0"/>
      <w:sz w:val="24"/>
      <w:szCs w:val="24"/>
    </w:rPr>
  </w:style>
  <w:style w:type="paragraph" w:customStyle="1" w:styleId="1996">
    <w:name w:val="test"/>
    <w:basedOn w:val="1"/>
    <w:qFormat/>
    <w:uiPriority w:val="0"/>
    <w:pPr>
      <w:widowControl/>
      <w:overflowPunct w:val="0"/>
      <w:autoSpaceDE w:val="0"/>
      <w:autoSpaceDN w:val="0"/>
      <w:adjustRightInd w:val="0"/>
      <w:spacing w:before="60" w:after="60"/>
      <w:textAlignment w:val="baseline"/>
    </w:pPr>
    <w:rPr>
      <w:rFonts w:ascii="楷体_GB2312" w:hAnsi="Times New Roman" w:eastAsia="楷体_GB2312"/>
      <w:spacing w:val="-30"/>
      <w:kern w:val="0"/>
      <w:sz w:val="22"/>
      <w:szCs w:val="20"/>
    </w:rPr>
  </w:style>
  <w:style w:type="paragraph" w:customStyle="1" w:styleId="1997">
    <w:name w:val="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1998">
    <w:name w:val="reader-word-layer reader-word-s2-16"/>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999">
    <w:name w:val="xl630"/>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2000">
    <w:name w:val="样式 标题 1标题 11Head 1wsah1一、标题2Part'Document章Ch + 加粗"/>
    <w:basedOn w:val="4"/>
    <w:qFormat/>
    <w:uiPriority w:val="0"/>
    <w:pPr>
      <w:jc w:val="left"/>
    </w:pPr>
    <w:rPr>
      <w:rFonts w:cs="Arial"/>
    </w:rPr>
  </w:style>
  <w:style w:type="paragraph" w:customStyle="1" w:styleId="2001">
    <w:name w:val="reader-word-layer reader-word-s1-22"/>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002">
    <w:name w:val="封面文字1"/>
    <w:basedOn w:val="1"/>
    <w:qFormat/>
    <w:uiPriority w:val="0"/>
    <w:pPr>
      <w:spacing w:line="300" w:lineRule="auto"/>
      <w:jc w:val="center"/>
    </w:pPr>
    <w:rPr>
      <w:rFonts w:ascii="宋体" w:hAnsi="Times New Roman"/>
      <w:b/>
      <w:sz w:val="44"/>
      <w:szCs w:val="24"/>
    </w:rPr>
  </w:style>
  <w:style w:type="paragraph" w:customStyle="1" w:styleId="2003">
    <w:name w:val="reader-word-layer reader-word-s6-7"/>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004">
    <w:name w:val="样式 标题 2 + 宋体 段前: 0.5 行 段后: 0.5 行"/>
    <w:basedOn w:val="1621"/>
    <w:next w:val="1621"/>
    <w:qFormat/>
    <w:uiPriority w:val="0"/>
    <w:rPr>
      <w:rFonts w:cs="Times New Roman"/>
      <w:color w:val="auto"/>
    </w:rPr>
  </w:style>
  <w:style w:type="paragraph" w:customStyle="1" w:styleId="2005">
    <w:name w:val="标题2.9"/>
    <w:basedOn w:val="4"/>
    <w:qFormat/>
    <w:uiPriority w:val="0"/>
    <w:pPr>
      <w:spacing w:before="156" w:beforeLines="50"/>
      <w:outlineLvl w:val="1"/>
    </w:pPr>
    <w:rPr>
      <w:bCs w:val="0"/>
      <w:color w:val="000000"/>
      <w:sz w:val="28"/>
      <w:szCs w:val="30"/>
    </w:rPr>
  </w:style>
  <w:style w:type="paragraph" w:customStyle="1" w:styleId="2006">
    <w:name w:val="7"/>
    <w:basedOn w:val="1"/>
    <w:next w:val="35"/>
    <w:qFormat/>
    <w:uiPriority w:val="0"/>
    <w:pPr>
      <w:spacing w:line="360" w:lineRule="auto"/>
      <w:ind w:firstLine="538" w:firstLineChars="192"/>
    </w:pPr>
    <w:rPr>
      <w:rFonts w:ascii="宋体" w:hAnsi="宋体"/>
      <w:sz w:val="28"/>
      <w:szCs w:val="28"/>
    </w:rPr>
  </w:style>
  <w:style w:type="paragraph" w:customStyle="1" w:styleId="2007">
    <w:name w:val="xl643"/>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2008">
    <w:name w:val="样式 标题 1标题 11一、 + Times New Roman 行距: 固定值 23 磅"/>
    <w:basedOn w:val="4"/>
    <w:qFormat/>
    <w:uiPriority w:val="0"/>
    <w:pPr>
      <w:spacing w:line="460" w:lineRule="exact"/>
      <w:jc w:val="left"/>
    </w:pPr>
    <w:rPr>
      <w:rFonts w:ascii="黑体" w:cs="宋体"/>
      <w:b w:val="0"/>
      <w:kern w:val="0"/>
      <w:sz w:val="32"/>
      <w:szCs w:val="32"/>
    </w:rPr>
  </w:style>
  <w:style w:type="paragraph" w:customStyle="1" w:styleId="2009">
    <w:name w:val="正文文本缩进12"/>
    <w:basedOn w:val="1"/>
    <w:qFormat/>
    <w:uiPriority w:val="0"/>
    <w:pPr>
      <w:spacing w:line="520" w:lineRule="exact"/>
      <w:ind w:firstLine="540"/>
    </w:pPr>
    <w:rPr>
      <w:sz w:val="28"/>
      <w:szCs w:val="28"/>
    </w:rPr>
  </w:style>
  <w:style w:type="paragraph" w:customStyle="1" w:styleId="2010">
    <w:name w:val="样式 四号 行距: 固定值 25 磅 首行缩进:  2 字符"/>
    <w:basedOn w:val="1"/>
    <w:qFormat/>
    <w:uiPriority w:val="0"/>
    <w:pPr>
      <w:spacing w:line="540" w:lineRule="exact"/>
      <w:ind w:firstLine="200" w:firstLineChars="200"/>
    </w:pPr>
    <w:rPr>
      <w:rFonts w:ascii="Times New Roman" w:hAnsi="Times New Roman"/>
      <w:w w:val="90"/>
      <w:sz w:val="28"/>
      <w:szCs w:val="20"/>
    </w:rPr>
  </w:style>
  <w:style w:type="paragraph" w:customStyle="1" w:styleId="2011">
    <w:name w:val="正文缩进4"/>
    <w:basedOn w:val="1"/>
    <w:qFormat/>
    <w:uiPriority w:val="0"/>
    <w:pPr>
      <w:ind w:firstLine="420"/>
    </w:pPr>
    <w:rPr>
      <w:rFonts w:ascii="Times New Roman" w:hAnsi="Times New Roman"/>
      <w:kern w:val="0"/>
      <w:sz w:val="28"/>
      <w:szCs w:val="28"/>
    </w:rPr>
  </w:style>
  <w:style w:type="paragraph" w:customStyle="1" w:styleId="2012">
    <w:name w:val="正文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2013">
    <w:name w:val="et6"/>
    <w:basedOn w:val="1"/>
    <w:qFormat/>
    <w:uiPriority w:val="0"/>
    <w:pPr>
      <w:widowControl/>
      <w:spacing w:before="100" w:beforeAutospacing="1" w:after="100" w:afterAutospacing="1"/>
      <w:jc w:val="left"/>
      <w:textAlignment w:val="bottom"/>
    </w:pPr>
    <w:rPr>
      <w:rFonts w:ascii="宋体" w:hAnsi="宋体" w:cs="宋体"/>
      <w:color w:val="000000"/>
      <w:kern w:val="0"/>
      <w:sz w:val="24"/>
      <w:szCs w:val="24"/>
    </w:rPr>
  </w:style>
  <w:style w:type="paragraph" w:customStyle="1" w:styleId="2014">
    <w:name w:val="页脚 New New New New New"/>
    <w:basedOn w:val="2015"/>
    <w:qFormat/>
    <w:uiPriority w:val="0"/>
    <w:pPr>
      <w:tabs>
        <w:tab w:val="center" w:pos="4153"/>
        <w:tab w:val="right" w:pos="8306"/>
      </w:tabs>
      <w:snapToGrid w:val="0"/>
      <w:jc w:val="left"/>
    </w:pPr>
    <w:rPr>
      <w:sz w:val="18"/>
      <w:szCs w:val="20"/>
    </w:rPr>
  </w:style>
  <w:style w:type="paragraph" w:customStyle="1" w:styleId="2015">
    <w:name w:val="正文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2016">
    <w:name w:val="8说明(治)"/>
    <w:basedOn w:val="1"/>
    <w:next w:val="1202"/>
    <w:qFormat/>
    <w:uiPriority w:val="0"/>
    <w:pPr>
      <w:ind w:firstLine="435"/>
    </w:pPr>
    <w:rPr>
      <w:rFonts w:ascii="Times New Roman" w:hAnsi="Times New Roman" w:eastAsia="仿宋_GB2312"/>
      <w:szCs w:val="24"/>
    </w:rPr>
  </w:style>
  <w:style w:type="paragraph" w:customStyle="1" w:styleId="2017">
    <w:name w:val="样式 黑体 小四 行距: 1.5 倍行距1"/>
    <w:basedOn w:val="1"/>
    <w:qFormat/>
    <w:uiPriority w:val="0"/>
    <w:pPr>
      <w:spacing w:line="360" w:lineRule="auto"/>
      <w:ind w:left="200" w:leftChars="200"/>
    </w:pPr>
    <w:rPr>
      <w:rFonts w:ascii="黑体" w:hAnsi="宋体" w:eastAsia="黑体" w:cs="宋体"/>
      <w:sz w:val="24"/>
      <w:szCs w:val="20"/>
    </w:rPr>
  </w:style>
  <w:style w:type="paragraph" w:customStyle="1" w:styleId="2018">
    <w:name w:val="Char Char Char Char Char Char Char3"/>
    <w:basedOn w:val="1"/>
    <w:qFormat/>
    <w:uiPriority w:val="0"/>
    <w:rPr>
      <w:rFonts w:ascii="Times New Roman" w:hAnsi="Times New Roman"/>
      <w:szCs w:val="24"/>
    </w:rPr>
  </w:style>
  <w:style w:type="paragraph" w:customStyle="1" w:styleId="2019">
    <w:name w:val="Char43"/>
    <w:basedOn w:val="1"/>
    <w:qFormat/>
    <w:uiPriority w:val="0"/>
    <w:pPr>
      <w:spacing w:line="360" w:lineRule="auto"/>
      <w:ind w:firstLine="200" w:firstLineChars="200"/>
    </w:pPr>
    <w:rPr>
      <w:rFonts w:ascii="宋体" w:hAnsi="宋体" w:cs="宋体"/>
      <w:sz w:val="24"/>
      <w:szCs w:val="24"/>
    </w:rPr>
  </w:style>
  <w:style w:type="paragraph" w:customStyle="1" w:styleId="2020">
    <w:name w:val="et84"/>
    <w:basedOn w:val="1"/>
    <w:qFormat/>
    <w:uiPriority w:val="0"/>
    <w:pPr>
      <w:widowControl/>
      <w:spacing w:before="100" w:beforeAutospacing="1" w:after="100" w:afterAutospacing="1"/>
      <w:jc w:val="left"/>
      <w:textAlignment w:val="bottom"/>
    </w:pPr>
    <w:rPr>
      <w:rFonts w:ascii="Times New Roman" w:hAnsi="Times New Roman"/>
      <w:color w:val="000000"/>
      <w:kern w:val="0"/>
      <w:sz w:val="24"/>
      <w:szCs w:val="24"/>
    </w:rPr>
  </w:style>
  <w:style w:type="paragraph" w:customStyle="1" w:styleId="2021">
    <w:name w:val="et25"/>
    <w:basedOn w:val="1"/>
    <w:qFormat/>
    <w:uiPriority w:val="0"/>
    <w:pPr>
      <w:widowControl/>
      <w:spacing w:before="100" w:beforeAutospacing="1" w:after="100" w:afterAutospacing="1"/>
      <w:jc w:val="left"/>
      <w:textAlignment w:val="bottom"/>
    </w:pPr>
    <w:rPr>
      <w:rFonts w:ascii="Times New Roman" w:hAnsi="Times New Roman" w:cs="Times NewRoman"/>
      <w:color w:val="000000"/>
      <w:kern w:val="0"/>
      <w:sz w:val="24"/>
      <w:szCs w:val="24"/>
    </w:rPr>
  </w:style>
  <w:style w:type="paragraph" w:customStyle="1" w:styleId="2022">
    <w:name w:val="1文章"/>
    <w:basedOn w:val="1"/>
    <w:qFormat/>
    <w:uiPriority w:val="0"/>
    <w:pPr>
      <w:snapToGrid w:val="0"/>
      <w:spacing w:line="360" w:lineRule="auto"/>
      <w:ind w:firstLine="573"/>
      <w:outlineLvl w:val="4"/>
    </w:pPr>
    <w:rPr>
      <w:rFonts w:ascii="楷体_GB2312" w:hAnsi="宋体" w:eastAsia="仿宋_GB2312"/>
      <w:color w:val="000000"/>
      <w:spacing w:val="-2"/>
      <w:kern w:val="0"/>
      <w:sz w:val="28"/>
      <w:szCs w:val="30"/>
    </w:rPr>
  </w:style>
  <w:style w:type="paragraph" w:customStyle="1" w:styleId="2023">
    <w:name w:val="说明1"/>
    <w:basedOn w:val="1"/>
    <w:qFormat/>
    <w:uiPriority w:val="0"/>
    <w:pPr>
      <w:keepLines/>
      <w:widowControl/>
      <w:suppressLineNumbers/>
      <w:suppressAutoHyphens/>
      <w:spacing w:before="60" w:after="60" w:line="320" w:lineRule="atLeast"/>
    </w:pPr>
    <w:rPr>
      <w:rFonts w:ascii="Times New Roman" w:hAnsi="Times New Roman"/>
      <w:kern w:val="21"/>
      <w:sz w:val="24"/>
      <w:szCs w:val="20"/>
    </w:rPr>
  </w:style>
  <w:style w:type="paragraph" w:customStyle="1" w:styleId="2024">
    <w:name w:val="表格中"/>
    <w:basedOn w:val="1"/>
    <w:qFormat/>
    <w:uiPriority w:val="0"/>
    <w:pPr>
      <w:spacing w:line="280" w:lineRule="exact"/>
      <w:jc w:val="center"/>
    </w:pPr>
    <w:rPr>
      <w:rFonts w:ascii="宋体" w:hAnsi="Times New Roman"/>
      <w:sz w:val="18"/>
      <w:szCs w:val="24"/>
    </w:rPr>
  </w:style>
  <w:style w:type="paragraph" w:customStyle="1" w:styleId="2025">
    <w:name w:val="首消息标题"/>
    <w:basedOn w:val="79"/>
    <w:next w:val="79"/>
    <w:qFormat/>
    <w:uiPriority w:val="0"/>
  </w:style>
  <w:style w:type="paragraph" w:customStyle="1" w:styleId="2026">
    <w:name w:val="应填表格"/>
    <w:basedOn w:val="1911"/>
    <w:qFormat/>
    <w:uiPriority w:val="0"/>
    <w:pPr>
      <w:jc w:val="left"/>
    </w:pPr>
    <w:rPr>
      <w:b w:val="0"/>
    </w:rPr>
  </w:style>
  <w:style w:type="paragraph" w:customStyle="1" w:styleId="2027">
    <w:name w:val="Char Char Char Char Char Char Char Char Char Char Char Char Char Char Char Char Char Char Char Char Char Char Char Char Char Char Char Char Char Char Char Char Char Char Char Char2"/>
    <w:basedOn w:val="1"/>
    <w:qFormat/>
    <w:uiPriority w:val="0"/>
    <w:pPr>
      <w:snapToGrid w:val="0"/>
      <w:spacing w:line="440" w:lineRule="atLeast"/>
      <w:ind w:firstLine="200" w:firstLineChars="200"/>
    </w:pPr>
    <w:rPr>
      <w:rFonts w:ascii="Times New Roman" w:hAnsi="Times New Roman"/>
      <w:szCs w:val="20"/>
    </w:rPr>
  </w:style>
  <w:style w:type="paragraph" w:customStyle="1" w:styleId="2028">
    <w:name w:val="列表接续 21"/>
    <w:basedOn w:val="1"/>
    <w:qFormat/>
    <w:uiPriority w:val="0"/>
    <w:pPr>
      <w:spacing w:after="120"/>
      <w:ind w:left="840" w:leftChars="400"/>
    </w:pPr>
    <w:rPr>
      <w:rFonts w:ascii="宋体" w:hAnsi="宋体"/>
      <w:kern w:val="0"/>
      <w:sz w:val="24"/>
      <w:szCs w:val="24"/>
    </w:rPr>
  </w:style>
  <w:style w:type="paragraph" w:customStyle="1" w:styleId="2029">
    <w:name w:val="页脚 New New New New New New New New New New New New New New"/>
    <w:basedOn w:val="1"/>
    <w:qFormat/>
    <w:uiPriority w:val="0"/>
    <w:pPr>
      <w:tabs>
        <w:tab w:val="center" w:pos="4153"/>
        <w:tab w:val="right" w:pos="8306"/>
      </w:tabs>
      <w:snapToGrid w:val="0"/>
      <w:jc w:val="left"/>
    </w:pPr>
    <w:rPr>
      <w:rFonts w:ascii="Times New Roman" w:hAnsi="Times New Roman"/>
      <w:spacing w:val="-2"/>
      <w:kern w:val="0"/>
      <w:sz w:val="18"/>
      <w:szCs w:val="18"/>
    </w:rPr>
  </w:style>
  <w:style w:type="paragraph" w:customStyle="1" w:styleId="2030">
    <w:name w:val="Char1 Char Char Char Char Char Char21"/>
    <w:basedOn w:val="4"/>
    <w:qFormat/>
    <w:uiPriority w:val="0"/>
    <w:pPr>
      <w:keepLines w:val="0"/>
      <w:autoSpaceDE w:val="0"/>
      <w:autoSpaceDN w:val="0"/>
      <w:adjustRightInd w:val="0"/>
      <w:snapToGrid w:val="0"/>
      <w:spacing w:before="312" w:beforeLines="100" w:after="312" w:afterLines="100" w:line="480" w:lineRule="auto"/>
    </w:pPr>
    <w:rPr>
      <w:rFonts w:ascii="宋体" w:hAnsi="宋体"/>
      <w:bCs w:val="0"/>
      <w:color w:val="FF0000"/>
      <w:kern w:val="2"/>
      <w:sz w:val="32"/>
      <w:szCs w:val="24"/>
    </w:rPr>
  </w:style>
  <w:style w:type="paragraph" w:customStyle="1" w:styleId="2031">
    <w:name w:val="1标题1级"/>
    <w:basedOn w:val="1"/>
    <w:qFormat/>
    <w:uiPriority w:val="0"/>
    <w:pPr>
      <w:keepNext/>
      <w:snapToGrid w:val="0"/>
      <w:spacing w:line="360" w:lineRule="auto"/>
      <w:outlineLvl w:val="0"/>
    </w:pPr>
    <w:rPr>
      <w:rFonts w:ascii="黑体" w:hAnsi="Times New Roman" w:eastAsia="黑体"/>
      <w:bCs/>
      <w:sz w:val="44"/>
      <w:szCs w:val="24"/>
    </w:rPr>
  </w:style>
  <w:style w:type="paragraph" w:customStyle="1" w:styleId="2032">
    <w:name w:val="表11111"/>
    <w:basedOn w:val="1"/>
    <w:qFormat/>
    <w:uiPriority w:val="0"/>
    <w:pPr>
      <w:spacing w:line="480" w:lineRule="exact"/>
    </w:pPr>
    <w:rPr>
      <w:rFonts w:ascii="Times New Roman" w:hAnsi="Times New Roman" w:eastAsia="黑体"/>
      <w:spacing w:val="-2"/>
      <w:sz w:val="24"/>
      <w:szCs w:val="24"/>
    </w:rPr>
  </w:style>
  <w:style w:type="paragraph" w:customStyle="1" w:styleId="2033">
    <w:name w:val="图"/>
    <w:basedOn w:val="1"/>
    <w:qFormat/>
    <w:uiPriority w:val="0"/>
    <w:pPr>
      <w:widowControl/>
      <w:tabs>
        <w:tab w:val="left" w:pos="352"/>
      </w:tabs>
      <w:overflowPunct w:val="0"/>
      <w:autoSpaceDE w:val="0"/>
      <w:autoSpaceDN w:val="0"/>
      <w:adjustRightInd w:val="0"/>
      <w:jc w:val="center"/>
      <w:textAlignment w:val="bottom"/>
    </w:pPr>
    <w:rPr>
      <w:rFonts w:ascii="宋体" w:hAnsi="宋体"/>
      <w:kern w:val="0"/>
      <w:szCs w:val="20"/>
    </w:rPr>
  </w:style>
  <w:style w:type="paragraph" w:customStyle="1" w:styleId="2034">
    <w:name w:val="正文文本缩进 22"/>
    <w:basedOn w:val="1"/>
    <w:qFormat/>
    <w:uiPriority w:val="0"/>
    <w:pPr>
      <w:spacing w:after="120" w:line="480" w:lineRule="auto"/>
      <w:ind w:left="420" w:leftChars="200" w:firstLine="200" w:firstLineChars="200"/>
    </w:pPr>
    <w:rPr>
      <w:rFonts w:ascii="Times New Roman" w:hAnsi="Times New Roman"/>
      <w:kern w:val="0"/>
      <w:sz w:val="24"/>
      <w:szCs w:val="24"/>
      <w:lang w:val="zh-CN"/>
    </w:rPr>
  </w:style>
  <w:style w:type="paragraph" w:customStyle="1" w:styleId="2035">
    <w:name w:val="et50"/>
    <w:basedOn w:val="1"/>
    <w:qFormat/>
    <w:uiPriority w:val="0"/>
    <w:pPr>
      <w:widowControl/>
      <w:spacing w:before="100" w:beforeAutospacing="1" w:after="100" w:afterAutospacing="1"/>
      <w:jc w:val="left"/>
      <w:textAlignment w:val="bottom"/>
    </w:pPr>
    <w:rPr>
      <w:rFonts w:ascii="宋体" w:hAnsi="宋体" w:cs="宋体"/>
      <w:color w:val="000000"/>
      <w:kern w:val="0"/>
      <w:sz w:val="24"/>
      <w:szCs w:val="24"/>
    </w:rPr>
  </w:style>
  <w:style w:type="paragraph" w:customStyle="1" w:styleId="2036">
    <w:name w:val="xl32"/>
    <w:basedOn w:val="1"/>
    <w:qFormat/>
    <w:uiPriority w:val="0"/>
    <w:pPr>
      <w:widowControl/>
      <w:spacing w:before="100" w:beforeAutospacing="1" w:after="100" w:afterAutospacing="1"/>
      <w:jc w:val="left"/>
    </w:pPr>
    <w:rPr>
      <w:rFonts w:ascii="Times New Roman" w:hAnsi="Times New Roman" w:eastAsia="Arial Unicode MS"/>
      <w:color w:val="0000FF"/>
      <w:kern w:val="0"/>
      <w:sz w:val="24"/>
      <w:szCs w:val="24"/>
    </w:rPr>
  </w:style>
  <w:style w:type="paragraph" w:customStyle="1" w:styleId="2037">
    <w:name w:val="正文缩进5"/>
    <w:basedOn w:val="1"/>
    <w:qFormat/>
    <w:uiPriority w:val="0"/>
    <w:pPr>
      <w:ind w:firstLine="420"/>
    </w:pPr>
    <w:rPr>
      <w:rFonts w:ascii="Times New Roman" w:hAnsi="Times New Roman"/>
      <w:kern w:val="0"/>
      <w:sz w:val="28"/>
      <w:szCs w:val="28"/>
    </w:rPr>
  </w:style>
  <w:style w:type="paragraph" w:customStyle="1" w:styleId="2038">
    <w:name w:val="Char Char Char Char Char Char Char Char Char Char Char Char Char Char Char Char Char Char Char Char Char Char Char Char Char Char Char Char Char Char Char Char Char Char Char Char"/>
    <w:basedOn w:val="1"/>
    <w:qFormat/>
    <w:uiPriority w:val="0"/>
    <w:pPr>
      <w:snapToGrid w:val="0"/>
      <w:spacing w:line="440" w:lineRule="atLeast"/>
      <w:ind w:firstLine="200" w:firstLineChars="200"/>
    </w:pPr>
    <w:rPr>
      <w:rFonts w:ascii="Times New Roman" w:hAnsi="Times New Roman"/>
      <w:szCs w:val="20"/>
    </w:rPr>
  </w:style>
  <w:style w:type="paragraph" w:customStyle="1" w:styleId="2039">
    <w:name w:val="样式 宋体 五号 加粗 居中"/>
    <w:basedOn w:val="1"/>
    <w:qFormat/>
    <w:uiPriority w:val="0"/>
    <w:pPr>
      <w:spacing w:line="360" w:lineRule="auto"/>
      <w:jc w:val="center"/>
    </w:pPr>
    <w:rPr>
      <w:rFonts w:ascii="宋体" w:hAnsi="宋体" w:cs="宋体"/>
      <w:b/>
      <w:bCs/>
      <w:szCs w:val="20"/>
    </w:rPr>
  </w:style>
  <w:style w:type="paragraph" w:customStyle="1" w:styleId="2040">
    <w:name w:val="样式 样式 正文仿宋 + 首行缩进:  2 字符 + 首行缩进:  2 字符"/>
    <w:basedOn w:val="1"/>
    <w:qFormat/>
    <w:uiPriority w:val="0"/>
    <w:pPr>
      <w:spacing w:line="480" w:lineRule="exact"/>
      <w:ind w:firstLine="480" w:firstLineChars="200"/>
    </w:pPr>
    <w:rPr>
      <w:rFonts w:ascii="Times New Roman" w:hAnsi="宋体"/>
      <w:snapToGrid w:val="0"/>
      <w:color w:val="000000"/>
      <w:sz w:val="24"/>
      <w:szCs w:val="24"/>
    </w:rPr>
  </w:style>
  <w:style w:type="paragraph" w:customStyle="1" w:styleId="2041">
    <w:name w:val="xl31"/>
    <w:basedOn w:val="1"/>
    <w:qFormat/>
    <w:uiPriority w:val="0"/>
    <w:pPr>
      <w:widowControl/>
      <w:spacing w:before="100" w:after="100"/>
      <w:jc w:val="center"/>
    </w:pPr>
    <w:rPr>
      <w:rFonts w:ascii="Times New Roman" w:hAnsi="Times New Roman"/>
      <w:kern w:val="0"/>
      <w:sz w:val="24"/>
      <w:szCs w:val="20"/>
    </w:rPr>
  </w:style>
  <w:style w:type="paragraph" w:customStyle="1" w:styleId="2042">
    <w:name w:val="表格 32"/>
    <w:basedOn w:val="1"/>
    <w:qFormat/>
    <w:uiPriority w:val="0"/>
    <w:pPr>
      <w:autoSpaceDE w:val="0"/>
      <w:autoSpaceDN w:val="0"/>
      <w:adjustRightInd w:val="0"/>
      <w:jc w:val="center"/>
    </w:pPr>
    <w:rPr>
      <w:rFonts w:ascii="Times New Roman" w:hAnsi="Times New Roman"/>
      <w:kern w:val="0"/>
      <w:sz w:val="24"/>
      <w:szCs w:val="20"/>
    </w:rPr>
  </w:style>
  <w:style w:type="paragraph" w:customStyle="1" w:styleId="2043">
    <w:name w:val="样式 宋体 13.5 磅 行距: 1.5 倍行距"/>
    <w:basedOn w:val="1"/>
    <w:qFormat/>
    <w:uiPriority w:val="0"/>
    <w:pPr>
      <w:spacing w:line="360" w:lineRule="auto"/>
      <w:ind w:firstLine="560" w:firstLineChars="200"/>
    </w:pPr>
    <w:rPr>
      <w:rFonts w:ascii="Times New Roman" w:hAnsi="Times New Roman" w:eastAsia="仿宋_GB2312" w:cs="宋体"/>
      <w:sz w:val="28"/>
      <w:szCs w:val="28"/>
    </w:rPr>
  </w:style>
  <w:style w:type="paragraph" w:customStyle="1" w:styleId="2044">
    <w:name w:val="reader-word-layer reader-word-s1-17"/>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045">
    <w:name w:val="xl39"/>
    <w:basedOn w:val="1"/>
    <w:qFormat/>
    <w:uiPriority w:val="0"/>
    <w:pPr>
      <w:widowControl/>
      <w:pBdr>
        <w:bottom w:val="single" w:color="auto" w:sz="4" w:space="0"/>
        <w:right w:val="single" w:color="auto" w:sz="4" w:space="0"/>
      </w:pBdr>
      <w:spacing w:before="100" w:beforeAutospacing="1" w:after="100" w:afterAutospacing="1"/>
      <w:jc w:val="center"/>
      <w:textAlignment w:val="top"/>
    </w:pPr>
    <w:rPr>
      <w:rFonts w:ascii="Times New Roman" w:hAnsi="Times New Roman" w:eastAsia="Arial Unicode MS"/>
      <w:kern w:val="0"/>
      <w:szCs w:val="21"/>
    </w:rPr>
  </w:style>
  <w:style w:type="paragraph" w:customStyle="1" w:styleId="2046">
    <w:name w:val="页脚 New New New New New New New New New New New New New New New New New New New New New New New New"/>
    <w:basedOn w:val="1"/>
    <w:qFormat/>
    <w:uiPriority w:val="0"/>
    <w:pPr>
      <w:tabs>
        <w:tab w:val="center" w:pos="4153"/>
        <w:tab w:val="right" w:pos="8306"/>
      </w:tabs>
      <w:snapToGrid w:val="0"/>
      <w:jc w:val="left"/>
    </w:pPr>
    <w:rPr>
      <w:rFonts w:ascii="Times New Roman" w:hAnsi="Times New Roman"/>
      <w:spacing w:val="-2"/>
      <w:kern w:val="0"/>
      <w:sz w:val="18"/>
      <w:szCs w:val="18"/>
    </w:rPr>
  </w:style>
  <w:style w:type="paragraph" w:customStyle="1" w:styleId="2047">
    <w:name w:val="样式21"/>
    <w:basedOn w:val="1"/>
    <w:qFormat/>
    <w:uiPriority w:val="0"/>
    <w:pPr>
      <w:keepNext/>
      <w:keepLines/>
      <w:tabs>
        <w:tab w:val="left" w:pos="360"/>
        <w:tab w:val="left" w:pos="540"/>
      </w:tabs>
      <w:spacing w:before="156" w:beforeLines="50" w:after="156" w:afterLines="50"/>
      <w:outlineLvl w:val="2"/>
    </w:pPr>
    <w:rPr>
      <w:rFonts w:ascii="Times New Roman" w:hAnsi="Times New Roman" w:eastAsia="黑体"/>
      <w:spacing w:val="-2"/>
      <w:kern w:val="0"/>
      <w:sz w:val="28"/>
      <w:szCs w:val="32"/>
    </w:rPr>
  </w:style>
  <w:style w:type="paragraph" w:customStyle="1" w:styleId="2048">
    <w:name w:val="标题5"/>
    <w:basedOn w:val="7"/>
    <w:qFormat/>
    <w:uiPriority w:val="0"/>
    <w:pPr>
      <w:keepNext w:val="0"/>
      <w:keepLines w:val="0"/>
    </w:pPr>
    <w:rPr>
      <w:rFonts w:ascii="宋体" w:hAnsi="宋体" w:eastAsia="宋体"/>
      <w:szCs w:val="24"/>
    </w:rPr>
  </w:style>
  <w:style w:type="paragraph" w:customStyle="1" w:styleId="2049">
    <w:name w:val="reader-word-layer reader-word-s1-1 reader-word-s1-15"/>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050">
    <w:name w:val="xl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kern w:val="0"/>
      <w:szCs w:val="21"/>
    </w:rPr>
  </w:style>
  <w:style w:type="paragraph" w:customStyle="1" w:styleId="2051">
    <w:name w:val="Char Char Char Char Char Char1 Char3"/>
    <w:basedOn w:val="1"/>
    <w:qFormat/>
    <w:uiPriority w:val="0"/>
    <w:rPr>
      <w:rFonts w:ascii="Times New Roman" w:hAnsi="Times New Roman"/>
      <w:szCs w:val="24"/>
    </w:rPr>
  </w:style>
  <w:style w:type="paragraph" w:customStyle="1" w:styleId="2052">
    <w:name w:val="xl613"/>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pPr>
    <w:rPr>
      <w:rFonts w:ascii="Times New Roman" w:hAnsi="Times New Roman"/>
      <w:color w:val="FF0000"/>
      <w:kern w:val="0"/>
      <w:sz w:val="24"/>
      <w:szCs w:val="24"/>
    </w:rPr>
  </w:style>
  <w:style w:type="paragraph" w:customStyle="1" w:styleId="2053">
    <w:name w:val="样式 小四 居中 行距: 单倍行距"/>
    <w:basedOn w:val="1"/>
    <w:next w:val="1"/>
    <w:qFormat/>
    <w:uiPriority w:val="0"/>
    <w:pPr>
      <w:jc w:val="center"/>
    </w:pPr>
    <w:rPr>
      <w:rFonts w:hint="eastAsia" w:ascii="宋体" w:hAnsi="Times New Roman" w:cs="宋体"/>
      <w:kern w:val="0"/>
      <w:sz w:val="24"/>
      <w:szCs w:val="24"/>
    </w:rPr>
  </w:style>
  <w:style w:type="paragraph" w:customStyle="1" w:styleId="2054">
    <w:name w:val="xl607"/>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pPr>
    <w:rPr>
      <w:rFonts w:ascii="Times New Roman" w:hAnsi="Times New Roman"/>
      <w:kern w:val="0"/>
      <w:sz w:val="24"/>
      <w:szCs w:val="24"/>
    </w:rPr>
  </w:style>
  <w:style w:type="paragraph" w:customStyle="1" w:styleId="2055">
    <w:name w:val="大纲正文"/>
    <w:basedOn w:val="2"/>
    <w:qFormat/>
    <w:uiPriority w:val="0"/>
    <w:pPr>
      <w:autoSpaceDE w:val="0"/>
      <w:autoSpaceDN w:val="0"/>
      <w:adjustRightInd w:val="0"/>
      <w:spacing w:line="240" w:lineRule="auto"/>
      <w:ind w:firstLine="539"/>
      <w:jc w:val="left"/>
    </w:pPr>
    <w:rPr>
      <w:rFonts w:ascii="宋体" w:eastAsia="仿宋_GB2312"/>
      <w:kern w:val="0"/>
      <w:sz w:val="24"/>
    </w:rPr>
  </w:style>
  <w:style w:type="paragraph" w:customStyle="1" w:styleId="2056">
    <w:name w:val="xl10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2057">
    <w:name w:val="样式 标题 1 + 段后: 1.5 行"/>
    <w:basedOn w:val="4"/>
    <w:qFormat/>
    <w:uiPriority w:val="0"/>
    <w:pPr>
      <w:tabs>
        <w:tab w:val="left" w:pos="2160"/>
      </w:tabs>
      <w:adjustRightInd w:val="0"/>
      <w:snapToGrid w:val="0"/>
      <w:spacing w:before="312" w:beforeLines="100" w:after="312" w:afterLines="100" w:line="460" w:lineRule="exact"/>
      <w:jc w:val="center"/>
    </w:pPr>
    <w:rPr>
      <w:rFonts w:ascii="黑体" w:hAnsi="Arial" w:cs="Arial"/>
      <w:sz w:val="32"/>
      <w:szCs w:val="20"/>
    </w:rPr>
  </w:style>
  <w:style w:type="paragraph" w:customStyle="1" w:styleId="2058">
    <w:name w:val="正文缩进3"/>
    <w:basedOn w:val="1"/>
    <w:qFormat/>
    <w:uiPriority w:val="0"/>
    <w:pPr>
      <w:ind w:firstLine="420"/>
    </w:pPr>
    <w:rPr>
      <w:rFonts w:ascii="Times New Roman" w:hAnsi="Times New Roman"/>
      <w:kern w:val="0"/>
      <w:sz w:val="28"/>
      <w:szCs w:val="28"/>
    </w:rPr>
  </w:style>
  <w:style w:type="paragraph" w:customStyle="1" w:styleId="2059">
    <w:name w:val="无间隔11"/>
    <w:qFormat/>
    <w:uiPriority w:val="0"/>
    <w:rPr>
      <w:rFonts w:ascii="Calibri" w:hAnsi="Calibri" w:eastAsia="宋体" w:cs="Times New Roman"/>
      <w:sz w:val="22"/>
      <w:lang w:val="en-US" w:eastAsia="zh-CN" w:bidi="ar-SA"/>
    </w:rPr>
  </w:style>
  <w:style w:type="paragraph" w:customStyle="1" w:styleId="2060">
    <w:name w:val="6表格"/>
    <w:basedOn w:val="1"/>
    <w:qFormat/>
    <w:uiPriority w:val="0"/>
    <w:pPr>
      <w:adjustRightInd w:val="0"/>
      <w:snapToGrid w:val="0"/>
      <w:spacing w:before="120"/>
      <w:jc w:val="center"/>
    </w:pPr>
    <w:rPr>
      <w:rFonts w:ascii="Times New Roman" w:hAnsi="Times New Roman"/>
      <w:snapToGrid w:val="0"/>
      <w:kern w:val="0"/>
      <w:szCs w:val="20"/>
    </w:rPr>
  </w:style>
  <w:style w:type="paragraph" w:customStyle="1" w:styleId="2061">
    <w:name w:val="Plain Text1"/>
    <w:basedOn w:val="1"/>
    <w:qFormat/>
    <w:uiPriority w:val="0"/>
    <w:pPr>
      <w:adjustRightInd w:val="0"/>
      <w:spacing w:line="360" w:lineRule="auto"/>
      <w:ind w:firstLine="465"/>
      <w:textAlignment w:val="baseline"/>
    </w:pPr>
    <w:rPr>
      <w:rFonts w:ascii="宋体" w:hAnsi="Courier New"/>
      <w:sz w:val="24"/>
      <w:szCs w:val="20"/>
    </w:rPr>
  </w:style>
  <w:style w:type="paragraph" w:customStyle="1" w:styleId="2062">
    <w:name w:val="页眉 New New New New New New New New New New New New New New"/>
    <w:basedOn w:val="1"/>
    <w:qFormat/>
    <w:uiPriority w:val="0"/>
    <w:pPr>
      <w:pBdr>
        <w:bottom w:val="single" w:color="auto" w:sz="6" w:space="1"/>
      </w:pBdr>
      <w:tabs>
        <w:tab w:val="center" w:pos="4153"/>
        <w:tab w:val="right" w:pos="8306"/>
      </w:tabs>
      <w:snapToGrid w:val="0"/>
      <w:jc w:val="center"/>
    </w:pPr>
    <w:rPr>
      <w:rFonts w:ascii="Times New Roman" w:hAnsi="Times New Roman"/>
      <w:spacing w:val="-2"/>
      <w:kern w:val="0"/>
      <w:sz w:val="18"/>
      <w:szCs w:val="18"/>
    </w:rPr>
  </w:style>
  <w:style w:type="paragraph" w:customStyle="1" w:styleId="2063">
    <w:name w:val="HTML 预设格式111"/>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szCs w:val="24"/>
    </w:rPr>
  </w:style>
  <w:style w:type="paragraph" w:customStyle="1" w:styleId="2064">
    <w:name w:val="p16"/>
    <w:basedOn w:val="1"/>
    <w:qFormat/>
    <w:uiPriority w:val="0"/>
    <w:pPr>
      <w:widowControl/>
      <w:spacing w:line="500" w:lineRule="atLeast"/>
      <w:ind w:firstLine="420"/>
    </w:pPr>
    <w:rPr>
      <w:rFonts w:ascii="宋体" w:hAnsi="宋体" w:cs="宋体"/>
      <w:kern w:val="0"/>
      <w:sz w:val="28"/>
      <w:szCs w:val="28"/>
    </w:rPr>
  </w:style>
  <w:style w:type="paragraph" w:customStyle="1" w:styleId="2065">
    <w:name w:val="正文文本缩进 37"/>
    <w:basedOn w:val="1"/>
    <w:qFormat/>
    <w:uiPriority w:val="0"/>
    <w:pPr>
      <w:spacing w:line="540" w:lineRule="exact"/>
      <w:ind w:firstLine="576"/>
    </w:pPr>
    <w:rPr>
      <w:rFonts w:ascii="Times New Roman" w:hAnsi="Times New Roman"/>
      <w:kern w:val="0"/>
      <w:sz w:val="28"/>
      <w:szCs w:val="24"/>
    </w:rPr>
  </w:style>
  <w:style w:type="paragraph" w:customStyle="1" w:styleId="2066">
    <w:name w:val="注释标题7"/>
    <w:basedOn w:val="1"/>
    <w:next w:val="1"/>
    <w:qFormat/>
    <w:uiPriority w:val="0"/>
    <w:pPr>
      <w:jc w:val="center"/>
    </w:pPr>
    <w:rPr>
      <w:rFonts w:ascii="Times New Roman" w:hAnsi="Times New Roman"/>
      <w:kern w:val="0"/>
      <w:sz w:val="28"/>
      <w:szCs w:val="24"/>
    </w:rPr>
  </w:style>
  <w:style w:type="paragraph" w:customStyle="1" w:styleId="2067">
    <w:name w:val="et77"/>
    <w:basedOn w:val="1"/>
    <w:qFormat/>
    <w:uiPriority w:val="0"/>
    <w:pPr>
      <w:widowControl/>
      <w:spacing w:before="100" w:beforeAutospacing="1" w:after="100" w:afterAutospacing="1"/>
      <w:jc w:val="left"/>
      <w:textAlignment w:val="bottom"/>
    </w:pPr>
    <w:rPr>
      <w:rFonts w:ascii="宋体" w:hAnsi="宋体" w:cs="宋体"/>
      <w:color w:val="000000"/>
      <w:kern w:val="0"/>
      <w:sz w:val="24"/>
      <w:szCs w:val="24"/>
    </w:rPr>
  </w:style>
  <w:style w:type="paragraph" w:customStyle="1" w:styleId="2068">
    <w:name w:val="样式 小四 行距: 固定值 23 磅"/>
    <w:basedOn w:val="1"/>
    <w:qFormat/>
    <w:uiPriority w:val="0"/>
    <w:pPr>
      <w:tabs>
        <w:tab w:val="left" w:pos="960"/>
      </w:tabs>
      <w:ind w:left="960" w:hanging="480"/>
    </w:pPr>
    <w:rPr>
      <w:rFonts w:ascii="Times New Roman" w:hAnsi="Times New Roman"/>
      <w:sz w:val="28"/>
      <w:szCs w:val="24"/>
    </w:rPr>
  </w:style>
  <w:style w:type="paragraph" w:customStyle="1" w:styleId="2069">
    <w:name w:val="正文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2070">
    <w:name w:val="5"/>
    <w:basedOn w:val="1"/>
    <w:next w:val="34"/>
    <w:qFormat/>
    <w:uiPriority w:val="0"/>
    <w:pPr>
      <w:spacing w:line="360" w:lineRule="auto"/>
    </w:pPr>
    <w:rPr>
      <w:rFonts w:ascii="Times New Roman" w:hAnsi="Times New Roman"/>
      <w:sz w:val="24"/>
      <w:szCs w:val="24"/>
    </w:rPr>
  </w:style>
  <w:style w:type="paragraph" w:customStyle="1" w:styleId="2071">
    <w:name w:val="reader-word-layer reader-word-s1-4"/>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072">
    <w:name w:val="reader-word-layer reader-word-s1-7"/>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073">
    <w:name w:val="页眉 New New New New"/>
    <w:basedOn w:val="1"/>
    <w:qFormat/>
    <w:uiPriority w:val="0"/>
    <w:pPr>
      <w:pBdr>
        <w:bottom w:val="single" w:color="auto" w:sz="6" w:space="1"/>
      </w:pBdr>
      <w:tabs>
        <w:tab w:val="center" w:pos="4153"/>
        <w:tab w:val="right" w:pos="8306"/>
      </w:tabs>
      <w:snapToGrid w:val="0"/>
      <w:jc w:val="center"/>
    </w:pPr>
    <w:rPr>
      <w:rFonts w:ascii="Times New Roman" w:hAnsi="Times New Roman"/>
      <w:spacing w:val="-2"/>
      <w:kern w:val="0"/>
      <w:sz w:val="18"/>
      <w:szCs w:val="18"/>
    </w:rPr>
  </w:style>
  <w:style w:type="paragraph" w:customStyle="1" w:styleId="2074">
    <w:name w:val="列出段落1"/>
    <w:basedOn w:val="1"/>
    <w:qFormat/>
    <w:uiPriority w:val="0"/>
    <w:pPr>
      <w:spacing w:line="440" w:lineRule="exact"/>
      <w:ind w:firstLine="420" w:firstLineChars="200"/>
    </w:pPr>
    <w:rPr>
      <w:rFonts w:ascii="Times New Roman" w:hAnsi="Times New Roman"/>
      <w:sz w:val="24"/>
      <w:szCs w:val="24"/>
    </w:rPr>
  </w:style>
  <w:style w:type="paragraph" w:customStyle="1" w:styleId="2075">
    <w:name w:val="样式 标题 3标题 13 + (中文) 黑体 四号 非加粗 黑色 段前: 21 磅 段后: 21 磅 行距: 单倍..."/>
    <w:basedOn w:val="6"/>
    <w:qFormat/>
    <w:uiPriority w:val="0"/>
    <w:pPr>
      <w:spacing w:before="420" w:after="420" w:line="240" w:lineRule="auto"/>
    </w:pPr>
    <w:rPr>
      <w:rFonts w:cs="宋体"/>
      <w:b w:val="0"/>
      <w:bCs w:val="0"/>
      <w:color w:val="000000"/>
      <w:sz w:val="28"/>
      <w:szCs w:val="20"/>
    </w:rPr>
  </w:style>
  <w:style w:type="paragraph" w:customStyle="1" w:styleId="2076">
    <w:name w:val="样式 小四 行距: 1.5 倍行距"/>
    <w:basedOn w:val="1"/>
    <w:qFormat/>
    <w:uiPriority w:val="0"/>
    <w:pPr>
      <w:spacing w:line="360" w:lineRule="auto"/>
    </w:pPr>
    <w:rPr>
      <w:rFonts w:ascii="Times New Roman" w:hAnsi="Times New Roman" w:cs="宋体"/>
      <w:sz w:val="24"/>
      <w:szCs w:val="20"/>
    </w:rPr>
  </w:style>
  <w:style w:type="paragraph" w:customStyle="1" w:styleId="2077">
    <w:name w:val="样式 标题 1H1H11H12H13H14H15H16H17H18第A章第*部分 + 段前: 6 磅 段..."/>
    <w:basedOn w:val="4"/>
    <w:qFormat/>
    <w:uiPriority w:val="0"/>
    <w:pPr>
      <w:keepNext w:val="0"/>
      <w:overflowPunct w:val="0"/>
      <w:autoSpaceDE w:val="0"/>
      <w:autoSpaceDN w:val="0"/>
      <w:adjustRightInd w:val="0"/>
      <w:spacing w:before="120" w:after="360"/>
      <w:jc w:val="center"/>
      <w:textAlignment w:val="baseline"/>
    </w:pPr>
    <w:rPr>
      <w:rFonts w:ascii="Arial" w:hAnsi="Arial" w:cs="宋体"/>
      <w:b w:val="0"/>
      <w:bCs w:val="0"/>
      <w:spacing w:val="-10"/>
      <w:w w:val="105"/>
      <w:szCs w:val="20"/>
    </w:rPr>
  </w:style>
  <w:style w:type="paragraph" w:customStyle="1" w:styleId="2078">
    <w:name w:val="xl641"/>
    <w:basedOn w:val="1"/>
    <w:qFormat/>
    <w:uiPriority w:val="0"/>
    <w:pPr>
      <w:widowControl/>
      <w:spacing w:before="100" w:beforeAutospacing="1" w:after="100" w:afterAutospacing="1"/>
      <w:jc w:val="center"/>
    </w:pPr>
    <w:rPr>
      <w:rFonts w:ascii="宋体" w:hAnsi="宋体" w:cs="宋体"/>
      <w:kern w:val="0"/>
      <w:sz w:val="24"/>
      <w:szCs w:val="24"/>
    </w:rPr>
  </w:style>
  <w:style w:type="paragraph" w:customStyle="1" w:styleId="2079">
    <w:name w:val="样式 标题 1标题 11一、 + (中文) 黑体 小二 非加粗 段前: 5 磅 段后: 5 磅 行距: 单倍行距"/>
    <w:basedOn w:val="4"/>
    <w:qFormat/>
    <w:uiPriority w:val="0"/>
    <w:pPr>
      <w:spacing w:before="100" w:after="100" w:line="240" w:lineRule="auto"/>
    </w:pPr>
    <w:rPr>
      <w:rFonts w:cs="宋体"/>
      <w:b w:val="0"/>
      <w:bCs w:val="0"/>
      <w:sz w:val="36"/>
      <w:szCs w:val="20"/>
    </w:rPr>
  </w:style>
  <w:style w:type="paragraph" w:customStyle="1" w:styleId="2080">
    <w:name w:val="样式 标题 4标题 14 + 加粗 无下划线 自动设置 段前: 3 磅 段后: 10 磅3"/>
    <w:basedOn w:val="7"/>
    <w:next w:val="1793"/>
    <w:qFormat/>
    <w:uiPriority w:val="0"/>
    <w:pPr>
      <w:keepLines w:val="0"/>
      <w:adjustRightInd w:val="0"/>
      <w:snapToGrid w:val="0"/>
      <w:spacing w:before="60" w:after="200" w:line="240" w:lineRule="auto"/>
    </w:pPr>
    <w:rPr>
      <w:rFonts w:eastAsia="宋体" w:cs="宋体"/>
      <w:szCs w:val="20"/>
    </w:rPr>
  </w:style>
  <w:style w:type="paragraph" w:customStyle="1" w:styleId="2081">
    <w:name w:val="Char Char Char Char Char Char Char Char Char Char Char Char Char Char Char Char Char Char Char Char Char Char Char Char Char Char Char Char Char Char Char Char Char"/>
    <w:basedOn w:val="1"/>
    <w:qFormat/>
    <w:uiPriority w:val="0"/>
    <w:pPr>
      <w:widowControl/>
      <w:spacing w:after="160" w:line="240" w:lineRule="exact"/>
      <w:jc w:val="left"/>
    </w:pPr>
    <w:rPr>
      <w:rFonts w:ascii="Verdana" w:hAnsi="Verdana" w:eastAsia="仿宋_GB2312" w:cs="Verdana"/>
      <w:color w:val="000000"/>
      <w:kern w:val="0"/>
      <w:sz w:val="24"/>
      <w:szCs w:val="21"/>
      <w:lang w:eastAsia="en-US"/>
    </w:rPr>
  </w:style>
  <w:style w:type="paragraph" w:customStyle="1" w:styleId="2082">
    <w:name w:val="et78"/>
    <w:basedOn w:val="1"/>
    <w:qFormat/>
    <w:uiPriority w:val="0"/>
    <w:pPr>
      <w:widowControl/>
      <w:spacing w:before="100" w:beforeAutospacing="1" w:after="100" w:afterAutospacing="1"/>
      <w:jc w:val="left"/>
      <w:textAlignment w:val="bottom"/>
    </w:pPr>
    <w:rPr>
      <w:rFonts w:ascii="宋体" w:hAnsi="宋体" w:cs="宋体"/>
      <w:color w:val="000000"/>
      <w:kern w:val="0"/>
      <w:sz w:val="24"/>
      <w:szCs w:val="24"/>
    </w:rPr>
  </w:style>
  <w:style w:type="paragraph" w:customStyle="1" w:styleId="2083">
    <w:name w:val="Char Char2 Char Char2"/>
    <w:basedOn w:val="1"/>
    <w:qFormat/>
    <w:uiPriority w:val="0"/>
    <w:pPr>
      <w:widowControl/>
      <w:spacing w:after="160" w:line="240" w:lineRule="exact"/>
      <w:jc w:val="left"/>
    </w:pPr>
    <w:rPr>
      <w:rFonts w:ascii="Times New Roman" w:hAnsi="Times New Roman"/>
      <w:szCs w:val="20"/>
    </w:rPr>
  </w:style>
  <w:style w:type="paragraph" w:customStyle="1" w:styleId="2084">
    <w:name w:val="xl50"/>
    <w:basedOn w:val="1"/>
    <w:qFormat/>
    <w:uiPriority w:val="0"/>
    <w:pPr>
      <w:widowControl/>
      <w:pBdr>
        <w:top w:val="double" w:color="auto" w:sz="6"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szCs w:val="24"/>
    </w:rPr>
  </w:style>
  <w:style w:type="paragraph" w:customStyle="1" w:styleId="2085">
    <w:name w:val="纯文本2"/>
    <w:basedOn w:val="1"/>
    <w:qFormat/>
    <w:uiPriority w:val="0"/>
    <w:pPr>
      <w:adjustRightInd w:val="0"/>
      <w:textAlignment w:val="baseline"/>
    </w:pPr>
    <w:rPr>
      <w:rFonts w:ascii="宋体" w:hAnsi="Courier New" w:cs="Courier New"/>
      <w:spacing w:val="-2"/>
      <w:szCs w:val="32"/>
    </w:rPr>
  </w:style>
  <w:style w:type="paragraph" w:customStyle="1" w:styleId="2086">
    <w:name w:val="纯文本3"/>
    <w:basedOn w:val="1"/>
    <w:qFormat/>
    <w:uiPriority w:val="0"/>
    <w:pPr>
      <w:adjustRightInd w:val="0"/>
      <w:textAlignment w:val="baseline"/>
    </w:pPr>
    <w:rPr>
      <w:rFonts w:ascii="宋体" w:hAnsi="Courier New"/>
      <w:szCs w:val="20"/>
    </w:rPr>
  </w:style>
  <w:style w:type="paragraph" w:customStyle="1" w:styleId="2087">
    <w:name w:val="表题 2"/>
    <w:basedOn w:val="1"/>
    <w:qFormat/>
    <w:uiPriority w:val="0"/>
    <w:pPr>
      <w:adjustRightInd w:val="0"/>
      <w:spacing w:before="120" w:after="120"/>
      <w:jc w:val="center"/>
      <w:textAlignment w:val="baseline"/>
    </w:pPr>
    <w:rPr>
      <w:rFonts w:ascii="Times New Roman" w:hAnsi="Times New Roman"/>
      <w:kern w:val="0"/>
      <w:sz w:val="28"/>
      <w:szCs w:val="20"/>
    </w:rPr>
  </w:style>
  <w:style w:type="paragraph" w:customStyle="1" w:styleId="2088">
    <w:name w:val="table"/>
    <w:basedOn w:val="1"/>
    <w:qFormat/>
    <w:uiPriority w:val="0"/>
    <w:pPr>
      <w:widowControl/>
      <w:overflowPunct w:val="0"/>
      <w:autoSpaceDE w:val="0"/>
      <w:autoSpaceDN w:val="0"/>
      <w:adjustRightInd w:val="0"/>
      <w:spacing w:before="60" w:after="60"/>
      <w:jc w:val="center"/>
      <w:textAlignment w:val="baseline"/>
    </w:pPr>
    <w:rPr>
      <w:rFonts w:ascii="仿宋体" w:hAnsi="Times New Roman" w:eastAsia="仿宋体"/>
      <w:kern w:val="0"/>
      <w:sz w:val="24"/>
      <w:szCs w:val="20"/>
    </w:rPr>
  </w:style>
  <w:style w:type="paragraph" w:customStyle="1" w:styleId="2089">
    <w:name w:val="正文首行缩进111"/>
    <w:basedOn w:val="34"/>
    <w:qFormat/>
    <w:uiPriority w:val="0"/>
    <w:pPr>
      <w:spacing w:line="360" w:lineRule="auto"/>
      <w:ind w:firstLine="420" w:firstLineChars="100"/>
    </w:pPr>
    <w:rPr>
      <w:kern w:val="0"/>
      <w:sz w:val="24"/>
      <w:szCs w:val="24"/>
    </w:rPr>
  </w:style>
  <w:style w:type="paragraph" w:customStyle="1" w:styleId="2090">
    <w:name w:val="reader-word-layer reader-word-s2-9"/>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091">
    <w:name w:val="样式 样式 标题 2标题节标题 2 Char Char + 段前: 2 行 + 左侧:  1 字符 右侧:  1 字符"/>
    <w:basedOn w:val="1802"/>
    <w:qFormat/>
    <w:uiPriority w:val="0"/>
    <w:rPr>
      <w:szCs w:val="26"/>
    </w:rPr>
  </w:style>
  <w:style w:type="paragraph" w:customStyle="1" w:styleId="2092">
    <w:name w:val="Char1 Char Char Char Char Char Char Char Char Char Char Char Char1"/>
    <w:basedOn w:val="1"/>
    <w:qFormat/>
    <w:uiPriority w:val="0"/>
    <w:pPr>
      <w:spacing w:line="360" w:lineRule="auto"/>
      <w:ind w:firstLine="200" w:firstLineChars="200"/>
    </w:pPr>
    <w:rPr>
      <w:rFonts w:ascii="宋体" w:hAnsi="宋体" w:cs="宋体"/>
      <w:sz w:val="24"/>
      <w:szCs w:val="24"/>
    </w:rPr>
  </w:style>
  <w:style w:type="paragraph" w:customStyle="1" w:styleId="2093">
    <w:name w:val="text"/>
    <w:basedOn w:val="1"/>
    <w:qFormat/>
    <w:uiPriority w:val="0"/>
    <w:pPr>
      <w:widowControl/>
      <w:overflowPunct w:val="0"/>
      <w:autoSpaceDE w:val="0"/>
      <w:autoSpaceDN w:val="0"/>
      <w:adjustRightInd w:val="0"/>
      <w:spacing w:line="360" w:lineRule="auto"/>
      <w:ind w:firstLine="562"/>
      <w:textAlignment w:val="baseline"/>
    </w:pPr>
    <w:rPr>
      <w:rFonts w:ascii="仿宋体" w:hAnsi="Times New Roman" w:eastAsia="仿宋体"/>
      <w:kern w:val="0"/>
      <w:sz w:val="26"/>
      <w:szCs w:val="20"/>
    </w:rPr>
  </w:style>
  <w:style w:type="paragraph" w:customStyle="1" w:styleId="2094">
    <w:name w:val="样式12"/>
    <w:basedOn w:val="882"/>
    <w:qFormat/>
    <w:uiPriority w:val="0"/>
    <w:pPr>
      <w:widowControl/>
      <w:tabs>
        <w:tab w:val="left" w:pos="352"/>
        <w:tab w:val="left" w:pos="4320"/>
      </w:tabs>
      <w:overflowPunct w:val="0"/>
      <w:autoSpaceDE w:val="0"/>
      <w:autoSpaceDN w:val="0"/>
      <w:adjustRightInd w:val="0"/>
      <w:jc w:val="both"/>
      <w:textAlignment w:val="bottom"/>
    </w:pPr>
    <w:rPr>
      <w:rFonts w:cs="宋体"/>
      <w:kern w:val="0"/>
      <w:lang w:val="zh-CN"/>
    </w:rPr>
  </w:style>
  <w:style w:type="paragraph" w:customStyle="1" w:styleId="2095">
    <w:name w:val="电镀表"/>
    <w:basedOn w:val="1"/>
    <w:qFormat/>
    <w:uiPriority w:val="0"/>
    <w:pPr>
      <w:autoSpaceDE w:val="0"/>
      <w:autoSpaceDN w:val="0"/>
      <w:adjustRightInd w:val="0"/>
      <w:jc w:val="center"/>
      <w:textAlignment w:val="center"/>
    </w:pPr>
    <w:rPr>
      <w:rFonts w:ascii="Times New Roman" w:hAnsi="Times New Roman"/>
      <w:w w:val="105"/>
      <w:kern w:val="10"/>
      <w:szCs w:val="21"/>
    </w:rPr>
  </w:style>
  <w:style w:type="paragraph" w:customStyle="1" w:styleId="2096">
    <w:name w:val="Char Char Char2"/>
    <w:basedOn w:val="1"/>
    <w:next w:val="3"/>
    <w:qFormat/>
    <w:uiPriority w:val="0"/>
    <w:rPr>
      <w:rFonts w:ascii="Times New Roman" w:hAnsi="Times New Roman"/>
      <w:sz w:val="28"/>
      <w:szCs w:val="20"/>
    </w:rPr>
  </w:style>
  <w:style w:type="paragraph" w:customStyle="1" w:styleId="2097">
    <w:name w:val="et5"/>
    <w:basedOn w:val="1"/>
    <w:qFormat/>
    <w:uiPriority w:val="0"/>
    <w:pPr>
      <w:widowControl/>
      <w:spacing w:before="100" w:beforeAutospacing="1" w:after="100" w:afterAutospacing="1"/>
      <w:jc w:val="left"/>
      <w:textAlignment w:val="bottom"/>
    </w:pPr>
    <w:rPr>
      <w:rFonts w:ascii="幼圆" w:hAnsi="幼圆" w:cs="幼圆"/>
      <w:color w:val="000000"/>
      <w:kern w:val="0"/>
      <w:sz w:val="24"/>
      <w:szCs w:val="24"/>
    </w:rPr>
  </w:style>
  <w:style w:type="paragraph" w:customStyle="1" w:styleId="2098">
    <w:name w:val="3级别"/>
    <w:basedOn w:val="335"/>
    <w:qFormat/>
    <w:uiPriority w:val="0"/>
    <w:pPr>
      <w:spacing w:before="120" w:beforeLines="0" w:after="120" w:afterLines="0"/>
    </w:pPr>
    <w:rPr>
      <w:color w:val="000000"/>
    </w:rPr>
  </w:style>
  <w:style w:type="paragraph" w:customStyle="1" w:styleId="2099">
    <w:name w:val="正文 New New New New New New New New New New New New New New New New New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2100">
    <w:name w:val="正文 1"/>
    <w:basedOn w:val="1"/>
    <w:qFormat/>
    <w:uiPriority w:val="0"/>
    <w:pPr>
      <w:spacing w:line="480" w:lineRule="exact"/>
      <w:ind w:firstLine="567"/>
    </w:pPr>
    <w:rPr>
      <w:rFonts w:ascii="幼圆" w:hAnsi="Times New Roman" w:eastAsia="幼圆"/>
      <w:sz w:val="28"/>
      <w:szCs w:val="20"/>
    </w:rPr>
  </w:style>
  <w:style w:type="paragraph" w:customStyle="1" w:styleId="2101">
    <w:name w:val="xl9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102">
    <w:name w:val="样式 宋体 小四 两端对齐 首行缩进:  0.85 厘米 行距: 1.5 倍行距"/>
    <w:basedOn w:val="1"/>
    <w:qFormat/>
    <w:uiPriority w:val="0"/>
    <w:pPr>
      <w:widowControl/>
      <w:spacing w:line="360" w:lineRule="auto"/>
      <w:ind w:firstLine="482"/>
    </w:pPr>
    <w:rPr>
      <w:rFonts w:ascii="Times New Roman" w:hAnsi="Times New Roman"/>
      <w:kern w:val="0"/>
      <w:sz w:val="24"/>
      <w:szCs w:val="20"/>
    </w:rPr>
  </w:style>
  <w:style w:type="paragraph" w:customStyle="1" w:styleId="2103">
    <w:name w:val="Normal New New New"/>
    <w:qFormat/>
    <w:uiPriority w:val="0"/>
    <w:pPr>
      <w:jc w:val="both"/>
    </w:pPr>
    <w:rPr>
      <w:rFonts w:ascii="Calibri" w:hAnsi="Calibri" w:eastAsia="宋体" w:cs="Times New Roman"/>
      <w:kern w:val="2"/>
      <w:sz w:val="21"/>
      <w:lang w:val="en-US" w:eastAsia="zh-CN" w:bidi="ar-SA"/>
    </w:rPr>
  </w:style>
  <w:style w:type="paragraph" w:customStyle="1" w:styleId="2104">
    <w:name w:val="et62"/>
    <w:basedOn w:val="1"/>
    <w:qFormat/>
    <w:uiPriority w:val="0"/>
    <w:pPr>
      <w:widowControl/>
      <w:spacing w:before="100" w:beforeAutospacing="1" w:after="100" w:afterAutospacing="1"/>
      <w:jc w:val="left"/>
      <w:textAlignment w:val="bottom"/>
    </w:pPr>
    <w:rPr>
      <w:rFonts w:ascii="宋体" w:hAnsi="宋体" w:cs="宋体"/>
      <w:color w:val="000000"/>
      <w:kern w:val="0"/>
      <w:sz w:val="24"/>
      <w:szCs w:val="24"/>
    </w:rPr>
  </w:style>
  <w:style w:type="paragraph" w:customStyle="1" w:styleId="2105">
    <w:name w:val="普通(网站)11"/>
    <w:basedOn w:val="1"/>
    <w:qFormat/>
    <w:uiPriority w:val="0"/>
    <w:pPr>
      <w:widowControl/>
      <w:spacing w:before="100" w:beforeAutospacing="1" w:after="100" w:afterAutospacing="1" w:line="529" w:lineRule="exact"/>
      <w:ind w:firstLine="200" w:firstLineChars="200"/>
      <w:jc w:val="left"/>
    </w:pPr>
    <w:rPr>
      <w:rFonts w:ascii="宋体" w:hAnsi="宋体"/>
      <w:kern w:val="0"/>
      <w:sz w:val="24"/>
      <w:szCs w:val="24"/>
    </w:rPr>
  </w:style>
  <w:style w:type="paragraph" w:customStyle="1" w:styleId="2106">
    <w:name w:val="xl6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color w:val="FF6600"/>
      <w:kern w:val="0"/>
      <w:sz w:val="24"/>
      <w:szCs w:val="24"/>
    </w:rPr>
  </w:style>
  <w:style w:type="paragraph" w:customStyle="1" w:styleId="2107">
    <w:name w:val="正文文字3"/>
    <w:basedOn w:val="1"/>
    <w:qFormat/>
    <w:uiPriority w:val="0"/>
    <w:pPr>
      <w:spacing w:before="60" w:after="60" w:line="500" w:lineRule="exact"/>
      <w:ind w:left="1021" w:firstLine="567"/>
    </w:pPr>
    <w:rPr>
      <w:rFonts w:ascii="Times New Roman" w:hAnsi="Times New Roman"/>
      <w:sz w:val="28"/>
      <w:szCs w:val="20"/>
    </w:rPr>
  </w:style>
  <w:style w:type="paragraph" w:customStyle="1" w:styleId="2108">
    <w:name w:val="称呼11"/>
    <w:basedOn w:val="1"/>
    <w:next w:val="1"/>
    <w:qFormat/>
    <w:uiPriority w:val="0"/>
    <w:rPr>
      <w:rFonts w:ascii="宋体" w:hAnsi="宋体" w:cs="Courier New"/>
      <w:spacing w:val="-2"/>
      <w:szCs w:val="24"/>
    </w:rPr>
  </w:style>
  <w:style w:type="paragraph" w:customStyle="1" w:styleId="2109">
    <w:name w:val="样式 仿宋_GB2312 小四 居中"/>
    <w:basedOn w:val="1"/>
    <w:qFormat/>
    <w:uiPriority w:val="0"/>
    <w:pPr>
      <w:jc w:val="center"/>
    </w:pPr>
    <w:rPr>
      <w:rFonts w:ascii="仿宋_GB2312" w:hAnsi="Times New Roman" w:cs="宋体"/>
      <w:sz w:val="24"/>
      <w:szCs w:val="20"/>
    </w:rPr>
  </w:style>
  <w:style w:type="paragraph" w:customStyle="1" w:styleId="2110">
    <w:name w:val="Char Char Char Char Char Char Char Char Char Char Char Char Char Char Char Char3"/>
    <w:basedOn w:val="1"/>
    <w:qFormat/>
    <w:uiPriority w:val="0"/>
    <w:pPr>
      <w:spacing w:line="360" w:lineRule="auto"/>
      <w:ind w:firstLine="200" w:firstLineChars="200"/>
    </w:pPr>
    <w:rPr>
      <w:rFonts w:ascii="宋体" w:hAnsi="宋体" w:cs="宋体"/>
      <w:spacing w:val="-2"/>
      <w:kern w:val="0"/>
      <w:sz w:val="24"/>
      <w:szCs w:val="20"/>
    </w:rPr>
  </w:style>
  <w:style w:type="paragraph" w:customStyle="1" w:styleId="2111">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kern w:val="0"/>
      <w:sz w:val="20"/>
      <w:szCs w:val="20"/>
    </w:rPr>
  </w:style>
  <w:style w:type="paragraph" w:customStyle="1" w:styleId="2112">
    <w:name w:val="二级无标题条"/>
    <w:basedOn w:val="1"/>
    <w:qFormat/>
    <w:uiPriority w:val="0"/>
    <w:rPr>
      <w:rFonts w:ascii="Times New Roman" w:hAnsi="Times New Roman"/>
      <w:szCs w:val="24"/>
    </w:rPr>
  </w:style>
  <w:style w:type="paragraph" w:customStyle="1" w:styleId="2113">
    <w:name w:val="xl603"/>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pPr>
    <w:rPr>
      <w:rFonts w:ascii="Times New Roman" w:hAnsi="Times New Roman"/>
      <w:kern w:val="0"/>
      <w:sz w:val="24"/>
      <w:szCs w:val="24"/>
    </w:rPr>
  </w:style>
  <w:style w:type="paragraph" w:customStyle="1" w:styleId="2114">
    <w:name w:val="Char Char Char Char Char Char Char Char Char Char Char Char Char Char Char Char"/>
    <w:basedOn w:val="1"/>
    <w:qFormat/>
    <w:uiPriority w:val="0"/>
    <w:pPr>
      <w:spacing w:line="360" w:lineRule="auto"/>
      <w:ind w:firstLine="200" w:firstLineChars="200"/>
    </w:pPr>
    <w:rPr>
      <w:rFonts w:ascii="宋体" w:hAnsi="宋体" w:cs="宋体"/>
      <w:spacing w:val="-2"/>
      <w:kern w:val="0"/>
      <w:sz w:val="24"/>
      <w:szCs w:val="20"/>
    </w:rPr>
  </w:style>
  <w:style w:type="paragraph" w:customStyle="1" w:styleId="2115">
    <w:name w:val="msonormalcxspmiddle"/>
    <w:basedOn w:val="1"/>
    <w:qFormat/>
    <w:uiPriority w:val="0"/>
    <w:pPr>
      <w:widowControl/>
      <w:spacing w:before="100" w:beforeAutospacing="1" w:after="100" w:afterAutospacing="1"/>
      <w:jc w:val="left"/>
    </w:pPr>
    <w:rPr>
      <w:rFonts w:ascii="宋体" w:hAnsi="宋体" w:cs="宋体"/>
      <w:kern w:val="0"/>
      <w:sz w:val="24"/>
      <w:szCs w:val="21"/>
    </w:rPr>
  </w:style>
  <w:style w:type="paragraph" w:customStyle="1" w:styleId="2116">
    <w:name w:val="xl45"/>
    <w:basedOn w:val="1"/>
    <w:qFormat/>
    <w:uiPriority w:val="0"/>
    <w:pPr>
      <w:widowControl/>
      <w:pBdr>
        <w:top w:val="double" w:color="auto" w:sz="6" w:space="0"/>
        <w:left w:val="double" w:color="auto" w:sz="6" w:space="0"/>
        <w:right w:val="single" w:color="auto" w:sz="4" w:space="0"/>
      </w:pBdr>
      <w:spacing w:before="100" w:beforeAutospacing="1" w:after="100" w:afterAutospacing="1"/>
      <w:jc w:val="center"/>
      <w:textAlignment w:val="center"/>
    </w:pPr>
    <w:rPr>
      <w:rFonts w:ascii="宋体" w:hAnsi="宋体"/>
      <w:kern w:val="0"/>
      <w:sz w:val="24"/>
      <w:szCs w:val="24"/>
    </w:rPr>
  </w:style>
  <w:style w:type="paragraph" w:customStyle="1" w:styleId="2117">
    <w:name w:val="xl29"/>
    <w:basedOn w:val="1"/>
    <w:qFormat/>
    <w:uiPriority w:val="0"/>
    <w:pPr>
      <w:widowControl/>
      <w:spacing w:before="100" w:beforeAutospacing="1" w:after="100" w:afterAutospacing="1"/>
      <w:jc w:val="left"/>
    </w:pPr>
    <w:rPr>
      <w:rFonts w:ascii="Times New Roman" w:hAnsi="Times New Roman" w:eastAsia="Arial Unicode MS"/>
      <w:kern w:val="0"/>
      <w:sz w:val="24"/>
      <w:szCs w:val="24"/>
    </w:rPr>
  </w:style>
  <w:style w:type="paragraph" w:customStyle="1" w:styleId="2118">
    <w:name w:val="特殊文字"/>
    <w:basedOn w:val="1"/>
    <w:qFormat/>
    <w:uiPriority w:val="0"/>
    <w:pPr>
      <w:overflowPunct w:val="0"/>
      <w:autoSpaceDE w:val="0"/>
      <w:autoSpaceDN w:val="0"/>
      <w:adjustRightInd w:val="0"/>
      <w:spacing w:line="360" w:lineRule="auto"/>
      <w:textAlignment w:val="baseline"/>
    </w:pPr>
    <w:rPr>
      <w:rFonts w:ascii="Times New Roman" w:hAnsi="Times New Roman" w:eastAsia="仿宋_GB2312"/>
      <w:kern w:val="0"/>
      <w:sz w:val="28"/>
      <w:szCs w:val="20"/>
    </w:rPr>
  </w:style>
  <w:style w:type="paragraph" w:customStyle="1" w:styleId="2119">
    <w:name w:val="et63"/>
    <w:basedOn w:val="1"/>
    <w:qFormat/>
    <w:uiPriority w:val="0"/>
    <w:pPr>
      <w:widowControl/>
      <w:spacing w:before="100" w:beforeAutospacing="1" w:after="100" w:afterAutospacing="1"/>
      <w:jc w:val="left"/>
      <w:textAlignment w:val="bottom"/>
    </w:pPr>
    <w:rPr>
      <w:rFonts w:ascii="Times New Roman" w:hAnsi="Times New Roman"/>
      <w:color w:val="000000"/>
      <w:kern w:val="0"/>
      <w:sz w:val="24"/>
      <w:szCs w:val="24"/>
    </w:rPr>
  </w:style>
  <w:style w:type="paragraph" w:customStyle="1" w:styleId="2120">
    <w:name w:val="Char Char Char Char Char Char Char Char Char1 Char Char Char Char Char Char Char Char Char Char2"/>
    <w:basedOn w:val="1"/>
    <w:qFormat/>
    <w:uiPriority w:val="0"/>
    <w:rPr>
      <w:rFonts w:ascii="宋体" w:hAnsi="宋体" w:cs="Courier New"/>
      <w:sz w:val="32"/>
      <w:szCs w:val="32"/>
    </w:rPr>
  </w:style>
  <w:style w:type="paragraph" w:customStyle="1" w:styleId="2121">
    <w:name w:val="质表正文1"/>
    <w:basedOn w:val="1"/>
    <w:qFormat/>
    <w:uiPriority w:val="0"/>
    <w:pPr>
      <w:adjustRightInd w:val="0"/>
      <w:snapToGrid w:val="0"/>
      <w:spacing w:line="360" w:lineRule="auto"/>
      <w:jc w:val="center"/>
    </w:pPr>
    <w:rPr>
      <w:rFonts w:ascii="宋体" w:hAnsi="宋体"/>
      <w:szCs w:val="24"/>
    </w:rPr>
  </w:style>
  <w:style w:type="paragraph" w:customStyle="1" w:styleId="2122">
    <w:name w:val="二号标题样式"/>
    <w:basedOn w:val="1"/>
    <w:qFormat/>
    <w:uiPriority w:val="0"/>
    <w:pPr>
      <w:keepNext/>
      <w:keepLines/>
      <w:spacing w:before="156" w:beforeLines="50" w:after="156" w:afterLines="50" w:line="520" w:lineRule="exact"/>
      <w:outlineLvl w:val="2"/>
    </w:pPr>
    <w:rPr>
      <w:rFonts w:ascii="Arial" w:hAnsi="Arial" w:eastAsia="黑体" w:cs="宋体"/>
      <w:sz w:val="28"/>
      <w:szCs w:val="20"/>
    </w:rPr>
  </w:style>
  <w:style w:type="paragraph" w:customStyle="1" w:styleId="2123">
    <w:name w:val="页眉 New New"/>
    <w:basedOn w:val="1"/>
    <w:qFormat/>
    <w:uiPriority w:val="0"/>
    <w:pPr>
      <w:pBdr>
        <w:bottom w:val="single" w:color="auto" w:sz="6" w:space="1"/>
      </w:pBdr>
      <w:tabs>
        <w:tab w:val="center" w:pos="4153"/>
        <w:tab w:val="right" w:pos="8306"/>
      </w:tabs>
      <w:snapToGrid w:val="0"/>
      <w:jc w:val="center"/>
    </w:pPr>
    <w:rPr>
      <w:rFonts w:ascii="Times New Roman" w:hAnsi="Times New Roman"/>
      <w:spacing w:val="-2"/>
      <w:kern w:val="0"/>
      <w:sz w:val="18"/>
      <w:szCs w:val="18"/>
    </w:rPr>
  </w:style>
  <w:style w:type="paragraph" w:customStyle="1" w:styleId="2124">
    <w:name w:val="tinytext"/>
    <w:basedOn w:val="1"/>
    <w:qFormat/>
    <w:uiPriority w:val="0"/>
    <w:pPr>
      <w:widowControl/>
      <w:spacing w:before="100" w:beforeAutospacing="1" w:after="100" w:afterAutospacing="1" w:line="360" w:lineRule="auto"/>
      <w:ind w:firstLine="480"/>
      <w:jc w:val="left"/>
    </w:pPr>
    <w:rPr>
      <w:rFonts w:ascii="宋体" w:hAnsi="宋体" w:cs="宋体"/>
      <w:kern w:val="0"/>
      <w:sz w:val="24"/>
      <w:szCs w:val="28"/>
    </w:rPr>
  </w:style>
  <w:style w:type="paragraph" w:customStyle="1" w:styleId="2125">
    <w:name w:val="样式 正文文本缩进 3 + 小四 段前: 6 磅 段后: 6 磅 行距: 1.5 倍行距"/>
    <w:basedOn w:val="70"/>
    <w:qFormat/>
    <w:uiPriority w:val="0"/>
    <w:pPr>
      <w:adjustRightInd w:val="0"/>
      <w:snapToGrid w:val="0"/>
      <w:spacing w:before="120" w:after="120"/>
      <w:ind w:firstLine="480" w:firstLineChars="200"/>
    </w:pPr>
    <w:rPr>
      <w:rFonts w:cs="宋体"/>
    </w:rPr>
  </w:style>
  <w:style w:type="paragraph" w:customStyle="1" w:styleId="2126">
    <w:name w:val="xl91"/>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127">
    <w:name w:val="采矿标题4"/>
    <w:basedOn w:val="7"/>
    <w:next w:val="2"/>
    <w:qFormat/>
    <w:uiPriority w:val="0"/>
    <w:pPr>
      <w:spacing w:line="240" w:lineRule="auto"/>
      <w:ind w:firstLine="561"/>
    </w:pPr>
    <w:rPr>
      <w:rFonts w:eastAsia="仿宋_GB2312"/>
    </w:rPr>
  </w:style>
  <w:style w:type="paragraph" w:customStyle="1" w:styleId="2128">
    <w:name w:val="p18"/>
    <w:basedOn w:val="1"/>
    <w:qFormat/>
    <w:uiPriority w:val="0"/>
    <w:pPr>
      <w:widowControl/>
      <w:spacing w:after="120"/>
    </w:pPr>
    <w:rPr>
      <w:rFonts w:ascii="Times New Roman" w:hAnsi="Times New Roman"/>
      <w:kern w:val="0"/>
      <w:szCs w:val="21"/>
    </w:rPr>
  </w:style>
  <w:style w:type="paragraph" w:customStyle="1" w:styleId="2129">
    <w:name w:val="Char33"/>
    <w:basedOn w:val="26"/>
    <w:qFormat/>
    <w:uiPriority w:val="0"/>
    <w:pPr>
      <w:spacing w:line="360" w:lineRule="auto"/>
    </w:pPr>
    <w:rPr>
      <w:rFonts w:ascii="Tahoma" w:hAnsi="Tahoma"/>
    </w:rPr>
  </w:style>
  <w:style w:type="paragraph" w:customStyle="1" w:styleId="2130">
    <w:name w:val="正文 New New New New New New New New New New New New New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2131">
    <w:name w:val="样式 标题 1 + 首行缩进:  2 字符"/>
    <w:basedOn w:val="4"/>
    <w:qFormat/>
    <w:uiPriority w:val="0"/>
    <w:pPr>
      <w:tabs>
        <w:tab w:val="left" w:pos="432"/>
      </w:tabs>
      <w:spacing w:line="300" w:lineRule="auto"/>
      <w:ind w:left="432" w:hanging="432"/>
    </w:pPr>
    <w:rPr>
      <w:rFonts w:cs="宋体"/>
      <w:b w:val="0"/>
      <w:sz w:val="32"/>
      <w:szCs w:val="32"/>
    </w:rPr>
  </w:style>
  <w:style w:type="paragraph" w:customStyle="1" w:styleId="2132">
    <w:name w:val="大华农正文"/>
    <w:basedOn w:val="1"/>
    <w:qFormat/>
    <w:uiPriority w:val="0"/>
    <w:pPr>
      <w:spacing w:line="360" w:lineRule="auto"/>
      <w:ind w:firstLine="200" w:firstLineChars="200"/>
    </w:pPr>
    <w:rPr>
      <w:rFonts w:ascii="Times New Roman" w:hAnsi="Times New Roman" w:cs="宋体"/>
      <w:spacing w:val="-2"/>
      <w:kern w:val="0"/>
      <w:sz w:val="24"/>
      <w:szCs w:val="20"/>
    </w:rPr>
  </w:style>
  <w:style w:type="paragraph" w:customStyle="1" w:styleId="2133">
    <w:name w:val="可研-表格标题"/>
    <w:basedOn w:val="2134"/>
    <w:next w:val="2135"/>
    <w:qFormat/>
    <w:uiPriority w:val="0"/>
    <w:pPr>
      <w:ind w:firstLine="0" w:firstLineChars="0"/>
      <w:jc w:val="center"/>
    </w:pPr>
    <w:rPr>
      <w:b/>
      <w:sz w:val="24"/>
    </w:rPr>
  </w:style>
  <w:style w:type="paragraph" w:customStyle="1" w:styleId="2134">
    <w:name w:val="可研-正文"/>
    <w:basedOn w:val="1"/>
    <w:qFormat/>
    <w:uiPriority w:val="0"/>
    <w:pPr>
      <w:ind w:firstLine="200" w:firstLineChars="200"/>
    </w:pPr>
    <w:rPr>
      <w:rFonts w:ascii="宋体" w:hAnsi="Times New Roman"/>
      <w:sz w:val="28"/>
      <w:szCs w:val="24"/>
    </w:rPr>
  </w:style>
  <w:style w:type="paragraph" w:customStyle="1" w:styleId="2135">
    <w:name w:val="可研-表格正文"/>
    <w:basedOn w:val="2134"/>
    <w:qFormat/>
    <w:uiPriority w:val="0"/>
    <w:pPr>
      <w:ind w:firstLine="0" w:firstLineChars="0"/>
    </w:pPr>
    <w:rPr>
      <w:sz w:val="24"/>
    </w:rPr>
  </w:style>
  <w:style w:type="paragraph" w:customStyle="1" w:styleId="2136">
    <w:name w:val="reader-word-layer reader-word-s5-9"/>
    <w:basedOn w:val="1"/>
    <w:qFormat/>
    <w:uiPriority w:val="0"/>
    <w:pPr>
      <w:widowControl/>
      <w:spacing w:before="100" w:beforeAutospacing="1" w:after="100" w:afterAutospacing="1"/>
      <w:jc w:val="left"/>
    </w:pPr>
    <w:rPr>
      <w:rFonts w:ascii="宋体" w:hAnsi="宋体" w:cs="宋体"/>
      <w:spacing w:val="-2"/>
      <w:kern w:val="0"/>
      <w:sz w:val="24"/>
      <w:szCs w:val="20"/>
    </w:rPr>
  </w:style>
  <w:style w:type="paragraph" w:customStyle="1" w:styleId="2137">
    <w:name w:val="小四表文居中"/>
    <w:qFormat/>
    <w:uiPriority w:val="0"/>
    <w:pPr>
      <w:widowControl w:val="0"/>
      <w:snapToGrid w:val="0"/>
      <w:spacing w:line="360" w:lineRule="auto"/>
      <w:jc w:val="center"/>
    </w:pPr>
    <w:rPr>
      <w:rFonts w:ascii="Calibri" w:hAnsi="Calibri" w:eastAsia="宋体" w:cs="Times New Roman"/>
      <w:kern w:val="2"/>
      <w:sz w:val="21"/>
      <w:szCs w:val="24"/>
      <w:lang w:val="en-US" w:eastAsia="zh-CN" w:bidi="ar-SA"/>
    </w:rPr>
  </w:style>
  <w:style w:type="paragraph" w:customStyle="1" w:styleId="2138">
    <w:name w:val="文档结构图11"/>
    <w:basedOn w:val="1"/>
    <w:qFormat/>
    <w:uiPriority w:val="0"/>
    <w:pPr>
      <w:shd w:val="clear" w:color="auto" w:fill="000080"/>
    </w:pPr>
    <w:rPr>
      <w:rFonts w:ascii="宋体" w:hAnsi="宋体" w:cs="Courier New"/>
      <w:spacing w:val="-2"/>
      <w:szCs w:val="24"/>
      <w:shd w:val="clear" w:color="auto" w:fill="000080"/>
    </w:rPr>
  </w:style>
  <w:style w:type="paragraph" w:customStyle="1" w:styleId="2139">
    <w:name w:val="正文文本缩进 34"/>
    <w:basedOn w:val="1"/>
    <w:qFormat/>
    <w:uiPriority w:val="0"/>
    <w:pPr>
      <w:spacing w:line="540" w:lineRule="exact"/>
      <w:ind w:firstLine="576"/>
    </w:pPr>
    <w:rPr>
      <w:sz w:val="16"/>
      <w:szCs w:val="16"/>
    </w:rPr>
  </w:style>
  <w:style w:type="paragraph" w:customStyle="1" w:styleId="2140">
    <w:name w:val="图表名"/>
    <w:basedOn w:val="1"/>
    <w:qFormat/>
    <w:uiPriority w:val="0"/>
    <w:pPr>
      <w:spacing w:line="360" w:lineRule="auto"/>
      <w:jc w:val="center"/>
    </w:pPr>
    <w:rPr>
      <w:rFonts w:ascii="Times New Roman" w:hAnsi="Times New Roman"/>
      <w:b/>
      <w:sz w:val="24"/>
      <w:szCs w:val="24"/>
    </w:rPr>
  </w:style>
  <w:style w:type="paragraph" w:customStyle="1" w:styleId="2141">
    <w:name w:val="样式 标题 2 + 首行缩进:  2 字符 + 首行缩进:  2 字符"/>
    <w:basedOn w:val="1"/>
    <w:qFormat/>
    <w:uiPriority w:val="0"/>
    <w:pPr>
      <w:keepNext/>
      <w:keepLines/>
      <w:spacing w:line="300" w:lineRule="auto"/>
      <w:jc w:val="center"/>
      <w:outlineLvl w:val="1"/>
    </w:pPr>
    <w:rPr>
      <w:rFonts w:ascii="Arial" w:hAnsi="Arial" w:eastAsia="黑体"/>
      <w:sz w:val="30"/>
      <w:szCs w:val="20"/>
    </w:rPr>
  </w:style>
  <w:style w:type="paragraph" w:customStyle="1" w:styleId="2142">
    <w:name w:val="样式 标题 3 + 宋体 四号 段前: 0 磅 段后: 0 磅 行距: 单倍行距"/>
    <w:basedOn w:val="6"/>
    <w:qFormat/>
    <w:uiPriority w:val="0"/>
    <w:pPr>
      <w:spacing w:line="240" w:lineRule="auto"/>
    </w:pPr>
    <w:rPr>
      <w:rFonts w:cs="宋体"/>
      <w:sz w:val="28"/>
      <w:szCs w:val="28"/>
    </w:rPr>
  </w:style>
  <w:style w:type="paragraph" w:customStyle="1" w:styleId="2143">
    <w:name w:val="修订2"/>
    <w:unhideWhenUsed/>
    <w:qFormat/>
    <w:uiPriority w:val="99"/>
    <w:rPr>
      <w:rFonts w:ascii="Calibri" w:hAnsi="Calibri" w:eastAsia="宋体" w:cs="Times New Roman"/>
      <w:kern w:val="2"/>
      <w:sz w:val="21"/>
      <w:szCs w:val="21"/>
      <w:lang w:val="en-US" w:eastAsia="zh-CN" w:bidi="ar-SA"/>
    </w:rPr>
  </w:style>
  <w:style w:type="paragraph" w:customStyle="1" w:styleId="2144">
    <w:name w:val="文本框文字"/>
    <w:basedOn w:val="1"/>
    <w:qFormat/>
    <w:uiPriority w:val="0"/>
    <w:pPr>
      <w:jc w:val="center"/>
    </w:pPr>
    <w:rPr>
      <w:rFonts w:ascii="Times New Roman" w:hAnsi="Times New Roman"/>
      <w:szCs w:val="24"/>
    </w:rPr>
  </w:style>
  <w:style w:type="paragraph" w:customStyle="1" w:styleId="2145">
    <w:name w:val="et7"/>
    <w:basedOn w:val="1"/>
    <w:qFormat/>
    <w:uiPriority w:val="0"/>
    <w:pPr>
      <w:widowControl/>
      <w:spacing w:before="100" w:beforeAutospacing="1" w:after="100" w:afterAutospacing="1"/>
      <w:jc w:val="left"/>
      <w:textAlignment w:val="bottom"/>
    </w:pPr>
    <w:rPr>
      <w:rFonts w:ascii="Times New Roman" w:hAnsi="Times New Roman"/>
      <w:color w:val="000000"/>
      <w:kern w:val="0"/>
      <w:sz w:val="24"/>
      <w:szCs w:val="24"/>
    </w:rPr>
  </w:style>
  <w:style w:type="paragraph" w:customStyle="1" w:styleId="2146">
    <w:name w:val="我的标题2"/>
    <w:basedOn w:val="1"/>
    <w:qFormat/>
    <w:uiPriority w:val="0"/>
    <w:pPr>
      <w:spacing w:line="300" w:lineRule="exact"/>
      <w:ind w:firstLine="23" w:firstLineChars="14"/>
    </w:pPr>
    <w:rPr>
      <w:rFonts w:ascii="Times New Roman" w:hAnsi="Times New Roman"/>
      <w:spacing w:val="-8"/>
      <w:sz w:val="18"/>
      <w:szCs w:val="18"/>
    </w:rPr>
  </w:style>
  <w:style w:type="paragraph" w:customStyle="1" w:styleId="2147">
    <w:name w:val="正文文本缩进 24"/>
    <w:basedOn w:val="1"/>
    <w:qFormat/>
    <w:uiPriority w:val="0"/>
    <w:pPr>
      <w:spacing w:after="120" w:line="480" w:lineRule="auto"/>
      <w:ind w:left="420" w:leftChars="200" w:firstLine="200" w:firstLineChars="200"/>
    </w:pPr>
    <w:rPr>
      <w:rFonts w:ascii="Times New Roman" w:hAnsi="Times New Roman"/>
      <w:kern w:val="0"/>
      <w:sz w:val="24"/>
      <w:szCs w:val="24"/>
    </w:rPr>
  </w:style>
  <w:style w:type="paragraph" w:customStyle="1" w:styleId="2148">
    <w:name w:val="样式 标题 3 + 宋体 小四 非加粗"/>
    <w:basedOn w:val="6"/>
    <w:qFormat/>
    <w:uiPriority w:val="0"/>
    <w:pPr>
      <w:tabs>
        <w:tab w:val="left" w:pos="1418"/>
      </w:tabs>
      <w:spacing w:line="416" w:lineRule="auto"/>
      <w:ind w:left="1418" w:hanging="567"/>
    </w:pPr>
    <w:rPr>
      <w:rFonts w:ascii="宋体" w:hAnsi="宋体"/>
      <w:b w:val="0"/>
      <w:bCs w:val="0"/>
    </w:rPr>
  </w:style>
  <w:style w:type="paragraph" w:customStyle="1" w:styleId="2149">
    <w:name w:val="图文文字"/>
    <w:basedOn w:val="1"/>
    <w:qFormat/>
    <w:uiPriority w:val="0"/>
    <w:pPr>
      <w:jc w:val="center"/>
    </w:pPr>
    <w:rPr>
      <w:rFonts w:ascii="宋体" w:hAnsi="宋体"/>
      <w:szCs w:val="18"/>
    </w:rPr>
  </w:style>
  <w:style w:type="paragraph" w:customStyle="1" w:styleId="2150">
    <w:name w:val="我的正文 New"/>
    <w:basedOn w:val="1"/>
    <w:qFormat/>
    <w:uiPriority w:val="0"/>
    <w:pPr>
      <w:ind w:firstLine="538"/>
    </w:pPr>
    <w:rPr>
      <w:rFonts w:ascii="Times New Roman" w:hAnsi="Times New Roman"/>
      <w:spacing w:val="-2"/>
      <w:kern w:val="0"/>
      <w:sz w:val="28"/>
      <w:szCs w:val="20"/>
    </w:rPr>
  </w:style>
  <w:style w:type="paragraph" w:customStyle="1" w:styleId="2151">
    <w:name w:val="Char Char Char Char Char Char Char Char Char Char Char Char"/>
    <w:basedOn w:val="1"/>
    <w:qFormat/>
    <w:uiPriority w:val="0"/>
    <w:pPr>
      <w:spacing w:line="360" w:lineRule="auto"/>
      <w:ind w:firstLine="200" w:firstLineChars="200"/>
    </w:pPr>
    <w:rPr>
      <w:rFonts w:ascii="宋体" w:hAnsi="宋体" w:cs="宋体"/>
      <w:sz w:val="24"/>
      <w:szCs w:val="24"/>
    </w:rPr>
  </w:style>
  <w:style w:type="paragraph" w:customStyle="1" w:styleId="2152">
    <w:name w:val="et76"/>
    <w:basedOn w:val="1"/>
    <w:qFormat/>
    <w:uiPriority w:val="0"/>
    <w:pPr>
      <w:widowControl/>
      <w:spacing w:before="100" w:beforeAutospacing="1" w:after="100" w:afterAutospacing="1"/>
      <w:jc w:val="left"/>
      <w:textAlignment w:val="bottom"/>
    </w:pPr>
    <w:rPr>
      <w:rFonts w:ascii="Times New Roman" w:hAnsi="Times New Roman"/>
      <w:color w:val="000000"/>
      <w:kern w:val="0"/>
      <w:sz w:val="24"/>
      <w:szCs w:val="24"/>
    </w:rPr>
  </w:style>
  <w:style w:type="paragraph" w:customStyle="1" w:styleId="2153">
    <w:name w:val="Char5"/>
    <w:basedOn w:val="1"/>
    <w:qFormat/>
    <w:uiPriority w:val="0"/>
    <w:rPr>
      <w:rFonts w:ascii="Times New Roman" w:hAnsi="Times New Roman"/>
      <w:szCs w:val="24"/>
    </w:rPr>
  </w:style>
  <w:style w:type="paragraph" w:customStyle="1" w:styleId="2154">
    <w:name w:val="Char Char Char Char Char Char Char Char Char Char Char Char1"/>
    <w:basedOn w:val="1"/>
    <w:qFormat/>
    <w:uiPriority w:val="0"/>
    <w:pPr>
      <w:spacing w:line="360" w:lineRule="auto"/>
      <w:ind w:firstLine="200" w:firstLineChars="200"/>
    </w:pPr>
    <w:rPr>
      <w:rFonts w:ascii="宋体" w:hAnsi="宋体" w:cs="宋体"/>
      <w:sz w:val="24"/>
      <w:szCs w:val="24"/>
    </w:rPr>
  </w:style>
  <w:style w:type="paragraph" w:customStyle="1" w:styleId="2155">
    <w:name w:val="附录图标题"/>
    <w:next w:val="610"/>
    <w:qFormat/>
    <w:uiPriority w:val="0"/>
    <w:pPr>
      <w:tabs>
        <w:tab w:val="left" w:pos="360"/>
        <w:tab w:val="left" w:pos="1140"/>
      </w:tabs>
      <w:jc w:val="center"/>
    </w:pPr>
    <w:rPr>
      <w:rFonts w:ascii="黑体" w:hAnsi="Calibri" w:eastAsia="黑体" w:cs="Times New Roman"/>
      <w:sz w:val="21"/>
      <w:lang w:val="en-US" w:eastAsia="zh-CN" w:bidi="ar-SA"/>
    </w:rPr>
  </w:style>
  <w:style w:type="paragraph" w:customStyle="1" w:styleId="2156">
    <w:name w:val="日期9"/>
    <w:basedOn w:val="1"/>
    <w:next w:val="1"/>
    <w:qFormat/>
    <w:uiPriority w:val="0"/>
    <w:pPr>
      <w:autoSpaceDE w:val="0"/>
      <w:autoSpaceDN w:val="0"/>
      <w:adjustRightInd w:val="0"/>
      <w:textAlignment w:val="baseline"/>
    </w:pPr>
    <w:rPr>
      <w:rFonts w:ascii="Times New Roman" w:hAnsi="Times New Roman"/>
      <w:spacing w:val="5"/>
      <w:kern w:val="0"/>
      <w:sz w:val="24"/>
      <w:szCs w:val="20"/>
    </w:rPr>
  </w:style>
  <w:style w:type="paragraph" w:customStyle="1" w:styleId="2157">
    <w:name w:val="标准 Char"/>
    <w:basedOn w:val="1"/>
    <w:qFormat/>
    <w:uiPriority w:val="0"/>
    <w:pPr>
      <w:adjustRightInd w:val="0"/>
      <w:spacing w:line="480" w:lineRule="exact"/>
      <w:textAlignment w:val="baseline"/>
    </w:pPr>
    <w:rPr>
      <w:rFonts w:ascii="Times New Roman" w:hAnsi="Times New Roman"/>
      <w:spacing w:val="-2"/>
      <w:kern w:val="0"/>
      <w:sz w:val="28"/>
      <w:szCs w:val="20"/>
    </w:rPr>
  </w:style>
  <w:style w:type="paragraph" w:customStyle="1" w:styleId="2158">
    <w:name w:val="et80"/>
    <w:basedOn w:val="1"/>
    <w:qFormat/>
    <w:uiPriority w:val="0"/>
    <w:pPr>
      <w:widowControl/>
      <w:spacing w:before="100" w:beforeAutospacing="1" w:after="100" w:afterAutospacing="1"/>
      <w:jc w:val="left"/>
      <w:textAlignment w:val="bottom"/>
    </w:pPr>
    <w:rPr>
      <w:rFonts w:ascii="Times New Roman" w:hAnsi="Times New Roman"/>
      <w:color w:val="000000"/>
      <w:kern w:val="0"/>
      <w:sz w:val="24"/>
      <w:szCs w:val="24"/>
    </w:rPr>
  </w:style>
  <w:style w:type="paragraph" w:customStyle="1" w:styleId="2159">
    <w:name w:val="页眉 New New New New New New New New New New New New New New New New"/>
    <w:basedOn w:val="1"/>
    <w:qFormat/>
    <w:uiPriority w:val="0"/>
    <w:pPr>
      <w:pBdr>
        <w:bottom w:val="single" w:color="auto" w:sz="6" w:space="1"/>
      </w:pBdr>
      <w:tabs>
        <w:tab w:val="center" w:pos="4153"/>
        <w:tab w:val="right" w:pos="8306"/>
      </w:tabs>
      <w:snapToGrid w:val="0"/>
      <w:jc w:val="center"/>
    </w:pPr>
    <w:rPr>
      <w:rFonts w:ascii="Times New Roman" w:hAnsi="Times New Roman"/>
      <w:spacing w:val="-2"/>
      <w:kern w:val="0"/>
      <w:sz w:val="18"/>
      <w:szCs w:val="18"/>
    </w:rPr>
  </w:style>
  <w:style w:type="paragraph" w:customStyle="1" w:styleId="2160">
    <w:name w:val="font2"/>
    <w:basedOn w:val="1"/>
    <w:qFormat/>
    <w:uiPriority w:val="0"/>
    <w:pPr>
      <w:widowControl/>
      <w:spacing w:before="100" w:beforeAutospacing="1" w:after="100" w:afterAutospacing="1"/>
      <w:jc w:val="left"/>
    </w:pPr>
    <w:rPr>
      <w:rFonts w:ascii="Times New Roman" w:hAnsi="Times New Roman" w:cs="Times NewRoman"/>
      <w:color w:val="000000"/>
      <w:kern w:val="0"/>
      <w:sz w:val="24"/>
      <w:szCs w:val="24"/>
    </w:rPr>
  </w:style>
  <w:style w:type="paragraph" w:customStyle="1" w:styleId="2161">
    <w:name w:val="框图文字1"/>
    <w:basedOn w:val="1"/>
    <w:qFormat/>
    <w:uiPriority w:val="0"/>
    <w:pPr>
      <w:adjustRightInd w:val="0"/>
      <w:snapToGrid w:val="0"/>
      <w:spacing w:before="78" w:beforeLines="25"/>
      <w:jc w:val="center"/>
    </w:pPr>
    <w:rPr>
      <w:rFonts w:ascii="Times New Roman" w:hAnsi="Times New Roman"/>
      <w:sz w:val="18"/>
      <w:szCs w:val="24"/>
    </w:rPr>
  </w:style>
  <w:style w:type="paragraph" w:customStyle="1" w:styleId="2162">
    <w:name w:val="样式 (符号) 宋体 首行缩进:  0.93 厘米 段前: 6 磅 段后: 6 磅 行距: 固定值 18 磅1"/>
    <w:basedOn w:val="1"/>
    <w:qFormat/>
    <w:uiPriority w:val="0"/>
    <w:pPr>
      <w:spacing w:before="160" w:after="160" w:line="320" w:lineRule="exact"/>
      <w:ind w:firstLine="527"/>
    </w:pPr>
    <w:rPr>
      <w:rFonts w:ascii="Times New Roman" w:hAnsi="宋体"/>
      <w:sz w:val="24"/>
      <w:szCs w:val="20"/>
    </w:rPr>
  </w:style>
  <w:style w:type="paragraph" w:customStyle="1" w:styleId="2163">
    <w:name w:val="样式 图表标题 + 小四 左"/>
    <w:basedOn w:val="1"/>
    <w:qFormat/>
    <w:uiPriority w:val="0"/>
    <w:pPr>
      <w:spacing w:line="360" w:lineRule="auto"/>
      <w:jc w:val="left"/>
    </w:pPr>
    <w:rPr>
      <w:rFonts w:ascii="宋体" w:hAnsi="宋体" w:cs="宋体"/>
      <w:b/>
      <w:sz w:val="24"/>
      <w:szCs w:val="20"/>
    </w:rPr>
  </w:style>
  <w:style w:type="paragraph" w:customStyle="1" w:styleId="2164">
    <w:name w:val="Normal New"/>
    <w:qFormat/>
    <w:uiPriority w:val="0"/>
    <w:pPr>
      <w:jc w:val="both"/>
    </w:pPr>
    <w:rPr>
      <w:rFonts w:ascii="Calibri" w:hAnsi="Calibri" w:eastAsia="宋体" w:cs="Times New Roman"/>
      <w:kern w:val="2"/>
      <w:sz w:val="21"/>
      <w:lang w:val="en-US" w:eastAsia="zh-CN" w:bidi="ar-SA"/>
    </w:rPr>
  </w:style>
  <w:style w:type="paragraph" w:customStyle="1" w:styleId="2165">
    <w:name w:val="_Style 30"/>
    <w:basedOn w:val="1"/>
    <w:qFormat/>
    <w:uiPriority w:val="0"/>
    <w:pPr>
      <w:spacing w:before="156" w:beforeLines="50" w:after="156" w:afterLines="50" w:line="440" w:lineRule="exact"/>
      <w:ind w:firstLine="200" w:firstLineChars="200"/>
    </w:pPr>
    <w:rPr>
      <w:rFonts w:ascii="宋体" w:hAnsi="宋体" w:cs="Courier New"/>
      <w:spacing w:val="-2"/>
      <w:sz w:val="22"/>
      <w:szCs w:val="32"/>
    </w:rPr>
  </w:style>
  <w:style w:type="paragraph" w:customStyle="1" w:styleId="2166">
    <w:name w:val="Char Char2"/>
    <w:basedOn w:val="1"/>
    <w:qFormat/>
    <w:uiPriority w:val="0"/>
    <w:pPr>
      <w:tabs>
        <w:tab w:val="left" w:pos="420"/>
      </w:tabs>
      <w:spacing w:line="360" w:lineRule="auto"/>
      <w:ind w:left="420" w:hanging="420"/>
    </w:pPr>
    <w:rPr>
      <w:rFonts w:ascii="宋体" w:hAnsi="宋体" w:cs="宋体"/>
      <w:sz w:val="24"/>
      <w:szCs w:val="24"/>
    </w:rPr>
  </w:style>
  <w:style w:type="paragraph" w:customStyle="1" w:styleId="2167">
    <w:name w:val="Char Char Char Char Char Char Char Char Char"/>
    <w:basedOn w:val="1"/>
    <w:qFormat/>
    <w:uiPriority w:val="0"/>
    <w:pPr>
      <w:spacing w:after="160" w:line="240" w:lineRule="exact"/>
    </w:pPr>
    <w:rPr>
      <w:rFonts w:ascii="Times New Roman" w:hAnsi="Times New Roman"/>
      <w:spacing w:val="-2"/>
      <w:kern w:val="0"/>
      <w:sz w:val="28"/>
      <w:szCs w:val="20"/>
    </w:rPr>
  </w:style>
  <w:style w:type="paragraph" w:customStyle="1" w:styleId="2168">
    <w:name w:val="myfont9new"/>
    <w:basedOn w:val="1"/>
    <w:qFormat/>
    <w:uiPriority w:val="0"/>
    <w:pPr>
      <w:widowControl/>
      <w:spacing w:before="100" w:beforeAutospacing="1" w:after="100" w:afterAutospacing="1" w:line="360" w:lineRule="auto"/>
      <w:jc w:val="left"/>
    </w:pPr>
    <w:rPr>
      <w:rFonts w:ascii="宋体" w:hAnsi="宋体"/>
      <w:kern w:val="0"/>
      <w:sz w:val="24"/>
      <w:szCs w:val="28"/>
    </w:rPr>
  </w:style>
  <w:style w:type="paragraph" w:customStyle="1" w:styleId="2169">
    <w:name w:val="TOC 标题11"/>
    <w:basedOn w:val="4"/>
    <w:next w:val="1"/>
    <w:qFormat/>
    <w:uiPriority w:val="0"/>
    <w:pPr>
      <w:widowControl/>
      <w:spacing w:before="480" w:line="276" w:lineRule="auto"/>
      <w:jc w:val="left"/>
      <w:outlineLvl w:val="9"/>
    </w:pPr>
    <w:rPr>
      <w:rFonts w:ascii="Cambria" w:hAnsi="Cambria"/>
      <w:color w:val="365F91"/>
      <w:kern w:val="0"/>
      <w:sz w:val="28"/>
      <w:szCs w:val="28"/>
    </w:rPr>
  </w:style>
  <w:style w:type="paragraph" w:customStyle="1" w:styleId="2170">
    <w:name w:val="xl610"/>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left"/>
    </w:pPr>
    <w:rPr>
      <w:rFonts w:ascii="Times New Roman" w:hAnsi="Times New Roman"/>
      <w:kern w:val="0"/>
      <w:sz w:val="24"/>
      <w:szCs w:val="24"/>
    </w:rPr>
  </w:style>
  <w:style w:type="paragraph" w:customStyle="1" w:styleId="2171">
    <w:name w:val="xl625"/>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2172">
    <w:name w:val="正文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2173">
    <w:name w:val="Char1"/>
    <w:basedOn w:val="1"/>
    <w:qFormat/>
    <w:uiPriority w:val="0"/>
    <w:pPr>
      <w:snapToGrid w:val="0"/>
      <w:spacing w:line="360" w:lineRule="auto"/>
      <w:ind w:firstLine="200" w:firstLineChars="200"/>
    </w:pPr>
    <w:rPr>
      <w:rFonts w:ascii="Times New Roman" w:hAnsi="Times New Roman" w:eastAsia="仿宋_GB2312"/>
      <w:sz w:val="24"/>
      <w:szCs w:val="24"/>
    </w:rPr>
  </w:style>
  <w:style w:type="paragraph" w:customStyle="1" w:styleId="2174">
    <w:name w:val="xl608"/>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left"/>
    </w:pPr>
    <w:rPr>
      <w:rFonts w:ascii="Times New Roman" w:hAnsi="Times New Roman"/>
      <w:kern w:val="0"/>
      <w:sz w:val="24"/>
      <w:szCs w:val="24"/>
    </w:rPr>
  </w:style>
  <w:style w:type="paragraph" w:customStyle="1" w:styleId="2175">
    <w:name w:val="et16"/>
    <w:basedOn w:val="1"/>
    <w:qFormat/>
    <w:uiPriority w:val="0"/>
    <w:pPr>
      <w:widowControl/>
      <w:spacing w:before="100" w:beforeAutospacing="1" w:after="100" w:afterAutospacing="1"/>
      <w:jc w:val="left"/>
      <w:textAlignment w:val="bottom"/>
    </w:pPr>
    <w:rPr>
      <w:rFonts w:ascii="宋体" w:hAnsi="宋体" w:cs="宋体"/>
      <w:color w:val="000000"/>
      <w:kern w:val="0"/>
      <w:sz w:val="24"/>
      <w:szCs w:val="24"/>
    </w:rPr>
  </w:style>
  <w:style w:type="paragraph" w:customStyle="1" w:styleId="2176">
    <w:name w:val="注释"/>
    <w:basedOn w:val="1"/>
    <w:qFormat/>
    <w:uiPriority w:val="0"/>
    <w:pPr>
      <w:spacing w:line="360" w:lineRule="auto"/>
    </w:pPr>
    <w:rPr>
      <w:rFonts w:ascii="Times New Roman" w:hAnsi="Times New Roman"/>
      <w:kern w:val="24"/>
      <w:szCs w:val="20"/>
    </w:rPr>
  </w:style>
  <w:style w:type="paragraph" w:customStyle="1" w:styleId="2177">
    <w:name w:val="et22"/>
    <w:basedOn w:val="1"/>
    <w:qFormat/>
    <w:uiPriority w:val="0"/>
    <w:pPr>
      <w:widowControl/>
      <w:spacing w:before="100" w:beforeAutospacing="1" w:after="100" w:afterAutospacing="1"/>
      <w:jc w:val="left"/>
      <w:textAlignment w:val="bottom"/>
    </w:pPr>
    <w:rPr>
      <w:rFonts w:ascii="宋体" w:hAnsi="宋体" w:cs="宋体"/>
      <w:color w:val="000000"/>
      <w:kern w:val="0"/>
      <w:sz w:val="24"/>
      <w:szCs w:val="24"/>
    </w:rPr>
  </w:style>
  <w:style w:type="paragraph" w:customStyle="1" w:styleId="2178">
    <w:name w:val="正文文本 35"/>
    <w:basedOn w:val="1"/>
    <w:qFormat/>
    <w:uiPriority w:val="0"/>
    <w:pPr>
      <w:jc w:val="center"/>
    </w:pPr>
    <w:rPr>
      <w:rFonts w:ascii="Times New Roman" w:hAnsi="Times New Roman"/>
      <w:kern w:val="0"/>
      <w:szCs w:val="20"/>
    </w:rPr>
  </w:style>
  <w:style w:type="paragraph" w:customStyle="1" w:styleId="2179">
    <w:name w:val="et74"/>
    <w:basedOn w:val="1"/>
    <w:qFormat/>
    <w:uiPriority w:val="0"/>
    <w:pPr>
      <w:widowControl/>
      <w:spacing w:before="100" w:beforeAutospacing="1" w:after="100" w:afterAutospacing="1"/>
      <w:jc w:val="left"/>
      <w:textAlignment w:val="bottom"/>
    </w:pPr>
    <w:rPr>
      <w:rFonts w:ascii="宋体" w:hAnsi="宋体" w:cs="宋体"/>
      <w:color w:val="000000"/>
      <w:kern w:val="0"/>
      <w:sz w:val="24"/>
      <w:szCs w:val="24"/>
    </w:rPr>
  </w:style>
  <w:style w:type="paragraph" w:customStyle="1" w:styleId="2180">
    <w:name w:val="文档结构图2"/>
    <w:basedOn w:val="1"/>
    <w:qFormat/>
    <w:uiPriority w:val="99"/>
    <w:pPr>
      <w:shd w:val="clear" w:color="auto" w:fill="000080"/>
    </w:pPr>
    <w:rPr>
      <w:rFonts w:ascii="Times New Roman" w:hAnsi="Times New Roman"/>
      <w:kern w:val="0"/>
      <w:szCs w:val="24"/>
      <w:shd w:val="clear" w:color="auto" w:fill="000080"/>
      <w:lang w:val="zh-CN"/>
    </w:rPr>
  </w:style>
  <w:style w:type="paragraph" w:customStyle="1" w:styleId="2181">
    <w:name w:val="xl638"/>
    <w:basedOn w:val="1"/>
    <w:qFormat/>
    <w:uiPriority w:val="0"/>
    <w:pPr>
      <w:widowControl/>
      <w:pBdr>
        <w:bottom w:val="single" w:color="auto" w:sz="8" w:space="0"/>
        <w:right w:val="single" w:color="auto" w:sz="8" w:space="0"/>
      </w:pBdr>
      <w:spacing w:before="100" w:beforeAutospacing="1" w:after="100" w:afterAutospacing="1"/>
      <w:jc w:val="center"/>
      <w:textAlignment w:val="bottom"/>
    </w:pPr>
    <w:rPr>
      <w:rFonts w:ascii="Times New Roman" w:hAnsi="Times New Roman"/>
      <w:kern w:val="0"/>
      <w:szCs w:val="21"/>
    </w:rPr>
  </w:style>
  <w:style w:type="paragraph" w:customStyle="1" w:styleId="2182">
    <w:name w:val="Char Char Char Char Char Char1 Char11"/>
    <w:basedOn w:val="1"/>
    <w:qFormat/>
    <w:uiPriority w:val="0"/>
    <w:rPr>
      <w:rFonts w:ascii="Times New Roman" w:hAnsi="Times New Roman"/>
      <w:szCs w:val="24"/>
    </w:rPr>
  </w:style>
  <w:style w:type="paragraph" w:customStyle="1" w:styleId="2183">
    <w:name w:val="Char Char1 Char Char Char Char Char Char Char Char Char Char Char Char Char Char Char Char Char Char1"/>
    <w:basedOn w:val="1"/>
    <w:semiHidden/>
    <w:qFormat/>
    <w:uiPriority w:val="0"/>
    <w:pPr>
      <w:spacing w:line="360" w:lineRule="auto"/>
      <w:ind w:firstLine="200" w:firstLineChars="200"/>
    </w:pPr>
    <w:rPr>
      <w:rFonts w:ascii="宋体" w:hAnsi="宋体" w:cs="宋体"/>
      <w:sz w:val="24"/>
      <w:szCs w:val="24"/>
    </w:rPr>
  </w:style>
  <w:style w:type="paragraph" w:customStyle="1" w:styleId="2184">
    <w:name w:val="我的标题3 New"/>
    <w:basedOn w:val="1"/>
    <w:qFormat/>
    <w:uiPriority w:val="0"/>
    <w:pPr>
      <w:adjustRightInd w:val="0"/>
      <w:snapToGrid w:val="0"/>
    </w:pPr>
    <w:rPr>
      <w:rFonts w:ascii="Times New Roman" w:hAnsi="Times New Roman"/>
      <w:b/>
      <w:spacing w:val="-2"/>
      <w:kern w:val="0"/>
      <w:sz w:val="28"/>
      <w:szCs w:val="20"/>
    </w:rPr>
  </w:style>
  <w:style w:type="paragraph" w:customStyle="1" w:styleId="2185">
    <w:name w:val="et79"/>
    <w:basedOn w:val="1"/>
    <w:qFormat/>
    <w:uiPriority w:val="0"/>
    <w:pPr>
      <w:widowControl/>
      <w:spacing w:before="100" w:beforeAutospacing="1" w:after="100" w:afterAutospacing="1"/>
      <w:jc w:val="left"/>
      <w:textAlignment w:val="bottom"/>
    </w:pPr>
    <w:rPr>
      <w:rFonts w:ascii="宋体" w:hAnsi="宋体" w:cs="宋体"/>
      <w:color w:val="000000"/>
      <w:kern w:val="0"/>
      <w:sz w:val="24"/>
      <w:szCs w:val="24"/>
    </w:rPr>
  </w:style>
  <w:style w:type="paragraph" w:customStyle="1" w:styleId="2186">
    <w:name w:val="Char Char Char1 Char Char Char Char Char Char Char Char Char Char Char Char Char Char Char Char Char Char Char1"/>
    <w:basedOn w:val="1"/>
    <w:next w:val="3"/>
    <w:qFormat/>
    <w:uiPriority w:val="0"/>
    <w:rPr>
      <w:rFonts w:ascii="Times New Roman" w:hAnsi="Times New Roman"/>
      <w:szCs w:val="24"/>
    </w:rPr>
  </w:style>
  <w:style w:type="paragraph" w:customStyle="1" w:styleId="2187">
    <w:name w:val="表格 New"/>
    <w:basedOn w:val="66"/>
    <w:qFormat/>
    <w:uiPriority w:val="0"/>
    <w:pPr>
      <w:spacing w:line="305" w:lineRule="auto"/>
      <w:ind w:left="0" w:firstLine="0"/>
    </w:pPr>
    <w:rPr>
      <w:sz w:val="21"/>
    </w:rPr>
  </w:style>
  <w:style w:type="paragraph" w:customStyle="1" w:styleId="2188">
    <w:name w:val="et61"/>
    <w:basedOn w:val="1"/>
    <w:qFormat/>
    <w:uiPriority w:val="0"/>
    <w:pPr>
      <w:widowControl/>
      <w:spacing w:before="100" w:beforeAutospacing="1" w:after="100" w:afterAutospacing="1"/>
      <w:jc w:val="left"/>
      <w:textAlignment w:val="bottom"/>
    </w:pPr>
    <w:rPr>
      <w:rFonts w:ascii="Times New Roman" w:hAnsi="Times New Roman"/>
      <w:color w:val="000000"/>
      <w:kern w:val="0"/>
      <w:sz w:val="24"/>
      <w:szCs w:val="24"/>
    </w:rPr>
  </w:style>
  <w:style w:type="paragraph" w:customStyle="1" w:styleId="2189">
    <w:name w:val="xl25 New"/>
    <w:basedOn w:val="1"/>
    <w:qFormat/>
    <w:uiPriority w:val="0"/>
    <w:pPr>
      <w:widowControl/>
      <w:pBdr>
        <w:bottom w:val="single" w:color="auto" w:sz="8" w:space="0"/>
        <w:right w:val="single" w:color="auto" w:sz="8" w:space="0"/>
      </w:pBdr>
      <w:spacing w:before="100" w:beforeAutospacing="1" w:after="100" w:afterAutospacing="1"/>
    </w:pPr>
    <w:rPr>
      <w:rFonts w:ascii="宋体" w:hAnsi="宋体"/>
      <w:spacing w:val="-2"/>
      <w:kern w:val="0"/>
      <w:sz w:val="24"/>
      <w:szCs w:val="20"/>
    </w:rPr>
  </w:style>
  <w:style w:type="paragraph" w:customStyle="1" w:styleId="2190">
    <w:name w:val="Char1 Char Char Char Char Char Char1"/>
    <w:basedOn w:val="4"/>
    <w:qFormat/>
    <w:uiPriority w:val="0"/>
    <w:pPr>
      <w:keepLines w:val="0"/>
      <w:autoSpaceDE w:val="0"/>
      <w:autoSpaceDN w:val="0"/>
      <w:adjustRightInd w:val="0"/>
      <w:snapToGrid w:val="0"/>
      <w:spacing w:beforeLines="100" w:afterLines="100" w:line="480" w:lineRule="auto"/>
    </w:pPr>
    <w:rPr>
      <w:rFonts w:ascii="宋体" w:hAnsi="宋体"/>
      <w:bCs w:val="0"/>
      <w:kern w:val="2"/>
      <w:sz w:val="32"/>
      <w:szCs w:val="24"/>
    </w:rPr>
  </w:style>
  <w:style w:type="paragraph" w:customStyle="1" w:styleId="2191">
    <w:name w:val="样式 标题 2标题 21标题 121标题 2 Char1 Char节H2节标题 1.1节标题 1.1 Char...1"/>
    <w:basedOn w:val="5"/>
    <w:qFormat/>
    <w:uiPriority w:val="0"/>
    <w:pPr>
      <w:keepNext w:val="0"/>
      <w:keepLines w:val="0"/>
      <w:widowControl/>
      <w:adjustRightInd w:val="0"/>
      <w:jc w:val="left"/>
      <w:textAlignment w:val="baseline"/>
    </w:pPr>
    <w:rPr>
      <w:rFonts w:ascii="黑体" w:hAnsi="黑体" w:cs="宋体"/>
      <w:color w:val="000000"/>
      <w:kern w:val="0"/>
      <w:szCs w:val="20"/>
    </w:rPr>
  </w:style>
  <w:style w:type="paragraph" w:customStyle="1" w:styleId="2192">
    <w:name w:val="正文文本缩进2"/>
    <w:basedOn w:val="1"/>
    <w:qFormat/>
    <w:uiPriority w:val="0"/>
    <w:pPr>
      <w:spacing w:line="520" w:lineRule="exact"/>
      <w:ind w:firstLine="540"/>
    </w:pPr>
    <w:rPr>
      <w:rFonts w:ascii="Times New Roman" w:hAnsi="Times New Roman"/>
      <w:sz w:val="28"/>
      <w:szCs w:val="28"/>
    </w:rPr>
  </w:style>
  <w:style w:type="paragraph" w:customStyle="1" w:styleId="2193">
    <w:name w:val="四级标题"/>
    <w:basedOn w:val="7"/>
    <w:qFormat/>
    <w:uiPriority w:val="0"/>
    <w:pPr>
      <w:spacing w:before="156" w:beforeLines="50" w:after="156" w:afterLines="50"/>
    </w:pPr>
    <w:rPr>
      <w:rFonts w:ascii="宋体" w:hAnsi="宋体" w:eastAsia="宋体"/>
      <w:szCs w:val="24"/>
    </w:rPr>
  </w:style>
  <w:style w:type="paragraph" w:customStyle="1" w:styleId="2194">
    <w:name w:val="样式 仿宋_GB2312 (符号) 宋体 小四 首行缩进:  21.5 字符"/>
    <w:basedOn w:val="1"/>
    <w:qFormat/>
    <w:uiPriority w:val="0"/>
    <w:pPr>
      <w:ind w:firstLine="5160" w:firstLineChars="2150"/>
    </w:pPr>
    <w:rPr>
      <w:rFonts w:ascii="仿宋_GB2312" w:hAnsi="宋体" w:cs="宋体"/>
      <w:sz w:val="24"/>
      <w:szCs w:val="20"/>
    </w:rPr>
  </w:style>
  <w:style w:type="paragraph" w:customStyle="1" w:styleId="2195">
    <w:name w:val="et49"/>
    <w:basedOn w:val="1"/>
    <w:qFormat/>
    <w:uiPriority w:val="0"/>
    <w:pPr>
      <w:widowControl/>
      <w:spacing w:before="100" w:beforeAutospacing="1" w:after="100" w:afterAutospacing="1"/>
      <w:jc w:val="left"/>
      <w:textAlignment w:val="bottom"/>
    </w:pPr>
    <w:rPr>
      <w:rFonts w:ascii="宋体" w:hAnsi="宋体" w:cs="宋体"/>
      <w:color w:val="000000"/>
      <w:kern w:val="0"/>
      <w:sz w:val="24"/>
      <w:szCs w:val="24"/>
    </w:rPr>
  </w:style>
  <w:style w:type="paragraph" w:customStyle="1" w:styleId="2196">
    <w:name w:val="PP的正文"/>
    <w:basedOn w:val="1"/>
    <w:qFormat/>
    <w:uiPriority w:val="0"/>
    <w:pPr>
      <w:spacing w:line="360" w:lineRule="auto"/>
      <w:ind w:firstLine="480" w:firstLineChars="200"/>
    </w:pPr>
    <w:rPr>
      <w:rFonts w:ascii="宋体" w:hAnsi="宋体" w:cs="宋体"/>
      <w:spacing w:val="-2"/>
      <w:kern w:val="0"/>
      <w:sz w:val="24"/>
      <w:szCs w:val="20"/>
    </w:rPr>
  </w:style>
  <w:style w:type="paragraph" w:customStyle="1" w:styleId="2197">
    <w:name w:val="et44"/>
    <w:basedOn w:val="1"/>
    <w:qFormat/>
    <w:uiPriority w:val="0"/>
    <w:pPr>
      <w:widowControl/>
      <w:spacing w:before="100" w:beforeAutospacing="1" w:after="100" w:afterAutospacing="1"/>
      <w:jc w:val="left"/>
      <w:textAlignment w:val="bottom"/>
    </w:pPr>
    <w:rPr>
      <w:rFonts w:ascii="宋体" w:hAnsi="宋体" w:cs="宋体"/>
      <w:color w:val="000000"/>
      <w:kern w:val="0"/>
      <w:sz w:val="24"/>
      <w:szCs w:val="24"/>
    </w:rPr>
  </w:style>
  <w:style w:type="paragraph" w:customStyle="1" w:styleId="2198">
    <w:name w:val="正文图"/>
    <w:basedOn w:val="1"/>
    <w:qFormat/>
    <w:uiPriority w:val="0"/>
    <w:pPr>
      <w:adjustRightInd w:val="0"/>
      <w:snapToGrid w:val="0"/>
      <w:spacing w:before="40"/>
      <w:jc w:val="center"/>
      <w:textAlignment w:val="baseline"/>
    </w:pPr>
    <w:rPr>
      <w:rFonts w:ascii="宋体" w:hAnsi="Times New Roman"/>
      <w:kern w:val="0"/>
      <w:sz w:val="24"/>
      <w:szCs w:val="20"/>
    </w:rPr>
  </w:style>
  <w:style w:type="paragraph" w:customStyle="1" w:styleId="2199">
    <w:name w:val="页眉 New New New New New New New New New New New"/>
    <w:basedOn w:val="1"/>
    <w:qFormat/>
    <w:uiPriority w:val="0"/>
    <w:pPr>
      <w:pBdr>
        <w:bottom w:val="single" w:color="auto" w:sz="6" w:space="1"/>
      </w:pBdr>
      <w:tabs>
        <w:tab w:val="center" w:pos="4153"/>
        <w:tab w:val="right" w:pos="8306"/>
      </w:tabs>
      <w:snapToGrid w:val="0"/>
      <w:jc w:val="center"/>
    </w:pPr>
    <w:rPr>
      <w:rFonts w:ascii="Times New Roman" w:hAnsi="Times New Roman"/>
      <w:spacing w:val="-2"/>
      <w:kern w:val="0"/>
      <w:sz w:val="18"/>
      <w:szCs w:val="18"/>
    </w:rPr>
  </w:style>
  <w:style w:type="paragraph" w:customStyle="1" w:styleId="2200">
    <w:name w:val="dxj标题3"/>
    <w:basedOn w:val="6"/>
    <w:qFormat/>
    <w:uiPriority w:val="0"/>
    <w:rPr>
      <w:b w:val="0"/>
    </w:rPr>
  </w:style>
  <w:style w:type="paragraph" w:customStyle="1" w:styleId="2201">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kern w:val="0"/>
      <w:sz w:val="22"/>
    </w:rPr>
  </w:style>
  <w:style w:type="paragraph" w:customStyle="1" w:styleId="2202">
    <w:name w:val="xl89"/>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kern w:val="0"/>
      <w:sz w:val="22"/>
    </w:rPr>
  </w:style>
  <w:style w:type="paragraph" w:customStyle="1" w:styleId="2203">
    <w:name w:val="页脚 New New New New New New New New New New New New New New New New"/>
    <w:basedOn w:val="1"/>
    <w:qFormat/>
    <w:uiPriority w:val="0"/>
    <w:pPr>
      <w:tabs>
        <w:tab w:val="center" w:pos="4153"/>
        <w:tab w:val="right" w:pos="8306"/>
      </w:tabs>
      <w:snapToGrid w:val="0"/>
      <w:jc w:val="left"/>
    </w:pPr>
    <w:rPr>
      <w:rFonts w:ascii="Times New Roman" w:hAnsi="Times New Roman"/>
      <w:spacing w:val="-2"/>
      <w:kern w:val="0"/>
      <w:sz w:val="18"/>
      <w:szCs w:val="18"/>
    </w:rPr>
  </w:style>
  <w:style w:type="paragraph" w:customStyle="1" w:styleId="2204">
    <w:name w:val="p15"/>
    <w:basedOn w:val="1"/>
    <w:qFormat/>
    <w:uiPriority w:val="0"/>
    <w:pPr>
      <w:widowControl/>
      <w:ind w:firstLine="420"/>
    </w:pPr>
    <w:rPr>
      <w:rFonts w:ascii="Times New Roman" w:hAnsi="Times New Roman"/>
      <w:kern w:val="0"/>
      <w:szCs w:val="21"/>
    </w:rPr>
  </w:style>
  <w:style w:type="paragraph" w:customStyle="1" w:styleId="2205">
    <w:name w:val="二级"/>
    <w:basedOn w:val="1"/>
    <w:qFormat/>
    <w:uiPriority w:val="0"/>
    <w:pPr>
      <w:spacing w:line="600" w:lineRule="exact"/>
    </w:pPr>
    <w:rPr>
      <w:rFonts w:ascii="Times New Roman" w:hAnsi="Times New Roman"/>
      <w:b/>
      <w:bCs/>
      <w:sz w:val="32"/>
      <w:szCs w:val="24"/>
    </w:rPr>
  </w:style>
  <w:style w:type="paragraph" w:customStyle="1" w:styleId="2206">
    <w:name w:val="xl612"/>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pPr>
    <w:rPr>
      <w:rFonts w:ascii="宋体" w:hAnsi="宋体" w:cs="宋体"/>
      <w:color w:val="FF0000"/>
      <w:kern w:val="0"/>
      <w:sz w:val="24"/>
      <w:szCs w:val="24"/>
    </w:rPr>
  </w:style>
  <w:style w:type="paragraph" w:customStyle="1" w:styleId="2207">
    <w:name w:val="reader-word-layer reader-word-s3-6"/>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208">
    <w:name w:val="et52"/>
    <w:basedOn w:val="1"/>
    <w:qFormat/>
    <w:uiPriority w:val="0"/>
    <w:pPr>
      <w:widowControl/>
      <w:spacing w:before="100" w:beforeAutospacing="1" w:after="100" w:afterAutospacing="1"/>
      <w:jc w:val="left"/>
      <w:textAlignment w:val="bottom"/>
    </w:pPr>
    <w:rPr>
      <w:rFonts w:ascii="Times New Roman" w:hAnsi="Times New Roman"/>
      <w:color w:val="000000"/>
      <w:kern w:val="0"/>
      <w:sz w:val="24"/>
      <w:szCs w:val="24"/>
    </w:rPr>
  </w:style>
  <w:style w:type="paragraph" w:customStyle="1" w:styleId="2209">
    <w:name w:val="图表1"/>
    <w:basedOn w:val="1"/>
    <w:qFormat/>
    <w:uiPriority w:val="0"/>
    <w:pPr>
      <w:widowControl/>
      <w:overflowPunct w:val="0"/>
      <w:autoSpaceDE w:val="0"/>
      <w:autoSpaceDN w:val="0"/>
      <w:adjustRightInd w:val="0"/>
      <w:spacing w:before="60" w:after="60"/>
      <w:jc w:val="center"/>
      <w:textAlignment w:val="baseline"/>
    </w:pPr>
    <w:rPr>
      <w:rFonts w:ascii="宋体" w:hAnsi="Times New Roman"/>
      <w:kern w:val="28"/>
      <w:sz w:val="20"/>
      <w:szCs w:val="20"/>
    </w:rPr>
  </w:style>
  <w:style w:type="paragraph" w:customStyle="1" w:styleId="2210">
    <w:name w:val="Char Char Char Char Char Char Char Char Char Char4"/>
    <w:basedOn w:val="1"/>
    <w:qFormat/>
    <w:uiPriority w:val="0"/>
    <w:pPr>
      <w:widowControl/>
      <w:spacing w:after="160" w:line="240" w:lineRule="exact"/>
      <w:jc w:val="left"/>
    </w:pPr>
    <w:rPr>
      <w:rFonts w:ascii="Verdana" w:hAnsi="Verdana" w:eastAsia="仿宋_GB2312"/>
      <w:kern w:val="0"/>
      <w:sz w:val="30"/>
      <w:szCs w:val="30"/>
      <w:lang w:eastAsia="en-US"/>
    </w:rPr>
  </w:style>
  <w:style w:type="paragraph" w:customStyle="1" w:styleId="2211">
    <w:name w:val="报告表格"/>
    <w:basedOn w:val="1"/>
    <w:next w:val="1"/>
    <w:qFormat/>
    <w:uiPriority w:val="0"/>
    <w:pPr>
      <w:autoSpaceDE w:val="0"/>
      <w:autoSpaceDN w:val="0"/>
      <w:adjustRightInd w:val="0"/>
      <w:spacing w:line="318" w:lineRule="atLeast"/>
      <w:jc w:val="center"/>
      <w:textAlignment w:val="bottom"/>
    </w:pPr>
    <w:rPr>
      <w:rFonts w:ascii="Times New Roman" w:hAnsi="Times New Roman"/>
      <w:kern w:val="0"/>
      <w:sz w:val="24"/>
      <w:szCs w:val="20"/>
    </w:rPr>
  </w:style>
  <w:style w:type="paragraph" w:customStyle="1" w:styleId="2212">
    <w:name w:val="xl619"/>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Times New Roman" w:hAnsi="Times New Roman"/>
      <w:kern w:val="0"/>
      <w:sz w:val="24"/>
      <w:szCs w:val="24"/>
    </w:rPr>
  </w:style>
  <w:style w:type="paragraph" w:customStyle="1" w:styleId="2213">
    <w:name w:val="Char"/>
    <w:basedOn w:val="1"/>
    <w:qFormat/>
    <w:uiPriority w:val="0"/>
    <w:rPr>
      <w:rFonts w:ascii="Times New Roman" w:hAnsi="Times New Roman"/>
      <w:szCs w:val="24"/>
    </w:rPr>
  </w:style>
  <w:style w:type="paragraph" w:customStyle="1" w:styleId="2214">
    <w:name w:val="标题 1 New"/>
    <w:basedOn w:val="1"/>
    <w:next w:val="1"/>
    <w:qFormat/>
    <w:uiPriority w:val="0"/>
    <w:pPr>
      <w:keepNext/>
      <w:keepLines/>
      <w:spacing w:before="340" w:after="330" w:line="576" w:lineRule="auto"/>
      <w:outlineLvl w:val="0"/>
    </w:pPr>
    <w:rPr>
      <w:rFonts w:ascii="Times New Roman" w:hAnsi="Times New Roman"/>
      <w:b/>
      <w:bCs/>
      <w:spacing w:val="-2"/>
      <w:kern w:val="44"/>
      <w:sz w:val="44"/>
      <w:szCs w:val="44"/>
    </w:rPr>
  </w:style>
  <w:style w:type="paragraph" w:customStyle="1" w:styleId="2215">
    <w:name w:val="三"/>
    <w:basedOn w:val="6"/>
    <w:qFormat/>
    <w:uiPriority w:val="0"/>
    <w:pPr>
      <w:spacing w:beforeLines="50" w:afterLines="50"/>
    </w:pPr>
    <w:rPr>
      <w:rFonts w:ascii="宋体" w:hAnsi="宋体"/>
      <w:bCs w:val="0"/>
    </w:rPr>
  </w:style>
  <w:style w:type="paragraph" w:customStyle="1" w:styleId="2216">
    <w:name w:val="Char Char1211"/>
    <w:basedOn w:val="1"/>
    <w:qFormat/>
    <w:uiPriority w:val="0"/>
    <w:pPr>
      <w:spacing w:line="360" w:lineRule="auto"/>
      <w:ind w:firstLine="200" w:firstLineChars="200"/>
    </w:pPr>
    <w:rPr>
      <w:rFonts w:ascii="宋体" w:hAnsi="宋体" w:cs="宋体"/>
      <w:sz w:val="24"/>
      <w:szCs w:val="24"/>
    </w:rPr>
  </w:style>
  <w:style w:type="paragraph" w:customStyle="1" w:styleId="2217">
    <w:name w:val="et3"/>
    <w:basedOn w:val="1"/>
    <w:qFormat/>
    <w:uiPriority w:val="0"/>
    <w:pPr>
      <w:widowControl/>
      <w:spacing w:before="100" w:beforeAutospacing="1" w:after="100" w:afterAutospacing="1"/>
      <w:jc w:val="left"/>
      <w:textAlignment w:val="bottom"/>
    </w:pPr>
    <w:rPr>
      <w:rFonts w:ascii="宋体" w:hAnsi="宋体" w:cs="宋体"/>
      <w:color w:val="000000"/>
      <w:kern w:val="0"/>
      <w:sz w:val="24"/>
      <w:szCs w:val="24"/>
    </w:rPr>
  </w:style>
  <w:style w:type="paragraph" w:customStyle="1" w:styleId="2218">
    <w:name w:val="索引标题3"/>
    <w:basedOn w:val="1"/>
    <w:next w:val="2219"/>
    <w:qFormat/>
    <w:uiPriority w:val="0"/>
    <w:rPr>
      <w:rFonts w:ascii="宋体" w:hAnsi="宋体"/>
      <w:w w:val="90"/>
      <w:kern w:val="0"/>
      <w:sz w:val="28"/>
      <w:szCs w:val="24"/>
    </w:rPr>
  </w:style>
  <w:style w:type="paragraph" w:customStyle="1" w:styleId="2219">
    <w:name w:val="索引 12"/>
    <w:basedOn w:val="1"/>
    <w:next w:val="1"/>
    <w:qFormat/>
    <w:uiPriority w:val="0"/>
    <w:pPr>
      <w:adjustRightInd w:val="0"/>
      <w:spacing w:line="529" w:lineRule="exact"/>
      <w:textAlignment w:val="baseline"/>
    </w:pPr>
    <w:rPr>
      <w:rFonts w:ascii="宋体" w:hAnsi="宋体" w:eastAsia="汉鼎简书宋"/>
      <w:kern w:val="0"/>
      <w:sz w:val="24"/>
      <w:szCs w:val="20"/>
    </w:rPr>
  </w:style>
  <w:style w:type="paragraph" w:customStyle="1" w:styleId="2220">
    <w:name w:val="xl647"/>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pPr>
    <w:rPr>
      <w:rFonts w:ascii="Times New Roman" w:hAnsi="Times New Roman"/>
      <w:kern w:val="0"/>
      <w:sz w:val="24"/>
      <w:szCs w:val="24"/>
    </w:rPr>
  </w:style>
  <w:style w:type="paragraph" w:customStyle="1" w:styleId="2221">
    <w:name w:val="reader-word-layer reader-word-s2-12"/>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222">
    <w:name w:val="样式 宋体 居中"/>
    <w:basedOn w:val="1"/>
    <w:qFormat/>
    <w:uiPriority w:val="0"/>
    <w:pPr>
      <w:adjustRightInd w:val="0"/>
      <w:spacing w:line="360" w:lineRule="auto"/>
      <w:jc w:val="center"/>
      <w:textAlignment w:val="baseline"/>
    </w:pPr>
    <w:rPr>
      <w:rFonts w:ascii="宋体" w:hAnsi="宋体"/>
      <w:kern w:val="21"/>
      <w:sz w:val="24"/>
      <w:szCs w:val="20"/>
    </w:rPr>
  </w:style>
  <w:style w:type="paragraph" w:customStyle="1" w:styleId="2223">
    <w:name w:val="Char421"/>
    <w:basedOn w:val="1"/>
    <w:qFormat/>
    <w:uiPriority w:val="0"/>
    <w:pPr>
      <w:spacing w:line="360" w:lineRule="auto"/>
      <w:ind w:firstLine="200" w:firstLineChars="200"/>
    </w:pPr>
    <w:rPr>
      <w:rFonts w:ascii="宋体" w:hAnsi="宋体" w:cs="宋体"/>
      <w:sz w:val="24"/>
      <w:szCs w:val="24"/>
    </w:rPr>
  </w:style>
  <w:style w:type="paragraph" w:customStyle="1" w:styleId="2224">
    <w:name w:val="正文缩近"/>
    <w:basedOn w:val="1"/>
    <w:qFormat/>
    <w:uiPriority w:val="0"/>
    <w:pPr>
      <w:spacing w:line="360" w:lineRule="auto"/>
      <w:ind w:firstLine="560" w:firstLineChars="200"/>
    </w:pPr>
    <w:rPr>
      <w:rFonts w:ascii="Times New Roman" w:hAnsi="Times New Roman"/>
      <w:sz w:val="28"/>
      <w:szCs w:val="28"/>
    </w:rPr>
  </w:style>
  <w:style w:type="paragraph" w:customStyle="1" w:styleId="2225">
    <w:name w:val="样式 标题 2节H2（一）Underrubrik1prop2Heading 2 HiddenHeading 2 C...2"/>
    <w:basedOn w:val="5"/>
    <w:qFormat/>
    <w:uiPriority w:val="0"/>
    <w:pPr>
      <w:tabs>
        <w:tab w:val="left" w:pos="720"/>
      </w:tabs>
      <w:adjustRightInd w:val="0"/>
      <w:snapToGrid w:val="0"/>
      <w:spacing w:before="156" w:beforeLines="50" w:after="156" w:afterLines="50"/>
    </w:pPr>
    <w:rPr>
      <w:rFonts w:ascii="宋体" w:hAnsi="宋体" w:eastAsia="宋体" w:cs="宋体"/>
      <w:szCs w:val="20"/>
    </w:rPr>
  </w:style>
  <w:style w:type="paragraph" w:customStyle="1" w:styleId="2226">
    <w:name w:val="正文文本缩进7"/>
    <w:basedOn w:val="1"/>
    <w:qFormat/>
    <w:uiPriority w:val="0"/>
    <w:pPr>
      <w:spacing w:line="520" w:lineRule="exact"/>
      <w:ind w:firstLine="540"/>
    </w:pPr>
    <w:rPr>
      <w:rFonts w:ascii="Times New Roman" w:hAnsi="Times New Roman"/>
      <w:sz w:val="28"/>
      <w:szCs w:val="28"/>
    </w:rPr>
  </w:style>
  <w:style w:type="paragraph" w:customStyle="1" w:styleId="2227">
    <w:name w:val="页眉 New New New New New New"/>
    <w:basedOn w:val="1"/>
    <w:qFormat/>
    <w:uiPriority w:val="0"/>
    <w:pPr>
      <w:pBdr>
        <w:bottom w:val="single" w:color="auto" w:sz="6" w:space="1"/>
      </w:pBdr>
      <w:tabs>
        <w:tab w:val="center" w:pos="4153"/>
        <w:tab w:val="right" w:pos="8306"/>
      </w:tabs>
      <w:snapToGrid w:val="0"/>
      <w:jc w:val="center"/>
    </w:pPr>
    <w:rPr>
      <w:rFonts w:ascii="Times New Roman" w:hAnsi="Times New Roman"/>
      <w:spacing w:val="-2"/>
      <w:kern w:val="0"/>
      <w:sz w:val="18"/>
      <w:szCs w:val="18"/>
    </w:rPr>
  </w:style>
  <w:style w:type="paragraph" w:customStyle="1" w:styleId="2228">
    <w:name w:val="xl634"/>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rFonts w:ascii="宋体" w:hAnsi="宋体" w:cs="宋体"/>
      <w:b/>
      <w:bCs/>
      <w:kern w:val="0"/>
      <w:szCs w:val="21"/>
    </w:rPr>
  </w:style>
  <w:style w:type="paragraph" w:customStyle="1" w:styleId="2229">
    <w:name w:val="Char Char11111"/>
    <w:basedOn w:val="1"/>
    <w:qFormat/>
    <w:uiPriority w:val="0"/>
    <w:pPr>
      <w:tabs>
        <w:tab w:val="left" w:pos="900"/>
      </w:tabs>
      <w:spacing w:line="360" w:lineRule="auto"/>
      <w:ind w:left="900" w:hanging="360"/>
    </w:pPr>
    <w:rPr>
      <w:rFonts w:ascii="宋体" w:hAnsi="宋体" w:cs="宋体"/>
      <w:sz w:val="24"/>
      <w:szCs w:val="24"/>
    </w:rPr>
  </w:style>
  <w:style w:type="paragraph" w:customStyle="1" w:styleId="2230">
    <w:name w:val="reader-word-layer reader-word-s3-5"/>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231">
    <w:name w:val="正文4"/>
    <w:basedOn w:val="1"/>
    <w:qFormat/>
    <w:uiPriority w:val="0"/>
    <w:pPr>
      <w:adjustRightInd w:val="0"/>
      <w:spacing w:line="480" w:lineRule="exact"/>
      <w:textAlignment w:val="baseline"/>
    </w:pPr>
    <w:rPr>
      <w:rFonts w:ascii="Times New Roman" w:hAnsi="Times New Roman"/>
      <w:spacing w:val="-2"/>
      <w:kern w:val="0"/>
      <w:sz w:val="28"/>
      <w:szCs w:val="20"/>
    </w:rPr>
  </w:style>
  <w:style w:type="paragraph" w:customStyle="1" w:styleId="2232">
    <w:name w:val="et13"/>
    <w:basedOn w:val="1"/>
    <w:qFormat/>
    <w:uiPriority w:val="0"/>
    <w:pPr>
      <w:widowControl/>
      <w:spacing w:before="100" w:beforeAutospacing="1" w:after="100" w:afterAutospacing="1"/>
      <w:jc w:val="left"/>
      <w:textAlignment w:val="bottom"/>
    </w:pPr>
    <w:rPr>
      <w:rFonts w:ascii="Times New Roman" w:hAnsi="Times New Roman"/>
      <w:color w:val="000000"/>
      <w:kern w:val="0"/>
      <w:sz w:val="24"/>
      <w:szCs w:val="24"/>
    </w:rPr>
  </w:style>
  <w:style w:type="paragraph" w:customStyle="1" w:styleId="2233">
    <w:name w:val="Char Char1 Char Char1 Char Char1 Char Char1 Char Char Char Char Char Char Char1"/>
    <w:basedOn w:val="1"/>
    <w:qFormat/>
    <w:uiPriority w:val="0"/>
    <w:rPr>
      <w:rFonts w:ascii="Tahoma" w:hAnsi="Tahoma"/>
      <w:sz w:val="24"/>
      <w:szCs w:val="24"/>
    </w:rPr>
  </w:style>
  <w:style w:type="paragraph" w:customStyle="1" w:styleId="2234">
    <w:name w:val="表格文字 New"/>
    <w:basedOn w:val="1"/>
    <w:qFormat/>
    <w:uiPriority w:val="0"/>
    <w:pPr>
      <w:spacing w:line="0" w:lineRule="atLeast"/>
      <w:jc w:val="center"/>
    </w:pPr>
    <w:rPr>
      <w:rFonts w:ascii="Times New Roman" w:hAnsi="Times New Roman"/>
      <w:spacing w:val="-2"/>
      <w:kern w:val="0"/>
      <w:sz w:val="28"/>
      <w:szCs w:val="20"/>
    </w:rPr>
  </w:style>
  <w:style w:type="paragraph" w:customStyle="1" w:styleId="2235">
    <w:name w:val="BGWZ1"/>
    <w:basedOn w:val="1"/>
    <w:qFormat/>
    <w:uiPriority w:val="0"/>
    <w:pPr>
      <w:snapToGrid w:val="0"/>
      <w:spacing w:line="300" w:lineRule="exact"/>
      <w:jc w:val="center"/>
    </w:pPr>
    <w:rPr>
      <w:rFonts w:ascii="Times New Roman" w:hAnsi="Times New Roman"/>
      <w:kern w:val="0"/>
      <w:sz w:val="24"/>
      <w:szCs w:val="21"/>
      <w:lang w:eastAsia="zh-TW"/>
    </w:rPr>
  </w:style>
  <w:style w:type="paragraph" w:customStyle="1" w:styleId="2236">
    <w:name w:val="Char4 Char Char Char2"/>
    <w:basedOn w:val="1"/>
    <w:qFormat/>
    <w:uiPriority w:val="0"/>
    <w:pPr>
      <w:adjustRightInd w:val="0"/>
      <w:snapToGrid w:val="0"/>
      <w:spacing w:line="360" w:lineRule="auto"/>
      <w:ind w:firstLine="200" w:firstLineChars="200"/>
    </w:pPr>
    <w:rPr>
      <w:rFonts w:ascii="宋体" w:hAnsi="宋体" w:cs="宋体"/>
      <w:sz w:val="24"/>
      <w:szCs w:val="26"/>
    </w:rPr>
  </w:style>
  <w:style w:type="paragraph" w:customStyle="1" w:styleId="2237">
    <w:name w:val="引用1"/>
    <w:basedOn w:val="1"/>
    <w:next w:val="1"/>
    <w:qFormat/>
    <w:uiPriority w:val="0"/>
    <w:pPr>
      <w:widowControl/>
      <w:spacing w:after="200" w:line="276" w:lineRule="auto"/>
      <w:ind w:firstLine="200" w:firstLineChars="200"/>
      <w:jc w:val="left"/>
    </w:pPr>
    <w:rPr>
      <w:i/>
      <w:iCs/>
      <w:color w:val="000000"/>
      <w:sz w:val="22"/>
      <w:lang w:eastAsia="en-US" w:bidi="en-US"/>
    </w:rPr>
  </w:style>
  <w:style w:type="paragraph" w:customStyle="1" w:styleId="2238">
    <w:name w:val="Char Char Char Char Char Char Char Char Char Char Char Char Char Char Char Char Char Char Char Char Char Char1"/>
    <w:basedOn w:val="1"/>
    <w:next w:val="1"/>
    <w:qFormat/>
    <w:uiPriority w:val="0"/>
    <w:pPr>
      <w:spacing w:line="360" w:lineRule="auto"/>
      <w:ind w:firstLine="200" w:firstLineChars="200"/>
    </w:pPr>
    <w:rPr>
      <w:rFonts w:ascii="宋体" w:hAnsi="宋体" w:cs="宋体"/>
      <w:sz w:val="24"/>
      <w:szCs w:val="24"/>
    </w:rPr>
  </w:style>
  <w:style w:type="paragraph" w:customStyle="1" w:styleId="2239">
    <w:name w:val="et57"/>
    <w:basedOn w:val="1"/>
    <w:qFormat/>
    <w:uiPriority w:val="0"/>
    <w:pPr>
      <w:widowControl/>
      <w:spacing w:before="100" w:beforeAutospacing="1" w:after="100" w:afterAutospacing="1"/>
      <w:jc w:val="left"/>
      <w:textAlignment w:val="bottom"/>
    </w:pPr>
    <w:rPr>
      <w:rFonts w:ascii="Times New Roman" w:hAnsi="Times New Roman"/>
      <w:color w:val="000000"/>
      <w:kern w:val="0"/>
      <w:sz w:val="24"/>
      <w:szCs w:val="24"/>
    </w:rPr>
  </w:style>
  <w:style w:type="paragraph" w:customStyle="1" w:styleId="2240">
    <w:name w:val="BG图名"/>
    <w:next w:val="371"/>
    <w:qFormat/>
    <w:uiPriority w:val="0"/>
    <w:pPr>
      <w:jc w:val="center"/>
    </w:pPr>
    <w:rPr>
      <w:rFonts w:ascii="Calibri" w:hAnsi="Calibri" w:eastAsia="宋体" w:cs="Times New Roman"/>
      <w:b/>
      <w:sz w:val="24"/>
      <w:szCs w:val="24"/>
      <w:lang w:val="en-US" w:eastAsia="zh-CN" w:bidi="ar-SA"/>
    </w:rPr>
  </w:style>
  <w:style w:type="paragraph" w:customStyle="1" w:styleId="2241">
    <w:name w:val="标准"/>
    <w:basedOn w:val="1"/>
    <w:qFormat/>
    <w:uiPriority w:val="0"/>
    <w:pPr>
      <w:adjustRightInd w:val="0"/>
      <w:spacing w:line="480" w:lineRule="exact"/>
      <w:textAlignment w:val="baseline"/>
    </w:pPr>
    <w:rPr>
      <w:rFonts w:ascii="Times New Roman" w:hAnsi="Times New Roman"/>
      <w:kern w:val="0"/>
      <w:sz w:val="28"/>
      <w:szCs w:val="20"/>
      <w:lang w:val="en-GB"/>
    </w:rPr>
  </w:style>
  <w:style w:type="paragraph" w:customStyle="1" w:styleId="2242">
    <w:name w:val="Char Char Char Char Char Char Char Char Char Char3"/>
    <w:basedOn w:val="1"/>
    <w:qFormat/>
    <w:uiPriority w:val="0"/>
    <w:pPr>
      <w:widowControl/>
      <w:spacing w:after="160" w:line="240" w:lineRule="exact"/>
      <w:jc w:val="left"/>
    </w:pPr>
    <w:rPr>
      <w:rFonts w:ascii="Verdana" w:hAnsi="Verdana" w:eastAsia="仿宋_GB2312"/>
      <w:kern w:val="0"/>
      <w:sz w:val="30"/>
      <w:szCs w:val="30"/>
      <w:lang w:eastAsia="en-US"/>
    </w:rPr>
  </w:style>
  <w:style w:type="paragraph" w:customStyle="1" w:styleId="2243">
    <w:name w:val="正文+中文"/>
    <w:basedOn w:val="1"/>
    <w:next w:val="1"/>
    <w:qFormat/>
    <w:uiPriority w:val="0"/>
    <w:pPr>
      <w:widowControl/>
      <w:spacing w:before="50" w:beforeLines="50" w:after="50" w:afterLines="50"/>
      <w:jc w:val="left"/>
    </w:pPr>
    <w:rPr>
      <w:rFonts w:ascii="Times New Roman" w:hAnsi="Times New Roman" w:eastAsia="仿宋_GB2312"/>
      <w:color w:val="000000"/>
      <w:kern w:val="0"/>
      <w:sz w:val="28"/>
      <w:szCs w:val="24"/>
      <w:lang w:eastAsia="en-US"/>
    </w:rPr>
  </w:style>
  <w:style w:type="paragraph" w:customStyle="1" w:styleId="2244">
    <w:name w:val="xl99"/>
    <w:basedOn w:val="1"/>
    <w:qFormat/>
    <w:uiPriority w:val="0"/>
    <w:pPr>
      <w:widowControl/>
      <w:pBdr>
        <w:top w:val="single" w:color="auto" w:sz="4" w:space="0"/>
        <w:bottom w:val="single" w:color="auto" w:sz="4" w:space="0"/>
      </w:pBdr>
      <w:spacing w:before="100" w:beforeAutospacing="1" w:after="100" w:afterAutospacing="1"/>
      <w:jc w:val="center"/>
    </w:pPr>
    <w:rPr>
      <w:rFonts w:ascii="宋体" w:hAnsi="宋体" w:cs="宋体"/>
      <w:kern w:val="0"/>
      <w:sz w:val="20"/>
      <w:szCs w:val="20"/>
    </w:rPr>
  </w:style>
  <w:style w:type="paragraph" w:customStyle="1" w:styleId="2245">
    <w:name w:val="样式 标题 2标题 21标题 121 + Times New Roman 小三 非加粗 黑色 段前: 8 磅 段...1"/>
    <w:basedOn w:val="5"/>
    <w:qFormat/>
    <w:uiPriority w:val="0"/>
    <w:pPr>
      <w:tabs>
        <w:tab w:val="left" w:pos="456"/>
      </w:tabs>
      <w:spacing w:before="160" w:after="160" w:line="240" w:lineRule="auto"/>
      <w:ind w:left="456" w:hanging="456"/>
    </w:pPr>
    <w:rPr>
      <w:b w:val="0"/>
      <w:bCs w:val="0"/>
      <w:color w:val="000000"/>
      <w:sz w:val="30"/>
      <w:szCs w:val="20"/>
    </w:rPr>
  </w:style>
  <w:style w:type="paragraph" w:customStyle="1" w:styleId="2246">
    <w:name w:val="reader-word-layer reader-word-s3-7"/>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247">
    <w:name w:val="标题01"/>
    <w:basedOn w:val="4"/>
    <w:qFormat/>
    <w:uiPriority w:val="0"/>
    <w:pPr>
      <w:jc w:val="left"/>
    </w:pPr>
    <w:rPr>
      <w:b w:val="0"/>
      <w:kern w:val="0"/>
      <w:sz w:val="32"/>
      <w:szCs w:val="30"/>
    </w:rPr>
  </w:style>
  <w:style w:type="paragraph" w:customStyle="1" w:styleId="2248">
    <w:name w:val="Char Char Char Char Char Char Char Char Char Char Char Char Char Char Char Char Char Char Char Char Char Char Char Char Char Char Char Char Char Char Char Char Char Char Char Char1"/>
    <w:basedOn w:val="1"/>
    <w:qFormat/>
    <w:uiPriority w:val="0"/>
    <w:pPr>
      <w:snapToGrid w:val="0"/>
      <w:spacing w:line="440" w:lineRule="atLeast"/>
      <w:ind w:firstLine="200" w:firstLineChars="200"/>
    </w:pPr>
    <w:rPr>
      <w:rFonts w:ascii="Times New Roman" w:hAnsi="Times New Roman"/>
      <w:szCs w:val="20"/>
    </w:rPr>
  </w:style>
  <w:style w:type="paragraph" w:customStyle="1" w:styleId="2249">
    <w:name w:val="et40"/>
    <w:basedOn w:val="1"/>
    <w:qFormat/>
    <w:uiPriority w:val="0"/>
    <w:pPr>
      <w:widowControl/>
      <w:spacing w:before="100" w:beforeAutospacing="1" w:after="100" w:afterAutospacing="1"/>
      <w:jc w:val="left"/>
      <w:textAlignment w:val="bottom"/>
    </w:pPr>
    <w:rPr>
      <w:rFonts w:ascii="宋体" w:hAnsi="宋体" w:cs="宋体"/>
      <w:color w:val="000000"/>
      <w:kern w:val="0"/>
      <w:sz w:val="24"/>
      <w:szCs w:val="24"/>
    </w:rPr>
  </w:style>
  <w:style w:type="paragraph" w:customStyle="1" w:styleId="2250">
    <w:name w:val="xl47"/>
    <w:basedOn w:val="1"/>
    <w:qFormat/>
    <w:uiPriority w:val="0"/>
    <w:pPr>
      <w:widowControl/>
      <w:spacing w:before="100" w:beforeAutospacing="1" w:after="100" w:afterAutospacing="1"/>
      <w:jc w:val="left"/>
      <w:textAlignment w:val="center"/>
    </w:pPr>
    <w:rPr>
      <w:rFonts w:ascii="宋体" w:hAnsi="宋体"/>
      <w:b/>
      <w:bCs/>
      <w:kern w:val="0"/>
      <w:sz w:val="36"/>
      <w:szCs w:val="36"/>
    </w:rPr>
  </w:style>
  <w:style w:type="paragraph" w:customStyle="1" w:styleId="2251">
    <w:name w:val="页眉 New New New New New New New New New New New New New New New New New"/>
    <w:basedOn w:val="1"/>
    <w:qFormat/>
    <w:uiPriority w:val="0"/>
    <w:pPr>
      <w:pBdr>
        <w:bottom w:val="single" w:color="auto" w:sz="6" w:space="1"/>
      </w:pBdr>
      <w:tabs>
        <w:tab w:val="center" w:pos="4153"/>
        <w:tab w:val="right" w:pos="8306"/>
      </w:tabs>
      <w:snapToGrid w:val="0"/>
      <w:jc w:val="center"/>
    </w:pPr>
    <w:rPr>
      <w:rFonts w:ascii="Times New Roman" w:hAnsi="Times New Roman"/>
      <w:spacing w:val="-2"/>
      <w:kern w:val="0"/>
      <w:sz w:val="18"/>
      <w:szCs w:val="18"/>
    </w:rPr>
  </w:style>
  <w:style w:type="paragraph" w:customStyle="1" w:styleId="2252">
    <w:name w:val="正文111"/>
    <w:basedOn w:val="35"/>
    <w:qFormat/>
    <w:uiPriority w:val="0"/>
    <w:pPr>
      <w:spacing w:line="440" w:lineRule="exact"/>
    </w:pPr>
    <w:rPr>
      <w:kern w:val="0"/>
    </w:rPr>
  </w:style>
  <w:style w:type="paragraph" w:customStyle="1" w:styleId="2253">
    <w:name w:val="Char31"/>
    <w:basedOn w:val="26"/>
    <w:qFormat/>
    <w:uiPriority w:val="0"/>
    <w:pPr>
      <w:spacing w:line="360" w:lineRule="auto"/>
    </w:pPr>
    <w:rPr>
      <w:rFonts w:ascii="Tahoma" w:hAnsi="Tahoma"/>
      <w:kern w:val="0"/>
    </w:rPr>
  </w:style>
  <w:style w:type="paragraph" w:customStyle="1" w:styleId="2254">
    <w:name w:val="Char Char Char Char Char Char2 Char"/>
    <w:basedOn w:val="1"/>
    <w:qFormat/>
    <w:uiPriority w:val="0"/>
    <w:pPr>
      <w:widowControl/>
      <w:spacing w:after="160" w:line="240" w:lineRule="exact"/>
      <w:jc w:val="left"/>
    </w:pPr>
    <w:rPr>
      <w:szCs w:val="20"/>
    </w:rPr>
  </w:style>
  <w:style w:type="paragraph" w:customStyle="1" w:styleId="2255">
    <w:name w:val="列表接续 211"/>
    <w:basedOn w:val="1"/>
    <w:qFormat/>
    <w:uiPriority w:val="0"/>
    <w:pPr>
      <w:spacing w:after="120"/>
      <w:ind w:left="840" w:leftChars="400"/>
    </w:pPr>
    <w:rPr>
      <w:rFonts w:ascii="宋体" w:hAnsi="宋体"/>
      <w:kern w:val="0"/>
      <w:sz w:val="24"/>
      <w:szCs w:val="24"/>
    </w:rPr>
  </w:style>
  <w:style w:type="paragraph" w:customStyle="1" w:styleId="2256">
    <w:name w:val="表尾"/>
    <w:basedOn w:val="1"/>
    <w:qFormat/>
    <w:uiPriority w:val="0"/>
    <w:pPr>
      <w:tabs>
        <w:tab w:val="left" w:pos="1021"/>
      </w:tabs>
      <w:spacing w:line="160" w:lineRule="exact"/>
    </w:pPr>
    <w:rPr>
      <w:rFonts w:ascii="Times New Roman" w:hAnsi="Times New Roman"/>
      <w:sz w:val="10"/>
      <w:szCs w:val="20"/>
    </w:rPr>
  </w:style>
  <w:style w:type="paragraph" w:customStyle="1" w:styleId="2257">
    <w:name w:val="文档结构图5"/>
    <w:basedOn w:val="1"/>
    <w:qFormat/>
    <w:uiPriority w:val="0"/>
    <w:pPr>
      <w:shd w:val="clear" w:color="auto" w:fill="000080"/>
    </w:pPr>
    <w:rPr>
      <w:rFonts w:ascii="Times New Roman" w:hAnsi="Times New Roman"/>
      <w:kern w:val="0"/>
      <w:szCs w:val="24"/>
      <w:shd w:val="clear" w:color="auto" w:fill="000080"/>
    </w:rPr>
  </w:style>
  <w:style w:type="paragraph" w:customStyle="1" w:styleId="2258">
    <w:name w:val="reader-word-layer reader-word-s1-3"/>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259">
    <w:name w:val="xl602"/>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pPr>
    <w:rPr>
      <w:rFonts w:ascii="Times New Roman" w:hAnsi="Times New Roman"/>
      <w:kern w:val="0"/>
      <w:sz w:val="24"/>
      <w:szCs w:val="24"/>
    </w:rPr>
  </w:style>
  <w:style w:type="paragraph" w:customStyle="1" w:styleId="2260">
    <w:name w:val="xl6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kern w:val="0"/>
      <w:sz w:val="24"/>
      <w:szCs w:val="24"/>
    </w:rPr>
  </w:style>
  <w:style w:type="paragraph" w:customStyle="1" w:styleId="2261">
    <w:name w:val="表格格式"/>
    <w:basedOn w:val="1"/>
    <w:qFormat/>
    <w:uiPriority w:val="0"/>
    <w:pPr>
      <w:snapToGrid w:val="0"/>
      <w:spacing w:line="360" w:lineRule="exact"/>
      <w:ind w:left="-111" w:leftChars="-53" w:firstLine="23"/>
      <w:jc w:val="center"/>
    </w:pPr>
    <w:rPr>
      <w:rFonts w:ascii="宋体" w:hAnsi="宋体" w:cs="宋体"/>
      <w:szCs w:val="20"/>
    </w:rPr>
  </w:style>
  <w:style w:type="paragraph" w:customStyle="1" w:styleId="2262">
    <w:name w:val="简单回函地址"/>
    <w:basedOn w:val="1"/>
    <w:qFormat/>
    <w:uiPriority w:val="0"/>
    <w:rPr>
      <w:rFonts w:ascii="Times New Roman" w:hAnsi="Times New Roman"/>
      <w:sz w:val="28"/>
      <w:szCs w:val="20"/>
    </w:rPr>
  </w:style>
  <w:style w:type="paragraph" w:customStyle="1" w:styleId="2263">
    <w:name w:val="标准中文版式_正文"/>
    <w:basedOn w:val="1"/>
    <w:qFormat/>
    <w:uiPriority w:val="0"/>
    <w:pPr>
      <w:spacing w:before="30" w:line="360" w:lineRule="auto"/>
    </w:pPr>
    <w:rPr>
      <w:rFonts w:ascii="Arial" w:hAnsi="Arial"/>
      <w:sz w:val="24"/>
      <w:szCs w:val="20"/>
    </w:rPr>
  </w:style>
  <w:style w:type="paragraph" w:customStyle="1" w:styleId="2264">
    <w:name w:val="10"/>
    <w:basedOn w:val="1"/>
    <w:next w:val="45"/>
    <w:qFormat/>
    <w:uiPriority w:val="0"/>
    <w:pPr>
      <w:spacing w:line="360" w:lineRule="auto"/>
    </w:pPr>
    <w:rPr>
      <w:rFonts w:ascii="宋体" w:hAnsi="Courier New" w:cs="Courier New"/>
      <w:sz w:val="24"/>
      <w:szCs w:val="21"/>
    </w:rPr>
  </w:style>
  <w:style w:type="paragraph" w:customStyle="1" w:styleId="2265">
    <w:name w:val="Char Char Char Char Char Char Char Char Char1"/>
    <w:basedOn w:val="1"/>
    <w:qFormat/>
    <w:uiPriority w:val="0"/>
    <w:pPr>
      <w:spacing w:after="160" w:line="240" w:lineRule="exact"/>
    </w:pPr>
    <w:rPr>
      <w:rFonts w:ascii="Times New Roman" w:hAnsi="Times New Roman"/>
      <w:spacing w:val="-2"/>
      <w:kern w:val="0"/>
      <w:sz w:val="28"/>
      <w:szCs w:val="20"/>
    </w:rPr>
  </w:style>
  <w:style w:type="paragraph" w:customStyle="1" w:styleId="2266">
    <w:name w:val="xl37"/>
    <w:basedOn w:val="1"/>
    <w:qFormat/>
    <w:uiPriority w:val="0"/>
    <w:pPr>
      <w:widowControl/>
      <w:pBdr>
        <w:bottom w:val="single" w:color="auto" w:sz="4" w:space="0"/>
      </w:pBdr>
      <w:spacing w:before="100" w:beforeAutospacing="1" w:after="100" w:afterAutospacing="1"/>
      <w:jc w:val="left"/>
    </w:pPr>
    <w:rPr>
      <w:rFonts w:ascii="Arial Unicode MS" w:hAnsi="Arial Unicode MS" w:eastAsia="Arial Unicode MS" w:cs="Arial Unicode MS"/>
      <w:color w:val="0000FF"/>
      <w:kern w:val="0"/>
      <w:sz w:val="24"/>
      <w:szCs w:val="24"/>
    </w:rPr>
  </w:style>
  <w:style w:type="paragraph" w:customStyle="1" w:styleId="2267">
    <w:name w:val="Char Char12"/>
    <w:basedOn w:val="1"/>
    <w:qFormat/>
    <w:uiPriority w:val="0"/>
    <w:pPr>
      <w:spacing w:line="360" w:lineRule="auto"/>
      <w:ind w:firstLine="200" w:firstLineChars="200"/>
    </w:pPr>
    <w:rPr>
      <w:rFonts w:ascii="宋体" w:hAnsi="宋体" w:cs="宋体"/>
      <w:sz w:val="24"/>
      <w:szCs w:val="24"/>
    </w:rPr>
  </w:style>
  <w:style w:type="paragraph" w:customStyle="1" w:styleId="2268">
    <w:name w:val="报告书表格"/>
    <w:basedOn w:val="1"/>
    <w:qFormat/>
    <w:uiPriority w:val="0"/>
    <w:pPr>
      <w:adjustRightInd w:val="0"/>
      <w:spacing w:line="240" w:lineRule="atLeast"/>
      <w:jc w:val="center"/>
      <w:textAlignment w:val="baseline"/>
    </w:pPr>
    <w:rPr>
      <w:rFonts w:ascii="Times New Roman" w:hAnsi="Times New Roman"/>
      <w:kern w:val="0"/>
      <w:szCs w:val="20"/>
    </w:rPr>
  </w:style>
  <w:style w:type="paragraph" w:customStyle="1" w:styleId="2269">
    <w:name w:val="条"/>
    <w:basedOn w:val="4"/>
    <w:next w:val="7"/>
    <w:qFormat/>
    <w:uiPriority w:val="0"/>
    <w:pPr>
      <w:keepNext w:val="0"/>
      <w:keepLines w:val="0"/>
      <w:widowControl/>
      <w:tabs>
        <w:tab w:val="left" w:pos="983"/>
      </w:tabs>
      <w:spacing w:line="500" w:lineRule="exact"/>
      <w:ind w:left="983" w:hanging="570"/>
      <w:jc w:val="center"/>
      <w:outlineLvl w:val="9"/>
    </w:pPr>
    <w:rPr>
      <w:rFonts w:ascii="黑体"/>
      <w:kern w:val="2"/>
      <w:szCs w:val="24"/>
    </w:rPr>
  </w:style>
  <w:style w:type="paragraph" w:customStyle="1" w:styleId="2270">
    <w:name w:val="HTML 预设格式6"/>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szCs w:val="24"/>
    </w:rPr>
  </w:style>
  <w:style w:type="paragraph" w:customStyle="1" w:styleId="2271">
    <w:name w:val="样式 标题 2标题 21标题 121标题 1.1节标题 1.14.1 + Arial 四号 段前: 0.5 行..."/>
    <w:basedOn w:val="5"/>
    <w:qFormat/>
    <w:uiPriority w:val="0"/>
    <w:pPr>
      <w:spacing w:beforeLines="50"/>
      <w:jc w:val="left"/>
    </w:pPr>
    <w:rPr>
      <w:rFonts w:eastAsia="宋体" w:cs="宋体"/>
      <w:kern w:val="0"/>
      <w:szCs w:val="20"/>
    </w:rPr>
  </w:style>
  <w:style w:type="paragraph" w:customStyle="1" w:styleId="2272">
    <w:name w:val="自动表格内部"/>
    <w:basedOn w:val="1"/>
    <w:qFormat/>
    <w:uiPriority w:val="0"/>
    <w:pPr>
      <w:adjustRightInd w:val="0"/>
      <w:snapToGrid w:val="0"/>
      <w:jc w:val="center"/>
    </w:pPr>
    <w:rPr>
      <w:rFonts w:ascii="Times New Roman" w:hAnsi="Times New Roman"/>
      <w:szCs w:val="21"/>
    </w:rPr>
  </w:style>
  <w:style w:type="paragraph" w:customStyle="1" w:styleId="2273">
    <w:name w:val="正文段落（song1375）"/>
    <w:basedOn w:val="1"/>
    <w:qFormat/>
    <w:uiPriority w:val="0"/>
    <w:pPr>
      <w:spacing w:line="360" w:lineRule="auto"/>
      <w:ind w:firstLine="200" w:firstLineChars="200"/>
      <w:jc w:val="left"/>
    </w:pPr>
    <w:rPr>
      <w:rFonts w:ascii="Times New Roman" w:hAnsi="Times New Roman"/>
      <w:kern w:val="0"/>
      <w:sz w:val="24"/>
      <w:szCs w:val="24"/>
    </w:rPr>
  </w:style>
  <w:style w:type="paragraph" w:customStyle="1" w:styleId="2274">
    <w:name w:val="l_text"/>
    <w:basedOn w:val="1"/>
    <w:qFormat/>
    <w:uiPriority w:val="0"/>
    <w:pPr>
      <w:widowControl/>
      <w:overflowPunct w:val="0"/>
      <w:autoSpaceDE w:val="0"/>
      <w:autoSpaceDN w:val="0"/>
      <w:adjustRightInd w:val="0"/>
      <w:spacing w:line="360" w:lineRule="auto"/>
      <w:ind w:firstLine="567"/>
      <w:textAlignment w:val="baseline"/>
    </w:pPr>
    <w:rPr>
      <w:rFonts w:ascii="Times New Roman" w:hAnsi="Times New Roman"/>
      <w:kern w:val="0"/>
      <w:sz w:val="28"/>
      <w:szCs w:val="20"/>
      <w:lang w:val="en-GB"/>
    </w:rPr>
  </w:style>
  <w:style w:type="paragraph" w:customStyle="1" w:styleId="2275">
    <w:name w:val="正文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2276">
    <w:name w:val="样式 标题 3"/>
    <w:basedOn w:val="1"/>
    <w:qFormat/>
    <w:uiPriority w:val="0"/>
    <w:pPr>
      <w:keepNext/>
      <w:keepLines/>
      <w:spacing w:line="360" w:lineRule="auto"/>
      <w:outlineLvl w:val="2"/>
    </w:pPr>
    <w:rPr>
      <w:rFonts w:ascii="宋体" w:hAnsi="宋体"/>
      <w:bCs/>
      <w:sz w:val="28"/>
      <w:szCs w:val="28"/>
    </w:rPr>
  </w:style>
  <w:style w:type="paragraph" w:customStyle="1" w:styleId="2277">
    <w:name w:val="明显引用5"/>
    <w:basedOn w:val="1"/>
    <w:next w:val="1"/>
    <w:qFormat/>
    <w:uiPriority w:val="0"/>
    <w:pPr>
      <w:widowControl/>
      <w:pBdr>
        <w:bottom w:val="single" w:color="4F81BD" w:sz="4" w:space="4"/>
      </w:pBdr>
      <w:spacing w:before="200" w:after="280" w:line="276" w:lineRule="auto"/>
      <w:ind w:left="936" w:right="936"/>
      <w:jc w:val="left"/>
    </w:pPr>
    <w:rPr>
      <w:b/>
      <w:bCs/>
      <w:i/>
      <w:iCs/>
      <w:color w:val="4F81BD"/>
      <w:kern w:val="0"/>
      <w:sz w:val="22"/>
      <w:szCs w:val="24"/>
      <w:lang w:eastAsia="en-US"/>
    </w:rPr>
  </w:style>
  <w:style w:type="paragraph" w:customStyle="1" w:styleId="2278">
    <w:name w:val="批注主题6"/>
    <w:basedOn w:val="28"/>
    <w:next w:val="28"/>
    <w:qFormat/>
    <w:uiPriority w:val="0"/>
    <w:rPr>
      <w:rFonts w:ascii="Times New Roman" w:hAnsi="Times New Roman"/>
      <w:b/>
      <w:bCs/>
      <w:szCs w:val="24"/>
    </w:rPr>
  </w:style>
  <w:style w:type="paragraph" w:customStyle="1" w:styleId="2279">
    <w:name w:val="样式 列表 2 + 华文仿宋 居中"/>
    <w:basedOn w:val="37"/>
    <w:qFormat/>
    <w:uiPriority w:val="0"/>
    <w:pPr>
      <w:spacing w:line="240" w:lineRule="auto"/>
      <w:ind w:left="0" w:leftChars="0" w:firstLine="0" w:firstLineChars="0"/>
      <w:jc w:val="center"/>
    </w:pPr>
    <w:rPr>
      <w:sz w:val="21"/>
      <w:szCs w:val="21"/>
    </w:rPr>
  </w:style>
  <w:style w:type="paragraph" w:customStyle="1" w:styleId="2280">
    <w:name w:val="正文 New New New New New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2281">
    <w:name w:val="索引标题2"/>
    <w:basedOn w:val="1"/>
    <w:next w:val="2282"/>
    <w:qFormat/>
    <w:uiPriority w:val="0"/>
    <w:rPr>
      <w:rFonts w:ascii="宋体" w:hAnsi="宋体"/>
      <w:w w:val="90"/>
      <w:kern w:val="0"/>
      <w:sz w:val="28"/>
      <w:szCs w:val="24"/>
    </w:rPr>
  </w:style>
  <w:style w:type="paragraph" w:customStyle="1" w:styleId="2282">
    <w:name w:val="索引 1111"/>
    <w:basedOn w:val="1"/>
    <w:next w:val="1"/>
    <w:qFormat/>
    <w:uiPriority w:val="0"/>
    <w:pPr>
      <w:adjustRightInd w:val="0"/>
      <w:spacing w:line="529" w:lineRule="exact"/>
      <w:textAlignment w:val="baseline"/>
    </w:pPr>
    <w:rPr>
      <w:rFonts w:ascii="宋体" w:hAnsi="宋体" w:eastAsia="汉鼎简书宋"/>
      <w:kern w:val="0"/>
      <w:sz w:val="24"/>
      <w:szCs w:val="20"/>
    </w:rPr>
  </w:style>
  <w:style w:type="paragraph" w:customStyle="1" w:styleId="2283">
    <w:name w:val="表格内容自定"/>
    <w:basedOn w:val="1"/>
    <w:qFormat/>
    <w:uiPriority w:val="0"/>
    <w:pPr>
      <w:spacing w:line="280" w:lineRule="exact"/>
      <w:jc w:val="center"/>
    </w:pPr>
    <w:rPr>
      <w:rFonts w:ascii="Times New Roman" w:hAnsi="Times New Roman"/>
      <w:kern w:val="0"/>
      <w:sz w:val="18"/>
      <w:szCs w:val="21"/>
    </w:rPr>
  </w:style>
  <w:style w:type="paragraph" w:customStyle="1" w:styleId="2284">
    <w:name w:val="正文首行缩进3"/>
    <w:basedOn w:val="34"/>
    <w:qFormat/>
    <w:uiPriority w:val="0"/>
    <w:pPr>
      <w:spacing w:line="360" w:lineRule="auto"/>
      <w:ind w:firstLine="420" w:firstLineChars="100"/>
    </w:pPr>
  </w:style>
  <w:style w:type="paragraph" w:customStyle="1" w:styleId="2285">
    <w:name w:val="索引 13"/>
    <w:basedOn w:val="1"/>
    <w:next w:val="1"/>
    <w:qFormat/>
    <w:uiPriority w:val="0"/>
    <w:pPr>
      <w:adjustRightInd w:val="0"/>
      <w:spacing w:line="529" w:lineRule="exact"/>
      <w:textAlignment w:val="baseline"/>
    </w:pPr>
    <w:rPr>
      <w:rFonts w:ascii="宋体" w:hAnsi="宋体" w:eastAsia="汉鼎简书宋"/>
      <w:kern w:val="0"/>
      <w:sz w:val="24"/>
      <w:szCs w:val="20"/>
    </w:rPr>
  </w:style>
  <w:style w:type="paragraph" w:customStyle="1" w:styleId="2286">
    <w:name w:val="正文文本缩进 36"/>
    <w:basedOn w:val="1"/>
    <w:qFormat/>
    <w:uiPriority w:val="0"/>
    <w:pPr>
      <w:spacing w:line="540" w:lineRule="exact"/>
      <w:ind w:firstLine="576"/>
    </w:pPr>
    <w:rPr>
      <w:rFonts w:ascii="Times New Roman" w:hAnsi="Times New Roman"/>
      <w:kern w:val="0"/>
      <w:sz w:val="28"/>
      <w:szCs w:val="24"/>
    </w:rPr>
  </w:style>
  <w:style w:type="paragraph" w:customStyle="1" w:styleId="2287">
    <w:name w:val="样式 宋体 13.5 磅 首行缩进:  1.1 厘米 行距: 1.5 倍行距"/>
    <w:basedOn w:val="1"/>
    <w:qFormat/>
    <w:uiPriority w:val="0"/>
    <w:pPr>
      <w:spacing w:line="360" w:lineRule="auto"/>
      <w:ind w:firstLine="560" w:firstLineChars="200"/>
    </w:pPr>
    <w:rPr>
      <w:rFonts w:ascii="Times New Roman" w:hAnsi="Times New Roman"/>
      <w:kern w:val="20"/>
      <w:sz w:val="28"/>
      <w:szCs w:val="20"/>
    </w:rPr>
  </w:style>
  <w:style w:type="paragraph" w:customStyle="1" w:styleId="2288">
    <w:name w:val="dxj标题4"/>
    <w:basedOn w:val="7"/>
    <w:qFormat/>
    <w:uiPriority w:val="0"/>
    <w:pPr>
      <w:jc w:val="left"/>
    </w:pPr>
    <w:rPr>
      <w:rFonts w:eastAsia="Times New Roman"/>
    </w:rPr>
  </w:style>
  <w:style w:type="paragraph" w:customStyle="1" w:styleId="2289">
    <w:name w:val="xl632"/>
    <w:basedOn w:val="1"/>
    <w:qFormat/>
    <w:uiPriority w:val="0"/>
    <w:pPr>
      <w:widowControl/>
      <w:pBdr>
        <w:left w:val="single" w:color="auto" w:sz="12" w:space="0"/>
        <w:bottom w:val="single" w:color="auto" w:sz="8" w:space="0"/>
        <w:right w:val="single" w:color="auto" w:sz="8" w:space="0"/>
      </w:pBdr>
      <w:spacing w:before="100" w:beforeAutospacing="1" w:after="100" w:afterAutospacing="1"/>
      <w:jc w:val="center"/>
    </w:pPr>
    <w:rPr>
      <w:rFonts w:ascii="宋体" w:hAnsi="宋体" w:cs="宋体"/>
      <w:b/>
      <w:bCs/>
      <w:kern w:val="0"/>
      <w:szCs w:val="21"/>
    </w:rPr>
  </w:style>
  <w:style w:type="paragraph" w:customStyle="1" w:styleId="2290">
    <w:name w:val="图表2"/>
    <w:basedOn w:val="1"/>
    <w:qFormat/>
    <w:uiPriority w:val="0"/>
    <w:pPr>
      <w:widowControl/>
      <w:overflowPunct w:val="0"/>
      <w:autoSpaceDE w:val="0"/>
      <w:autoSpaceDN w:val="0"/>
      <w:adjustRightInd w:val="0"/>
      <w:spacing w:after="60"/>
      <w:jc w:val="center"/>
      <w:textAlignment w:val="baseline"/>
    </w:pPr>
    <w:rPr>
      <w:rFonts w:ascii="宋体" w:hAnsi="Times New Roman"/>
      <w:kern w:val="28"/>
      <w:sz w:val="20"/>
      <w:szCs w:val="20"/>
    </w:rPr>
  </w:style>
  <w:style w:type="paragraph" w:customStyle="1" w:styleId="2291">
    <w:name w:val="reader-word-layer reader-word-s2-5"/>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292">
    <w:name w:val="正文15"/>
    <w:basedOn w:val="34"/>
    <w:qFormat/>
    <w:uiPriority w:val="0"/>
    <w:pPr>
      <w:spacing w:after="0" w:line="360" w:lineRule="auto"/>
      <w:ind w:firstLine="200" w:firstLineChars="200"/>
    </w:pPr>
    <w:rPr>
      <w:rFonts w:ascii="Times New Roman" w:hAnsi="Times New Roman"/>
      <w:sz w:val="24"/>
      <w:szCs w:val="24"/>
    </w:rPr>
  </w:style>
  <w:style w:type="paragraph" w:customStyle="1" w:styleId="2293">
    <w:name w:val="称呼4"/>
    <w:basedOn w:val="1"/>
    <w:next w:val="1"/>
    <w:qFormat/>
    <w:uiPriority w:val="0"/>
    <w:rPr>
      <w:rFonts w:ascii="Times New Roman" w:hAnsi="Times New Roman"/>
      <w:kern w:val="0"/>
      <w:sz w:val="20"/>
      <w:szCs w:val="24"/>
    </w:rPr>
  </w:style>
  <w:style w:type="paragraph" w:customStyle="1" w:styleId="2294">
    <w:name w:val="注释标题3"/>
    <w:basedOn w:val="1"/>
    <w:next w:val="1"/>
    <w:qFormat/>
    <w:uiPriority w:val="0"/>
    <w:pPr>
      <w:jc w:val="center"/>
    </w:pPr>
    <w:rPr>
      <w:rFonts w:ascii="Times New Roman" w:hAnsi="Times New Roman"/>
      <w:kern w:val="0"/>
      <w:sz w:val="28"/>
      <w:szCs w:val="24"/>
      <w:lang w:val="zh-CN"/>
    </w:rPr>
  </w:style>
  <w:style w:type="paragraph" w:customStyle="1" w:styleId="2295">
    <w:name w:val="样式 首行缩进:  1 厘米"/>
    <w:basedOn w:val="1"/>
    <w:qFormat/>
    <w:uiPriority w:val="0"/>
    <w:pPr>
      <w:topLinePunct/>
      <w:spacing w:line="520" w:lineRule="exact"/>
      <w:ind w:firstLine="567"/>
    </w:pPr>
    <w:rPr>
      <w:rFonts w:ascii="Times New Roman" w:hAnsi="Times New Roman" w:eastAsia="仿宋_GB2312"/>
      <w:sz w:val="28"/>
      <w:szCs w:val="28"/>
    </w:rPr>
  </w:style>
  <w:style w:type="paragraph" w:customStyle="1" w:styleId="2296">
    <w:name w:val="样式 正文 + 首行缩进:  2 字符 + 宋体 四号 首行缩进:  2 字符"/>
    <w:basedOn w:val="1"/>
    <w:qFormat/>
    <w:uiPriority w:val="0"/>
    <w:pPr>
      <w:spacing w:line="480" w:lineRule="exact"/>
      <w:ind w:firstLine="200" w:firstLineChars="200"/>
    </w:pPr>
    <w:rPr>
      <w:rFonts w:ascii="宋体" w:hAnsi="宋体" w:cs="宋体"/>
      <w:sz w:val="28"/>
      <w:szCs w:val="20"/>
    </w:rPr>
  </w:style>
  <w:style w:type="paragraph" w:customStyle="1" w:styleId="2297">
    <w:name w:val="et24"/>
    <w:basedOn w:val="1"/>
    <w:qFormat/>
    <w:uiPriority w:val="0"/>
    <w:pPr>
      <w:widowControl/>
      <w:spacing w:before="100" w:beforeAutospacing="1" w:after="100" w:afterAutospacing="1"/>
      <w:jc w:val="left"/>
      <w:textAlignment w:val="bottom"/>
    </w:pPr>
    <w:rPr>
      <w:rFonts w:ascii="宋体" w:hAnsi="宋体" w:cs="宋体"/>
      <w:color w:val="000000"/>
      <w:kern w:val="0"/>
      <w:sz w:val="24"/>
      <w:szCs w:val="24"/>
    </w:rPr>
  </w:style>
  <w:style w:type="paragraph" w:customStyle="1" w:styleId="2298">
    <w:name w:val="xl53"/>
    <w:basedOn w:val="1"/>
    <w:qFormat/>
    <w:uiPriority w:val="0"/>
    <w:pPr>
      <w:widowControl/>
      <w:pBdr>
        <w:bottom w:val="double" w:color="auto" w:sz="6" w:space="0"/>
      </w:pBdr>
      <w:spacing w:before="100" w:beforeAutospacing="1" w:after="100" w:afterAutospacing="1"/>
      <w:jc w:val="right"/>
      <w:textAlignment w:val="center"/>
    </w:pPr>
    <w:rPr>
      <w:rFonts w:ascii="宋体" w:hAnsi="宋体"/>
      <w:kern w:val="0"/>
      <w:sz w:val="24"/>
      <w:szCs w:val="24"/>
    </w:rPr>
  </w:style>
  <w:style w:type="paragraph" w:customStyle="1" w:styleId="2299">
    <w:name w:val="1111111111111"/>
    <w:basedOn w:val="1"/>
    <w:qFormat/>
    <w:uiPriority w:val="0"/>
    <w:pPr>
      <w:spacing w:line="360" w:lineRule="auto"/>
      <w:ind w:firstLine="480" w:firstLineChars="200"/>
    </w:pPr>
    <w:rPr>
      <w:rFonts w:ascii="仿宋_GB2312" w:hAnsi="宋体" w:eastAsia="仿宋_GB2312"/>
      <w:sz w:val="24"/>
      <w:szCs w:val="24"/>
    </w:rPr>
  </w:style>
  <w:style w:type="paragraph" w:customStyle="1" w:styleId="2300">
    <w:name w:val="Char Char Char Char Char Char Char Char Char Char Char Char Char Char Char Char Char Char Char Char Char Char3"/>
    <w:basedOn w:val="1"/>
    <w:next w:val="1"/>
    <w:qFormat/>
    <w:uiPriority w:val="0"/>
    <w:pPr>
      <w:spacing w:line="360" w:lineRule="auto"/>
      <w:ind w:firstLine="200" w:firstLineChars="200"/>
    </w:pPr>
    <w:rPr>
      <w:rFonts w:ascii="宋体" w:hAnsi="宋体" w:cs="宋体"/>
      <w:sz w:val="24"/>
      <w:szCs w:val="24"/>
    </w:rPr>
  </w:style>
  <w:style w:type="paragraph" w:customStyle="1" w:styleId="2301">
    <w:name w:val="样式 标题 2节H2（一）Underrubrik1prop2Heading 2 HiddenHeading 2 C...5"/>
    <w:basedOn w:val="5"/>
    <w:qFormat/>
    <w:uiPriority w:val="0"/>
    <w:pPr>
      <w:tabs>
        <w:tab w:val="left" w:pos="720"/>
      </w:tabs>
      <w:adjustRightInd w:val="0"/>
      <w:snapToGrid w:val="0"/>
      <w:ind w:left="397" w:hanging="397"/>
    </w:pPr>
    <w:rPr>
      <w:rFonts w:hAnsi="宋体" w:eastAsia="宋体"/>
      <w:b w:val="0"/>
      <w:color w:val="FF0000"/>
      <w:spacing w:val="-2"/>
      <w:sz w:val="30"/>
      <w:szCs w:val="20"/>
    </w:rPr>
  </w:style>
  <w:style w:type="paragraph" w:customStyle="1" w:styleId="2302">
    <w:name w:val="列表接续 22"/>
    <w:basedOn w:val="1"/>
    <w:qFormat/>
    <w:uiPriority w:val="0"/>
    <w:pPr>
      <w:spacing w:after="120"/>
      <w:ind w:left="840" w:leftChars="400"/>
    </w:pPr>
    <w:rPr>
      <w:rFonts w:ascii="宋体" w:hAnsi="宋体"/>
      <w:kern w:val="0"/>
      <w:sz w:val="24"/>
      <w:szCs w:val="24"/>
    </w:rPr>
  </w:style>
  <w:style w:type="paragraph" w:customStyle="1" w:styleId="2303">
    <w:name w:val="图表标题"/>
    <w:basedOn w:val="1"/>
    <w:next w:val="283"/>
    <w:qFormat/>
    <w:uiPriority w:val="0"/>
    <w:pPr>
      <w:widowControl/>
      <w:spacing w:line="360" w:lineRule="auto"/>
      <w:ind w:firstLine="200" w:firstLineChars="200"/>
      <w:jc w:val="center"/>
    </w:pPr>
    <w:rPr>
      <w:rFonts w:ascii="宋体" w:hAnsi="宋体"/>
      <w:b/>
      <w:snapToGrid w:val="0"/>
      <w:kern w:val="0"/>
      <w:szCs w:val="24"/>
    </w:rPr>
  </w:style>
  <w:style w:type="paragraph" w:customStyle="1" w:styleId="2304">
    <w:name w:val="正文 New New New New New New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2305">
    <w:name w:val="日期8"/>
    <w:basedOn w:val="1"/>
    <w:next w:val="1"/>
    <w:qFormat/>
    <w:uiPriority w:val="0"/>
    <w:pPr>
      <w:autoSpaceDE w:val="0"/>
      <w:autoSpaceDN w:val="0"/>
      <w:adjustRightInd w:val="0"/>
      <w:textAlignment w:val="baseline"/>
    </w:pPr>
    <w:rPr>
      <w:rFonts w:ascii="Times New Roman" w:hAnsi="Times New Roman"/>
      <w:spacing w:val="5"/>
      <w:kern w:val="0"/>
      <w:sz w:val="24"/>
      <w:szCs w:val="20"/>
    </w:rPr>
  </w:style>
  <w:style w:type="paragraph" w:customStyle="1" w:styleId="2306">
    <w:name w:val="样式 样式 样式 样式 样式 样式 样式 123 + 自动设置 首行缩进:  2 字符 + 首行缩进:  2 字符 + 黑色 首... Char"/>
    <w:basedOn w:val="1"/>
    <w:qFormat/>
    <w:uiPriority w:val="0"/>
    <w:pPr>
      <w:widowControl/>
      <w:tabs>
        <w:tab w:val="left" w:pos="352"/>
      </w:tabs>
      <w:overflowPunct w:val="0"/>
      <w:autoSpaceDE w:val="0"/>
      <w:autoSpaceDN w:val="0"/>
      <w:adjustRightInd w:val="0"/>
      <w:snapToGrid w:val="0"/>
      <w:spacing w:line="460" w:lineRule="exact"/>
      <w:ind w:firstLine="560" w:firstLineChars="200"/>
      <w:textAlignment w:val="bottom"/>
    </w:pPr>
    <w:rPr>
      <w:rFonts w:ascii="Times New Roman" w:hAnsi="Times New Roman" w:cs="宋体"/>
      <w:kern w:val="0"/>
      <w:sz w:val="28"/>
      <w:szCs w:val="28"/>
    </w:rPr>
  </w:style>
  <w:style w:type="paragraph" w:customStyle="1" w:styleId="2307">
    <w:name w:val="环科院表格标题"/>
    <w:basedOn w:val="1"/>
    <w:qFormat/>
    <w:uiPriority w:val="0"/>
    <w:pPr>
      <w:ind w:firstLine="420"/>
      <w:jc w:val="center"/>
    </w:pPr>
    <w:rPr>
      <w:rFonts w:ascii="Times New Roman" w:hAnsi="Times New Roman"/>
      <w:b/>
      <w:szCs w:val="21"/>
    </w:rPr>
  </w:style>
  <w:style w:type="paragraph" w:customStyle="1" w:styleId="2308">
    <w:name w:val="Char Char2 Char Char"/>
    <w:basedOn w:val="1"/>
    <w:qFormat/>
    <w:uiPriority w:val="0"/>
    <w:pPr>
      <w:widowControl/>
      <w:spacing w:after="160" w:line="240" w:lineRule="exact"/>
      <w:jc w:val="left"/>
    </w:pPr>
    <w:rPr>
      <w:rFonts w:ascii="Times New Roman" w:hAnsi="Times New Roman"/>
      <w:szCs w:val="20"/>
    </w:rPr>
  </w:style>
  <w:style w:type="paragraph" w:customStyle="1" w:styleId="2309">
    <w:name w:val="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310">
    <w:name w:val="样式 正文缩进 + 首行缩进:  2 字符"/>
    <w:basedOn w:val="2"/>
    <w:qFormat/>
    <w:uiPriority w:val="0"/>
    <w:pPr>
      <w:overflowPunct w:val="0"/>
      <w:autoSpaceDE w:val="0"/>
      <w:autoSpaceDN w:val="0"/>
      <w:spacing w:line="360" w:lineRule="auto"/>
      <w:ind w:firstLine="480" w:firstLineChars="200"/>
      <w:textAlignment w:val="bottom"/>
    </w:pPr>
    <w:rPr>
      <w:rFonts w:ascii="宋体" w:hAnsi="宋体" w:cs="宋体"/>
      <w:kern w:val="0"/>
      <w:sz w:val="24"/>
    </w:rPr>
  </w:style>
  <w:style w:type="paragraph" w:customStyle="1" w:styleId="2311">
    <w:name w:val="页脚 New New"/>
    <w:basedOn w:val="1"/>
    <w:qFormat/>
    <w:uiPriority w:val="0"/>
    <w:pPr>
      <w:tabs>
        <w:tab w:val="center" w:pos="4153"/>
        <w:tab w:val="right" w:pos="8306"/>
      </w:tabs>
      <w:snapToGrid w:val="0"/>
      <w:jc w:val="left"/>
    </w:pPr>
    <w:rPr>
      <w:rFonts w:ascii="Times New Roman" w:hAnsi="Times New Roman"/>
      <w:spacing w:val="-2"/>
      <w:kern w:val="0"/>
      <w:sz w:val="18"/>
      <w:szCs w:val="18"/>
    </w:rPr>
  </w:style>
  <w:style w:type="paragraph" w:customStyle="1" w:styleId="2312">
    <w:name w:val="潘小桃2"/>
    <w:basedOn w:val="5"/>
    <w:qFormat/>
    <w:uiPriority w:val="0"/>
    <w:pPr>
      <w:spacing w:before="156" w:beforeLines="50" w:after="156" w:afterLines="50"/>
    </w:pPr>
    <w:rPr>
      <w:rFonts w:hAnsi="宋体" w:eastAsia="宋体"/>
      <w:bCs w:val="0"/>
      <w:sz w:val="30"/>
      <w:szCs w:val="20"/>
    </w:rPr>
  </w:style>
  <w:style w:type="paragraph" w:customStyle="1" w:styleId="2313">
    <w:name w:val="TOC 标题2"/>
    <w:basedOn w:val="4"/>
    <w:next w:val="1"/>
    <w:unhideWhenUsed/>
    <w:qFormat/>
    <w:uiPriority w:val="0"/>
    <w:pPr>
      <w:spacing w:line="578" w:lineRule="auto"/>
      <w:ind w:firstLine="200" w:firstLineChars="200"/>
      <w:outlineLvl w:val="9"/>
    </w:pPr>
  </w:style>
  <w:style w:type="paragraph" w:customStyle="1" w:styleId="2314">
    <w:name w:val="无间隔3"/>
    <w:qFormat/>
    <w:uiPriority w:val="0"/>
    <w:rPr>
      <w:rFonts w:ascii="Calibri" w:hAnsi="Calibri" w:eastAsia="宋体" w:cs="Times New Roman"/>
      <w:kern w:val="2"/>
      <w:sz w:val="22"/>
      <w:szCs w:val="22"/>
      <w:lang w:val="en-US" w:eastAsia="zh-CN" w:bidi="ar-SA"/>
    </w:rPr>
  </w:style>
  <w:style w:type="paragraph" w:customStyle="1" w:styleId="2315">
    <w:name w:val="索引标题4"/>
    <w:basedOn w:val="1"/>
    <w:next w:val="2285"/>
    <w:qFormat/>
    <w:uiPriority w:val="0"/>
    <w:rPr>
      <w:rFonts w:ascii="宋体" w:hAnsi="宋体"/>
      <w:w w:val="90"/>
      <w:kern w:val="0"/>
      <w:sz w:val="28"/>
      <w:szCs w:val="24"/>
    </w:rPr>
  </w:style>
  <w:style w:type="paragraph" w:customStyle="1" w:styleId="2316">
    <w:name w:val="et41"/>
    <w:basedOn w:val="1"/>
    <w:qFormat/>
    <w:uiPriority w:val="0"/>
    <w:pPr>
      <w:widowControl/>
      <w:spacing w:before="100" w:beforeAutospacing="1" w:after="100" w:afterAutospacing="1"/>
      <w:jc w:val="left"/>
      <w:textAlignment w:val="bottom"/>
    </w:pPr>
    <w:rPr>
      <w:rFonts w:ascii="Times New Roman" w:hAnsi="Times New Roman"/>
      <w:color w:val="000000"/>
      <w:kern w:val="0"/>
      <w:sz w:val="24"/>
      <w:szCs w:val="24"/>
    </w:rPr>
  </w:style>
  <w:style w:type="paragraph" w:customStyle="1" w:styleId="2317">
    <w:name w:val="point"/>
    <w:basedOn w:val="1"/>
    <w:qFormat/>
    <w:uiPriority w:val="0"/>
    <w:pPr>
      <w:tabs>
        <w:tab w:val="left" w:pos="840"/>
      </w:tabs>
      <w:ind w:left="992" w:hanging="677"/>
    </w:pPr>
    <w:rPr>
      <w:rFonts w:ascii="Times New Roman" w:hAnsi="Times New Roman"/>
      <w:sz w:val="28"/>
      <w:szCs w:val="20"/>
    </w:rPr>
  </w:style>
  <w:style w:type="paragraph" w:customStyle="1" w:styleId="2318">
    <w:name w:val="reader-word-layer reader-word-s2-7"/>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319">
    <w:name w:val="m3"/>
    <w:basedOn w:val="1"/>
    <w:qFormat/>
    <w:uiPriority w:val="0"/>
    <w:pPr>
      <w:widowControl/>
      <w:overflowPunct w:val="0"/>
      <w:autoSpaceDE w:val="0"/>
      <w:autoSpaceDN w:val="0"/>
      <w:adjustRightInd w:val="0"/>
      <w:spacing w:before="120" w:line="312" w:lineRule="auto"/>
      <w:textAlignment w:val="baseline"/>
    </w:pPr>
    <w:rPr>
      <w:rFonts w:ascii="仿宋体" w:hAnsi="Times New Roman" w:eastAsia="仿宋体"/>
      <w:spacing w:val="-14"/>
      <w:kern w:val="0"/>
      <w:sz w:val="28"/>
      <w:szCs w:val="20"/>
    </w:rPr>
  </w:style>
  <w:style w:type="paragraph" w:customStyle="1" w:styleId="2320">
    <w:name w:val="reader-word-layer reader-word-s5-6"/>
    <w:basedOn w:val="1"/>
    <w:qFormat/>
    <w:uiPriority w:val="0"/>
    <w:pPr>
      <w:widowControl/>
      <w:spacing w:before="100" w:beforeAutospacing="1" w:after="100" w:afterAutospacing="1"/>
      <w:jc w:val="left"/>
    </w:pPr>
    <w:rPr>
      <w:rFonts w:ascii="宋体" w:hAnsi="宋体" w:cs="宋体"/>
      <w:spacing w:val="-2"/>
      <w:kern w:val="0"/>
      <w:sz w:val="24"/>
      <w:szCs w:val="20"/>
    </w:rPr>
  </w:style>
  <w:style w:type="paragraph" w:customStyle="1" w:styleId="2321">
    <w:name w:val="样式 首行缩进:  0 字符"/>
    <w:basedOn w:val="1"/>
    <w:qFormat/>
    <w:uiPriority w:val="0"/>
    <w:pPr>
      <w:spacing w:line="500" w:lineRule="exact"/>
      <w:ind w:firstLine="200" w:firstLineChars="200"/>
    </w:pPr>
    <w:rPr>
      <w:rFonts w:cs="宋体"/>
      <w:sz w:val="28"/>
      <w:szCs w:val="20"/>
    </w:rPr>
  </w:style>
  <w:style w:type="paragraph" w:customStyle="1" w:styleId="2322">
    <w:name w:val="无划线页眉"/>
    <w:basedOn w:val="57"/>
    <w:qFormat/>
    <w:uiPriority w:val="0"/>
    <w:pPr>
      <w:pBdr>
        <w:bottom w:val="none" w:color="auto" w:sz="0" w:space="0"/>
      </w:pBdr>
      <w:jc w:val="both"/>
    </w:pPr>
    <w:rPr>
      <w:rFonts w:ascii="仿宋_GB2312" w:hAnsi="Times New Roman" w:eastAsia="仿宋_GB2312"/>
      <w:kern w:val="0"/>
      <w:sz w:val="21"/>
      <w:szCs w:val="21"/>
    </w:rPr>
  </w:style>
  <w:style w:type="paragraph" w:customStyle="1" w:styleId="2323">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0"/>
      <w:szCs w:val="20"/>
    </w:rPr>
  </w:style>
  <w:style w:type="paragraph" w:customStyle="1" w:styleId="2324">
    <w:name w:val="应急预案三级标题"/>
    <w:basedOn w:val="6"/>
    <w:qFormat/>
    <w:uiPriority w:val="0"/>
    <w:pPr>
      <w:numPr>
        <w:ilvl w:val="0"/>
        <w:numId w:val="0"/>
      </w:numPr>
      <w:adjustRightInd w:val="0"/>
      <w:snapToGrid w:val="0"/>
      <w:spacing w:before="260" w:after="260" w:line="416" w:lineRule="auto"/>
      <w:ind w:left="1740" w:firstLine="148" w:firstLineChars="49"/>
    </w:pPr>
    <w:rPr>
      <w:rFonts w:ascii="仿宋_GB2312" w:hAnsi="仿宋_GB2312" w:eastAsia="仿宋_GB2312" w:cs="宋体"/>
      <w:b w:val="0"/>
      <w:kern w:val="0"/>
      <w:sz w:val="30"/>
      <w:szCs w:val="20"/>
    </w:rPr>
  </w:style>
  <w:style w:type="paragraph" w:customStyle="1" w:styleId="2325">
    <w:name w:val="Char4 Char Char Char1"/>
    <w:basedOn w:val="1"/>
    <w:qFormat/>
    <w:uiPriority w:val="0"/>
    <w:pPr>
      <w:adjustRightInd w:val="0"/>
      <w:snapToGrid w:val="0"/>
      <w:spacing w:line="360" w:lineRule="auto"/>
      <w:ind w:firstLine="200" w:firstLineChars="200"/>
    </w:pPr>
    <w:rPr>
      <w:rFonts w:ascii="宋体" w:hAnsi="宋体" w:cs="宋体"/>
      <w:sz w:val="24"/>
      <w:szCs w:val="26"/>
    </w:rPr>
  </w:style>
  <w:style w:type="paragraph" w:customStyle="1" w:styleId="2326">
    <w:name w:val="样式 样式 样式 样式2 + 首行缩进:  2 字符 + 首行缩进:  2 字符 + 首行缩进:  2 字符"/>
    <w:basedOn w:val="1"/>
    <w:qFormat/>
    <w:uiPriority w:val="0"/>
    <w:pPr>
      <w:autoSpaceDE w:val="0"/>
      <w:autoSpaceDN w:val="0"/>
      <w:adjustRightInd w:val="0"/>
      <w:spacing w:line="420" w:lineRule="auto"/>
      <w:ind w:firstLine="480" w:firstLineChars="200"/>
    </w:pPr>
    <w:rPr>
      <w:rFonts w:ascii="宋体" w:hAnsi="Times New Roman"/>
      <w:kern w:val="0"/>
      <w:sz w:val="24"/>
      <w:szCs w:val="24"/>
    </w:rPr>
  </w:style>
  <w:style w:type="paragraph" w:customStyle="1" w:styleId="2327">
    <w:name w:val="正文样式"/>
    <w:basedOn w:val="1"/>
    <w:qFormat/>
    <w:uiPriority w:val="0"/>
    <w:pPr>
      <w:spacing w:line="360" w:lineRule="auto"/>
      <w:ind w:firstLine="480" w:firstLineChars="200"/>
    </w:pPr>
    <w:rPr>
      <w:rFonts w:ascii="宋体" w:hAnsi="宋体"/>
      <w:color w:val="000000"/>
      <w:sz w:val="24"/>
      <w:szCs w:val="24"/>
    </w:rPr>
  </w:style>
  <w:style w:type="paragraph" w:customStyle="1" w:styleId="2328">
    <w:name w:val="报告表正文"/>
    <w:basedOn w:val="1"/>
    <w:qFormat/>
    <w:uiPriority w:val="0"/>
    <w:pPr>
      <w:adjustRightInd w:val="0"/>
      <w:spacing w:line="300" w:lineRule="auto"/>
      <w:ind w:left="113" w:right="113"/>
      <w:textAlignment w:val="baseline"/>
    </w:pPr>
    <w:rPr>
      <w:rFonts w:ascii="Times New Roman" w:hAnsi="Times New Roman"/>
      <w:kern w:val="0"/>
      <w:sz w:val="24"/>
      <w:szCs w:val="20"/>
    </w:rPr>
  </w:style>
  <w:style w:type="paragraph" w:customStyle="1" w:styleId="2329">
    <w:name w:val="二级条标题"/>
    <w:basedOn w:val="1"/>
    <w:next w:val="1"/>
    <w:qFormat/>
    <w:uiPriority w:val="0"/>
    <w:pPr>
      <w:widowControl/>
      <w:tabs>
        <w:tab w:val="left" w:pos="2152"/>
      </w:tabs>
      <w:ind w:hanging="420"/>
      <w:outlineLvl w:val="3"/>
    </w:pPr>
    <w:rPr>
      <w:rFonts w:ascii="黑体" w:hAnsi="Times New Roman" w:eastAsia="黑体"/>
      <w:kern w:val="0"/>
      <w:szCs w:val="20"/>
    </w:rPr>
  </w:style>
  <w:style w:type="paragraph" w:customStyle="1" w:styleId="2330">
    <w:name w:val="样式 正文 + 宋体"/>
    <w:basedOn w:val="1"/>
    <w:qFormat/>
    <w:uiPriority w:val="0"/>
    <w:pPr>
      <w:widowControl/>
      <w:overflowPunct w:val="0"/>
      <w:spacing w:line="500" w:lineRule="exact"/>
      <w:ind w:firstLine="539"/>
    </w:pPr>
    <w:rPr>
      <w:rFonts w:ascii="Times New Roman" w:hAnsi="Times New Roman" w:cs="Arial"/>
      <w:spacing w:val="-2"/>
      <w:kern w:val="0"/>
      <w:sz w:val="28"/>
      <w:szCs w:val="28"/>
    </w:rPr>
  </w:style>
  <w:style w:type="paragraph" w:customStyle="1" w:styleId="2331">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Arial Unicode MS"/>
      <w:kern w:val="0"/>
      <w:szCs w:val="21"/>
    </w:rPr>
  </w:style>
  <w:style w:type="paragraph" w:customStyle="1" w:styleId="2332">
    <w:name w:val="Char Char Char Char Char Char Char Char Char Char Char Char Char Char Char Char Char Char3"/>
    <w:basedOn w:val="1"/>
    <w:qFormat/>
    <w:uiPriority w:val="0"/>
    <w:rPr>
      <w:rFonts w:ascii="Times New Roman" w:hAnsi="Times New Roman"/>
      <w:sz w:val="24"/>
      <w:szCs w:val="24"/>
    </w:rPr>
  </w:style>
  <w:style w:type="paragraph" w:customStyle="1" w:styleId="2333">
    <w:name w:val="Char1 Char Char Char Char Char Char11"/>
    <w:basedOn w:val="4"/>
    <w:qFormat/>
    <w:uiPriority w:val="0"/>
    <w:pPr>
      <w:keepLines w:val="0"/>
      <w:autoSpaceDE w:val="0"/>
      <w:autoSpaceDN w:val="0"/>
      <w:adjustRightInd w:val="0"/>
      <w:snapToGrid w:val="0"/>
      <w:spacing w:before="312" w:beforeLines="100" w:after="312" w:afterLines="100" w:line="480" w:lineRule="auto"/>
    </w:pPr>
    <w:rPr>
      <w:rFonts w:ascii="宋体" w:hAnsi="宋体"/>
      <w:bCs w:val="0"/>
      <w:color w:val="FF0000"/>
      <w:kern w:val="2"/>
      <w:sz w:val="32"/>
      <w:szCs w:val="24"/>
    </w:rPr>
  </w:style>
  <w:style w:type="paragraph" w:customStyle="1" w:styleId="2334">
    <w:name w:val="reader-word-layer reader-word-s1-19"/>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335">
    <w:name w:val="9"/>
    <w:basedOn w:val="1"/>
    <w:next w:val="2"/>
    <w:qFormat/>
    <w:uiPriority w:val="0"/>
    <w:pPr>
      <w:adjustRightInd w:val="0"/>
      <w:spacing w:line="360" w:lineRule="atLeast"/>
      <w:ind w:firstLine="420"/>
      <w:jc w:val="left"/>
      <w:textAlignment w:val="baseline"/>
    </w:pPr>
    <w:rPr>
      <w:rFonts w:ascii="Times New Roman" w:hAnsi="Times New Roman"/>
      <w:kern w:val="0"/>
      <w:sz w:val="24"/>
      <w:szCs w:val="20"/>
    </w:rPr>
  </w:style>
  <w:style w:type="paragraph" w:customStyle="1" w:styleId="2336">
    <w:name w:val="et65"/>
    <w:basedOn w:val="1"/>
    <w:qFormat/>
    <w:uiPriority w:val="0"/>
    <w:pPr>
      <w:widowControl/>
      <w:spacing w:before="100" w:beforeAutospacing="1" w:after="100" w:afterAutospacing="1"/>
      <w:jc w:val="left"/>
      <w:textAlignment w:val="bottom"/>
    </w:pPr>
    <w:rPr>
      <w:rFonts w:ascii="Times New Roman" w:hAnsi="Times New Roman"/>
      <w:color w:val="000000"/>
      <w:kern w:val="0"/>
      <w:sz w:val="24"/>
      <w:szCs w:val="24"/>
    </w:rPr>
  </w:style>
  <w:style w:type="paragraph" w:customStyle="1" w:styleId="2337">
    <w:name w:val="表格 23"/>
    <w:basedOn w:val="1"/>
    <w:qFormat/>
    <w:uiPriority w:val="0"/>
    <w:pPr>
      <w:autoSpaceDE w:val="0"/>
      <w:autoSpaceDN w:val="0"/>
      <w:adjustRightInd w:val="0"/>
      <w:jc w:val="center"/>
      <w:textAlignment w:val="baseline"/>
    </w:pPr>
    <w:rPr>
      <w:rFonts w:ascii="Times New Roman" w:hAnsi="Times New Roman" w:eastAsia="仿宋体"/>
      <w:kern w:val="0"/>
      <w:szCs w:val="20"/>
    </w:rPr>
  </w:style>
  <w:style w:type="paragraph" w:customStyle="1" w:styleId="2338">
    <w:name w:val="Char111"/>
    <w:basedOn w:val="1"/>
    <w:qFormat/>
    <w:uiPriority w:val="0"/>
    <w:rPr>
      <w:rFonts w:ascii="Times New Roman" w:hAnsi="Times New Roman"/>
      <w:szCs w:val="24"/>
    </w:rPr>
  </w:style>
  <w:style w:type="paragraph" w:customStyle="1" w:styleId="2339">
    <w:name w:val="xl35"/>
    <w:basedOn w:val="1"/>
    <w:qFormat/>
    <w:uiPriority w:val="0"/>
    <w:pPr>
      <w:widowControl/>
      <w:spacing w:before="100" w:beforeAutospacing="1" w:after="100" w:afterAutospacing="1"/>
      <w:jc w:val="left"/>
    </w:pPr>
    <w:rPr>
      <w:rFonts w:ascii="Arial Unicode MS" w:hAnsi="Arial Unicode MS" w:eastAsia="Arial Unicode MS" w:cs="Arial Unicode MS"/>
      <w:color w:val="0000FF"/>
      <w:kern w:val="0"/>
      <w:sz w:val="24"/>
      <w:szCs w:val="24"/>
    </w:rPr>
  </w:style>
  <w:style w:type="paragraph" w:customStyle="1" w:styleId="2340">
    <w:name w:val="注释标题4"/>
    <w:basedOn w:val="1"/>
    <w:next w:val="1"/>
    <w:qFormat/>
    <w:uiPriority w:val="0"/>
    <w:pPr>
      <w:jc w:val="center"/>
    </w:pPr>
  </w:style>
  <w:style w:type="paragraph" w:customStyle="1" w:styleId="2341">
    <w:name w:val="Char Char29"/>
    <w:basedOn w:val="1"/>
    <w:qFormat/>
    <w:uiPriority w:val="0"/>
    <w:pPr>
      <w:tabs>
        <w:tab w:val="left" w:pos="420"/>
      </w:tabs>
      <w:spacing w:line="360" w:lineRule="auto"/>
      <w:ind w:left="420" w:hanging="420"/>
    </w:pPr>
    <w:rPr>
      <w:rFonts w:ascii="宋体" w:hAnsi="宋体" w:cs="宋体"/>
      <w:sz w:val="24"/>
      <w:szCs w:val="24"/>
    </w:rPr>
  </w:style>
  <w:style w:type="paragraph" w:customStyle="1" w:styleId="2342">
    <w:name w:val="et86"/>
    <w:basedOn w:val="1"/>
    <w:qFormat/>
    <w:uiPriority w:val="0"/>
    <w:pPr>
      <w:widowControl/>
      <w:spacing w:before="100" w:beforeAutospacing="1" w:after="100" w:afterAutospacing="1"/>
      <w:jc w:val="left"/>
      <w:textAlignment w:val="bottom"/>
    </w:pPr>
    <w:rPr>
      <w:rFonts w:ascii="Times New Roman" w:hAnsi="Times New Roman"/>
      <w:color w:val="000000"/>
      <w:kern w:val="0"/>
      <w:sz w:val="24"/>
      <w:szCs w:val="24"/>
    </w:rPr>
  </w:style>
  <w:style w:type="paragraph" w:customStyle="1" w:styleId="2343">
    <w:name w:val="正文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2344">
    <w:name w:val="表格内10"/>
    <w:basedOn w:val="1"/>
    <w:next w:val="1"/>
    <w:qFormat/>
    <w:uiPriority w:val="0"/>
    <w:pPr>
      <w:spacing w:beforeLines="5" w:line="324" w:lineRule="auto"/>
      <w:jc w:val="center"/>
    </w:pPr>
    <w:rPr>
      <w:rFonts w:ascii="Times New Roman" w:hAnsi="Times New Roman"/>
      <w:sz w:val="20"/>
      <w:szCs w:val="24"/>
    </w:rPr>
  </w:style>
  <w:style w:type="paragraph" w:customStyle="1" w:styleId="2345">
    <w:name w:val="正文112"/>
    <w:basedOn w:val="35"/>
    <w:qFormat/>
    <w:uiPriority w:val="0"/>
    <w:pPr>
      <w:spacing w:line="440" w:lineRule="exact"/>
    </w:pPr>
  </w:style>
  <w:style w:type="paragraph" w:customStyle="1" w:styleId="2346">
    <w:name w:val="表头文字1"/>
    <w:basedOn w:val="1"/>
    <w:qFormat/>
    <w:uiPriority w:val="0"/>
    <w:pPr>
      <w:spacing w:line="400" w:lineRule="exact"/>
      <w:jc w:val="center"/>
    </w:pPr>
    <w:rPr>
      <w:rFonts w:ascii="宋体" w:hAnsi="宋体"/>
      <w:bCs/>
      <w:sz w:val="24"/>
      <w:szCs w:val="24"/>
    </w:rPr>
  </w:style>
  <w:style w:type="paragraph" w:customStyle="1" w:styleId="2347">
    <w:name w:val="ZW Char Char"/>
    <w:basedOn w:val="1"/>
    <w:qFormat/>
    <w:uiPriority w:val="0"/>
    <w:pPr>
      <w:spacing w:beforeLines="20" w:line="360" w:lineRule="auto"/>
      <w:ind w:firstLine="200" w:firstLineChars="200"/>
    </w:pPr>
    <w:rPr>
      <w:rFonts w:ascii="Times New Roman" w:hAnsi="Times New Roman"/>
      <w:sz w:val="24"/>
      <w:szCs w:val="24"/>
    </w:rPr>
  </w:style>
  <w:style w:type="paragraph" w:customStyle="1" w:styleId="2348">
    <w:name w:val="页脚 New New New New New New New New New New New New New New New New New New"/>
    <w:basedOn w:val="1533"/>
    <w:qFormat/>
    <w:uiPriority w:val="0"/>
    <w:pPr>
      <w:tabs>
        <w:tab w:val="center" w:pos="4153"/>
        <w:tab w:val="right" w:pos="8306"/>
      </w:tabs>
      <w:snapToGrid w:val="0"/>
      <w:jc w:val="left"/>
    </w:pPr>
    <w:rPr>
      <w:sz w:val="18"/>
      <w:szCs w:val="18"/>
    </w:rPr>
  </w:style>
  <w:style w:type="paragraph" w:customStyle="1" w:styleId="2349">
    <w:name w:val="et85"/>
    <w:basedOn w:val="1"/>
    <w:qFormat/>
    <w:uiPriority w:val="0"/>
    <w:pPr>
      <w:widowControl/>
      <w:spacing w:before="100" w:beforeAutospacing="1" w:after="100" w:afterAutospacing="1"/>
      <w:jc w:val="left"/>
      <w:textAlignment w:val="bottom"/>
    </w:pPr>
    <w:rPr>
      <w:rFonts w:ascii="Times New Roman" w:hAnsi="Times New Roman"/>
      <w:color w:val="000000"/>
      <w:kern w:val="0"/>
      <w:sz w:val="24"/>
      <w:szCs w:val="24"/>
    </w:rPr>
  </w:style>
  <w:style w:type="paragraph" w:customStyle="1" w:styleId="2350">
    <w:name w:val="xl102"/>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2351">
    <w:name w:val="标题 3 + Char"/>
    <w:basedOn w:val="6"/>
    <w:qFormat/>
    <w:uiPriority w:val="0"/>
    <w:pPr>
      <w:tabs>
        <w:tab w:val="left" w:pos="525"/>
      </w:tabs>
    </w:pPr>
    <w:rPr>
      <w:color w:val="000000"/>
      <w:szCs w:val="24"/>
    </w:rPr>
  </w:style>
  <w:style w:type="paragraph" w:customStyle="1" w:styleId="2352">
    <w:name w:val="a8"/>
    <w:basedOn w:val="1"/>
    <w:qFormat/>
    <w:uiPriority w:val="0"/>
    <w:pPr>
      <w:widowControl/>
      <w:spacing w:before="100" w:beforeAutospacing="1" w:after="100" w:afterAutospacing="1"/>
      <w:jc w:val="left"/>
    </w:pPr>
    <w:rPr>
      <w:rFonts w:ascii="Arial Unicode MS" w:hAnsi="Arial Unicode MS"/>
      <w:kern w:val="0"/>
      <w:sz w:val="24"/>
      <w:szCs w:val="24"/>
    </w:rPr>
  </w:style>
  <w:style w:type="paragraph" w:customStyle="1" w:styleId="2353">
    <w:name w:val="ZW Char Char Char"/>
    <w:basedOn w:val="1"/>
    <w:qFormat/>
    <w:uiPriority w:val="0"/>
    <w:pPr>
      <w:spacing w:beforeLines="20" w:line="360" w:lineRule="auto"/>
      <w:ind w:firstLine="200" w:firstLineChars="200"/>
    </w:pPr>
    <w:rPr>
      <w:rFonts w:ascii="Times New Roman" w:hAnsi="Times New Roman"/>
      <w:sz w:val="24"/>
      <w:szCs w:val="24"/>
    </w:rPr>
  </w:style>
  <w:style w:type="paragraph" w:customStyle="1" w:styleId="2354">
    <w:name w:val="xl38"/>
    <w:basedOn w:val="1"/>
    <w:qFormat/>
    <w:uiPriority w:val="0"/>
    <w:pPr>
      <w:widowControl/>
      <w:pBdr>
        <w:bottom w:val="single" w:color="auto" w:sz="4" w:space="0"/>
        <w:right w:val="single" w:color="auto" w:sz="4" w:space="0"/>
      </w:pBdr>
      <w:spacing w:before="100" w:beforeAutospacing="1" w:after="100" w:afterAutospacing="1"/>
    </w:pPr>
    <w:rPr>
      <w:rFonts w:ascii="Times New Roman" w:hAnsi="Times New Roman" w:eastAsia="Arial Unicode MS"/>
      <w:kern w:val="0"/>
      <w:szCs w:val="21"/>
    </w:rPr>
  </w:style>
  <w:style w:type="paragraph" w:customStyle="1" w:styleId="2355">
    <w:name w:val="批注主题2"/>
    <w:basedOn w:val="28"/>
    <w:next w:val="28"/>
    <w:qFormat/>
    <w:uiPriority w:val="0"/>
    <w:rPr>
      <w:rFonts w:ascii="Times New Roman" w:hAnsi="Times New Roman"/>
      <w:b/>
      <w:bCs/>
      <w:szCs w:val="24"/>
    </w:rPr>
  </w:style>
  <w:style w:type="paragraph" w:customStyle="1" w:styleId="2356">
    <w:name w:val="xl9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357">
    <w:name w:val="reader-word-layer reader-word-s5-4"/>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358">
    <w:name w:val="样式 样式 表头 + 段前: 0.5 行 行距: 1.5 倍行距 + 段前: 0.5 行1"/>
    <w:basedOn w:val="1833"/>
    <w:qFormat/>
    <w:uiPriority w:val="0"/>
    <w:pPr>
      <w:spacing w:before="120" w:beforeLines="0"/>
      <w:jc w:val="center"/>
    </w:pPr>
    <w:rPr>
      <w:kern w:val="0"/>
      <w:sz w:val="24"/>
      <w:szCs w:val="22"/>
    </w:rPr>
  </w:style>
  <w:style w:type="paragraph" w:customStyle="1" w:styleId="2359">
    <w:name w:val="普通(网站)5"/>
    <w:basedOn w:val="1"/>
    <w:qFormat/>
    <w:uiPriority w:val="0"/>
    <w:pPr>
      <w:widowControl/>
      <w:spacing w:before="100" w:beforeAutospacing="1" w:after="100" w:afterAutospacing="1" w:line="529" w:lineRule="exact"/>
      <w:ind w:firstLine="200" w:firstLineChars="200"/>
      <w:jc w:val="left"/>
    </w:pPr>
    <w:rPr>
      <w:rFonts w:ascii="宋体" w:hAnsi="宋体"/>
      <w:kern w:val="0"/>
      <w:sz w:val="24"/>
      <w:szCs w:val="24"/>
    </w:rPr>
  </w:style>
  <w:style w:type="paragraph" w:customStyle="1" w:styleId="2360">
    <w:name w:val="样式 四号 首行缩进:  0.74 厘米 行距: 固定值 27 磅"/>
    <w:basedOn w:val="1"/>
    <w:qFormat/>
    <w:uiPriority w:val="0"/>
    <w:pPr>
      <w:spacing w:line="540" w:lineRule="exact"/>
      <w:ind w:firstLine="200" w:firstLineChars="200"/>
    </w:pPr>
    <w:rPr>
      <w:rFonts w:ascii="Times New Roman" w:hAnsi="Times New Roman" w:cs="宋体"/>
      <w:w w:val="90"/>
      <w:sz w:val="28"/>
      <w:szCs w:val="20"/>
    </w:rPr>
  </w:style>
  <w:style w:type="paragraph" w:customStyle="1" w:styleId="2361">
    <w:name w:val="样式 标题 3标题 3 Char Char Char标题 3 Char Char Char Char Char Char标..."/>
    <w:basedOn w:val="6"/>
    <w:qFormat/>
    <w:uiPriority w:val="0"/>
    <w:pPr>
      <w:tabs>
        <w:tab w:val="left" w:pos="720"/>
      </w:tabs>
    </w:pPr>
    <w:rPr>
      <w:rFonts w:ascii="Plotter" w:hAnsi="Plotter"/>
      <w:bCs w:val="0"/>
      <w:szCs w:val="20"/>
    </w:rPr>
  </w:style>
  <w:style w:type="paragraph" w:customStyle="1" w:styleId="2362">
    <w:name w:val="页眉 New New New New New New New New New New New New New New New"/>
    <w:basedOn w:val="1"/>
    <w:qFormat/>
    <w:uiPriority w:val="0"/>
    <w:pPr>
      <w:pBdr>
        <w:bottom w:val="single" w:color="auto" w:sz="6" w:space="1"/>
      </w:pBdr>
      <w:tabs>
        <w:tab w:val="center" w:pos="4153"/>
        <w:tab w:val="right" w:pos="8306"/>
      </w:tabs>
      <w:snapToGrid w:val="0"/>
      <w:jc w:val="center"/>
    </w:pPr>
    <w:rPr>
      <w:rFonts w:ascii="Times New Roman" w:hAnsi="Times New Roman"/>
      <w:spacing w:val="-2"/>
      <w:kern w:val="0"/>
      <w:sz w:val="18"/>
      <w:szCs w:val="18"/>
    </w:rPr>
  </w:style>
  <w:style w:type="paragraph" w:customStyle="1" w:styleId="2363">
    <w:name w:val="表格头"/>
    <w:qFormat/>
    <w:uiPriority w:val="0"/>
    <w:pPr>
      <w:spacing w:before="120" w:after="120" w:line="480" w:lineRule="atLeast"/>
      <w:jc w:val="center"/>
    </w:pPr>
    <w:rPr>
      <w:rFonts w:ascii="Calibri" w:hAnsi="Calibri" w:eastAsia="宋体" w:cs="Times New Roman"/>
      <w:sz w:val="24"/>
      <w:lang w:val="en-US" w:eastAsia="zh-CN" w:bidi="ar-SA"/>
    </w:rPr>
  </w:style>
  <w:style w:type="paragraph" w:customStyle="1" w:styleId="2364">
    <w:name w:val="et73"/>
    <w:basedOn w:val="1"/>
    <w:qFormat/>
    <w:uiPriority w:val="0"/>
    <w:pPr>
      <w:widowControl/>
      <w:spacing w:before="100" w:beforeAutospacing="1" w:after="100" w:afterAutospacing="1"/>
      <w:jc w:val="left"/>
      <w:textAlignment w:val="bottom"/>
    </w:pPr>
    <w:rPr>
      <w:rFonts w:ascii="宋体" w:hAnsi="宋体" w:cs="宋体"/>
      <w:color w:val="000000"/>
      <w:kern w:val="0"/>
      <w:sz w:val="24"/>
      <w:szCs w:val="24"/>
    </w:rPr>
  </w:style>
  <w:style w:type="paragraph" w:customStyle="1" w:styleId="2365">
    <w:name w:val="Char Char Char Char Char Char Char Char Char Char Char Char11"/>
    <w:basedOn w:val="1"/>
    <w:qFormat/>
    <w:uiPriority w:val="0"/>
    <w:pPr>
      <w:spacing w:line="360" w:lineRule="auto"/>
      <w:ind w:firstLine="200" w:firstLineChars="200"/>
    </w:pPr>
    <w:rPr>
      <w:rFonts w:ascii="宋体" w:hAnsi="宋体" w:cs="宋体"/>
      <w:sz w:val="24"/>
      <w:szCs w:val="24"/>
    </w:rPr>
  </w:style>
  <w:style w:type="paragraph" w:customStyle="1" w:styleId="2366">
    <w:name w:val="表体"/>
    <w:basedOn w:val="1"/>
    <w:qFormat/>
    <w:uiPriority w:val="0"/>
    <w:pPr>
      <w:overflowPunct w:val="0"/>
      <w:adjustRightInd w:val="0"/>
      <w:spacing w:line="300" w:lineRule="atLeast"/>
      <w:jc w:val="center"/>
      <w:textAlignment w:val="baseline"/>
    </w:pPr>
    <w:rPr>
      <w:rFonts w:ascii="Times New Roman" w:hAnsi="Times New Roman"/>
      <w:kern w:val="0"/>
      <w:sz w:val="18"/>
      <w:szCs w:val="20"/>
    </w:rPr>
  </w:style>
  <w:style w:type="paragraph" w:customStyle="1" w:styleId="2367">
    <w:name w:val="Char Char2 Char Char11"/>
    <w:basedOn w:val="1"/>
    <w:qFormat/>
    <w:uiPriority w:val="0"/>
    <w:pPr>
      <w:widowControl/>
      <w:spacing w:after="160" w:line="240" w:lineRule="exact"/>
      <w:jc w:val="left"/>
    </w:pPr>
    <w:rPr>
      <w:rFonts w:ascii="Times New Roman" w:hAnsi="Times New Roman"/>
      <w:szCs w:val="20"/>
    </w:rPr>
  </w:style>
  <w:style w:type="paragraph" w:customStyle="1" w:styleId="2368">
    <w:name w:val="表格内部"/>
    <w:basedOn w:val="1"/>
    <w:qFormat/>
    <w:uiPriority w:val="0"/>
    <w:pPr>
      <w:spacing w:line="440" w:lineRule="exact"/>
      <w:ind w:left="-101" w:leftChars="-42"/>
      <w:jc w:val="center"/>
    </w:pPr>
    <w:rPr>
      <w:rFonts w:ascii="Times New Roman" w:hAnsi="Times New Roman"/>
      <w:szCs w:val="21"/>
    </w:rPr>
  </w:style>
  <w:style w:type="paragraph" w:customStyle="1" w:styleId="2369">
    <w:name w:val="表格 3"/>
    <w:basedOn w:val="966"/>
    <w:qFormat/>
    <w:uiPriority w:val="0"/>
    <w:pPr>
      <w:keepNext w:val="0"/>
      <w:textAlignment w:val="auto"/>
    </w:pPr>
    <w:rPr>
      <w:rFonts w:ascii="Times New Roman" w:hAnsi="Times New Roman"/>
      <w:w w:val="100"/>
      <w:sz w:val="21"/>
    </w:rPr>
  </w:style>
  <w:style w:type="paragraph" w:customStyle="1" w:styleId="2370">
    <w:name w:val="样式 标题 1 + (中文) 黑体 三号 非加粗 段前: 2 磅 段后: 0.5 磅 行距: 2 倍行距"/>
    <w:basedOn w:val="4"/>
    <w:qFormat/>
    <w:uiPriority w:val="0"/>
    <w:pPr>
      <w:spacing w:before="60" w:after="60" w:line="600" w:lineRule="exact"/>
    </w:pPr>
    <w:rPr>
      <w:rFonts w:cs="宋体"/>
      <w:b w:val="0"/>
      <w:bCs w:val="0"/>
      <w:sz w:val="32"/>
      <w:szCs w:val="20"/>
    </w:rPr>
  </w:style>
  <w:style w:type="paragraph" w:customStyle="1" w:styleId="2371">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kern w:val="0"/>
      <w:sz w:val="22"/>
    </w:rPr>
  </w:style>
  <w:style w:type="paragraph" w:customStyle="1" w:styleId="2372">
    <w:name w:val="reader-word-layer reader-word-s2-15"/>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373">
    <w:name w:val="font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2374">
    <w:name w:val="样式 标题 4标题 14 + 加粗 无下划线 自动设置 段前: 3 磅 段后: 10 磅1"/>
    <w:basedOn w:val="7"/>
    <w:qFormat/>
    <w:uiPriority w:val="0"/>
    <w:pPr>
      <w:keepLines w:val="0"/>
      <w:tabs>
        <w:tab w:val="left" w:pos="1620"/>
      </w:tabs>
      <w:adjustRightInd w:val="0"/>
      <w:snapToGrid w:val="0"/>
      <w:spacing w:before="60" w:after="200" w:line="240" w:lineRule="auto"/>
      <w:ind w:left="1620" w:hanging="360"/>
    </w:pPr>
    <w:rPr>
      <w:rFonts w:eastAsia="宋体"/>
      <w:szCs w:val="20"/>
    </w:rPr>
  </w:style>
  <w:style w:type="paragraph" w:customStyle="1" w:styleId="2375">
    <w:name w:val="正文表头"/>
    <w:basedOn w:val="1"/>
    <w:next w:val="1"/>
    <w:qFormat/>
    <w:uiPriority w:val="0"/>
    <w:pPr>
      <w:keepNext/>
      <w:tabs>
        <w:tab w:val="center" w:pos="4253"/>
        <w:tab w:val="center" w:pos="6804"/>
        <w:tab w:val="right" w:pos="8505"/>
      </w:tabs>
      <w:overflowPunct w:val="0"/>
      <w:adjustRightInd w:val="0"/>
      <w:spacing w:before="120" w:line="360" w:lineRule="auto"/>
      <w:jc w:val="center"/>
      <w:textAlignment w:val="baseline"/>
    </w:pPr>
    <w:rPr>
      <w:rFonts w:ascii="Times New Roman" w:hAnsi="Times New Roman" w:eastAsia="黑体"/>
      <w:kern w:val="0"/>
      <w:sz w:val="28"/>
      <w:szCs w:val="20"/>
    </w:rPr>
  </w:style>
  <w:style w:type="paragraph" w:customStyle="1" w:styleId="2376">
    <w:name w:val="et58"/>
    <w:basedOn w:val="1"/>
    <w:qFormat/>
    <w:uiPriority w:val="0"/>
    <w:pPr>
      <w:widowControl/>
      <w:spacing w:before="100" w:beforeAutospacing="1" w:after="100" w:afterAutospacing="1"/>
      <w:jc w:val="left"/>
      <w:textAlignment w:val="bottom"/>
    </w:pPr>
    <w:rPr>
      <w:rFonts w:ascii="Times New Roman" w:hAnsi="Times New Roman"/>
      <w:color w:val="000000"/>
      <w:kern w:val="0"/>
      <w:sz w:val="24"/>
      <w:szCs w:val="24"/>
    </w:rPr>
  </w:style>
  <w:style w:type="paragraph" w:customStyle="1" w:styleId="2377">
    <w:name w:val="左侧"/>
    <w:qFormat/>
    <w:uiPriority w:val="0"/>
    <w:pPr>
      <w:spacing w:line="280" w:lineRule="exact"/>
    </w:pPr>
    <w:rPr>
      <w:rFonts w:ascii="Batang" w:hAnsi="Batang" w:eastAsia="宋体" w:cs="Times New Roman"/>
      <w:color w:val="000000"/>
      <w:sz w:val="18"/>
      <w:lang w:val="en-US" w:eastAsia="zh-CN" w:bidi="ar-SA"/>
    </w:rPr>
  </w:style>
  <w:style w:type="paragraph" w:customStyle="1" w:styleId="2378">
    <w:name w:val="503定义表格内容"/>
    <w:basedOn w:val="1"/>
    <w:qFormat/>
    <w:uiPriority w:val="0"/>
    <w:pPr>
      <w:widowControl/>
      <w:overflowPunct w:val="0"/>
      <w:autoSpaceDE w:val="0"/>
      <w:autoSpaceDN w:val="0"/>
      <w:jc w:val="center"/>
    </w:pPr>
    <w:rPr>
      <w:rFonts w:ascii="Times New Roman" w:hAnsi="Times New Roman"/>
      <w:kern w:val="0"/>
      <w:szCs w:val="21"/>
    </w:rPr>
  </w:style>
  <w:style w:type="paragraph" w:customStyle="1" w:styleId="2379">
    <w:name w:val="索引标题7"/>
    <w:basedOn w:val="1"/>
    <w:next w:val="1994"/>
    <w:qFormat/>
    <w:uiPriority w:val="0"/>
    <w:rPr>
      <w:rFonts w:ascii="宋体" w:hAnsi="宋体"/>
      <w:w w:val="90"/>
      <w:kern w:val="0"/>
      <w:sz w:val="28"/>
      <w:szCs w:val="24"/>
    </w:rPr>
  </w:style>
  <w:style w:type="paragraph" w:customStyle="1" w:styleId="2380">
    <w:name w:val="et48"/>
    <w:basedOn w:val="1"/>
    <w:qFormat/>
    <w:uiPriority w:val="0"/>
    <w:pPr>
      <w:widowControl/>
      <w:spacing w:before="100" w:beforeAutospacing="1" w:after="100" w:afterAutospacing="1"/>
      <w:jc w:val="left"/>
      <w:textAlignment w:val="bottom"/>
    </w:pPr>
    <w:rPr>
      <w:rFonts w:ascii="Times New Roman" w:hAnsi="Times New Roman"/>
      <w:color w:val="000000"/>
      <w:kern w:val="0"/>
      <w:sz w:val="24"/>
      <w:szCs w:val="24"/>
    </w:rPr>
  </w:style>
  <w:style w:type="paragraph" w:customStyle="1" w:styleId="2381">
    <w:name w:val="et81"/>
    <w:basedOn w:val="1"/>
    <w:qFormat/>
    <w:uiPriority w:val="0"/>
    <w:pPr>
      <w:widowControl/>
      <w:spacing w:before="100" w:beforeAutospacing="1" w:after="100" w:afterAutospacing="1"/>
      <w:jc w:val="left"/>
      <w:textAlignment w:val="bottom"/>
    </w:pPr>
    <w:rPr>
      <w:rFonts w:ascii="宋体" w:hAnsi="宋体" w:cs="宋体"/>
      <w:color w:val="000000"/>
      <w:kern w:val="0"/>
      <w:sz w:val="24"/>
      <w:szCs w:val="24"/>
    </w:rPr>
  </w:style>
  <w:style w:type="paragraph" w:customStyle="1" w:styleId="2382">
    <w:name w:val="Char Char1 Char Char Char Char Char Char Char Char Char Char Char Char Char Char Char Char Char Char Char Char1 Char"/>
    <w:basedOn w:val="1"/>
    <w:qFormat/>
    <w:uiPriority w:val="0"/>
    <w:pPr>
      <w:spacing w:line="360" w:lineRule="auto"/>
      <w:ind w:firstLine="200" w:firstLineChars="200"/>
    </w:pPr>
    <w:rPr>
      <w:rFonts w:ascii="宋体" w:hAnsi="宋体" w:cs="宋体"/>
      <w:sz w:val="24"/>
      <w:szCs w:val="24"/>
    </w:rPr>
  </w:style>
  <w:style w:type="paragraph" w:customStyle="1" w:styleId="2383">
    <w:name w:val="xl46"/>
    <w:basedOn w:val="1"/>
    <w:qFormat/>
    <w:uiPriority w:val="0"/>
    <w:pPr>
      <w:widowControl/>
      <w:pBdr>
        <w:left w:val="double" w:color="auto" w:sz="6" w:space="0"/>
        <w:bottom w:val="single" w:color="auto" w:sz="4" w:space="0"/>
        <w:right w:val="single" w:color="auto" w:sz="4" w:space="0"/>
      </w:pBdr>
      <w:spacing w:before="100" w:beforeAutospacing="1" w:after="100" w:afterAutospacing="1"/>
      <w:jc w:val="center"/>
      <w:textAlignment w:val="center"/>
    </w:pPr>
    <w:rPr>
      <w:rFonts w:ascii="宋体" w:hAnsi="宋体"/>
      <w:kern w:val="0"/>
      <w:sz w:val="24"/>
      <w:szCs w:val="24"/>
    </w:rPr>
  </w:style>
  <w:style w:type="paragraph" w:customStyle="1" w:styleId="2384">
    <w:name w:val="et36"/>
    <w:basedOn w:val="1"/>
    <w:qFormat/>
    <w:uiPriority w:val="0"/>
    <w:pPr>
      <w:widowControl/>
      <w:spacing w:before="100" w:beforeAutospacing="1" w:after="100" w:afterAutospacing="1"/>
      <w:jc w:val="left"/>
      <w:textAlignment w:val="bottom"/>
    </w:pPr>
    <w:rPr>
      <w:rFonts w:ascii="宋体" w:hAnsi="宋体" w:cs="宋体"/>
      <w:color w:val="000000"/>
      <w:kern w:val="0"/>
      <w:sz w:val="24"/>
      <w:szCs w:val="24"/>
    </w:rPr>
  </w:style>
  <w:style w:type="paragraph" w:customStyle="1" w:styleId="2385">
    <w:name w:val="xl61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333399"/>
      <w:kern w:val="0"/>
      <w:sz w:val="24"/>
      <w:szCs w:val="24"/>
    </w:rPr>
  </w:style>
  <w:style w:type="paragraph" w:customStyle="1" w:styleId="2386">
    <w:name w:val="503定义表格内容格式"/>
    <w:basedOn w:val="1"/>
    <w:next w:val="1"/>
    <w:qFormat/>
    <w:uiPriority w:val="0"/>
    <w:pPr>
      <w:jc w:val="center"/>
    </w:pPr>
    <w:rPr>
      <w:rFonts w:ascii="Times New Roman" w:hAnsi="Times New Roman"/>
      <w:szCs w:val="21"/>
    </w:rPr>
  </w:style>
  <w:style w:type="paragraph" w:customStyle="1" w:styleId="2387">
    <w:name w:val="文档结构图111"/>
    <w:basedOn w:val="1"/>
    <w:qFormat/>
    <w:uiPriority w:val="0"/>
    <w:pPr>
      <w:shd w:val="clear" w:color="auto" w:fill="000080"/>
    </w:pPr>
    <w:rPr>
      <w:kern w:val="0"/>
      <w:szCs w:val="24"/>
      <w:shd w:val="clear" w:color="auto" w:fill="000080"/>
    </w:rPr>
  </w:style>
  <w:style w:type="paragraph" w:customStyle="1" w:styleId="2388">
    <w:name w:val="Char Char Char Char Char Char Char Char Char Char Char Char Char1"/>
    <w:basedOn w:val="1"/>
    <w:qFormat/>
    <w:uiPriority w:val="0"/>
    <w:rPr>
      <w:rFonts w:ascii="Times New Roman" w:hAnsi="Times New Roman"/>
      <w:szCs w:val="24"/>
    </w:rPr>
  </w:style>
  <w:style w:type="paragraph" w:customStyle="1" w:styleId="2389">
    <w:name w:val="索引标题1"/>
    <w:basedOn w:val="1"/>
    <w:next w:val="2390"/>
    <w:qFormat/>
    <w:uiPriority w:val="0"/>
    <w:rPr>
      <w:rFonts w:ascii="宋体" w:hAnsi="宋体"/>
      <w:w w:val="90"/>
      <w:kern w:val="0"/>
      <w:sz w:val="28"/>
      <w:szCs w:val="24"/>
    </w:rPr>
  </w:style>
  <w:style w:type="paragraph" w:customStyle="1" w:styleId="2390">
    <w:name w:val="索引 11"/>
    <w:basedOn w:val="1"/>
    <w:next w:val="1"/>
    <w:qFormat/>
    <w:uiPriority w:val="0"/>
    <w:pPr>
      <w:adjustRightInd w:val="0"/>
      <w:spacing w:line="529" w:lineRule="exact"/>
      <w:textAlignment w:val="baseline"/>
    </w:pPr>
    <w:rPr>
      <w:rFonts w:ascii="宋体" w:hAnsi="宋体" w:eastAsia="汉鼎简书宋"/>
      <w:kern w:val="0"/>
      <w:sz w:val="24"/>
      <w:szCs w:val="20"/>
    </w:rPr>
  </w:style>
  <w:style w:type="paragraph" w:customStyle="1" w:styleId="2391">
    <w:name w:val="正文 New New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2392">
    <w:name w:val="font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393">
    <w:name w:val="页脚 New New New New New New New New New New New New New New New New New New New New New New"/>
    <w:basedOn w:val="1"/>
    <w:qFormat/>
    <w:uiPriority w:val="0"/>
    <w:pPr>
      <w:tabs>
        <w:tab w:val="center" w:pos="4153"/>
        <w:tab w:val="right" w:pos="8306"/>
      </w:tabs>
      <w:snapToGrid w:val="0"/>
      <w:jc w:val="left"/>
    </w:pPr>
    <w:rPr>
      <w:rFonts w:ascii="Times New Roman" w:hAnsi="Times New Roman"/>
      <w:spacing w:val="-2"/>
      <w:kern w:val="0"/>
      <w:sz w:val="18"/>
      <w:szCs w:val="18"/>
    </w:rPr>
  </w:style>
  <w:style w:type="paragraph" w:customStyle="1" w:styleId="2394">
    <w:name w:val="右侧"/>
    <w:qFormat/>
    <w:uiPriority w:val="0"/>
    <w:pPr>
      <w:spacing w:line="280" w:lineRule="exact"/>
      <w:jc w:val="center"/>
    </w:pPr>
    <w:rPr>
      <w:rFonts w:ascii="Calibri" w:hAnsi="Calibri" w:eastAsia="宋体" w:cs="Times New Roman"/>
      <w:color w:val="000000"/>
      <w:sz w:val="18"/>
      <w:szCs w:val="18"/>
      <w:lang w:val="en-US" w:eastAsia="zh-CN" w:bidi="ar-SA"/>
    </w:rPr>
  </w:style>
  <w:style w:type="paragraph" w:customStyle="1" w:styleId="2395">
    <w:name w:val="样式 13 磅 行距: 固定值 23 磅 首行缩进:  2 字符"/>
    <w:basedOn w:val="1"/>
    <w:qFormat/>
    <w:uiPriority w:val="0"/>
    <w:pPr>
      <w:spacing w:line="460" w:lineRule="exact"/>
      <w:ind w:firstLine="520" w:firstLineChars="200"/>
    </w:pPr>
    <w:rPr>
      <w:rFonts w:ascii="Times New Roman" w:hAnsi="Times New Roman" w:cs="宋体"/>
      <w:sz w:val="26"/>
      <w:szCs w:val="20"/>
    </w:rPr>
  </w:style>
  <w:style w:type="paragraph" w:customStyle="1" w:styleId="2396">
    <w:name w:val="et38"/>
    <w:basedOn w:val="1"/>
    <w:qFormat/>
    <w:uiPriority w:val="0"/>
    <w:pPr>
      <w:widowControl/>
      <w:spacing w:before="100" w:beforeAutospacing="1" w:after="100" w:afterAutospacing="1"/>
      <w:jc w:val="left"/>
      <w:textAlignment w:val="bottom"/>
    </w:pPr>
    <w:rPr>
      <w:rFonts w:ascii="Times New Roman" w:hAnsi="Times New Roman"/>
      <w:color w:val="000000"/>
      <w:kern w:val="0"/>
      <w:sz w:val="24"/>
      <w:szCs w:val="24"/>
    </w:rPr>
  </w:style>
  <w:style w:type="paragraph" w:customStyle="1" w:styleId="2397">
    <w:name w:val="样式 (西文) 宋体 小四 居中 行距: 最小值 12 磅"/>
    <w:basedOn w:val="1"/>
    <w:qFormat/>
    <w:uiPriority w:val="0"/>
    <w:pPr>
      <w:spacing w:beforeLines="50" w:afterLines="50" w:line="360" w:lineRule="auto"/>
      <w:jc w:val="center"/>
    </w:pPr>
    <w:rPr>
      <w:rFonts w:ascii="宋体" w:hAnsi="宋体" w:cs="宋体"/>
      <w:b/>
      <w:sz w:val="36"/>
      <w:szCs w:val="20"/>
    </w:rPr>
  </w:style>
  <w:style w:type="paragraph" w:customStyle="1" w:styleId="2398">
    <w:name w:val="列表接续 25"/>
    <w:basedOn w:val="1"/>
    <w:qFormat/>
    <w:uiPriority w:val="0"/>
    <w:pPr>
      <w:spacing w:after="120"/>
      <w:ind w:left="840" w:leftChars="400"/>
    </w:pPr>
    <w:rPr>
      <w:rFonts w:ascii="宋体" w:hAnsi="宋体"/>
      <w:kern w:val="0"/>
      <w:sz w:val="24"/>
      <w:szCs w:val="24"/>
    </w:rPr>
  </w:style>
  <w:style w:type="paragraph" w:customStyle="1" w:styleId="2399">
    <w:name w:val="样式15 Char"/>
    <w:basedOn w:val="1"/>
    <w:qFormat/>
    <w:uiPriority w:val="0"/>
    <w:pPr>
      <w:spacing w:line="360" w:lineRule="auto"/>
      <w:ind w:firstLine="560" w:firstLineChars="200"/>
    </w:pPr>
    <w:rPr>
      <w:rFonts w:ascii="Times New Roman" w:hAnsi="Times New Roman"/>
      <w:sz w:val="28"/>
      <w:szCs w:val="28"/>
    </w:rPr>
  </w:style>
  <w:style w:type="paragraph" w:customStyle="1" w:styleId="2400">
    <w:name w:val="et69"/>
    <w:basedOn w:val="1"/>
    <w:qFormat/>
    <w:uiPriority w:val="0"/>
    <w:pPr>
      <w:widowControl/>
      <w:spacing w:before="100" w:beforeAutospacing="1" w:after="100" w:afterAutospacing="1"/>
      <w:jc w:val="left"/>
      <w:textAlignment w:val="bottom"/>
    </w:pPr>
    <w:rPr>
      <w:rFonts w:ascii="Times New Roman" w:hAnsi="Times New Roman"/>
      <w:color w:val="000000"/>
      <w:kern w:val="0"/>
      <w:sz w:val="24"/>
      <w:szCs w:val="24"/>
    </w:rPr>
  </w:style>
  <w:style w:type="paragraph" w:customStyle="1" w:styleId="2401">
    <w:name w:val="样式 样式 样式 样式 标题 3 + (符号) 宋体 四号 段前: 20 磅 段后: 15 磅 行距: 1.5 倍行距 + 段前..."/>
    <w:basedOn w:val="1"/>
    <w:qFormat/>
    <w:uiPriority w:val="0"/>
    <w:pPr>
      <w:keepNext/>
      <w:keepLines/>
      <w:tabs>
        <w:tab w:val="left" w:pos="454"/>
      </w:tabs>
      <w:spacing w:before="240" w:beforeLines="100" w:after="240" w:afterLines="100" w:line="360" w:lineRule="auto"/>
      <w:ind w:firstLine="454"/>
      <w:outlineLvl w:val="2"/>
    </w:pPr>
    <w:rPr>
      <w:rFonts w:ascii="Times New Roman" w:hAnsi="宋体" w:cs="宋体"/>
      <w:b/>
      <w:bCs/>
      <w:sz w:val="28"/>
      <w:szCs w:val="20"/>
    </w:rPr>
  </w:style>
  <w:style w:type="paragraph" w:customStyle="1" w:styleId="2402">
    <w:name w:val="xl109"/>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2403">
    <w:name w:val="明显引用4"/>
    <w:basedOn w:val="1"/>
    <w:next w:val="1"/>
    <w:qFormat/>
    <w:uiPriority w:val="0"/>
    <w:pPr>
      <w:widowControl/>
      <w:pBdr>
        <w:bottom w:val="single" w:color="4F81BD" w:sz="4" w:space="4"/>
      </w:pBdr>
      <w:spacing w:before="200" w:after="280" w:line="276" w:lineRule="auto"/>
      <w:ind w:left="936" w:right="936"/>
      <w:jc w:val="left"/>
    </w:pPr>
    <w:rPr>
      <w:b/>
      <w:bCs/>
      <w:i/>
      <w:iCs/>
      <w:color w:val="4F81BD"/>
      <w:kern w:val="0"/>
      <w:sz w:val="22"/>
      <w:szCs w:val="24"/>
      <w:lang w:eastAsia="en-US"/>
    </w:rPr>
  </w:style>
  <w:style w:type="paragraph" w:customStyle="1" w:styleId="2404">
    <w:name w:val="样式 样式 标题 2 + Times New Roman 四号 非加粗 段前: 1 磅 段后: 0 磅 行距: 固定值 22....."/>
    <w:basedOn w:val="1"/>
    <w:qFormat/>
    <w:uiPriority w:val="0"/>
    <w:pPr>
      <w:keepNext/>
      <w:keepLines/>
      <w:spacing w:before="40" w:after="40" w:line="440" w:lineRule="exact"/>
      <w:outlineLvl w:val="1"/>
    </w:pPr>
    <w:rPr>
      <w:rFonts w:ascii="Times New Roman" w:hAnsi="Times New Roman" w:eastAsia="黑体" w:cs="宋体"/>
      <w:sz w:val="28"/>
      <w:szCs w:val="20"/>
    </w:rPr>
  </w:style>
  <w:style w:type="paragraph" w:customStyle="1" w:styleId="2405">
    <w:name w:val="Char Char Char Char Char Char Char Char Char1 Char Char Char Char Char Char Char Char Char Char3"/>
    <w:basedOn w:val="1"/>
    <w:qFormat/>
    <w:uiPriority w:val="0"/>
    <w:rPr>
      <w:rFonts w:ascii="宋体" w:hAnsi="宋体" w:cs="Courier New"/>
      <w:sz w:val="32"/>
      <w:szCs w:val="32"/>
    </w:rPr>
  </w:style>
  <w:style w:type="paragraph" w:customStyle="1" w:styleId="2406">
    <w:name w:val="body"/>
    <w:basedOn w:val="1"/>
    <w:qFormat/>
    <w:uiPriority w:val="0"/>
    <w:pPr>
      <w:spacing w:line="360" w:lineRule="auto"/>
      <w:ind w:firstLine="480" w:firstLineChars="200"/>
    </w:pPr>
    <w:rPr>
      <w:rFonts w:ascii="宋体" w:hAnsi="宋体"/>
      <w:sz w:val="24"/>
      <w:szCs w:val="24"/>
    </w:rPr>
  </w:style>
  <w:style w:type="paragraph" w:customStyle="1" w:styleId="2407">
    <w:name w:val="表格正文503"/>
    <w:basedOn w:val="1"/>
    <w:qFormat/>
    <w:uiPriority w:val="0"/>
    <w:pPr>
      <w:jc w:val="center"/>
    </w:pPr>
    <w:rPr>
      <w:rFonts w:ascii="Times New Roman" w:hAnsi="Times New Roman"/>
      <w:szCs w:val="21"/>
    </w:rPr>
  </w:style>
  <w:style w:type="paragraph" w:customStyle="1" w:styleId="2408">
    <w:name w:val="Char2"/>
    <w:basedOn w:val="1"/>
    <w:qFormat/>
    <w:uiPriority w:val="0"/>
    <w:pPr>
      <w:snapToGrid w:val="0"/>
      <w:spacing w:line="440" w:lineRule="atLeast"/>
      <w:ind w:firstLine="200" w:firstLineChars="200"/>
    </w:pPr>
    <w:rPr>
      <w:rFonts w:ascii="Times New Roman" w:hAnsi="Times New Roman"/>
      <w:szCs w:val="20"/>
    </w:rPr>
  </w:style>
  <w:style w:type="paragraph" w:customStyle="1" w:styleId="2409">
    <w:name w:val="普通(网站)2"/>
    <w:basedOn w:val="1"/>
    <w:qFormat/>
    <w:uiPriority w:val="0"/>
    <w:pPr>
      <w:widowControl/>
      <w:spacing w:before="100" w:beforeAutospacing="1" w:after="100" w:afterAutospacing="1" w:line="529" w:lineRule="exact"/>
      <w:ind w:firstLine="200" w:firstLineChars="200"/>
      <w:jc w:val="left"/>
    </w:pPr>
    <w:rPr>
      <w:rFonts w:ascii="宋体" w:hAnsi="宋体"/>
      <w:kern w:val="0"/>
      <w:sz w:val="24"/>
      <w:szCs w:val="24"/>
    </w:rPr>
  </w:style>
  <w:style w:type="paragraph" w:customStyle="1" w:styleId="2410">
    <w:name w:val="Char Char Char Char Char Char1 Char2"/>
    <w:basedOn w:val="1"/>
    <w:qFormat/>
    <w:uiPriority w:val="0"/>
    <w:rPr>
      <w:rFonts w:ascii="Times New Roman" w:hAnsi="Times New Roman"/>
      <w:szCs w:val="24"/>
    </w:rPr>
  </w:style>
  <w:style w:type="paragraph" w:customStyle="1" w:styleId="2411">
    <w:name w:val="Char211"/>
    <w:basedOn w:val="1"/>
    <w:qFormat/>
    <w:uiPriority w:val="0"/>
    <w:pPr>
      <w:snapToGrid w:val="0"/>
      <w:spacing w:line="440" w:lineRule="atLeast"/>
      <w:ind w:firstLine="200" w:firstLineChars="200"/>
    </w:pPr>
    <w:rPr>
      <w:rFonts w:hint="eastAsia" w:ascii="Times New Roman" w:hAnsi="Times New Roman"/>
      <w:szCs w:val="20"/>
    </w:rPr>
  </w:style>
  <w:style w:type="paragraph" w:customStyle="1" w:styleId="2412">
    <w:name w:val="et66"/>
    <w:basedOn w:val="1"/>
    <w:qFormat/>
    <w:uiPriority w:val="0"/>
    <w:pPr>
      <w:widowControl/>
      <w:spacing w:before="100" w:beforeAutospacing="1" w:after="100" w:afterAutospacing="1"/>
      <w:jc w:val="left"/>
      <w:textAlignment w:val="bottom"/>
    </w:pPr>
    <w:rPr>
      <w:rFonts w:ascii="宋体" w:hAnsi="宋体" w:cs="宋体"/>
      <w:color w:val="000000"/>
      <w:kern w:val="0"/>
      <w:sz w:val="24"/>
      <w:szCs w:val="24"/>
    </w:rPr>
  </w:style>
  <w:style w:type="paragraph" w:customStyle="1" w:styleId="2413">
    <w:name w:val="样式 纯文本 + 黑体"/>
    <w:basedOn w:val="45"/>
    <w:qFormat/>
    <w:uiPriority w:val="0"/>
    <w:pPr>
      <w:tabs>
        <w:tab w:val="left" w:pos="1620"/>
      </w:tabs>
    </w:pPr>
    <w:rPr>
      <w:rFonts w:ascii="黑体" w:hAnsi="黑体"/>
      <w:bCs/>
      <w:sz w:val="24"/>
      <w:szCs w:val="24"/>
    </w:rPr>
  </w:style>
  <w:style w:type="paragraph" w:customStyle="1" w:styleId="2414">
    <w:name w:val="标题 3 New New"/>
    <w:basedOn w:val="1533"/>
    <w:next w:val="1533"/>
    <w:qFormat/>
    <w:uiPriority w:val="0"/>
    <w:pPr>
      <w:keepNext/>
      <w:keepLines/>
      <w:spacing w:before="260" w:after="260" w:line="413" w:lineRule="auto"/>
      <w:outlineLvl w:val="2"/>
    </w:pPr>
    <w:rPr>
      <w:b/>
      <w:bCs/>
      <w:sz w:val="32"/>
      <w:szCs w:val="32"/>
    </w:rPr>
  </w:style>
  <w:style w:type="paragraph" w:customStyle="1" w:styleId="2415">
    <w:name w:val="Char4 Char Char Char"/>
    <w:basedOn w:val="1"/>
    <w:qFormat/>
    <w:uiPriority w:val="0"/>
    <w:pPr>
      <w:adjustRightInd w:val="0"/>
      <w:snapToGrid w:val="0"/>
      <w:spacing w:line="360" w:lineRule="auto"/>
      <w:ind w:firstLine="200" w:firstLineChars="200"/>
    </w:pPr>
    <w:rPr>
      <w:rFonts w:ascii="宋体" w:hAnsi="宋体" w:cs="宋体"/>
      <w:sz w:val="24"/>
      <w:szCs w:val="26"/>
    </w:rPr>
  </w:style>
  <w:style w:type="paragraph" w:customStyle="1" w:styleId="2416">
    <w:name w:val="日期11"/>
    <w:basedOn w:val="1"/>
    <w:next w:val="1"/>
    <w:qFormat/>
    <w:uiPriority w:val="0"/>
    <w:pPr>
      <w:autoSpaceDE w:val="0"/>
      <w:autoSpaceDN w:val="0"/>
      <w:adjustRightInd w:val="0"/>
      <w:textAlignment w:val="baseline"/>
    </w:pPr>
    <w:rPr>
      <w:rFonts w:ascii="Times New Roman" w:hAnsi="Times New Roman"/>
      <w:spacing w:val="5"/>
      <w:kern w:val="0"/>
      <w:sz w:val="24"/>
      <w:szCs w:val="20"/>
    </w:rPr>
  </w:style>
  <w:style w:type="paragraph" w:customStyle="1" w:styleId="2417">
    <w:name w:val="reader-word-layer reader-word-s2-8"/>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418">
    <w:name w:val="样式9"/>
    <w:basedOn w:val="1"/>
    <w:qFormat/>
    <w:uiPriority w:val="0"/>
    <w:pPr>
      <w:keepNext/>
      <w:keepLines/>
      <w:tabs>
        <w:tab w:val="left" w:pos="540"/>
      </w:tabs>
      <w:spacing w:before="156" w:beforeLines="50" w:after="156" w:afterLines="50" w:line="360" w:lineRule="auto"/>
      <w:ind w:left="840" w:hanging="420"/>
      <w:outlineLvl w:val="1"/>
    </w:pPr>
    <w:rPr>
      <w:rFonts w:ascii="Times New Roman" w:hAnsi="Times New Roman" w:eastAsia="黑体"/>
      <w:sz w:val="28"/>
      <w:szCs w:val="28"/>
    </w:rPr>
  </w:style>
  <w:style w:type="paragraph" w:customStyle="1" w:styleId="2419">
    <w:name w:val="reader-word-layer reader-word-s2-2"/>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420">
    <w:name w:val="正文(首行缩进2字)"/>
    <w:basedOn w:val="1"/>
    <w:next w:val="1"/>
    <w:qFormat/>
    <w:uiPriority w:val="0"/>
    <w:pPr>
      <w:adjustRightInd w:val="0"/>
      <w:spacing w:line="360" w:lineRule="auto"/>
      <w:ind w:firstLine="560" w:firstLineChars="200"/>
      <w:jc w:val="left"/>
      <w:textAlignment w:val="baseline"/>
    </w:pPr>
    <w:rPr>
      <w:rFonts w:ascii="Times New Roman" w:hAnsi="Times New Roman"/>
      <w:color w:val="000000"/>
      <w:kern w:val="0"/>
      <w:sz w:val="28"/>
      <w:szCs w:val="20"/>
    </w:rPr>
  </w:style>
  <w:style w:type="paragraph" w:customStyle="1" w:styleId="2421">
    <w:name w:val="reader-word-layer reader-word-s2-4"/>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422">
    <w:name w:val="表1"/>
    <w:basedOn w:val="1"/>
    <w:next w:val="1"/>
    <w:qFormat/>
    <w:uiPriority w:val="0"/>
    <w:pPr>
      <w:spacing w:line="360" w:lineRule="auto"/>
      <w:ind w:left="372" w:leftChars="83" w:hanging="198" w:hangingChars="82"/>
      <w:jc w:val="center"/>
    </w:pPr>
    <w:rPr>
      <w:rFonts w:ascii="黑体" w:hAnsi="Times New Roman" w:eastAsia="黑体"/>
      <w:b/>
      <w:bCs/>
      <w:sz w:val="24"/>
      <w:szCs w:val="24"/>
    </w:rPr>
  </w:style>
  <w:style w:type="paragraph" w:customStyle="1" w:styleId="2423">
    <w:name w:val="reader-word-layer reader-word-s2-6"/>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424">
    <w:name w:val="xl6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kern w:val="0"/>
      <w:sz w:val="24"/>
      <w:szCs w:val="24"/>
    </w:rPr>
  </w:style>
  <w:style w:type="paragraph" w:customStyle="1" w:styleId="2425">
    <w:name w:val="xl6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4"/>
      <w:szCs w:val="24"/>
    </w:rPr>
  </w:style>
  <w:style w:type="paragraph" w:customStyle="1" w:styleId="2426">
    <w:name w:val="font12"/>
    <w:basedOn w:val="1"/>
    <w:qFormat/>
    <w:uiPriority w:val="0"/>
    <w:pPr>
      <w:widowControl/>
      <w:spacing w:before="100" w:beforeAutospacing="1" w:after="100" w:afterAutospacing="1" w:line="360" w:lineRule="auto"/>
      <w:ind w:firstLine="480" w:firstLineChars="200"/>
      <w:jc w:val="left"/>
    </w:pPr>
    <w:rPr>
      <w:rFonts w:ascii="Times New Roman" w:hAnsi="Times New Roman" w:eastAsia="Arial Unicode MS"/>
      <w:kern w:val="0"/>
      <w:sz w:val="18"/>
      <w:szCs w:val="18"/>
    </w:rPr>
  </w:style>
  <w:style w:type="paragraph" w:customStyle="1" w:styleId="2427">
    <w:name w:val="Char4 Char Char Char3"/>
    <w:basedOn w:val="1"/>
    <w:qFormat/>
    <w:uiPriority w:val="0"/>
    <w:pPr>
      <w:adjustRightInd w:val="0"/>
      <w:snapToGrid w:val="0"/>
      <w:spacing w:line="360" w:lineRule="auto"/>
      <w:ind w:firstLine="200" w:firstLineChars="200"/>
    </w:pPr>
    <w:rPr>
      <w:rFonts w:ascii="宋体" w:hAnsi="宋体" w:cs="宋体"/>
      <w:sz w:val="24"/>
      <w:szCs w:val="26"/>
    </w:rPr>
  </w:style>
  <w:style w:type="paragraph" w:customStyle="1" w:styleId="2428">
    <w:name w:val="xl22"/>
    <w:basedOn w:val="1"/>
    <w:qFormat/>
    <w:uiPriority w:val="0"/>
    <w:pPr>
      <w:widowControl/>
      <w:spacing w:before="100" w:beforeAutospacing="1" w:after="100" w:afterAutospacing="1"/>
      <w:jc w:val="center"/>
    </w:pPr>
    <w:rPr>
      <w:rFonts w:ascii="宋体" w:hAnsi="宋体"/>
      <w:kern w:val="0"/>
      <w:sz w:val="24"/>
      <w:szCs w:val="24"/>
    </w:rPr>
  </w:style>
  <w:style w:type="paragraph" w:customStyle="1" w:styleId="2429">
    <w:name w:val="表格内容格式"/>
    <w:basedOn w:val="1"/>
    <w:qFormat/>
    <w:uiPriority w:val="0"/>
    <w:pPr>
      <w:adjustRightInd w:val="0"/>
      <w:spacing w:line="300" w:lineRule="exact"/>
      <w:ind w:right="-107" w:rightChars="-51"/>
      <w:jc w:val="center"/>
      <w:textAlignment w:val="baseline"/>
    </w:pPr>
    <w:rPr>
      <w:rFonts w:ascii="宋体" w:hAnsi="宋体"/>
      <w:snapToGrid w:val="0"/>
      <w:color w:val="000000"/>
      <w:kern w:val="0"/>
      <w:szCs w:val="20"/>
    </w:rPr>
  </w:style>
  <w:style w:type="paragraph" w:customStyle="1" w:styleId="2430">
    <w:name w:val="样式"/>
    <w:basedOn w:val="1"/>
    <w:next w:val="45"/>
    <w:qFormat/>
    <w:uiPriority w:val="0"/>
    <w:pPr>
      <w:widowControl/>
      <w:spacing w:line="360" w:lineRule="auto"/>
      <w:ind w:firstLine="465"/>
      <w:jc w:val="left"/>
    </w:pPr>
    <w:rPr>
      <w:rFonts w:ascii="宋体" w:hAnsi="Courier New"/>
      <w:kern w:val="0"/>
      <w:sz w:val="24"/>
      <w:szCs w:val="20"/>
    </w:rPr>
  </w:style>
  <w:style w:type="paragraph" w:customStyle="1" w:styleId="2431">
    <w:name w:val="黄埔正文"/>
    <w:qFormat/>
    <w:uiPriority w:val="0"/>
    <w:pPr>
      <w:widowControl w:val="0"/>
      <w:adjustRightInd w:val="0"/>
      <w:snapToGrid w:val="0"/>
      <w:spacing w:before="156" w:beforeLines="50" w:line="360" w:lineRule="auto"/>
      <w:ind w:firstLine="480" w:firstLineChars="200"/>
      <w:jc w:val="both"/>
    </w:pPr>
    <w:rPr>
      <w:rFonts w:ascii="宋体" w:hAnsi="Calibri" w:eastAsia="宋体" w:cs="Times New Roman"/>
      <w:color w:val="FF0000"/>
      <w:kern w:val="2"/>
      <w:sz w:val="24"/>
      <w:szCs w:val="24"/>
      <w:lang w:val="en-US" w:eastAsia="zh-CN" w:bidi="ar-SA"/>
    </w:rPr>
  </w:style>
  <w:style w:type="paragraph" w:customStyle="1" w:styleId="2432">
    <w:name w:val="样式 13 磅 行距: 固定值 23 磅"/>
    <w:basedOn w:val="1"/>
    <w:qFormat/>
    <w:uiPriority w:val="0"/>
    <w:pPr>
      <w:spacing w:line="460" w:lineRule="exact"/>
      <w:ind w:firstLine="520" w:firstLineChars="200"/>
    </w:pPr>
    <w:rPr>
      <w:rFonts w:ascii="Times New Roman" w:hAnsi="Times New Roman"/>
      <w:sz w:val="26"/>
      <w:szCs w:val="20"/>
    </w:rPr>
  </w:style>
  <w:style w:type="paragraph" w:customStyle="1" w:styleId="2433">
    <w:name w:val="Char Char Char Char2"/>
    <w:basedOn w:val="1"/>
    <w:next w:val="1"/>
    <w:qFormat/>
    <w:uiPriority w:val="0"/>
    <w:pPr>
      <w:spacing w:line="360" w:lineRule="auto"/>
      <w:ind w:firstLine="200" w:firstLineChars="200"/>
    </w:pPr>
    <w:rPr>
      <w:rFonts w:ascii="宋体" w:hAnsi="宋体" w:cs="宋体"/>
      <w:sz w:val="24"/>
      <w:szCs w:val="20"/>
    </w:rPr>
  </w:style>
  <w:style w:type="paragraph" w:customStyle="1" w:styleId="2434">
    <w:name w:val="Char Char2 Char Char3"/>
    <w:basedOn w:val="1"/>
    <w:qFormat/>
    <w:uiPriority w:val="0"/>
    <w:pPr>
      <w:widowControl/>
      <w:spacing w:after="160" w:line="240" w:lineRule="exact"/>
      <w:jc w:val="left"/>
    </w:pPr>
    <w:rPr>
      <w:rFonts w:ascii="Times New Roman" w:hAnsi="Times New Roman"/>
      <w:szCs w:val="20"/>
    </w:rPr>
  </w:style>
  <w:style w:type="paragraph" w:customStyle="1" w:styleId="2435">
    <w:name w:val="et26"/>
    <w:basedOn w:val="1"/>
    <w:qFormat/>
    <w:uiPriority w:val="0"/>
    <w:pPr>
      <w:widowControl/>
      <w:spacing w:before="100" w:beforeAutospacing="1" w:after="100" w:afterAutospacing="1"/>
      <w:jc w:val="left"/>
      <w:textAlignment w:val="bottom"/>
    </w:pPr>
    <w:rPr>
      <w:rFonts w:ascii="Times New Roman" w:hAnsi="Times New Roman" w:cs="Times NewRoman"/>
      <w:color w:val="000000"/>
      <w:kern w:val="0"/>
      <w:sz w:val="24"/>
      <w:szCs w:val="24"/>
    </w:rPr>
  </w:style>
  <w:style w:type="paragraph" w:customStyle="1" w:styleId="2436">
    <w:name w:val="批注主题111"/>
    <w:basedOn w:val="28"/>
    <w:next w:val="28"/>
    <w:qFormat/>
    <w:uiPriority w:val="0"/>
    <w:rPr>
      <w:b/>
      <w:bCs/>
      <w:szCs w:val="24"/>
    </w:rPr>
  </w:style>
  <w:style w:type="paragraph" w:customStyle="1" w:styleId="2437">
    <w:name w:val="样式 样式 样式 标题 2 + 小四 段前: 0 磅 段后: 0 磅 行距: 固定值 25 磅 + Times New Roma..."/>
    <w:basedOn w:val="379"/>
    <w:qFormat/>
    <w:uiPriority w:val="0"/>
  </w:style>
  <w:style w:type="paragraph" w:customStyle="1" w:styleId="2438">
    <w:name w:val="表体宋旭峰"/>
    <w:basedOn w:val="1"/>
    <w:qFormat/>
    <w:uiPriority w:val="0"/>
    <w:pPr>
      <w:overflowPunct w:val="0"/>
      <w:adjustRightInd w:val="0"/>
      <w:spacing w:line="240" w:lineRule="exact"/>
      <w:jc w:val="center"/>
      <w:textAlignment w:val="baseline"/>
    </w:pPr>
    <w:rPr>
      <w:rFonts w:ascii="Times New Roman" w:hAnsi="Times New Roman" w:cs="Courier New"/>
      <w:color w:val="000000"/>
      <w:kern w:val="24"/>
      <w:sz w:val="18"/>
      <w:szCs w:val="18"/>
    </w:rPr>
  </w:style>
  <w:style w:type="paragraph" w:customStyle="1" w:styleId="2439">
    <w:name w:val="xl98"/>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kern w:val="0"/>
      <w:sz w:val="20"/>
      <w:szCs w:val="20"/>
    </w:rPr>
  </w:style>
  <w:style w:type="paragraph" w:customStyle="1" w:styleId="2440">
    <w:name w:val="xl85"/>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Times New Roman" w:hAnsi="Times New Roman"/>
      <w:b/>
      <w:bCs/>
      <w:kern w:val="0"/>
      <w:sz w:val="20"/>
      <w:szCs w:val="20"/>
    </w:rPr>
  </w:style>
  <w:style w:type="paragraph" w:customStyle="1" w:styleId="2441">
    <w:name w:val="reader-word-layer reader-word-s5-11"/>
    <w:basedOn w:val="1"/>
    <w:qFormat/>
    <w:uiPriority w:val="0"/>
    <w:pPr>
      <w:widowControl/>
      <w:spacing w:before="100" w:beforeAutospacing="1" w:after="100" w:afterAutospacing="1"/>
      <w:jc w:val="left"/>
    </w:pPr>
    <w:rPr>
      <w:rFonts w:ascii="宋体" w:hAnsi="宋体" w:cs="宋体"/>
      <w:spacing w:val="-2"/>
      <w:kern w:val="0"/>
      <w:sz w:val="24"/>
      <w:szCs w:val="20"/>
    </w:rPr>
  </w:style>
  <w:style w:type="paragraph" w:customStyle="1" w:styleId="2442">
    <w:name w:val="表格（5号）"/>
    <w:basedOn w:val="1"/>
    <w:qFormat/>
    <w:uiPriority w:val="0"/>
    <w:pPr>
      <w:spacing w:line="360" w:lineRule="exact"/>
      <w:ind w:left="-113" w:right="-113"/>
      <w:jc w:val="center"/>
    </w:pPr>
    <w:rPr>
      <w:rFonts w:ascii="宋体" w:hAnsi="宋体" w:cs="Courier New"/>
      <w:color w:val="000000"/>
      <w:sz w:val="18"/>
      <w:szCs w:val="20"/>
    </w:rPr>
  </w:style>
  <w:style w:type="paragraph" w:customStyle="1" w:styleId="2443">
    <w:name w:val="Char Char Char Char Char Char Char Char Char2"/>
    <w:basedOn w:val="1"/>
    <w:qFormat/>
    <w:uiPriority w:val="0"/>
    <w:pPr>
      <w:spacing w:after="160" w:line="240" w:lineRule="exact"/>
    </w:pPr>
    <w:rPr>
      <w:rFonts w:ascii="Times New Roman" w:hAnsi="Times New Roman"/>
      <w:spacing w:val="-2"/>
      <w:kern w:val="0"/>
      <w:sz w:val="28"/>
      <w:szCs w:val="20"/>
    </w:rPr>
  </w:style>
  <w:style w:type="paragraph" w:customStyle="1" w:styleId="2444">
    <w:name w:val="样式 小四 行距: 多倍行距 1.25 字行"/>
    <w:basedOn w:val="1"/>
    <w:qFormat/>
    <w:uiPriority w:val="0"/>
    <w:pPr>
      <w:spacing w:line="300" w:lineRule="auto"/>
    </w:pPr>
    <w:rPr>
      <w:rFonts w:ascii="Times New Roman" w:hAnsi="Times New Roman" w:eastAsia="黑体" w:cs="宋体"/>
      <w:b/>
      <w:sz w:val="24"/>
      <w:szCs w:val="20"/>
    </w:rPr>
  </w:style>
  <w:style w:type="paragraph" w:customStyle="1" w:styleId="2445">
    <w:name w:val="标题 3 YHY"/>
    <w:basedOn w:val="6"/>
    <w:next w:val="1"/>
    <w:qFormat/>
    <w:uiPriority w:val="0"/>
    <w:pPr>
      <w:spacing w:beforeLines="50" w:afterLines="50"/>
    </w:pPr>
    <w:rPr>
      <w:szCs w:val="24"/>
    </w:rPr>
  </w:style>
  <w:style w:type="paragraph" w:customStyle="1" w:styleId="2446">
    <w:name w:val="xl5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szCs w:val="24"/>
    </w:rPr>
  </w:style>
  <w:style w:type="paragraph" w:customStyle="1" w:styleId="2447">
    <w:name w:val="样式 标题 2标题 21 + Times New Roman 黑色 段前: 0 磅 段后: 0 磅 行距: 单倍行距"/>
    <w:basedOn w:val="5"/>
    <w:qFormat/>
    <w:uiPriority w:val="0"/>
    <w:pPr>
      <w:spacing w:line="240" w:lineRule="auto"/>
    </w:pPr>
    <w:rPr>
      <w:rFonts w:cs="宋体"/>
      <w:color w:val="000000"/>
      <w:sz w:val="30"/>
      <w:szCs w:val="30"/>
    </w:rPr>
  </w:style>
  <w:style w:type="paragraph" w:customStyle="1" w:styleId="2448">
    <w:name w:val="样式17"/>
    <w:basedOn w:val="207"/>
    <w:qFormat/>
    <w:uiPriority w:val="0"/>
    <w:pPr>
      <w:keepNext w:val="0"/>
      <w:keepLines w:val="0"/>
      <w:spacing w:before="120" w:after="120" w:line="360" w:lineRule="auto"/>
      <w:ind w:firstLine="480" w:firstLineChars="200"/>
      <w:jc w:val="left"/>
      <w:outlineLvl w:val="9"/>
    </w:pPr>
    <w:rPr>
      <w:rFonts w:ascii="Times New Roman" w:eastAsia="宋体" w:cs="Courier New"/>
      <w:b w:val="0"/>
      <w:bCs w:val="0"/>
      <w:color w:val="auto"/>
      <w:sz w:val="24"/>
      <w:szCs w:val="24"/>
    </w:rPr>
  </w:style>
  <w:style w:type="paragraph" w:customStyle="1" w:styleId="2449">
    <w:name w:val="默认段落字体 Para Char"/>
    <w:basedOn w:val="1"/>
    <w:next w:val="1"/>
    <w:qFormat/>
    <w:uiPriority w:val="0"/>
    <w:pPr>
      <w:spacing w:line="360" w:lineRule="auto"/>
      <w:ind w:firstLine="200" w:firstLineChars="200"/>
    </w:pPr>
    <w:rPr>
      <w:rFonts w:ascii="宋体" w:hAnsi="宋体" w:cs="宋体"/>
      <w:sz w:val="24"/>
      <w:szCs w:val="24"/>
    </w:rPr>
  </w:style>
  <w:style w:type="paragraph" w:customStyle="1" w:styleId="2450">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kern w:val="0"/>
      <w:sz w:val="22"/>
    </w:rPr>
  </w:style>
  <w:style w:type="paragraph" w:customStyle="1" w:styleId="2451">
    <w:name w:val="顺风表格内文字"/>
    <w:basedOn w:val="1"/>
    <w:next w:val="1962"/>
    <w:qFormat/>
    <w:uiPriority w:val="0"/>
    <w:pPr>
      <w:autoSpaceDE w:val="0"/>
      <w:autoSpaceDN w:val="0"/>
      <w:spacing w:line="0" w:lineRule="atLeast"/>
      <w:jc w:val="center"/>
    </w:pPr>
    <w:rPr>
      <w:rFonts w:ascii="宋体" w:hAnsi="Times New Roman"/>
      <w:color w:val="000000"/>
      <w:kern w:val="0"/>
      <w:szCs w:val="24"/>
    </w:rPr>
  </w:style>
  <w:style w:type="paragraph" w:customStyle="1" w:styleId="2452">
    <w:name w:val="排版正文"/>
    <w:basedOn w:val="1"/>
    <w:qFormat/>
    <w:uiPriority w:val="0"/>
    <w:pPr>
      <w:adjustRightInd w:val="0"/>
      <w:snapToGrid w:val="0"/>
      <w:spacing w:line="460" w:lineRule="exact"/>
      <w:ind w:firstLine="560" w:firstLineChars="200"/>
    </w:pPr>
    <w:rPr>
      <w:rFonts w:ascii="Times New Roman" w:hAnsi="Times New Roman"/>
      <w:color w:val="000000"/>
      <w:sz w:val="28"/>
      <w:szCs w:val="24"/>
    </w:rPr>
  </w:style>
  <w:style w:type="paragraph" w:customStyle="1" w:styleId="2453">
    <w:name w:val="样式 标题 1 + 三号 行距: 最小值 24 磅"/>
    <w:basedOn w:val="4"/>
    <w:qFormat/>
    <w:uiPriority w:val="0"/>
    <w:pPr>
      <w:tabs>
        <w:tab w:val="left" w:pos="425"/>
      </w:tabs>
      <w:spacing w:after="600" w:line="480" w:lineRule="atLeast"/>
      <w:ind w:left="425" w:hanging="425"/>
      <w:jc w:val="center"/>
    </w:pPr>
    <w:rPr>
      <w:rFonts w:cs="宋体"/>
    </w:rPr>
  </w:style>
  <w:style w:type="paragraph" w:customStyle="1" w:styleId="2454">
    <w:name w:val="我的正文 New New"/>
    <w:basedOn w:val="1"/>
    <w:qFormat/>
    <w:uiPriority w:val="0"/>
    <w:pPr>
      <w:ind w:firstLine="538"/>
    </w:pPr>
    <w:rPr>
      <w:rFonts w:ascii="Times New Roman" w:hAnsi="Times New Roman"/>
      <w:spacing w:val="-2"/>
      <w:kern w:val="0"/>
      <w:sz w:val="28"/>
      <w:szCs w:val="20"/>
    </w:rPr>
  </w:style>
  <w:style w:type="paragraph" w:customStyle="1" w:styleId="2455">
    <w:name w:val="正文13"/>
    <w:basedOn w:val="1"/>
    <w:qFormat/>
    <w:uiPriority w:val="0"/>
    <w:pPr>
      <w:adjustRightInd w:val="0"/>
      <w:spacing w:line="480" w:lineRule="exact"/>
      <w:textAlignment w:val="baseline"/>
    </w:pPr>
    <w:rPr>
      <w:rFonts w:ascii="Times New Roman" w:hAnsi="Times New Roman"/>
      <w:spacing w:val="-2"/>
      <w:kern w:val="0"/>
      <w:sz w:val="28"/>
      <w:szCs w:val="20"/>
    </w:rPr>
  </w:style>
  <w:style w:type="paragraph" w:customStyle="1" w:styleId="2456">
    <w:name w:val="Char Char Char Char Char Char Char Char Char Char Char Char4"/>
    <w:basedOn w:val="1"/>
    <w:qFormat/>
    <w:uiPriority w:val="0"/>
    <w:pPr>
      <w:spacing w:line="360" w:lineRule="auto"/>
      <w:ind w:firstLine="200" w:firstLineChars="200"/>
    </w:pPr>
    <w:rPr>
      <w:rFonts w:ascii="宋体" w:hAnsi="宋体" w:cs="宋体"/>
      <w:sz w:val="24"/>
      <w:szCs w:val="24"/>
    </w:rPr>
  </w:style>
  <w:style w:type="paragraph" w:customStyle="1" w:styleId="2457">
    <w:name w:val="标题 4 New"/>
    <w:basedOn w:val="1"/>
    <w:next w:val="1"/>
    <w:qFormat/>
    <w:uiPriority w:val="0"/>
    <w:pPr>
      <w:keepNext/>
      <w:keepLines/>
      <w:spacing w:before="280" w:after="290" w:line="372" w:lineRule="auto"/>
      <w:outlineLvl w:val="3"/>
    </w:pPr>
    <w:rPr>
      <w:rFonts w:ascii="Arial" w:hAnsi="Arial" w:eastAsia="黑体"/>
      <w:b/>
      <w:bCs/>
      <w:spacing w:val="-2"/>
      <w:kern w:val="0"/>
      <w:sz w:val="28"/>
      <w:szCs w:val="28"/>
    </w:rPr>
  </w:style>
  <w:style w:type="paragraph" w:customStyle="1" w:styleId="2458">
    <w:name w:val="TOC 标题3"/>
    <w:basedOn w:val="4"/>
    <w:next w:val="1"/>
    <w:unhideWhenUsed/>
    <w:qFormat/>
    <w:uiPriority w:val="0"/>
    <w:pPr>
      <w:spacing w:line="578" w:lineRule="auto"/>
      <w:ind w:firstLine="200" w:firstLineChars="200"/>
      <w:outlineLvl w:val="9"/>
    </w:pPr>
  </w:style>
  <w:style w:type="paragraph" w:customStyle="1" w:styleId="2459">
    <w:name w:val="Char Char Char Char Char Char Char"/>
    <w:basedOn w:val="1"/>
    <w:qFormat/>
    <w:uiPriority w:val="0"/>
    <w:pPr>
      <w:widowControl/>
      <w:spacing w:after="160" w:line="240" w:lineRule="exact"/>
      <w:jc w:val="left"/>
    </w:pPr>
    <w:rPr>
      <w:rFonts w:ascii="Times New Roman" w:hAnsi="Times New Roman"/>
      <w:szCs w:val="20"/>
    </w:rPr>
  </w:style>
  <w:style w:type="paragraph" w:customStyle="1" w:styleId="2460">
    <w:name w:val="Char1 Char Char Char Char Char Char Char Char Char Char Char Char12"/>
    <w:basedOn w:val="1"/>
    <w:qFormat/>
    <w:uiPriority w:val="0"/>
    <w:pPr>
      <w:spacing w:line="360" w:lineRule="auto"/>
      <w:ind w:firstLine="200" w:firstLineChars="200"/>
    </w:pPr>
    <w:rPr>
      <w:rFonts w:ascii="宋体" w:hAnsi="宋体" w:cs="宋体"/>
      <w:spacing w:val="-2"/>
      <w:kern w:val="0"/>
      <w:sz w:val="24"/>
      <w:szCs w:val="20"/>
    </w:rPr>
  </w:style>
  <w:style w:type="paragraph" w:customStyle="1" w:styleId="2461">
    <w:name w:val="正文11"/>
    <w:basedOn w:val="1"/>
    <w:qFormat/>
    <w:uiPriority w:val="0"/>
    <w:pPr>
      <w:adjustRightInd w:val="0"/>
      <w:spacing w:line="360" w:lineRule="auto"/>
    </w:pPr>
    <w:rPr>
      <w:rFonts w:ascii="Times New Roman" w:hAnsi="Times New Roman" w:eastAsia="楷体_GB2312"/>
      <w:sz w:val="24"/>
      <w:szCs w:val="20"/>
    </w:rPr>
  </w:style>
  <w:style w:type="paragraph" w:customStyle="1" w:styleId="2462">
    <w:name w:val="Char1 Char Char Char Char Char Char Char Char Char Char Char Char3"/>
    <w:basedOn w:val="1"/>
    <w:qFormat/>
    <w:uiPriority w:val="0"/>
    <w:pPr>
      <w:spacing w:line="360" w:lineRule="auto"/>
      <w:ind w:firstLine="200" w:firstLineChars="200"/>
    </w:pPr>
    <w:rPr>
      <w:rFonts w:ascii="宋体" w:hAnsi="宋体" w:cs="宋体"/>
      <w:spacing w:val="-2"/>
      <w:kern w:val="0"/>
      <w:sz w:val="24"/>
      <w:szCs w:val="20"/>
    </w:rPr>
  </w:style>
  <w:style w:type="paragraph" w:customStyle="1" w:styleId="2463">
    <w:name w:val="正文22"/>
    <w:qFormat/>
    <w:uiPriority w:val="0"/>
    <w:pPr>
      <w:overflowPunct w:val="0"/>
      <w:spacing w:line="500" w:lineRule="exact"/>
      <w:ind w:firstLine="539"/>
      <w:jc w:val="both"/>
    </w:pPr>
    <w:rPr>
      <w:rFonts w:ascii="Times NewRoman" w:hAnsi="Times NewRoman" w:eastAsia="幼圆" w:cs="Arial Unicode MS"/>
      <w:sz w:val="28"/>
      <w:szCs w:val="28"/>
      <w:lang w:val="en-US" w:eastAsia="zh-CN" w:bidi="ar-SA"/>
    </w:rPr>
  </w:style>
  <w:style w:type="paragraph" w:customStyle="1" w:styleId="2464">
    <w:name w:val="Char Char215"/>
    <w:basedOn w:val="1"/>
    <w:qFormat/>
    <w:uiPriority w:val="0"/>
    <w:pPr>
      <w:tabs>
        <w:tab w:val="left" w:pos="420"/>
      </w:tabs>
      <w:spacing w:line="360" w:lineRule="auto"/>
      <w:ind w:left="420" w:hanging="420"/>
    </w:pPr>
    <w:rPr>
      <w:rFonts w:ascii="宋体" w:hAnsi="宋体" w:cs="宋体"/>
      <w:sz w:val="24"/>
      <w:szCs w:val="24"/>
    </w:rPr>
  </w:style>
  <w:style w:type="paragraph" w:customStyle="1" w:styleId="2465">
    <w:name w:val="样式 样式 表头 + 段前: 0.5 行 行距: 1.5 倍行距 + 段前: 0.5 行"/>
    <w:basedOn w:val="1833"/>
    <w:qFormat/>
    <w:uiPriority w:val="0"/>
    <w:pPr>
      <w:spacing w:before="120" w:beforeLines="0"/>
      <w:jc w:val="center"/>
    </w:pPr>
    <w:rPr>
      <w:rFonts w:cs="宋体"/>
      <w:kern w:val="0"/>
      <w:sz w:val="24"/>
      <w:szCs w:val="22"/>
    </w:rPr>
  </w:style>
  <w:style w:type="paragraph" w:customStyle="1" w:styleId="2466">
    <w:name w:val="xl72"/>
    <w:basedOn w:val="1"/>
    <w:qFormat/>
    <w:uiPriority w:val="0"/>
    <w:pPr>
      <w:widowControl/>
      <w:pBdr>
        <w:top w:val="single" w:color="auto" w:sz="4" w:space="0"/>
        <w:left w:val="single" w:color="auto" w:sz="4" w:space="0"/>
        <w:bottom w:val="single" w:color="auto" w:sz="4" w:space="0"/>
        <w:right w:val="single" w:color="auto" w:sz="4" w:space="0"/>
      </w:pBdr>
      <w:shd w:val="clear" w:color="auto" w:fill="FFFF99"/>
      <w:spacing w:before="100" w:beforeAutospacing="1" w:after="100" w:afterAutospacing="1"/>
      <w:jc w:val="center"/>
      <w:textAlignment w:val="center"/>
    </w:pPr>
    <w:rPr>
      <w:rFonts w:ascii="Times New Roman" w:hAnsi="Times New Roman"/>
      <w:color w:val="0000FF"/>
      <w:kern w:val="0"/>
      <w:sz w:val="22"/>
    </w:rPr>
  </w:style>
  <w:style w:type="paragraph" w:customStyle="1" w:styleId="2467">
    <w:name w:val="正文 + 首行缩进:  2 字符 Char"/>
    <w:basedOn w:val="1"/>
    <w:qFormat/>
    <w:uiPriority w:val="0"/>
    <w:pPr>
      <w:ind w:firstLine="480" w:firstLineChars="200"/>
    </w:pPr>
    <w:rPr>
      <w:rFonts w:ascii="Times New Roman" w:hAnsi="Times New Roman" w:cs="宋体"/>
      <w:sz w:val="24"/>
      <w:szCs w:val="20"/>
    </w:rPr>
  </w:style>
  <w:style w:type="paragraph" w:customStyle="1" w:styleId="2468">
    <w:name w:val="四级"/>
    <w:basedOn w:val="7"/>
    <w:qFormat/>
    <w:uiPriority w:val="0"/>
    <w:pPr>
      <w:spacing w:beforeLines="50" w:afterLines="50"/>
    </w:pPr>
    <w:rPr>
      <w:rFonts w:ascii="黑体" w:hAnsi="宋体"/>
      <w:bCs w:val="0"/>
      <w:szCs w:val="20"/>
    </w:rPr>
  </w:style>
  <w:style w:type="paragraph" w:customStyle="1" w:styleId="2469">
    <w:name w:val="Char Char Char Char Char Char Char Char Char1 Char Char Char Char Char Char Char Char Char Char11"/>
    <w:basedOn w:val="1"/>
    <w:qFormat/>
    <w:uiPriority w:val="0"/>
    <w:rPr>
      <w:rFonts w:ascii="宋体" w:hAnsi="宋体" w:cs="Courier New"/>
      <w:sz w:val="32"/>
      <w:szCs w:val="32"/>
    </w:rPr>
  </w:style>
  <w:style w:type="paragraph" w:customStyle="1" w:styleId="2470">
    <w:name w:val="Char Char Char Char Char Char Char2"/>
    <w:basedOn w:val="1"/>
    <w:qFormat/>
    <w:uiPriority w:val="0"/>
    <w:pPr>
      <w:tabs>
        <w:tab w:val="left" w:pos="600"/>
      </w:tabs>
      <w:ind w:left="600" w:hanging="600"/>
    </w:pPr>
    <w:rPr>
      <w:rFonts w:ascii="Times New Roman" w:hAnsi="Times New Roman"/>
      <w:spacing w:val="-2"/>
      <w:kern w:val="0"/>
      <w:sz w:val="28"/>
      <w:szCs w:val="20"/>
    </w:rPr>
  </w:style>
  <w:style w:type="paragraph" w:customStyle="1" w:styleId="2471">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2472">
    <w:name w:val="xl628"/>
    <w:basedOn w:val="1"/>
    <w:qFormat/>
    <w:uiPriority w:val="0"/>
    <w:pPr>
      <w:widowControl/>
      <w:spacing w:before="100" w:beforeAutospacing="1" w:after="100" w:afterAutospacing="1"/>
      <w:jc w:val="left"/>
      <w:textAlignment w:val="bottom"/>
    </w:pPr>
    <w:rPr>
      <w:rFonts w:ascii="Times New Roman" w:hAnsi="Times New Roman"/>
      <w:kern w:val="0"/>
      <w:sz w:val="24"/>
      <w:szCs w:val="24"/>
    </w:rPr>
  </w:style>
  <w:style w:type="paragraph" w:customStyle="1" w:styleId="2473">
    <w:name w:val="样式7"/>
    <w:basedOn w:val="1929"/>
    <w:qFormat/>
    <w:uiPriority w:val="0"/>
    <w:pPr>
      <w:pBdr>
        <w:bottom w:val="none" w:color="auto" w:sz="0" w:space="0"/>
      </w:pBdr>
      <w:jc w:val="left"/>
    </w:pPr>
    <w:rPr>
      <w:u w:val="single"/>
    </w:rPr>
  </w:style>
  <w:style w:type="paragraph" w:customStyle="1" w:styleId="2474">
    <w:name w:val="5 Char Char Char Char Char Char Char Char Char Char"/>
    <w:basedOn w:val="1"/>
    <w:qFormat/>
    <w:uiPriority w:val="0"/>
    <w:rPr>
      <w:rFonts w:ascii="Times New Roman" w:hAnsi="Times New Roman"/>
      <w:szCs w:val="24"/>
    </w:rPr>
  </w:style>
  <w:style w:type="paragraph" w:customStyle="1" w:styleId="2475">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2476">
    <w:name w:val="列出段落2"/>
    <w:basedOn w:val="1"/>
    <w:qFormat/>
    <w:uiPriority w:val="34"/>
    <w:pPr>
      <w:ind w:firstLine="420" w:firstLineChars="200"/>
    </w:pPr>
    <w:rPr>
      <w:rFonts w:ascii="Times New Roman" w:hAnsi="Times New Roman"/>
      <w:szCs w:val="20"/>
    </w:rPr>
  </w:style>
  <w:style w:type="paragraph" w:customStyle="1" w:styleId="2477">
    <w:name w:val="正文6"/>
    <w:basedOn w:val="1"/>
    <w:qFormat/>
    <w:uiPriority w:val="0"/>
    <w:pPr>
      <w:adjustRightInd w:val="0"/>
      <w:spacing w:line="480" w:lineRule="exact"/>
      <w:textAlignment w:val="baseline"/>
    </w:pPr>
    <w:rPr>
      <w:rFonts w:ascii="Times New Roman" w:hAnsi="Times New Roman"/>
      <w:spacing w:val="-2"/>
      <w:kern w:val="0"/>
      <w:sz w:val="28"/>
      <w:szCs w:val="20"/>
    </w:rPr>
  </w:style>
  <w:style w:type="paragraph" w:customStyle="1" w:styleId="2478">
    <w:name w:val="ygs正文"/>
    <w:basedOn w:val="1"/>
    <w:qFormat/>
    <w:uiPriority w:val="0"/>
    <w:pPr>
      <w:spacing w:line="440" w:lineRule="exact"/>
      <w:ind w:firstLine="480" w:firstLineChars="200"/>
    </w:pPr>
    <w:rPr>
      <w:rFonts w:ascii="宋体" w:hAnsi="宋体"/>
      <w:bCs/>
      <w:sz w:val="24"/>
      <w:szCs w:val="24"/>
    </w:rPr>
  </w:style>
  <w:style w:type="paragraph" w:customStyle="1" w:styleId="2479">
    <w:name w:val="xl96"/>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480">
    <w:name w:val="xl629"/>
    <w:basedOn w:val="1"/>
    <w:qFormat/>
    <w:uiPriority w:val="0"/>
    <w:pPr>
      <w:widowControl/>
      <w:spacing w:before="100" w:beforeAutospacing="1" w:after="100" w:afterAutospacing="1"/>
      <w:jc w:val="center"/>
    </w:pPr>
    <w:rPr>
      <w:rFonts w:ascii="Times New Roman" w:hAnsi="Times New Roman"/>
      <w:kern w:val="0"/>
      <w:sz w:val="24"/>
      <w:szCs w:val="24"/>
    </w:rPr>
  </w:style>
  <w:style w:type="paragraph" w:customStyle="1" w:styleId="2481">
    <w:name w:val="正文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2482">
    <w:name w:val="Char Char Char Char Char Char Char Char Char21"/>
    <w:basedOn w:val="1"/>
    <w:qFormat/>
    <w:uiPriority w:val="0"/>
    <w:pPr>
      <w:spacing w:after="160" w:line="240" w:lineRule="exact"/>
    </w:pPr>
    <w:rPr>
      <w:rFonts w:ascii="Times New Roman" w:hAnsi="Times New Roman"/>
      <w:spacing w:val="-2"/>
      <w:kern w:val="0"/>
      <w:sz w:val="28"/>
      <w:szCs w:val="20"/>
    </w:rPr>
  </w:style>
  <w:style w:type="paragraph" w:customStyle="1" w:styleId="2483">
    <w:name w:val="正文文本缩进 35"/>
    <w:basedOn w:val="1"/>
    <w:qFormat/>
    <w:uiPriority w:val="0"/>
    <w:pPr>
      <w:spacing w:line="540" w:lineRule="exact"/>
      <w:ind w:firstLine="576"/>
    </w:pPr>
    <w:rPr>
      <w:rFonts w:ascii="Times New Roman" w:hAnsi="Times New Roman"/>
      <w:kern w:val="0"/>
      <w:sz w:val="28"/>
      <w:szCs w:val="24"/>
    </w:rPr>
  </w:style>
  <w:style w:type="paragraph" w:customStyle="1" w:styleId="2484">
    <w:name w:val="页脚 New"/>
    <w:basedOn w:val="2275"/>
    <w:qFormat/>
    <w:uiPriority w:val="0"/>
    <w:pPr>
      <w:tabs>
        <w:tab w:val="center" w:pos="4153"/>
        <w:tab w:val="right" w:pos="8306"/>
      </w:tabs>
      <w:snapToGrid w:val="0"/>
      <w:jc w:val="left"/>
    </w:pPr>
    <w:rPr>
      <w:sz w:val="18"/>
      <w:szCs w:val="20"/>
    </w:rPr>
  </w:style>
  <w:style w:type="paragraph" w:customStyle="1" w:styleId="2485">
    <w:name w:val="et19"/>
    <w:basedOn w:val="1"/>
    <w:qFormat/>
    <w:uiPriority w:val="0"/>
    <w:pPr>
      <w:widowControl/>
      <w:spacing w:before="100" w:beforeAutospacing="1" w:after="100" w:afterAutospacing="1"/>
      <w:jc w:val="left"/>
      <w:textAlignment w:val="bottom"/>
    </w:pPr>
    <w:rPr>
      <w:rFonts w:ascii="宋体" w:hAnsi="宋体" w:cs="宋体"/>
      <w:color w:val="000000"/>
      <w:kern w:val="0"/>
      <w:sz w:val="24"/>
      <w:szCs w:val="24"/>
    </w:rPr>
  </w:style>
  <w:style w:type="paragraph" w:customStyle="1" w:styleId="2486">
    <w:name w:val="报告正文 New New"/>
    <w:basedOn w:val="1640"/>
    <w:qFormat/>
    <w:uiPriority w:val="0"/>
    <w:pPr>
      <w:adjustRightInd w:val="0"/>
      <w:snapToGrid w:val="0"/>
      <w:spacing w:line="480" w:lineRule="exact"/>
      <w:ind w:firstLine="560" w:firstLineChars="200"/>
    </w:pPr>
    <w:rPr>
      <w:rFonts w:ascii="宋体"/>
      <w:snapToGrid w:val="0"/>
      <w:color w:val="000000"/>
      <w:sz w:val="28"/>
      <w:szCs w:val="28"/>
    </w:rPr>
  </w:style>
  <w:style w:type="paragraph" w:customStyle="1" w:styleId="2487">
    <w:name w:val="样式 标题 3 + 首行缩进:  2 字符"/>
    <w:basedOn w:val="6"/>
    <w:qFormat/>
    <w:uiPriority w:val="0"/>
    <w:pPr>
      <w:tabs>
        <w:tab w:val="left" w:pos="720"/>
      </w:tabs>
      <w:spacing w:line="300" w:lineRule="auto"/>
      <w:ind w:left="720" w:hanging="720"/>
    </w:pPr>
    <w:rPr>
      <w:rFonts w:cs="宋体"/>
      <w:b w:val="0"/>
      <w:szCs w:val="20"/>
    </w:rPr>
  </w:style>
  <w:style w:type="paragraph" w:customStyle="1" w:styleId="2488">
    <w:name w:val="页脚 New New New New New New New New New New New New New New New New New New New New New"/>
    <w:basedOn w:val="1640"/>
    <w:qFormat/>
    <w:uiPriority w:val="0"/>
    <w:pPr>
      <w:tabs>
        <w:tab w:val="center" w:pos="4153"/>
        <w:tab w:val="right" w:pos="8306"/>
      </w:tabs>
      <w:snapToGrid w:val="0"/>
      <w:jc w:val="left"/>
    </w:pPr>
    <w:rPr>
      <w:sz w:val="18"/>
      <w:szCs w:val="18"/>
    </w:rPr>
  </w:style>
  <w:style w:type="paragraph" w:customStyle="1" w:styleId="2489">
    <w:name w:val="xl6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kern w:val="0"/>
      <w:sz w:val="24"/>
      <w:szCs w:val="24"/>
    </w:rPr>
  </w:style>
  <w:style w:type="paragraph" w:customStyle="1" w:styleId="2490">
    <w:name w:val="Standard"/>
    <w:basedOn w:val="1"/>
    <w:next w:val="1"/>
    <w:qFormat/>
    <w:uiPriority w:val="0"/>
    <w:pPr>
      <w:autoSpaceDE w:val="0"/>
      <w:autoSpaceDN w:val="0"/>
      <w:adjustRightInd w:val="0"/>
      <w:spacing w:line="360" w:lineRule="auto"/>
      <w:jc w:val="left"/>
    </w:pPr>
    <w:rPr>
      <w:rFonts w:ascii="Arial" w:hAnsi="Arial" w:cs="Arial"/>
      <w:kern w:val="0"/>
      <w:sz w:val="24"/>
      <w:szCs w:val="28"/>
    </w:rPr>
  </w:style>
  <w:style w:type="paragraph" w:customStyle="1" w:styleId="2491">
    <w:name w:val="et11"/>
    <w:basedOn w:val="1"/>
    <w:qFormat/>
    <w:uiPriority w:val="0"/>
    <w:pPr>
      <w:widowControl/>
      <w:spacing w:before="100" w:beforeAutospacing="1" w:after="100" w:afterAutospacing="1"/>
      <w:jc w:val="left"/>
      <w:textAlignment w:val="bottom"/>
    </w:pPr>
    <w:rPr>
      <w:rFonts w:ascii="宋体" w:hAnsi="宋体" w:cs="宋体"/>
      <w:color w:val="000000"/>
      <w:kern w:val="0"/>
      <w:sz w:val="24"/>
      <w:szCs w:val="24"/>
    </w:rPr>
  </w:style>
  <w:style w:type="paragraph" w:customStyle="1" w:styleId="2492">
    <w:name w:val="Char Char Char Char Char Char Char Char Char Char Char Char Char Char Char Char1"/>
    <w:basedOn w:val="1"/>
    <w:qFormat/>
    <w:uiPriority w:val="0"/>
    <w:pPr>
      <w:spacing w:line="360" w:lineRule="auto"/>
      <w:ind w:firstLine="200" w:firstLineChars="200"/>
    </w:pPr>
    <w:rPr>
      <w:rFonts w:ascii="宋体" w:hAnsi="宋体" w:cs="宋体"/>
      <w:sz w:val="24"/>
      <w:szCs w:val="24"/>
    </w:rPr>
  </w:style>
  <w:style w:type="paragraph" w:customStyle="1" w:styleId="2493">
    <w:name w:val="Char23"/>
    <w:basedOn w:val="1"/>
    <w:qFormat/>
    <w:uiPriority w:val="0"/>
    <w:pPr>
      <w:snapToGrid w:val="0"/>
      <w:spacing w:line="440" w:lineRule="atLeast"/>
      <w:ind w:firstLine="200" w:firstLineChars="200"/>
    </w:pPr>
    <w:rPr>
      <w:rFonts w:hint="eastAsia" w:ascii="Times New Roman" w:hAnsi="Times New Roman"/>
      <w:szCs w:val="20"/>
    </w:rPr>
  </w:style>
  <w:style w:type="paragraph" w:customStyle="1" w:styleId="2494">
    <w:name w:val="et42"/>
    <w:basedOn w:val="1"/>
    <w:qFormat/>
    <w:uiPriority w:val="0"/>
    <w:pPr>
      <w:widowControl/>
      <w:spacing w:before="100" w:beforeAutospacing="1" w:after="100" w:afterAutospacing="1"/>
      <w:jc w:val="left"/>
      <w:textAlignment w:val="bottom"/>
    </w:pPr>
    <w:rPr>
      <w:rFonts w:ascii="宋体" w:hAnsi="宋体" w:cs="宋体"/>
      <w:color w:val="000000"/>
      <w:kern w:val="0"/>
      <w:sz w:val="24"/>
      <w:szCs w:val="24"/>
    </w:rPr>
  </w:style>
  <w:style w:type="paragraph" w:customStyle="1" w:styleId="2495">
    <w:name w:val="标题03"/>
    <w:basedOn w:val="6"/>
    <w:qFormat/>
    <w:uiPriority w:val="0"/>
    <w:pPr>
      <w:adjustRightInd w:val="0"/>
      <w:snapToGrid w:val="0"/>
      <w:jc w:val="left"/>
    </w:pPr>
    <w:rPr>
      <w:b w:val="0"/>
      <w:szCs w:val="24"/>
    </w:rPr>
  </w:style>
  <w:style w:type="paragraph" w:customStyle="1" w:styleId="2496">
    <w:name w:val="xl94"/>
    <w:basedOn w:val="1"/>
    <w:qFormat/>
    <w:uiPriority w:val="0"/>
    <w:pPr>
      <w:widowControl/>
      <w:pBdr>
        <w:left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2497">
    <w:name w:val="reader-word-layer reader-word-s1-37"/>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498">
    <w:name w:val="my table header"/>
    <w:basedOn w:val="520"/>
    <w:qFormat/>
    <w:uiPriority w:val="0"/>
    <w:pPr>
      <w:widowControl/>
      <w:overflowPunct w:val="0"/>
      <w:spacing w:line="312" w:lineRule="auto"/>
      <w:textAlignment w:val="bottom"/>
    </w:pPr>
    <w:rPr>
      <w:rFonts w:ascii="黑体" w:hAnsi="黑体" w:eastAsia="黑体"/>
      <w:b w:val="0"/>
      <w:bCs/>
      <w:kern w:val="0"/>
      <w:szCs w:val="20"/>
    </w:rPr>
  </w:style>
  <w:style w:type="paragraph" w:customStyle="1" w:styleId="2499">
    <w:name w:val="自动3"/>
    <w:basedOn w:val="335"/>
    <w:qFormat/>
    <w:uiPriority w:val="0"/>
    <w:pPr>
      <w:tabs>
        <w:tab w:val="left" w:pos="1747"/>
      </w:tabs>
      <w:spacing w:before="50" w:beforeLines="0" w:after="50" w:afterLines="0"/>
      <w:ind w:left="1747" w:hanging="420"/>
    </w:pPr>
    <w:rPr>
      <w:color w:val="000000"/>
    </w:rPr>
  </w:style>
  <w:style w:type="paragraph" w:customStyle="1" w:styleId="2500">
    <w:name w:val="表题"/>
    <w:qFormat/>
    <w:uiPriority w:val="0"/>
    <w:pPr>
      <w:keepNext/>
      <w:adjustRightInd w:val="0"/>
      <w:spacing w:before="280" w:after="40"/>
      <w:jc w:val="center"/>
    </w:pPr>
    <w:rPr>
      <w:rFonts w:ascii="Calibri" w:hAnsi="Calibri" w:eastAsia="黑体" w:cs="Times New Roman"/>
      <w:kern w:val="18"/>
      <w:sz w:val="18"/>
      <w:lang w:val="en-US" w:eastAsia="zh-CN" w:bidi="ar-SA"/>
    </w:rPr>
  </w:style>
  <w:style w:type="paragraph" w:customStyle="1" w:styleId="2501">
    <w:name w:val="标4"/>
    <w:basedOn w:val="1647"/>
    <w:qFormat/>
    <w:uiPriority w:val="0"/>
    <w:pPr>
      <w:tabs>
        <w:tab w:val="left" w:pos="360"/>
        <w:tab w:val="left" w:pos="1021"/>
        <w:tab w:val="left" w:pos="1275"/>
        <w:tab w:val="clear" w:pos="578"/>
        <w:tab w:val="clear" w:pos="1418"/>
        <w:tab w:val="clear" w:pos="6804"/>
        <w:tab w:val="clear" w:pos="7371"/>
      </w:tabs>
      <w:ind w:left="0" w:firstLine="0"/>
    </w:pPr>
  </w:style>
  <w:style w:type="paragraph" w:customStyle="1" w:styleId="2502">
    <w:name w:val="纯文本7"/>
    <w:basedOn w:val="1"/>
    <w:qFormat/>
    <w:uiPriority w:val="0"/>
    <w:pPr>
      <w:adjustRightInd w:val="0"/>
      <w:textAlignment w:val="baseline"/>
    </w:pPr>
    <w:rPr>
      <w:rFonts w:ascii="宋体" w:hAnsi="Courier New"/>
      <w:szCs w:val="20"/>
    </w:rPr>
  </w:style>
  <w:style w:type="paragraph" w:customStyle="1" w:styleId="2503">
    <w:name w:val="reader-word-layer reader-word-s2-13"/>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504">
    <w:name w:val="lux正文"/>
    <w:basedOn w:val="1463"/>
    <w:qFormat/>
    <w:uiPriority w:val="0"/>
    <w:pPr>
      <w:spacing w:beforeLines="50" w:afterLines="50" w:line="360" w:lineRule="auto"/>
      <w:ind w:firstLine="0" w:firstLineChars="0"/>
    </w:pPr>
    <w:rPr>
      <w:szCs w:val="20"/>
    </w:rPr>
  </w:style>
  <w:style w:type="paragraph" w:customStyle="1" w:styleId="2505">
    <w:name w:val="et4"/>
    <w:basedOn w:val="1"/>
    <w:qFormat/>
    <w:uiPriority w:val="0"/>
    <w:pPr>
      <w:widowControl/>
      <w:spacing w:before="100" w:beforeAutospacing="1" w:after="100" w:afterAutospacing="1"/>
      <w:jc w:val="left"/>
      <w:textAlignment w:val="bottom"/>
    </w:pPr>
    <w:rPr>
      <w:rFonts w:ascii="宋体" w:hAnsi="宋体" w:cs="宋体"/>
      <w:color w:val="000000"/>
      <w:kern w:val="0"/>
      <w:sz w:val="24"/>
      <w:szCs w:val="24"/>
    </w:rPr>
  </w:style>
  <w:style w:type="paragraph" w:customStyle="1" w:styleId="2506">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kern w:val="0"/>
      <w:sz w:val="20"/>
      <w:szCs w:val="20"/>
    </w:rPr>
  </w:style>
  <w:style w:type="paragraph" w:customStyle="1" w:styleId="2507">
    <w:name w:val="我的标题1"/>
    <w:basedOn w:val="1"/>
    <w:qFormat/>
    <w:uiPriority w:val="0"/>
    <w:pPr>
      <w:spacing w:line="460" w:lineRule="exact"/>
      <w:ind w:firstLine="192" w:firstLineChars="192"/>
      <w:outlineLvl w:val="0"/>
    </w:pPr>
    <w:rPr>
      <w:rFonts w:ascii="黑体" w:hAnsi="Times New Roman" w:eastAsia="黑体"/>
      <w:sz w:val="32"/>
      <w:szCs w:val="24"/>
    </w:rPr>
  </w:style>
  <w:style w:type="paragraph" w:customStyle="1" w:styleId="2508">
    <w:name w:val="样式 正文 + 首行缩进:  2 字符 + 宋体 四号"/>
    <w:basedOn w:val="1931"/>
    <w:qFormat/>
    <w:uiPriority w:val="0"/>
    <w:rPr>
      <w:rFonts w:ascii="宋体" w:hAnsi="宋体"/>
      <w:sz w:val="28"/>
    </w:rPr>
  </w:style>
  <w:style w:type="paragraph" w:customStyle="1" w:styleId="2509">
    <w:name w:val="正文文本缩进 26"/>
    <w:basedOn w:val="1"/>
    <w:qFormat/>
    <w:uiPriority w:val="0"/>
    <w:pPr>
      <w:spacing w:after="120" w:line="480" w:lineRule="auto"/>
      <w:ind w:left="420" w:leftChars="200" w:firstLine="200" w:firstLineChars="200"/>
    </w:pPr>
    <w:rPr>
      <w:rFonts w:ascii="Times New Roman" w:hAnsi="Times New Roman"/>
      <w:kern w:val="0"/>
      <w:sz w:val="24"/>
      <w:szCs w:val="24"/>
    </w:rPr>
  </w:style>
  <w:style w:type="paragraph" w:customStyle="1" w:styleId="2510">
    <w:name w:val="大表内容"/>
    <w:qFormat/>
    <w:uiPriority w:val="0"/>
    <w:pPr>
      <w:widowControl w:val="0"/>
      <w:topLinePunct/>
      <w:jc w:val="center"/>
    </w:pPr>
    <w:rPr>
      <w:rFonts w:ascii="Calibri" w:hAnsi="Calibri" w:eastAsia="宋体" w:cs="Times New Roman"/>
      <w:kern w:val="2"/>
      <w:sz w:val="21"/>
      <w:szCs w:val="21"/>
      <w:lang w:val="en-US" w:eastAsia="zh-CN" w:bidi="ar-SA"/>
    </w:rPr>
  </w:style>
  <w:style w:type="paragraph" w:customStyle="1" w:styleId="2511">
    <w:name w:val="样式 小四 首行缩进:  0.99 厘米 行距: 1.5 倍行距"/>
    <w:basedOn w:val="1"/>
    <w:qFormat/>
    <w:uiPriority w:val="0"/>
    <w:pPr>
      <w:widowControl/>
      <w:tabs>
        <w:tab w:val="left" w:pos="352"/>
      </w:tabs>
      <w:overflowPunct w:val="0"/>
      <w:autoSpaceDE w:val="0"/>
      <w:autoSpaceDN w:val="0"/>
      <w:adjustRightInd w:val="0"/>
      <w:spacing w:line="360" w:lineRule="auto"/>
      <w:ind w:firstLine="560"/>
      <w:textAlignment w:val="bottom"/>
    </w:pPr>
    <w:rPr>
      <w:rFonts w:ascii="Times New Roman" w:hAnsi="Times New Roman" w:cs="宋体"/>
      <w:kern w:val="0"/>
      <w:sz w:val="24"/>
      <w:szCs w:val="24"/>
    </w:rPr>
  </w:style>
  <w:style w:type="paragraph" w:customStyle="1" w:styleId="2512">
    <w:name w:val="Char Char Char Char Char Char Char4"/>
    <w:basedOn w:val="1"/>
    <w:qFormat/>
    <w:uiPriority w:val="0"/>
    <w:pPr>
      <w:tabs>
        <w:tab w:val="left" w:pos="600"/>
      </w:tabs>
      <w:ind w:left="600" w:hanging="600"/>
    </w:pPr>
    <w:rPr>
      <w:rFonts w:ascii="Times New Roman" w:hAnsi="Times New Roman"/>
      <w:spacing w:val="-2"/>
      <w:kern w:val="0"/>
      <w:sz w:val="28"/>
      <w:szCs w:val="20"/>
    </w:rPr>
  </w:style>
  <w:style w:type="paragraph" w:customStyle="1" w:styleId="2513">
    <w:name w:val="默认段落字体 Para Char Char Char Char Char Char Char Char Char Char Char Char Char"/>
    <w:basedOn w:val="1"/>
    <w:qFormat/>
    <w:uiPriority w:val="0"/>
    <w:rPr>
      <w:rFonts w:ascii="Times New Roman" w:hAnsi="Times New Roman"/>
      <w:sz w:val="24"/>
      <w:szCs w:val="24"/>
    </w:rPr>
  </w:style>
  <w:style w:type="paragraph" w:customStyle="1" w:styleId="2514">
    <w:name w:val="样式 标题 3 + 段前: 0.3 行 段后: 0.3 行1"/>
    <w:basedOn w:val="6"/>
    <w:qFormat/>
    <w:uiPriority w:val="0"/>
    <w:pPr>
      <w:spacing w:beforeLines="30" w:afterLines="30"/>
    </w:pPr>
    <w:rPr>
      <w:rFonts w:eastAsia="Times New Roman" w:cs="宋体"/>
      <w:sz w:val="30"/>
      <w:szCs w:val="20"/>
    </w:rPr>
  </w:style>
  <w:style w:type="paragraph" w:customStyle="1" w:styleId="2515">
    <w:name w:val="表格2"/>
    <w:basedOn w:val="1"/>
    <w:next w:val="1"/>
    <w:qFormat/>
    <w:uiPriority w:val="0"/>
    <w:pPr>
      <w:keepNext/>
      <w:topLinePunct/>
      <w:autoSpaceDE w:val="0"/>
      <w:autoSpaceDN w:val="0"/>
      <w:adjustRightInd w:val="0"/>
      <w:jc w:val="center"/>
      <w:textAlignment w:val="baseline"/>
    </w:pPr>
    <w:rPr>
      <w:rFonts w:ascii="宋体" w:hAnsi="Times New Roman"/>
      <w:kern w:val="0"/>
      <w:position w:val="-28"/>
      <w:szCs w:val="20"/>
    </w:rPr>
  </w:style>
  <w:style w:type="paragraph" w:customStyle="1" w:styleId="2516">
    <w:name w:val="修订1"/>
    <w:semiHidden/>
    <w:qFormat/>
    <w:uiPriority w:val="99"/>
    <w:rPr>
      <w:rFonts w:ascii="Arial" w:hAnsi="Arial" w:eastAsia="宋体" w:cs="Times New Roman"/>
      <w:kern w:val="2"/>
      <w:sz w:val="24"/>
      <w:szCs w:val="24"/>
      <w:lang w:val="en-US" w:eastAsia="zh-CN" w:bidi="ar-SA"/>
    </w:rPr>
  </w:style>
  <w:style w:type="paragraph" w:customStyle="1" w:styleId="2517">
    <w:name w:val="Char Char Char Char Char Char Char Char Char Char Char Char Char Char Char1 Char Char Char Char Char Char Char Char Char Char Char Char Char"/>
    <w:basedOn w:val="1"/>
    <w:qFormat/>
    <w:uiPriority w:val="0"/>
    <w:pPr>
      <w:autoSpaceDE w:val="0"/>
      <w:autoSpaceDN w:val="0"/>
      <w:adjustRightInd w:val="0"/>
      <w:snapToGrid w:val="0"/>
      <w:spacing w:before="50" w:after="50" w:line="360" w:lineRule="auto"/>
      <w:ind w:firstLine="560" w:firstLineChars="200"/>
    </w:pPr>
    <w:rPr>
      <w:rFonts w:eastAsia="仿宋_GB2312"/>
      <w:color w:val="000000"/>
      <w:sz w:val="24"/>
      <w:szCs w:val="21"/>
    </w:rPr>
  </w:style>
  <w:style w:type="paragraph" w:customStyle="1" w:styleId="2518">
    <w:name w:val="Char Char Char Char Char Char Char Char Char1 Char Char Char Char Char Char Char Char Char Char1"/>
    <w:basedOn w:val="1"/>
    <w:qFormat/>
    <w:uiPriority w:val="0"/>
    <w:rPr>
      <w:rFonts w:ascii="宋体" w:hAnsi="宋体" w:cs="Courier New"/>
      <w:sz w:val="32"/>
      <w:szCs w:val="32"/>
    </w:rPr>
  </w:style>
  <w:style w:type="paragraph" w:customStyle="1" w:styleId="2519">
    <w:name w:val="页脚 New New New New New New New New New New New New New"/>
    <w:basedOn w:val="1"/>
    <w:qFormat/>
    <w:uiPriority w:val="0"/>
    <w:pPr>
      <w:tabs>
        <w:tab w:val="center" w:pos="4153"/>
        <w:tab w:val="right" w:pos="8306"/>
      </w:tabs>
      <w:snapToGrid w:val="0"/>
      <w:jc w:val="left"/>
    </w:pPr>
    <w:rPr>
      <w:rFonts w:ascii="Times New Roman" w:hAnsi="Times New Roman"/>
      <w:spacing w:val="-2"/>
      <w:kern w:val="0"/>
      <w:sz w:val="18"/>
      <w:szCs w:val="18"/>
    </w:rPr>
  </w:style>
  <w:style w:type="paragraph" w:customStyle="1" w:styleId="2520">
    <w:name w:val="标题4.9"/>
    <w:basedOn w:val="1"/>
    <w:qFormat/>
    <w:uiPriority w:val="0"/>
    <w:pPr>
      <w:spacing w:before="156" w:beforeLines="50" w:line="360" w:lineRule="auto"/>
      <w:outlineLvl w:val="3"/>
    </w:pPr>
    <w:rPr>
      <w:rFonts w:ascii="Times New Roman" w:hAnsi="Times New Roman" w:eastAsia="黑体"/>
      <w:spacing w:val="20"/>
      <w:sz w:val="24"/>
      <w:szCs w:val="24"/>
    </w:rPr>
  </w:style>
  <w:style w:type="paragraph" w:customStyle="1" w:styleId="2521">
    <w:name w:val="表格内文字"/>
    <w:basedOn w:val="1"/>
    <w:qFormat/>
    <w:uiPriority w:val="0"/>
    <w:pPr>
      <w:adjustRightInd w:val="0"/>
      <w:snapToGrid w:val="0"/>
      <w:ind w:left="-27" w:leftChars="-27" w:right="70" w:hanging="31" w:hangingChars="31"/>
      <w:jc w:val="center"/>
    </w:pPr>
    <w:rPr>
      <w:szCs w:val="21"/>
    </w:rPr>
  </w:style>
  <w:style w:type="paragraph" w:customStyle="1" w:styleId="2522">
    <w:name w:val="表内容"/>
    <w:basedOn w:val="1"/>
    <w:qFormat/>
    <w:uiPriority w:val="0"/>
    <w:pPr>
      <w:widowControl/>
      <w:jc w:val="center"/>
    </w:pPr>
    <w:rPr>
      <w:rFonts w:ascii="Times New Roman" w:hAnsi="Times New Roman"/>
      <w:szCs w:val="21"/>
    </w:rPr>
  </w:style>
  <w:style w:type="paragraph" w:customStyle="1" w:styleId="2523">
    <w:name w:val="普通(网站)12"/>
    <w:basedOn w:val="1"/>
    <w:qFormat/>
    <w:uiPriority w:val="0"/>
    <w:pPr>
      <w:widowControl/>
      <w:spacing w:before="100" w:beforeAutospacing="1" w:after="100" w:afterAutospacing="1" w:line="529" w:lineRule="exact"/>
      <w:ind w:firstLine="200" w:firstLineChars="200"/>
      <w:jc w:val="left"/>
    </w:pPr>
    <w:rPr>
      <w:rFonts w:ascii="宋体" w:hAnsi="宋体"/>
      <w:kern w:val="0"/>
      <w:sz w:val="24"/>
      <w:szCs w:val="24"/>
    </w:rPr>
  </w:style>
  <w:style w:type="paragraph" w:customStyle="1" w:styleId="2524">
    <w:name w:val="Char Char1111"/>
    <w:basedOn w:val="1"/>
    <w:qFormat/>
    <w:uiPriority w:val="0"/>
    <w:pPr>
      <w:tabs>
        <w:tab w:val="left" w:pos="632"/>
      </w:tabs>
      <w:spacing w:line="360" w:lineRule="auto"/>
      <w:ind w:left="632" w:hanging="432"/>
    </w:pPr>
    <w:rPr>
      <w:rFonts w:ascii="宋体" w:hAnsi="宋体" w:cs="宋体"/>
      <w:sz w:val="24"/>
      <w:szCs w:val="24"/>
    </w:rPr>
  </w:style>
  <w:style w:type="paragraph" w:customStyle="1" w:styleId="2525">
    <w:name w:val="Char Char Char Char Char Char Char Char Char3"/>
    <w:basedOn w:val="1"/>
    <w:qFormat/>
    <w:uiPriority w:val="0"/>
    <w:pPr>
      <w:spacing w:after="160" w:line="240" w:lineRule="exact"/>
    </w:pPr>
    <w:rPr>
      <w:rFonts w:ascii="Times New Roman" w:hAnsi="Times New Roman"/>
      <w:spacing w:val="-2"/>
      <w:kern w:val="0"/>
      <w:sz w:val="28"/>
      <w:szCs w:val="20"/>
    </w:rPr>
  </w:style>
  <w:style w:type="paragraph" w:customStyle="1" w:styleId="2526">
    <w:name w:val="报告标题3"/>
    <w:basedOn w:val="6"/>
    <w:qFormat/>
    <w:uiPriority w:val="0"/>
    <w:pPr>
      <w:tabs>
        <w:tab w:val="left" w:pos="0"/>
      </w:tabs>
      <w:jc w:val="left"/>
    </w:pPr>
    <w:rPr>
      <w:rFonts w:ascii="Arial" w:hAnsi="Arial"/>
      <w:bCs w:val="0"/>
      <w:color w:val="000000"/>
    </w:rPr>
  </w:style>
  <w:style w:type="paragraph" w:customStyle="1" w:styleId="2527">
    <w:name w:val="常用表头样式"/>
    <w:basedOn w:val="86"/>
    <w:qFormat/>
    <w:uiPriority w:val="0"/>
    <w:pPr>
      <w:overflowPunct w:val="0"/>
      <w:autoSpaceDE w:val="0"/>
      <w:autoSpaceDN w:val="0"/>
      <w:adjustRightInd w:val="0"/>
      <w:spacing w:after="0"/>
      <w:ind w:firstLine="0" w:firstLineChars="0"/>
      <w:jc w:val="center"/>
      <w:textAlignment w:val="baseline"/>
    </w:pPr>
    <w:rPr>
      <w:rFonts w:ascii="黑体" w:eastAsia="仿宋_GB2312"/>
      <w:b/>
      <w:sz w:val="21"/>
      <w:szCs w:val="21"/>
    </w:rPr>
  </w:style>
  <w:style w:type="paragraph" w:customStyle="1" w:styleId="2528">
    <w:name w:val="环正文"/>
    <w:basedOn w:val="1"/>
    <w:qFormat/>
    <w:uiPriority w:val="0"/>
    <w:pPr>
      <w:widowControl/>
      <w:suppressAutoHyphens/>
      <w:adjustRightInd w:val="0"/>
      <w:spacing w:line="360" w:lineRule="auto"/>
      <w:ind w:firstLine="480" w:firstLineChars="200"/>
      <w:textAlignment w:val="baseline"/>
    </w:pPr>
    <w:rPr>
      <w:rFonts w:ascii="宋体" w:hAnsi="宋体"/>
      <w:kern w:val="0"/>
      <w:sz w:val="24"/>
      <w:szCs w:val="20"/>
    </w:rPr>
  </w:style>
  <w:style w:type="paragraph" w:customStyle="1" w:styleId="2529">
    <w:name w:val="BG一级标题"/>
    <w:qFormat/>
    <w:uiPriority w:val="0"/>
    <w:pPr>
      <w:adjustRightInd w:val="0"/>
      <w:snapToGrid w:val="0"/>
      <w:spacing w:line="360" w:lineRule="auto"/>
      <w:outlineLvl w:val="0"/>
    </w:pPr>
    <w:rPr>
      <w:rFonts w:ascii="Calibri" w:hAnsi="Calibri" w:eastAsia="黑体" w:cs="Times New Roman"/>
      <w:b/>
      <w:bCs/>
      <w:snapToGrid w:val="0"/>
      <w:sz w:val="30"/>
      <w:szCs w:val="30"/>
      <w:lang w:val="en-US" w:eastAsia="zh-CN" w:bidi="ar-SA"/>
    </w:rPr>
  </w:style>
  <w:style w:type="paragraph" w:customStyle="1" w:styleId="2530">
    <w:name w:val="页眉 New New New New New New New New New New New New New New New New New New"/>
    <w:basedOn w:val="1"/>
    <w:qFormat/>
    <w:uiPriority w:val="0"/>
    <w:pPr>
      <w:pBdr>
        <w:bottom w:val="single" w:color="auto" w:sz="6" w:space="1"/>
      </w:pBdr>
      <w:tabs>
        <w:tab w:val="center" w:pos="4153"/>
        <w:tab w:val="right" w:pos="8306"/>
      </w:tabs>
      <w:snapToGrid w:val="0"/>
      <w:jc w:val="center"/>
    </w:pPr>
    <w:rPr>
      <w:rFonts w:ascii="Times New Roman" w:hAnsi="Times New Roman"/>
      <w:spacing w:val="-2"/>
      <w:kern w:val="0"/>
      <w:sz w:val="18"/>
      <w:szCs w:val="18"/>
    </w:rPr>
  </w:style>
  <w:style w:type="paragraph" w:customStyle="1" w:styleId="2531">
    <w:name w:val="列表段落1"/>
    <w:basedOn w:val="1"/>
    <w:qFormat/>
    <w:uiPriority w:val="34"/>
    <w:pPr>
      <w:spacing w:line="360" w:lineRule="auto"/>
      <w:ind w:firstLine="420" w:firstLineChars="200"/>
    </w:pPr>
    <w:rPr>
      <w:rFonts w:ascii="Arial" w:hAnsi="Arial"/>
      <w:sz w:val="24"/>
      <w:szCs w:val="24"/>
    </w:rPr>
  </w:style>
  <w:style w:type="paragraph" w:customStyle="1" w:styleId="2532">
    <w:name w:val="君邦正文 Char Char"/>
    <w:basedOn w:val="1"/>
    <w:qFormat/>
    <w:uiPriority w:val="0"/>
    <w:pPr>
      <w:spacing w:after="60" w:line="360" w:lineRule="auto"/>
      <w:ind w:firstLine="200" w:firstLineChars="200"/>
    </w:pPr>
    <w:rPr>
      <w:rFonts w:ascii="Times New Roman" w:hAnsi="Times New Roman"/>
      <w:sz w:val="24"/>
      <w:szCs w:val="24"/>
    </w:rPr>
  </w:style>
  <w:style w:type="paragraph" w:customStyle="1" w:styleId="2533">
    <w:name w:val="正文16"/>
    <w:basedOn w:val="1"/>
    <w:qFormat/>
    <w:uiPriority w:val="0"/>
    <w:pPr>
      <w:adjustRightInd w:val="0"/>
      <w:spacing w:line="480" w:lineRule="exact"/>
      <w:textAlignment w:val="baseline"/>
    </w:pPr>
    <w:rPr>
      <w:rFonts w:ascii="Times New Roman" w:hAnsi="Times New Roman"/>
      <w:spacing w:val="-2"/>
      <w:kern w:val="0"/>
      <w:sz w:val="28"/>
      <w:szCs w:val="20"/>
    </w:rPr>
  </w:style>
  <w:style w:type="paragraph" w:customStyle="1" w:styleId="2534">
    <w:name w:val="reader-word-layer reader-word-s5-3"/>
    <w:basedOn w:val="1"/>
    <w:qFormat/>
    <w:uiPriority w:val="0"/>
    <w:pPr>
      <w:widowControl/>
      <w:spacing w:before="100" w:beforeAutospacing="1" w:after="100" w:afterAutospacing="1"/>
      <w:jc w:val="left"/>
    </w:pPr>
    <w:rPr>
      <w:rFonts w:ascii="宋体" w:hAnsi="宋体" w:cs="宋体"/>
      <w:spacing w:val="-2"/>
      <w:kern w:val="0"/>
      <w:sz w:val="24"/>
      <w:szCs w:val="20"/>
    </w:rPr>
  </w:style>
  <w:style w:type="paragraph" w:customStyle="1" w:styleId="2535">
    <w:name w:val="reader-word-layer reader-word-s5-15"/>
    <w:basedOn w:val="1"/>
    <w:qFormat/>
    <w:uiPriority w:val="0"/>
    <w:pPr>
      <w:widowControl/>
      <w:spacing w:before="100" w:beforeAutospacing="1" w:after="100" w:afterAutospacing="1"/>
      <w:jc w:val="left"/>
    </w:pPr>
    <w:rPr>
      <w:rFonts w:ascii="宋体" w:hAnsi="宋体" w:cs="宋体"/>
      <w:spacing w:val="-2"/>
      <w:kern w:val="0"/>
      <w:sz w:val="24"/>
      <w:szCs w:val="20"/>
    </w:rPr>
  </w:style>
  <w:style w:type="paragraph" w:customStyle="1" w:styleId="2536">
    <w:name w:val="样式 标题 2标题 21标题 121 + Times New Roman 小三 非加粗 黑色 段前: 8 磅 段...3"/>
    <w:basedOn w:val="1"/>
    <w:qFormat/>
    <w:uiPriority w:val="0"/>
    <w:pPr>
      <w:tabs>
        <w:tab w:val="left" w:pos="1320"/>
      </w:tabs>
      <w:ind w:left="1320" w:hanging="420"/>
    </w:pPr>
    <w:rPr>
      <w:rFonts w:ascii="Times New Roman" w:hAnsi="Times New Roman"/>
      <w:sz w:val="28"/>
      <w:szCs w:val="24"/>
    </w:rPr>
  </w:style>
  <w:style w:type="paragraph" w:customStyle="1" w:styleId="2537">
    <w:name w:val="点"/>
    <w:basedOn w:val="8"/>
    <w:qFormat/>
    <w:uiPriority w:val="0"/>
    <w:pPr>
      <w:tabs>
        <w:tab w:val="left" w:pos="1200"/>
        <w:tab w:val="clear" w:pos="927"/>
      </w:tabs>
      <w:autoSpaceDE/>
      <w:autoSpaceDN/>
      <w:adjustRightInd/>
      <w:snapToGrid/>
      <w:ind w:left="1200" w:firstLine="200" w:firstLineChars="200"/>
      <w:jc w:val="left"/>
      <w:textAlignment w:val="auto"/>
      <w:outlineLvl w:val="9"/>
    </w:pPr>
    <w:rPr>
      <w:rFonts w:ascii="宋体" w:eastAsia="黑体"/>
      <w:szCs w:val="24"/>
    </w:rPr>
  </w:style>
  <w:style w:type="paragraph" w:customStyle="1" w:styleId="2538">
    <w:name w:val="正文文本缩进11"/>
    <w:basedOn w:val="1"/>
    <w:qFormat/>
    <w:uiPriority w:val="0"/>
    <w:pPr>
      <w:spacing w:line="520" w:lineRule="exact"/>
      <w:ind w:firstLine="540"/>
    </w:pPr>
    <w:rPr>
      <w:rFonts w:ascii="宋体" w:hAnsi="宋体" w:cs="Courier New"/>
      <w:spacing w:val="-2"/>
      <w:sz w:val="28"/>
      <w:szCs w:val="28"/>
    </w:rPr>
  </w:style>
  <w:style w:type="paragraph" w:customStyle="1" w:styleId="2539">
    <w:name w:val="Char Char Char Char Char1 Char11"/>
    <w:basedOn w:val="1"/>
    <w:next w:val="1"/>
    <w:qFormat/>
    <w:uiPriority w:val="0"/>
    <w:pPr>
      <w:spacing w:line="360" w:lineRule="auto"/>
      <w:ind w:firstLine="200" w:firstLineChars="200"/>
    </w:pPr>
    <w:rPr>
      <w:rFonts w:ascii="宋体-方正超大字符集" w:hAnsi="宋体-方正超大字符集" w:eastAsia="宋体-方正超大字符集" w:cs="宋体-方正超大字符集"/>
      <w:sz w:val="24"/>
      <w:szCs w:val="24"/>
    </w:rPr>
  </w:style>
  <w:style w:type="paragraph" w:customStyle="1" w:styleId="2540">
    <w:name w:val="xl642"/>
    <w:basedOn w:val="1"/>
    <w:qFormat/>
    <w:uiPriority w:val="0"/>
    <w:pPr>
      <w:widowControl/>
      <w:spacing w:before="100" w:beforeAutospacing="1" w:after="100" w:afterAutospacing="1"/>
      <w:jc w:val="center"/>
    </w:pPr>
    <w:rPr>
      <w:rFonts w:ascii="宋体" w:hAnsi="宋体" w:cs="宋体"/>
      <w:kern w:val="0"/>
      <w:sz w:val="24"/>
      <w:szCs w:val="24"/>
    </w:rPr>
  </w:style>
  <w:style w:type="paragraph" w:customStyle="1" w:styleId="2541">
    <w:name w:val="称呼2"/>
    <w:basedOn w:val="1"/>
    <w:next w:val="1"/>
    <w:qFormat/>
    <w:uiPriority w:val="0"/>
    <w:rPr>
      <w:rFonts w:ascii="Times New Roman" w:hAnsi="Times New Roman"/>
      <w:kern w:val="0"/>
      <w:szCs w:val="24"/>
      <w:lang w:val="zh-CN"/>
    </w:rPr>
  </w:style>
  <w:style w:type="paragraph" w:customStyle="1" w:styleId="2542">
    <w:name w:val="无间隔2"/>
    <w:qFormat/>
    <w:uiPriority w:val="1"/>
    <w:rPr>
      <w:rFonts w:ascii="Calibri" w:hAnsi="Calibri" w:eastAsia="宋体" w:cs="Times New Roman"/>
      <w:sz w:val="22"/>
      <w:lang w:val="en-US" w:eastAsia="zh-CN" w:bidi="ar-SA"/>
    </w:rPr>
  </w:style>
  <w:style w:type="paragraph" w:customStyle="1" w:styleId="2543">
    <w:name w:val="xl636"/>
    <w:basedOn w:val="1"/>
    <w:qFormat/>
    <w:uiPriority w:val="0"/>
    <w:pPr>
      <w:widowControl/>
      <w:pBdr>
        <w:bottom w:val="single" w:color="auto" w:sz="8" w:space="0"/>
        <w:right w:val="single" w:color="auto" w:sz="8" w:space="0"/>
      </w:pBdr>
      <w:spacing w:before="100" w:beforeAutospacing="1" w:after="100" w:afterAutospacing="1"/>
      <w:jc w:val="center"/>
    </w:pPr>
    <w:rPr>
      <w:rFonts w:ascii="Times New Roman" w:hAnsi="Times New Roman"/>
      <w:kern w:val="0"/>
      <w:szCs w:val="21"/>
    </w:rPr>
  </w:style>
  <w:style w:type="paragraph" w:customStyle="1" w:styleId="2544">
    <w:name w:val="表格 2"/>
    <w:basedOn w:val="966"/>
    <w:qFormat/>
    <w:uiPriority w:val="0"/>
    <w:pPr>
      <w:keepNext w:val="0"/>
    </w:pPr>
    <w:rPr>
      <w:rFonts w:ascii="Times New Roman" w:hAnsi="Times New Roman"/>
      <w:w w:val="100"/>
    </w:rPr>
  </w:style>
  <w:style w:type="paragraph" w:customStyle="1" w:styleId="2545">
    <w:name w:val="默认段落字体 Para Char Char Char Char Char Char Char Char Char1 Char Char Char Char Char Char Char"/>
    <w:basedOn w:val="1"/>
    <w:qFormat/>
    <w:uiPriority w:val="0"/>
    <w:rPr>
      <w:rFonts w:ascii="Times New Roman" w:hAnsi="Times New Roman"/>
      <w:b/>
      <w:bCs/>
      <w:sz w:val="36"/>
      <w:szCs w:val="32"/>
    </w:rPr>
  </w:style>
  <w:style w:type="paragraph" w:customStyle="1" w:styleId="2546">
    <w:name w:val="样式 样式 首行缩进:  2 字符 + 宋体 首行缩进:  2 字符"/>
    <w:basedOn w:val="1"/>
    <w:qFormat/>
    <w:uiPriority w:val="0"/>
    <w:pPr>
      <w:adjustRightInd w:val="0"/>
      <w:snapToGrid w:val="0"/>
      <w:jc w:val="center"/>
    </w:pPr>
    <w:rPr>
      <w:rFonts w:ascii="Times New Roman" w:hAnsi="Times New Roman"/>
      <w:b/>
      <w:color w:val="000000"/>
      <w:szCs w:val="21"/>
    </w:rPr>
  </w:style>
  <w:style w:type="paragraph" w:customStyle="1" w:styleId="2547">
    <w:name w:val="正文 New New New New New New New New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2548">
    <w:name w:val="Char Char213"/>
    <w:basedOn w:val="1"/>
    <w:qFormat/>
    <w:uiPriority w:val="0"/>
    <w:pPr>
      <w:tabs>
        <w:tab w:val="left" w:pos="420"/>
      </w:tabs>
      <w:spacing w:line="360" w:lineRule="auto"/>
      <w:ind w:left="1202" w:hanging="720"/>
    </w:pPr>
    <w:rPr>
      <w:rFonts w:ascii="宋体" w:hAnsi="宋体" w:cs="宋体"/>
      <w:sz w:val="24"/>
      <w:szCs w:val="24"/>
    </w:rPr>
  </w:style>
  <w:style w:type="paragraph" w:customStyle="1" w:styleId="2549">
    <w:name w:val="style15"/>
    <w:basedOn w:val="1"/>
    <w:qFormat/>
    <w:uiPriority w:val="0"/>
    <w:pPr>
      <w:widowControl/>
      <w:spacing w:before="100" w:beforeAutospacing="1" w:after="100" w:afterAutospacing="1" w:line="330" w:lineRule="atLeast"/>
      <w:jc w:val="left"/>
    </w:pPr>
    <w:rPr>
      <w:rFonts w:ascii="宋体" w:hAnsi="宋体" w:cs="宋体"/>
      <w:kern w:val="0"/>
      <w:szCs w:val="21"/>
    </w:rPr>
  </w:style>
  <w:style w:type="paragraph" w:customStyle="1" w:styleId="2550">
    <w:name w:val="Char Char Char Char Char Char Char Char Char1 Char"/>
    <w:basedOn w:val="1"/>
    <w:qFormat/>
    <w:uiPriority w:val="0"/>
    <w:rPr>
      <w:rFonts w:ascii="Times New Roman" w:hAnsi="Times New Roman"/>
      <w:szCs w:val="24"/>
    </w:rPr>
  </w:style>
  <w:style w:type="paragraph" w:customStyle="1" w:styleId="2551">
    <w:name w:val="纯文本6"/>
    <w:basedOn w:val="1"/>
    <w:qFormat/>
    <w:uiPriority w:val="0"/>
    <w:pPr>
      <w:adjustRightInd w:val="0"/>
      <w:textAlignment w:val="baseline"/>
    </w:pPr>
    <w:rPr>
      <w:rFonts w:ascii="宋体" w:hAnsi="Courier New"/>
      <w:szCs w:val="20"/>
    </w:rPr>
  </w:style>
  <w:style w:type="paragraph" w:customStyle="1" w:styleId="2552">
    <w:name w:val="_Style 3"/>
    <w:basedOn w:val="1"/>
    <w:qFormat/>
    <w:uiPriority w:val="0"/>
    <w:rPr>
      <w:rFonts w:ascii="Times New Roman" w:hAnsi="Times New Roman"/>
      <w:szCs w:val="20"/>
    </w:rPr>
  </w:style>
  <w:style w:type="paragraph" w:customStyle="1" w:styleId="2553">
    <w:name w:val="Char22"/>
    <w:basedOn w:val="1"/>
    <w:qFormat/>
    <w:uiPriority w:val="0"/>
    <w:pPr>
      <w:snapToGrid w:val="0"/>
      <w:spacing w:line="440" w:lineRule="atLeast"/>
      <w:ind w:firstLine="200" w:firstLineChars="200"/>
    </w:pPr>
    <w:rPr>
      <w:rFonts w:hint="eastAsia" w:ascii="Times New Roman" w:hAnsi="Times New Roman"/>
      <w:szCs w:val="20"/>
    </w:rPr>
  </w:style>
  <w:style w:type="paragraph" w:customStyle="1" w:styleId="2554">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b/>
      <w:bCs/>
      <w:kern w:val="0"/>
      <w:sz w:val="22"/>
    </w:rPr>
  </w:style>
  <w:style w:type="paragraph" w:customStyle="1" w:styleId="2555">
    <w:name w:val="正文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2556">
    <w:name w:val="页脚 New New New New New New New New New New New New New New New New New"/>
    <w:basedOn w:val="1"/>
    <w:qFormat/>
    <w:uiPriority w:val="0"/>
    <w:pPr>
      <w:tabs>
        <w:tab w:val="center" w:pos="4153"/>
        <w:tab w:val="right" w:pos="8306"/>
      </w:tabs>
      <w:snapToGrid w:val="0"/>
      <w:jc w:val="left"/>
    </w:pPr>
    <w:rPr>
      <w:rFonts w:ascii="Times New Roman" w:hAnsi="Times New Roman"/>
      <w:spacing w:val="-2"/>
      <w:kern w:val="0"/>
      <w:sz w:val="18"/>
      <w:szCs w:val="18"/>
    </w:rPr>
  </w:style>
  <w:style w:type="paragraph" w:customStyle="1" w:styleId="2557">
    <w:name w:val="Char Char Char1 Char Char Char Char Char Char Char Char Char Char Char Char Char Char Char Char Char Char Char Char Char Char"/>
    <w:basedOn w:val="1"/>
    <w:qFormat/>
    <w:uiPriority w:val="0"/>
    <w:pPr>
      <w:adjustRightInd w:val="0"/>
      <w:snapToGrid w:val="0"/>
      <w:spacing w:line="360" w:lineRule="auto"/>
      <w:ind w:firstLine="200" w:firstLineChars="200"/>
    </w:pPr>
    <w:rPr>
      <w:rFonts w:ascii="宋体" w:hAnsi="宋体" w:cs="宋体"/>
      <w:sz w:val="24"/>
      <w:szCs w:val="26"/>
    </w:rPr>
  </w:style>
  <w:style w:type="paragraph" w:customStyle="1" w:styleId="2558">
    <w:name w:val="et54"/>
    <w:basedOn w:val="1"/>
    <w:qFormat/>
    <w:uiPriority w:val="0"/>
    <w:pPr>
      <w:widowControl/>
      <w:spacing w:before="100" w:beforeAutospacing="1" w:after="100" w:afterAutospacing="1"/>
      <w:jc w:val="left"/>
      <w:textAlignment w:val="bottom"/>
    </w:pPr>
    <w:rPr>
      <w:rFonts w:ascii="Times New Roman" w:hAnsi="Times New Roman"/>
      <w:color w:val="000000"/>
      <w:kern w:val="0"/>
      <w:sz w:val="24"/>
      <w:szCs w:val="24"/>
    </w:rPr>
  </w:style>
  <w:style w:type="paragraph" w:customStyle="1" w:styleId="2559">
    <w:name w:val="页脚 New New New New New New"/>
    <w:basedOn w:val="1"/>
    <w:qFormat/>
    <w:uiPriority w:val="0"/>
    <w:pPr>
      <w:tabs>
        <w:tab w:val="center" w:pos="4153"/>
        <w:tab w:val="right" w:pos="8306"/>
      </w:tabs>
      <w:snapToGrid w:val="0"/>
      <w:jc w:val="left"/>
    </w:pPr>
    <w:rPr>
      <w:rFonts w:ascii="Times New Roman" w:hAnsi="Times New Roman"/>
      <w:spacing w:val="-2"/>
      <w:kern w:val="0"/>
      <w:sz w:val="18"/>
      <w:szCs w:val="18"/>
    </w:rPr>
  </w:style>
  <w:style w:type="paragraph" w:customStyle="1" w:styleId="2560">
    <w:name w:val="正文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2561">
    <w:name w:val="样式 标题 1标题 11一、 + 小三 行距: 1.5 倍行距"/>
    <w:basedOn w:val="4"/>
    <w:qFormat/>
    <w:uiPriority w:val="0"/>
    <w:pPr>
      <w:spacing w:line="500" w:lineRule="exact"/>
    </w:pPr>
    <w:rPr>
      <w:rFonts w:ascii="黑体" w:cs="宋体"/>
      <w:szCs w:val="20"/>
    </w:rPr>
  </w:style>
  <w:style w:type="paragraph" w:customStyle="1" w:styleId="2562">
    <w:name w:val="样式126"/>
    <w:basedOn w:val="1"/>
    <w:qFormat/>
    <w:uiPriority w:val="0"/>
    <w:pPr>
      <w:widowControl/>
      <w:overflowPunct w:val="0"/>
      <w:autoSpaceDE w:val="0"/>
      <w:autoSpaceDN w:val="0"/>
      <w:adjustRightInd w:val="0"/>
      <w:spacing w:before="156" w:beforeLines="50" w:after="31" w:afterLines="10"/>
      <w:jc w:val="center"/>
      <w:textAlignment w:val="bottom"/>
    </w:pPr>
    <w:rPr>
      <w:rFonts w:ascii="黑体" w:hAnsi="Times New Roman"/>
      <w:b/>
      <w:snapToGrid w:val="0"/>
      <w:color w:val="000000"/>
      <w:szCs w:val="21"/>
      <w:lang w:val="zh-CN"/>
    </w:rPr>
  </w:style>
  <w:style w:type="paragraph" w:customStyle="1" w:styleId="2563">
    <w:name w:val="小节"/>
    <w:basedOn w:val="1"/>
    <w:qFormat/>
    <w:uiPriority w:val="0"/>
    <w:pPr>
      <w:autoSpaceDE w:val="0"/>
      <w:autoSpaceDN w:val="0"/>
      <w:adjustRightInd w:val="0"/>
      <w:spacing w:line="360" w:lineRule="auto"/>
      <w:textAlignment w:val="baseline"/>
    </w:pPr>
    <w:rPr>
      <w:rFonts w:ascii="Times New Roman" w:hAnsi="Times New Roman"/>
      <w:snapToGrid w:val="0"/>
      <w:w w:val="90"/>
      <w:kern w:val="0"/>
      <w:sz w:val="28"/>
      <w:szCs w:val="20"/>
    </w:rPr>
  </w:style>
  <w:style w:type="paragraph" w:customStyle="1" w:styleId="2564">
    <w:name w:val="xl2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Arial Unicode MS"/>
      <w:color w:val="FF0000"/>
      <w:kern w:val="0"/>
      <w:szCs w:val="21"/>
    </w:rPr>
  </w:style>
  <w:style w:type="paragraph" w:customStyle="1" w:styleId="2565">
    <w:name w:val="列表接续 26"/>
    <w:basedOn w:val="1"/>
    <w:qFormat/>
    <w:uiPriority w:val="0"/>
    <w:pPr>
      <w:spacing w:after="120"/>
      <w:ind w:left="840" w:leftChars="400"/>
    </w:pPr>
    <w:rPr>
      <w:rFonts w:ascii="宋体" w:hAnsi="宋体"/>
      <w:kern w:val="0"/>
      <w:sz w:val="24"/>
      <w:szCs w:val="24"/>
    </w:rPr>
  </w:style>
  <w:style w:type="paragraph" w:customStyle="1" w:styleId="2566">
    <w:name w:val="表列"/>
    <w:basedOn w:val="1"/>
    <w:qFormat/>
    <w:uiPriority w:val="0"/>
    <w:pPr>
      <w:adjustRightInd w:val="0"/>
      <w:spacing w:line="240" w:lineRule="atLeast"/>
      <w:textAlignment w:val="baseline"/>
    </w:pPr>
    <w:rPr>
      <w:rFonts w:ascii="Times New Roman" w:hAnsi="Times New Roman"/>
      <w:sz w:val="24"/>
      <w:szCs w:val="20"/>
    </w:rPr>
  </w:style>
  <w:style w:type="paragraph" w:customStyle="1" w:styleId="2567">
    <w:name w:val="reader-word-layer reader-word-s1-14"/>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568">
    <w:name w:val="_Style 49"/>
    <w:basedOn w:val="1"/>
    <w:next w:val="2"/>
    <w:qFormat/>
    <w:uiPriority w:val="0"/>
    <w:pPr>
      <w:spacing w:line="440" w:lineRule="exact"/>
      <w:ind w:firstLine="420" w:firstLineChars="200"/>
    </w:pPr>
    <w:rPr>
      <w:rFonts w:ascii="Times New Roman" w:hAnsi="Times New Roman"/>
      <w:sz w:val="24"/>
      <w:szCs w:val="20"/>
    </w:rPr>
  </w:style>
  <w:style w:type="paragraph" w:customStyle="1" w:styleId="2569">
    <w:name w:val="样式 标题 2标题 12标题 2 Char CharSeHead wsa2ChapterChapter Title..."/>
    <w:basedOn w:val="5"/>
    <w:qFormat/>
    <w:uiPriority w:val="0"/>
    <w:pPr>
      <w:spacing w:before="156"/>
    </w:pPr>
    <w:rPr>
      <w:rFonts w:cs="宋体"/>
      <w:szCs w:val="20"/>
    </w:rPr>
  </w:style>
  <w:style w:type="paragraph" w:customStyle="1" w:styleId="2570">
    <w:name w:val="xl633"/>
    <w:basedOn w:val="1"/>
    <w:qFormat/>
    <w:uiPriority w:val="0"/>
    <w:pPr>
      <w:widowControl/>
      <w:pBdr>
        <w:top w:val="single" w:color="auto" w:sz="12" w:space="0"/>
        <w:left w:val="single" w:color="auto" w:sz="8" w:space="0"/>
        <w:right w:val="single" w:color="auto" w:sz="8" w:space="0"/>
      </w:pBdr>
      <w:spacing w:before="100" w:beforeAutospacing="1" w:after="100" w:afterAutospacing="1"/>
      <w:jc w:val="center"/>
    </w:pPr>
    <w:rPr>
      <w:rFonts w:ascii="宋体" w:hAnsi="宋体" w:cs="宋体"/>
      <w:b/>
      <w:bCs/>
      <w:kern w:val="0"/>
      <w:szCs w:val="21"/>
    </w:rPr>
  </w:style>
  <w:style w:type="paragraph" w:customStyle="1" w:styleId="2571">
    <w:name w:val="注释标题6"/>
    <w:basedOn w:val="1"/>
    <w:next w:val="1"/>
    <w:qFormat/>
    <w:uiPriority w:val="0"/>
    <w:pPr>
      <w:jc w:val="center"/>
    </w:pPr>
    <w:rPr>
      <w:rFonts w:ascii="Times New Roman" w:hAnsi="Times New Roman"/>
      <w:kern w:val="0"/>
      <w:sz w:val="28"/>
      <w:szCs w:val="24"/>
    </w:rPr>
  </w:style>
  <w:style w:type="paragraph" w:customStyle="1" w:styleId="2572">
    <w:name w:val="xl640"/>
    <w:basedOn w:val="1"/>
    <w:qFormat/>
    <w:uiPriority w:val="0"/>
    <w:pPr>
      <w:widowControl/>
      <w:pBdr>
        <w:right w:val="single" w:color="auto" w:sz="12" w:space="0"/>
      </w:pBdr>
      <w:spacing w:before="100" w:beforeAutospacing="1" w:after="100" w:afterAutospacing="1"/>
      <w:jc w:val="left"/>
    </w:pPr>
    <w:rPr>
      <w:rFonts w:ascii="宋体" w:hAnsi="宋体" w:cs="宋体"/>
      <w:b/>
      <w:bCs/>
      <w:kern w:val="0"/>
      <w:sz w:val="20"/>
      <w:szCs w:val="20"/>
    </w:rPr>
  </w:style>
  <w:style w:type="paragraph" w:customStyle="1" w:styleId="2573">
    <w:name w:val="样式 标题 2标题 21标题 121 + Times New Roman 非加粗 段前: 6 磅 段后: 8 磅 ..."/>
    <w:basedOn w:val="1"/>
    <w:qFormat/>
    <w:uiPriority w:val="0"/>
    <w:rPr>
      <w:rFonts w:ascii="Times New Roman" w:hAnsi="Times New Roman"/>
      <w:sz w:val="28"/>
      <w:szCs w:val="24"/>
    </w:rPr>
  </w:style>
  <w:style w:type="paragraph" w:customStyle="1" w:styleId="2574">
    <w:name w:val="页脚 New New New New New New New New"/>
    <w:basedOn w:val="1"/>
    <w:qFormat/>
    <w:uiPriority w:val="0"/>
    <w:pPr>
      <w:tabs>
        <w:tab w:val="center" w:pos="4153"/>
        <w:tab w:val="right" w:pos="8306"/>
      </w:tabs>
      <w:snapToGrid w:val="0"/>
      <w:jc w:val="left"/>
    </w:pPr>
    <w:rPr>
      <w:rFonts w:ascii="Times New Roman" w:hAnsi="Times New Roman"/>
      <w:spacing w:val="-2"/>
      <w:kern w:val="0"/>
      <w:sz w:val="18"/>
      <w:szCs w:val="18"/>
    </w:rPr>
  </w:style>
  <w:style w:type="paragraph" w:customStyle="1" w:styleId="2575">
    <w:name w:val="Char Char Char1 Char Char Char Char Char Char Char Char Char Char Char Char Char Char Char Char Char Char Char11"/>
    <w:basedOn w:val="1"/>
    <w:next w:val="3"/>
    <w:qFormat/>
    <w:uiPriority w:val="0"/>
    <w:rPr>
      <w:rFonts w:ascii="Times New Roman" w:hAnsi="Times New Roman"/>
      <w:szCs w:val="24"/>
    </w:rPr>
  </w:style>
  <w:style w:type="paragraph" w:customStyle="1" w:styleId="2576">
    <w:name w:val="索引标题11"/>
    <w:basedOn w:val="1"/>
    <w:next w:val="1963"/>
    <w:qFormat/>
    <w:uiPriority w:val="0"/>
    <w:rPr>
      <w:rFonts w:ascii="宋体" w:hAnsi="宋体"/>
      <w:w w:val="90"/>
      <w:kern w:val="0"/>
      <w:sz w:val="28"/>
      <w:szCs w:val="24"/>
    </w:rPr>
  </w:style>
  <w:style w:type="paragraph" w:customStyle="1" w:styleId="2577">
    <w:name w:val="font5"/>
    <w:basedOn w:val="1"/>
    <w:qFormat/>
    <w:uiPriority w:val="0"/>
    <w:pPr>
      <w:widowControl/>
      <w:spacing w:before="100" w:beforeAutospacing="1" w:after="100" w:afterAutospacing="1"/>
      <w:jc w:val="left"/>
    </w:pPr>
    <w:rPr>
      <w:rFonts w:hint="eastAsia" w:ascii="宋体" w:hAnsi="宋体" w:cs="Arial Unicode MS"/>
      <w:kern w:val="0"/>
      <w:sz w:val="18"/>
      <w:szCs w:val="18"/>
    </w:rPr>
  </w:style>
  <w:style w:type="paragraph" w:customStyle="1" w:styleId="2578">
    <w:name w:val="表中"/>
    <w:qFormat/>
    <w:uiPriority w:val="0"/>
    <w:pPr>
      <w:widowControl w:val="0"/>
      <w:jc w:val="center"/>
    </w:pPr>
    <w:rPr>
      <w:rFonts w:ascii="Calibri" w:hAnsi="Calibri" w:eastAsia="宋体" w:cs="Times New Roman"/>
      <w:kern w:val="2"/>
      <w:sz w:val="18"/>
      <w:szCs w:val="18"/>
      <w:lang w:val="en-US" w:eastAsia="zh-CN" w:bidi="ar-SA"/>
    </w:rPr>
  </w:style>
  <w:style w:type="paragraph" w:customStyle="1" w:styleId="2579">
    <w:name w:val="明显引用3"/>
    <w:basedOn w:val="1"/>
    <w:next w:val="1"/>
    <w:qFormat/>
    <w:uiPriority w:val="0"/>
    <w:pPr>
      <w:widowControl/>
      <w:pBdr>
        <w:bottom w:val="single" w:color="4F81BD" w:sz="4" w:space="4"/>
      </w:pBdr>
      <w:spacing w:before="200" w:after="280" w:line="276" w:lineRule="auto"/>
      <w:ind w:left="936" w:right="936"/>
      <w:jc w:val="left"/>
    </w:pPr>
    <w:rPr>
      <w:b/>
      <w:bCs/>
      <w:i/>
      <w:iCs/>
      <w:color w:val="4F81BD"/>
      <w:sz w:val="22"/>
      <w:lang w:eastAsia="en-US" w:bidi="en-US"/>
    </w:rPr>
  </w:style>
  <w:style w:type="paragraph" w:customStyle="1" w:styleId="2580">
    <w:name w:val="Char Char Char Char Char Char1 Char1 Char Char Char Char Char Char14"/>
    <w:basedOn w:val="1"/>
    <w:qFormat/>
    <w:uiPriority w:val="0"/>
    <w:pPr>
      <w:ind w:left="510"/>
    </w:pPr>
    <w:rPr>
      <w:rFonts w:ascii="Times New Roman" w:hAnsi="Times New Roman"/>
      <w:szCs w:val="21"/>
    </w:rPr>
  </w:style>
  <w:style w:type="paragraph" w:customStyle="1" w:styleId="2581">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kern w:val="0"/>
      <w:sz w:val="22"/>
    </w:rPr>
  </w:style>
  <w:style w:type="paragraph" w:customStyle="1" w:styleId="2582">
    <w:name w:val="明显引用6"/>
    <w:basedOn w:val="1"/>
    <w:next w:val="1"/>
    <w:qFormat/>
    <w:uiPriority w:val="0"/>
    <w:pPr>
      <w:widowControl/>
      <w:pBdr>
        <w:bottom w:val="single" w:color="4F81BD" w:sz="4" w:space="4"/>
      </w:pBdr>
      <w:spacing w:before="200" w:after="280" w:line="276" w:lineRule="auto"/>
      <w:ind w:left="936" w:right="936"/>
      <w:jc w:val="left"/>
    </w:pPr>
    <w:rPr>
      <w:b/>
      <w:bCs/>
      <w:i/>
      <w:iCs/>
      <w:color w:val="4F81BD"/>
      <w:kern w:val="0"/>
      <w:sz w:val="22"/>
      <w:szCs w:val="24"/>
      <w:lang w:eastAsia="en-US"/>
    </w:rPr>
  </w:style>
  <w:style w:type="paragraph" w:customStyle="1" w:styleId="2583">
    <w:name w:val="标准条文"/>
    <w:basedOn w:val="1"/>
    <w:next w:val="1"/>
    <w:qFormat/>
    <w:uiPriority w:val="99"/>
    <w:pPr>
      <w:autoSpaceDE w:val="0"/>
      <w:autoSpaceDN w:val="0"/>
      <w:adjustRightInd w:val="0"/>
      <w:jc w:val="left"/>
    </w:pPr>
    <w:rPr>
      <w:rFonts w:ascii="宋体"/>
      <w:kern w:val="0"/>
      <w:sz w:val="24"/>
      <w:szCs w:val="21"/>
    </w:rPr>
  </w:style>
  <w:style w:type="paragraph" w:customStyle="1" w:styleId="2584">
    <w:name w:val="样式 表格 32 + 首行缩进:  2 字符"/>
    <w:basedOn w:val="1"/>
    <w:qFormat/>
    <w:uiPriority w:val="0"/>
    <w:pPr>
      <w:autoSpaceDE w:val="0"/>
      <w:autoSpaceDN w:val="0"/>
      <w:adjustRightInd w:val="0"/>
      <w:spacing w:line="0" w:lineRule="atLeast"/>
      <w:jc w:val="center"/>
    </w:pPr>
    <w:rPr>
      <w:rFonts w:ascii="Times New Roman" w:hAnsi="Times New Roman" w:cs="宋体"/>
      <w:kern w:val="0"/>
      <w:szCs w:val="21"/>
    </w:rPr>
  </w:style>
  <w:style w:type="paragraph" w:customStyle="1" w:styleId="2585">
    <w:name w:val="Char Char Char Char Char Char1 Char Char Char1 Char Char Char Char Char Char Char2"/>
    <w:basedOn w:val="1"/>
    <w:qFormat/>
    <w:uiPriority w:val="0"/>
    <w:pPr>
      <w:spacing w:line="360" w:lineRule="auto"/>
      <w:ind w:firstLine="200" w:firstLineChars="200"/>
    </w:pPr>
    <w:rPr>
      <w:rFonts w:ascii="宋体" w:hAnsi="宋体" w:cs="宋体"/>
      <w:sz w:val="24"/>
      <w:szCs w:val="24"/>
    </w:rPr>
  </w:style>
  <w:style w:type="paragraph" w:customStyle="1" w:styleId="2586">
    <w:name w:val="自动标题3"/>
    <w:basedOn w:val="1"/>
    <w:qFormat/>
    <w:uiPriority w:val="0"/>
    <w:pPr>
      <w:tabs>
        <w:tab w:val="left" w:pos="720"/>
      </w:tabs>
      <w:ind w:left="720" w:hanging="720"/>
    </w:pPr>
    <w:rPr>
      <w:rFonts w:ascii="Times New Roman" w:hAnsi="Times New Roman"/>
      <w:szCs w:val="24"/>
    </w:rPr>
  </w:style>
  <w:style w:type="paragraph" w:customStyle="1" w:styleId="2587">
    <w:name w:val="正文文"/>
    <w:basedOn w:val="1"/>
    <w:qFormat/>
    <w:uiPriority w:val="0"/>
    <w:pPr>
      <w:adjustRightInd w:val="0"/>
      <w:spacing w:line="520" w:lineRule="exact"/>
      <w:ind w:firstLine="480" w:firstLineChars="200"/>
      <w:jc w:val="left"/>
      <w:textAlignment w:val="baseline"/>
    </w:pPr>
    <w:rPr>
      <w:rFonts w:ascii="Times New Roman" w:hAnsi="Times New Roman"/>
      <w:kern w:val="0"/>
      <w:sz w:val="24"/>
      <w:szCs w:val="24"/>
    </w:rPr>
  </w:style>
  <w:style w:type="paragraph" w:customStyle="1" w:styleId="2588">
    <w:name w:val="Char Char Char Char Char Char1 Char"/>
    <w:basedOn w:val="1"/>
    <w:qFormat/>
    <w:uiPriority w:val="0"/>
    <w:rPr>
      <w:rFonts w:ascii="Times New Roman" w:hAnsi="Times New Roman"/>
      <w:szCs w:val="24"/>
    </w:rPr>
  </w:style>
  <w:style w:type="paragraph" w:customStyle="1" w:styleId="2589">
    <w:name w:val="Char15"/>
    <w:basedOn w:val="1"/>
    <w:qFormat/>
    <w:uiPriority w:val="0"/>
    <w:pPr>
      <w:snapToGrid w:val="0"/>
      <w:spacing w:line="360" w:lineRule="auto"/>
      <w:ind w:firstLine="200" w:firstLineChars="200"/>
    </w:pPr>
    <w:rPr>
      <w:rFonts w:ascii="Times New Roman" w:hAnsi="Times New Roman" w:eastAsia="仿宋_GB2312"/>
      <w:sz w:val="24"/>
      <w:szCs w:val="24"/>
    </w:rPr>
  </w:style>
  <w:style w:type="paragraph" w:customStyle="1" w:styleId="2590">
    <w:name w:val="表1表2"/>
    <w:basedOn w:val="1"/>
    <w:qFormat/>
    <w:uiPriority w:val="0"/>
    <w:pPr>
      <w:autoSpaceDE w:val="0"/>
      <w:autoSpaceDN w:val="0"/>
      <w:adjustRightInd w:val="0"/>
      <w:spacing w:line="360" w:lineRule="auto"/>
      <w:jc w:val="center"/>
      <w:textAlignment w:val="center"/>
    </w:pPr>
    <w:rPr>
      <w:rFonts w:ascii="Times New Roman" w:hAnsi="Times New Roman" w:eastAsia="仿宋_GB2312"/>
      <w:kern w:val="0"/>
      <w:sz w:val="24"/>
      <w:szCs w:val="21"/>
    </w:rPr>
  </w:style>
  <w:style w:type="paragraph" w:customStyle="1" w:styleId="2591">
    <w:name w:val="Char Char3 Char Char Char Char"/>
    <w:basedOn w:val="1"/>
    <w:next w:val="1"/>
    <w:qFormat/>
    <w:uiPriority w:val="0"/>
    <w:pPr>
      <w:widowControl/>
      <w:spacing w:line="520" w:lineRule="exact"/>
      <w:ind w:firstLine="200" w:firstLineChars="200"/>
      <w:jc w:val="left"/>
    </w:pPr>
    <w:rPr>
      <w:rFonts w:ascii="Times New Roman" w:hAnsi="Times New Roman" w:eastAsia="仿宋_GB2312"/>
      <w:color w:val="000000"/>
      <w:kern w:val="0"/>
      <w:sz w:val="28"/>
      <w:szCs w:val="24"/>
      <w:lang w:eastAsia="en-US"/>
    </w:rPr>
  </w:style>
  <w:style w:type="paragraph" w:customStyle="1" w:styleId="2592">
    <w:name w:val="正文缩进7"/>
    <w:basedOn w:val="1"/>
    <w:qFormat/>
    <w:uiPriority w:val="0"/>
    <w:pPr>
      <w:ind w:firstLine="420"/>
    </w:pPr>
    <w:rPr>
      <w:rFonts w:ascii="Times New Roman" w:hAnsi="Times New Roman"/>
      <w:kern w:val="0"/>
      <w:sz w:val="28"/>
      <w:szCs w:val="28"/>
    </w:rPr>
  </w:style>
  <w:style w:type="paragraph" w:customStyle="1" w:styleId="2593">
    <w:name w:val="MTDisplayEquation"/>
    <w:basedOn w:val="1"/>
    <w:next w:val="1"/>
    <w:qFormat/>
    <w:uiPriority w:val="0"/>
    <w:pPr>
      <w:tabs>
        <w:tab w:val="center" w:pos="4160"/>
        <w:tab w:val="right" w:pos="8320"/>
      </w:tabs>
      <w:spacing w:line="360" w:lineRule="auto"/>
      <w:ind w:firstLine="480" w:firstLineChars="200"/>
    </w:pPr>
    <w:rPr>
      <w:rFonts w:ascii="Times New Roman" w:hAnsi="Times New Roman"/>
      <w:sz w:val="24"/>
      <w:szCs w:val="24"/>
    </w:rPr>
  </w:style>
  <w:style w:type="paragraph" w:customStyle="1" w:styleId="2594">
    <w:name w:val="Char Char Char Char Char Char Char Char Char Char Char Char Char Char Char Char Char Char11"/>
    <w:basedOn w:val="1"/>
    <w:qFormat/>
    <w:uiPriority w:val="0"/>
    <w:rPr>
      <w:rFonts w:ascii="Times New Roman" w:hAnsi="Times New Roman"/>
      <w:sz w:val="24"/>
      <w:szCs w:val="24"/>
    </w:rPr>
  </w:style>
  <w:style w:type="paragraph" w:customStyle="1" w:styleId="2595">
    <w:name w:val="居中正文"/>
    <w:basedOn w:val="86"/>
    <w:qFormat/>
    <w:uiPriority w:val="0"/>
    <w:pPr>
      <w:adjustRightInd w:val="0"/>
      <w:spacing w:before="120" w:after="0"/>
      <w:ind w:firstLine="0" w:firstLineChars="0"/>
      <w:jc w:val="center"/>
      <w:textAlignment w:val="baseline"/>
    </w:pPr>
    <w:rPr>
      <w:rFonts w:ascii="宋体"/>
      <w:kern w:val="28"/>
      <w:szCs w:val="20"/>
    </w:rPr>
  </w:style>
  <w:style w:type="paragraph" w:customStyle="1" w:styleId="2596">
    <w:name w:val="样式 标题 4 + 四号 段前: 1 行"/>
    <w:basedOn w:val="7"/>
    <w:qFormat/>
    <w:uiPriority w:val="0"/>
    <w:pPr>
      <w:widowControl/>
      <w:spacing w:before="312" w:beforeLines="100" w:line="420" w:lineRule="exact"/>
      <w:ind w:left="560"/>
    </w:pPr>
    <w:rPr>
      <w:bCs w:val="0"/>
      <w:kern w:val="0"/>
      <w:szCs w:val="20"/>
    </w:rPr>
  </w:style>
  <w:style w:type="paragraph" w:customStyle="1" w:styleId="2597">
    <w:name w:val="表格15"/>
    <w:basedOn w:val="1"/>
    <w:qFormat/>
    <w:uiPriority w:val="0"/>
    <w:pPr>
      <w:adjustRightInd w:val="0"/>
      <w:snapToGrid w:val="0"/>
      <w:spacing w:line="300" w:lineRule="exact"/>
      <w:jc w:val="center"/>
    </w:pPr>
    <w:rPr>
      <w:rFonts w:ascii="Times New Roman" w:hAnsi="Times New Roman"/>
      <w:szCs w:val="21"/>
    </w:rPr>
  </w:style>
  <w:style w:type="paragraph" w:customStyle="1" w:styleId="2598">
    <w:name w:val="正文21"/>
    <w:basedOn w:val="1"/>
    <w:qFormat/>
    <w:uiPriority w:val="0"/>
    <w:pPr>
      <w:widowControl/>
      <w:spacing w:before="100" w:beforeAutospacing="1" w:after="100" w:afterAutospacing="1"/>
      <w:ind w:firstLine="200" w:firstLineChars="200"/>
    </w:pPr>
    <w:rPr>
      <w:rFonts w:ascii="Times New Roman" w:hAnsi="Times New Roman"/>
      <w:sz w:val="24"/>
      <w:szCs w:val="21"/>
    </w:rPr>
  </w:style>
  <w:style w:type="paragraph" w:customStyle="1" w:styleId="2599">
    <w:name w:val="正文缩进2字"/>
    <w:basedOn w:val="1"/>
    <w:qFormat/>
    <w:uiPriority w:val="0"/>
    <w:pPr>
      <w:spacing w:line="360" w:lineRule="auto"/>
      <w:ind w:firstLine="200" w:firstLineChars="200"/>
    </w:pPr>
    <w:rPr>
      <w:rFonts w:ascii="Times New Roman" w:hAnsi="Times New Roman"/>
      <w:sz w:val="24"/>
      <w:szCs w:val="24"/>
    </w:rPr>
  </w:style>
  <w:style w:type="paragraph" w:customStyle="1" w:styleId="2600">
    <w:name w:val="Char Char Char Char1"/>
    <w:basedOn w:val="1"/>
    <w:qFormat/>
    <w:uiPriority w:val="0"/>
    <w:rPr>
      <w:rFonts w:ascii="Times New Roman" w:hAnsi="Times New Roman"/>
      <w:sz w:val="28"/>
      <w:szCs w:val="24"/>
    </w:rPr>
  </w:style>
  <w:style w:type="paragraph" w:customStyle="1" w:styleId="2601">
    <w:name w:val="称呼3"/>
    <w:basedOn w:val="1"/>
    <w:next w:val="1"/>
    <w:qFormat/>
    <w:uiPriority w:val="0"/>
  </w:style>
  <w:style w:type="paragraph" w:customStyle="1" w:styleId="2602">
    <w:name w:val="正文文本 312"/>
    <w:basedOn w:val="1"/>
    <w:qFormat/>
    <w:uiPriority w:val="0"/>
    <w:pPr>
      <w:jc w:val="center"/>
    </w:pPr>
    <w:rPr>
      <w:kern w:val="0"/>
      <w:szCs w:val="20"/>
    </w:rPr>
  </w:style>
  <w:style w:type="paragraph" w:customStyle="1" w:styleId="2603">
    <w:name w:val="Char1 Char Char Char Char Char Char"/>
    <w:basedOn w:val="4"/>
    <w:qFormat/>
    <w:uiPriority w:val="0"/>
    <w:pPr>
      <w:keepLines w:val="0"/>
      <w:autoSpaceDE w:val="0"/>
      <w:autoSpaceDN w:val="0"/>
      <w:adjustRightInd w:val="0"/>
      <w:snapToGrid w:val="0"/>
      <w:spacing w:before="312" w:beforeLines="100" w:after="312" w:afterLines="100" w:line="480" w:lineRule="auto"/>
    </w:pPr>
    <w:rPr>
      <w:rFonts w:ascii="宋体" w:hAnsi="宋体"/>
      <w:bCs w:val="0"/>
      <w:color w:val="FF0000"/>
      <w:kern w:val="2"/>
      <w:sz w:val="32"/>
      <w:szCs w:val="24"/>
    </w:rPr>
  </w:style>
  <w:style w:type="paragraph" w:customStyle="1" w:styleId="2604">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Arial Unicode MS"/>
      <w:kern w:val="0"/>
      <w:szCs w:val="21"/>
    </w:rPr>
  </w:style>
  <w:style w:type="paragraph" w:customStyle="1" w:styleId="2605">
    <w:name w:val="reader-word-layer reader-word-s2-1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606">
    <w:name w:val="Char Char Char Char Char Char1 Char Char Char1 Char Char Char Char Char Char Char4"/>
    <w:basedOn w:val="1"/>
    <w:qFormat/>
    <w:uiPriority w:val="0"/>
    <w:pPr>
      <w:spacing w:line="360" w:lineRule="auto"/>
      <w:ind w:firstLine="200" w:firstLineChars="200"/>
    </w:pPr>
    <w:rPr>
      <w:rFonts w:ascii="宋体" w:hAnsi="宋体" w:cs="宋体"/>
      <w:sz w:val="24"/>
      <w:szCs w:val="24"/>
    </w:rPr>
  </w:style>
  <w:style w:type="paragraph" w:customStyle="1" w:styleId="2607">
    <w:name w:val="reader-word-layer reader-word-s1-6"/>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608">
    <w:name w:val="reader-word-layer reader-word-s1-12"/>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609">
    <w:name w:val="样式正文首行缩进"/>
    <w:basedOn w:val="1"/>
    <w:qFormat/>
    <w:uiPriority w:val="0"/>
    <w:pPr>
      <w:spacing w:line="500" w:lineRule="exact"/>
      <w:ind w:firstLine="567"/>
    </w:pPr>
    <w:rPr>
      <w:rFonts w:ascii="Times New Roman" w:hAnsi="Times New Roman"/>
      <w:sz w:val="28"/>
      <w:szCs w:val="28"/>
    </w:rPr>
  </w:style>
  <w:style w:type="paragraph" w:customStyle="1" w:styleId="2610">
    <w:name w:val="表字居中"/>
    <w:basedOn w:val="1"/>
    <w:qFormat/>
    <w:uiPriority w:val="0"/>
    <w:pPr>
      <w:tabs>
        <w:tab w:val="left" w:pos="3626"/>
      </w:tabs>
      <w:spacing w:line="240" w:lineRule="exact"/>
      <w:jc w:val="center"/>
    </w:pPr>
    <w:rPr>
      <w:rFonts w:ascii="Arial" w:hAnsi="Arial"/>
      <w:szCs w:val="18"/>
    </w:rPr>
  </w:style>
  <w:style w:type="paragraph" w:customStyle="1" w:styleId="2611">
    <w:name w:val="Char Char Char Char Char Char Char Char Char Char Char Char Char Char Char1 Char Char Char Char Char Char Char Char Char Char Char Char Char1"/>
    <w:basedOn w:val="1"/>
    <w:qFormat/>
    <w:uiPriority w:val="0"/>
    <w:pPr>
      <w:autoSpaceDE w:val="0"/>
      <w:autoSpaceDN w:val="0"/>
      <w:adjustRightInd w:val="0"/>
      <w:snapToGrid w:val="0"/>
      <w:spacing w:before="50" w:after="50" w:line="360" w:lineRule="auto"/>
      <w:ind w:firstLine="560" w:firstLineChars="200"/>
    </w:pPr>
    <w:rPr>
      <w:rFonts w:eastAsia="仿宋_GB2312"/>
      <w:color w:val="000000"/>
      <w:sz w:val="24"/>
      <w:szCs w:val="21"/>
    </w:rPr>
  </w:style>
  <w:style w:type="paragraph" w:customStyle="1" w:styleId="2612">
    <w:name w:val="注释标题5"/>
    <w:basedOn w:val="1"/>
    <w:next w:val="1"/>
    <w:qFormat/>
    <w:uiPriority w:val="0"/>
    <w:pPr>
      <w:jc w:val="center"/>
    </w:pPr>
    <w:rPr>
      <w:rFonts w:ascii="Times New Roman" w:hAnsi="Times New Roman"/>
      <w:kern w:val="0"/>
      <w:sz w:val="28"/>
      <w:szCs w:val="24"/>
    </w:rPr>
  </w:style>
  <w:style w:type="paragraph" w:customStyle="1" w:styleId="2613">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614">
    <w:name w:val="默认段落字体 Para Char Char Char Char Char Char Char Char Char Char"/>
    <w:basedOn w:val="6"/>
    <w:qFormat/>
    <w:uiPriority w:val="0"/>
    <w:pPr>
      <w:numPr>
        <w:ilvl w:val="0"/>
        <w:numId w:val="0"/>
      </w:numPr>
      <w:tabs>
        <w:tab w:val="left" w:pos="900"/>
      </w:tabs>
      <w:adjustRightInd w:val="0"/>
      <w:snapToGrid w:val="0"/>
      <w:spacing w:before="120" w:after="120"/>
      <w:ind w:left="542" w:leftChars="-12" w:firstLine="200" w:firstLineChars="200"/>
    </w:pPr>
    <w:rPr>
      <w:bCs w:val="0"/>
      <w:snapToGrid w:val="0"/>
      <w:kern w:val="0"/>
      <w:szCs w:val="24"/>
    </w:rPr>
  </w:style>
  <w:style w:type="paragraph" w:customStyle="1" w:styleId="2615">
    <w:name w:val="三级"/>
    <w:basedOn w:val="6"/>
    <w:qFormat/>
    <w:uiPriority w:val="0"/>
    <w:pPr>
      <w:keepNext w:val="0"/>
      <w:spacing w:beforeLines="50" w:afterLines="50"/>
    </w:pPr>
    <w:rPr>
      <w:rFonts w:ascii="黑体" w:hAnsi="宋体"/>
      <w:b w:val="0"/>
    </w:rPr>
  </w:style>
  <w:style w:type="paragraph" w:customStyle="1" w:styleId="2616">
    <w:name w:val="正文2 Char Char Char"/>
    <w:basedOn w:val="1"/>
    <w:qFormat/>
    <w:uiPriority w:val="0"/>
    <w:pPr>
      <w:widowControl/>
      <w:spacing w:before="100" w:beforeAutospacing="1" w:after="100" w:afterAutospacing="1"/>
      <w:ind w:firstLine="200" w:firstLineChars="200"/>
    </w:pPr>
    <w:rPr>
      <w:rFonts w:ascii="Times New Roman" w:hAnsi="Times New Roman"/>
      <w:kern w:val="0"/>
      <w:sz w:val="24"/>
      <w:szCs w:val="21"/>
    </w:rPr>
  </w:style>
  <w:style w:type="paragraph" w:customStyle="1" w:styleId="2617">
    <w:name w:val="正文5"/>
    <w:basedOn w:val="34"/>
    <w:qFormat/>
    <w:uiPriority w:val="0"/>
    <w:pPr>
      <w:spacing w:after="0" w:line="360" w:lineRule="auto"/>
      <w:ind w:firstLine="200" w:firstLineChars="200"/>
    </w:pPr>
    <w:rPr>
      <w:rFonts w:ascii="Times New Roman" w:hAnsi="Times New Roman"/>
      <w:sz w:val="24"/>
      <w:szCs w:val="24"/>
    </w:rPr>
  </w:style>
  <w:style w:type="paragraph" w:customStyle="1" w:styleId="2618">
    <w:name w:val="正文文本缩进 32"/>
    <w:basedOn w:val="1"/>
    <w:qFormat/>
    <w:uiPriority w:val="0"/>
    <w:pPr>
      <w:spacing w:line="540" w:lineRule="exact"/>
      <w:ind w:firstLine="576"/>
    </w:pPr>
    <w:rPr>
      <w:kern w:val="0"/>
      <w:sz w:val="28"/>
      <w:szCs w:val="24"/>
    </w:rPr>
  </w:style>
  <w:style w:type="paragraph" w:customStyle="1" w:styleId="2619">
    <w:name w:val="style89"/>
    <w:basedOn w:val="1"/>
    <w:qFormat/>
    <w:uiPriority w:val="0"/>
    <w:pPr>
      <w:widowControl/>
      <w:wordWrap w:val="0"/>
      <w:spacing w:before="100" w:beforeAutospacing="1" w:after="100" w:afterAutospacing="1" w:line="360" w:lineRule="auto"/>
      <w:jc w:val="left"/>
    </w:pPr>
    <w:rPr>
      <w:rFonts w:ascii="宋体" w:hAnsi="宋体" w:cs="宋体"/>
      <w:kern w:val="0"/>
      <w:sz w:val="18"/>
      <w:szCs w:val="18"/>
    </w:rPr>
  </w:style>
  <w:style w:type="paragraph" w:customStyle="1" w:styleId="2620">
    <w:name w:val="可研-节标题"/>
    <w:next w:val="2134"/>
    <w:qFormat/>
    <w:uiPriority w:val="0"/>
    <w:pPr>
      <w:spacing w:line="360" w:lineRule="auto"/>
      <w:ind w:firstLine="200" w:firstLineChars="200"/>
      <w:outlineLvl w:val="1"/>
    </w:pPr>
    <w:rPr>
      <w:rFonts w:ascii="Calibri" w:hAnsi="Calibri" w:eastAsia="宋体" w:cs="Times New Roman"/>
      <w:b/>
      <w:sz w:val="28"/>
      <w:szCs w:val="30"/>
      <w:lang w:val="en-US" w:eastAsia="zh-CN" w:bidi="ar-SA"/>
    </w:rPr>
  </w:style>
  <w:style w:type="paragraph" w:customStyle="1" w:styleId="2621">
    <w:name w:val="Char Char Char Char Char1 Char1"/>
    <w:basedOn w:val="1"/>
    <w:next w:val="1"/>
    <w:qFormat/>
    <w:uiPriority w:val="0"/>
    <w:pPr>
      <w:spacing w:line="360" w:lineRule="auto"/>
      <w:ind w:firstLine="200" w:firstLineChars="200"/>
    </w:pPr>
    <w:rPr>
      <w:rFonts w:ascii="宋体-方正超大字符集" w:hAnsi="宋体-方正超大字符集" w:eastAsia="宋体-方正超大字符集" w:cs="宋体-方正超大字符集"/>
      <w:sz w:val="24"/>
      <w:szCs w:val="24"/>
    </w:rPr>
  </w:style>
  <w:style w:type="paragraph" w:customStyle="1" w:styleId="2622">
    <w:name w:val="BG目录"/>
    <w:qFormat/>
    <w:uiPriority w:val="0"/>
    <w:pPr>
      <w:spacing w:line="360" w:lineRule="auto"/>
    </w:pPr>
    <w:rPr>
      <w:rFonts w:ascii="Calibri" w:hAnsi="Calibri" w:eastAsia="宋体" w:cs="Times New Roman"/>
      <w:sz w:val="24"/>
      <w:szCs w:val="24"/>
      <w:lang w:val="en-US" w:eastAsia="zh-CN" w:bidi="ar-SA"/>
    </w:rPr>
  </w:style>
  <w:style w:type="paragraph" w:customStyle="1" w:styleId="2623">
    <w:name w:val="样式 纯文本 + 黑体 首行缩进:  2 字符"/>
    <w:basedOn w:val="45"/>
    <w:qFormat/>
    <w:uiPriority w:val="0"/>
    <w:pPr>
      <w:tabs>
        <w:tab w:val="left" w:pos="900"/>
        <w:tab w:val="left" w:pos="1620"/>
      </w:tabs>
      <w:ind w:left="538" w:firstLine="480" w:firstLineChars="200"/>
    </w:pPr>
    <w:rPr>
      <w:rFonts w:ascii="黑体" w:cs="宋体"/>
      <w:b/>
      <w:bCs/>
      <w:sz w:val="24"/>
      <w:szCs w:val="24"/>
    </w:rPr>
  </w:style>
  <w:style w:type="paragraph" w:customStyle="1" w:styleId="2624">
    <w:name w:val="列出段落3"/>
    <w:basedOn w:val="1"/>
    <w:qFormat/>
    <w:uiPriority w:val="0"/>
    <w:pPr>
      <w:ind w:firstLine="420" w:firstLineChars="200"/>
    </w:pPr>
  </w:style>
  <w:style w:type="paragraph" w:customStyle="1" w:styleId="2625">
    <w:name w:val="Char Char Char Char Char Char Char1"/>
    <w:basedOn w:val="1"/>
    <w:qFormat/>
    <w:uiPriority w:val="0"/>
    <w:pPr>
      <w:tabs>
        <w:tab w:val="left" w:pos="600"/>
      </w:tabs>
      <w:ind w:left="600" w:hanging="600"/>
    </w:pPr>
    <w:rPr>
      <w:rFonts w:ascii="Times New Roman" w:hAnsi="Times New Roman"/>
      <w:szCs w:val="20"/>
    </w:rPr>
  </w:style>
  <w:style w:type="paragraph" w:customStyle="1" w:styleId="2626">
    <w:name w:val="1章(治)"/>
    <w:basedOn w:val="1"/>
    <w:next w:val="1"/>
    <w:qFormat/>
    <w:uiPriority w:val="0"/>
    <w:pPr>
      <w:spacing w:line="360" w:lineRule="auto"/>
      <w:jc w:val="center"/>
      <w:outlineLvl w:val="0"/>
    </w:pPr>
    <w:rPr>
      <w:rFonts w:ascii="黑体" w:hAnsi="宋体" w:eastAsia="黑体"/>
      <w:b/>
      <w:sz w:val="44"/>
      <w:szCs w:val="20"/>
    </w:rPr>
  </w:style>
  <w:style w:type="paragraph" w:customStyle="1" w:styleId="2627">
    <w:name w:val="Char Char Char Char Char Char1 Char1"/>
    <w:basedOn w:val="1"/>
    <w:qFormat/>
    <w:uiPriority w:val="0"/>
    <w:rPr>
      <w:rFonts w:ascii="Times New Roman" w:hAnsi="Times New Roman"/>
      <w:szCs w:val="24"/>
    </w:rPr>
  </w:style>
  <w:style w:type="paragraph" w:customStyle="1" w:styleId="2628">
    <w:name w:val="正文文本缩进6"/>
    <w:basedOn w:val="1"/>
    <w:qFormat/>
    <w:uiPriority w:val="0"/>
    <w:pPr>
      <w:spacing w:line="520" w:lineRule="exact"/>
      <w:ind w:firstLine="540"/>
    </w:pPr>
    <w:rPr>
      <w:rFonts w:ascii="Times New Roman" w:hAnsi="Times New Roman"/>
      <w:sz w:val="28"/>
      <w:szCs w:val="28"/>
    </w:rPr>
  </w:style>
  <w:style w:type="paragraph" w:customStyle="1" w:styleId="2629">
    <w:name w:val="默认段落字体 Para Char Char Char1 Char Char Char Char"/>
    <w:basedOn w:val="1"/>
    <w:qFormat/>
    <w:uiPriority w:val="0"/>
    <w:rPr>
      <w:rFonts w:ascii="Times New Roman" w:hAnsi="Times New Roman"/>
      <w:sz w:val="24"/>
      <w:szCs w:val="24"/>
    </w:rPr>
  </w:style>
  <w:style w:type="paragraph" w:customStyle="1" w:styleId="2630">
    <w:name w:val="小4黑居中行1"/>
    <w:qFormat/>
    <w:uiPriority w:val="0"/>
    <w:pPr>
      <w:widowControl w:val="0"/>
      <w:tabs>
        <w:tab w:val="right" w:leader="middleDot" w:pos="8222"/>
      </w:tabs>
      <w:jc w:val="center"/>
    </w:pPr>
    <w:rPr>
      <w:rFonts w:ascii="仿宋_GB2312" w:hAnsi="宋体" w:eastAsia="仿宋_GB2312" w:cs="Times New Roman"/>
      <w:kern w:val="2"/>
      <w:sz w:val="24"/>
      <w:szCs w:val="24"/>
      <w:lang w:val="en-US" w:eastAsia="zh-CN" w:bidi="ar-SA"/>
    </w:rPr>
  </w:style>
  <w:style w:type="paragraph" w:customStyle="1" w:styleId="2631">
    <w:name w:val="表格内容居中"/>
    <w:qFormat/>
    <w:uiPriority w:val="0"/>
    <w:pPr>
      <w:adjustRightInd w:val="0"/>
      <w:snapToGrid w:val="0"/>
      <w:jc w:val="center"/>
    </w:pPr>
    <w:rPr>
      <w:rFonts w:ascii="Calibri" w:hAnsi="Calibri" w:eastAsia="宋体" w:cs="Times New Roman"/>
      <w:snapToGrid w:val="0"/>
      <w:sz w:val="21"/>
      <w:szCs w:val="21"/>
      <w:lang w:val="en-US" w:eastAsia="zh-CN" w:bidi="ar-SA"/>
    </w:rPr>
  </w:style>
  <w:style w:type="table" w:customStyle="1" w:styleId="2632">
    <w:name w:val="灰度表格1126"/>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33">
    <w:name w:val="网格型 512"/>
    <w:basedOn w:val="88"/>
    <w:qFormat/>
    <w:uiPriority w:val="0"/>
    <w:pPr>
      <w:widowControl w:val="0"/>
      <w:jc w:val="both"/>
    </w:pPr>
    <w:rPr>
      <w:rFonts w:cs="Calibri"/>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634">
    <w:name w:val="灰度表格76"/>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35">
    <w:name w:val="灰度表格211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36">
    <w:name w:val="网格型171"/>
    <w:basedOn w:val="88"/>
    <w:qFormat/>
    <w:uiPriority w:val="0"/>
    <w:pPr>
      <w:widowControl w:val="0"/>
      <w:spacing w:line="440" w:lineRule="exact"/>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37">
    <w:name w:val="网格型 55"/>
    <w:basedOn w:val="88"/>
    <w:qFormat/>
    <w:uiPriority w:val="0"/>
    <w:pPr>
      <w:widowControl w:val="0"/>
      <w:jc w:val="both"/>
    </w:pPr>
    <w:rPr>
      <w:rFonts w:cs="Calibri"/>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638">
    <w:name w:val="网格型5413"/>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39">
    <w:name w:val="灰度表格812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0">
    <w:name w:val="灰度表格113114"/>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1">
    <w:name w:val="网格型911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2">
    <w:name w:val="灰度表格1123"/>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3">
    <w:name w:val="灰度表格1325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4">
    <w:name w:val="灰度表格32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5">
    <w:name w:val="灰度表格68"/>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6">
    <w:name w:val="网格型11111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7">
    <w:name w:val="灰度表格13411"/>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8">
    <w:name w:val="网格型c7"/>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9">
    <w:name w:val="网格型1491"/>
    <w:basedOn w:val="88"/>
    <w:qFormat/>
    <w:uiPriority w:val="0"/>
    <w:pPr>
      <w:widowControl w:val="0"/>
      <w:spacing w:line="360" w:lineRule="auto"/>
      <w:ind w:firstLine="480" w:firstLineChars="20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50">
    <w:name w:val="网格型572"/>
    <w:basedOn w:val="88"/>
    <w:qFormat/>
    <w:uiPriority w:val="0"/>
    <w:pPr>
      <w:widowControl w:val="0"/>
      <w:spacing w:line="360" w:lineRule="auto"/>
      <w:ind w:firstLine="48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51">
    <w:name w:val="灰度表格101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52">
    <w:name w:val="灰度表格11111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53">
    <w:name w:val="网格型1464"/>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54">
    <w:name w:val="灰度表格215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55">
    <w:name w:val="网格型113"/>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56">
    <w:name w:val="网格型c18"/>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57">
    <w:name w:val="网格型524"/>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58">
    <w:name w:val="灰度表格231"/>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59">
    <w:name w:val="网格型532"/>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60">
    <w:name w:val="网格型13131"/>
    <w:basedOn w:val="88"/>
    <w:qFormat/>
    <w:uiPriority w:val="0"/>
    <w:pPr>
      <w:widowControl w:val="0"/>
      <w:spacing w:line="360" w:lineRule="auto"/>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61">
    <w:name w:val="灰度表格731"/>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62">
    <w:name w:val="表格样式5"/>
    <w:basedOn w:val="88"/>
    <w:qFormat/>
    <w:uiPriority w:val="0"/>
    <w:pPr>
      <w:jc w:val="center"/>
    </w:pPr>
    <w:rPr>
      <w:rFonts w:cs="Calibri"/>
    </w:rPr>
    <w:tblPr>
      <w:jc w:val="center"/>
      <w:tblBorders>
        <w:top w:val="single" w:color="auto" w:sz="12" w:space="0"/>
        <w:bottom w:val="single" w:color="auto" w:sz="12" w:space="0"/>
        <w:insideH w:val="single" w:color="auto" w:sz="4" w:space="0"/>
        <w:insideV w:val="single" w:color="auto" w:sz="4" w:space="0"/>
      </w:tblBorders>
    </w:tblPr>
    <w:trPr>
      <w:jc w:val="center"/>
    </w:trPr>
    <w:tcPr>
      <w:vAlign w:val="center"/>
    </w:tcPr>
  </w:style>
  <w:style w:type="table" w:customStyle="1" w:styleId="2663">
    <w:name w:val="灰度表格1371"/>
    <w:basedOn w:val="88"/>
    <w:qFormat/>
    <w:uiPriority w:val="0"/>
    <w:pPr>
      <w:widowControl w:val="0"/>
      <w:spacing w:line="529" w:lineRule="exact"/>
      <w:ind w:firstLine="200" w:firstLineChars="20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64">
    <w:name w:val="网格型12"/>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65">
    <w:name w:val="灰度表格2112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66">
    <w:name w:val="网格型1110"/>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67">
    <w:name w:val="灰度表格65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68">
    <w:name w:val="灰度表格1515"/>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69">
    <w:name w:val="网格型5112"/>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0">
    <w:name w:val="灰度表格5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1">
    <w:name w:val="灰度表格185"/>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2">
    <w:name w:val="灰度表格61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3">
    <w:name w:val="网格型414"/>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4">
    <w:name w:val="灰度表格16121"/>
    <w:basedOn w:val="88"/>
    <w:qFormat/>
    <w:uiPriority w:val="0"/>
    <w:pPr>
      <w:widowControl w:val="0"/>
      <w:spacing w:line="360" w:lineRule="auto"/>
      <w:ind w:firstLine="200" w:firstLineChars="20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5">
    <w:name w:val="灰度表格113131"/>
    <w:basedOn w:val="88"/>
    <w:qFormat/>
    <w:uiPriority w:val="0"/>
    <w:pPr>
      <w:widowControl w:val="0"/>
      <w:spacing w:line="529" w:lineRule="exact"/>
      <w:ind w:firstLine="200" w:firstLineChars="20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6">
    <w:name w:val="灰度表格3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7">
    <w:name w:val="灰度表格131"/>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8">
    <w:name w:val="网格型613"/>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9">
    <w:name w:val="灰度表格232"/>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0">
    <w:name w:val="网格型4111"/>
    <w:basedOn w:val="88"/>
    <w:qFormat/>
    <w:uiPriority w:val="0"/>
    <w:pPr>
      <w:widowControl w:val="0"/>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1">
    <w:name w:val="灰度表格122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2">
    <w:name w:val="灰度表格22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3">
    <w:name w:val="网格型123"/>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4">
    <w:name w:val="网格型1453"/>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5">
    <w:name w:val="网格型41"/>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6">
    <w:name w:val="灰度表格13111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7">
    <w:name w:val="简明型 112"/>
    <w:basedOn w:val="88"/>
    <w:qFormat/>
    <w:uiPriority w:val="0"/>
    <w:pPr>
      <w:widowControl w:val="0"/>
      <w:jc w:val="both"/>
    </w:pPr>
    <w:rPr>
      <w:rFonts w:cs="Calibri"/>
    </w:rPr>
    <w:tblPr>
      <w:tblBorders>
        <w:top w:val="single" w:color="008000" w:sz="12" w:space="0"/>
        <w:bottom w:val="single" w:color="008000" w:sz="12" w:space="0"/>
      </w:tblBorders>
    </w:tblPr>
    <w:tcPr>
      <w:shd w:val="clear" w:color="auto" w:fill="auto"/>
    </w:tcPr>
    <w:tblStylePr w:type="firstRow">
      <w:tcPr>
        <w:tcBorders>
          <w:top w:val="nil"/>
          <w:left w:val="single" w:color="008000" w:sz="6" w:space="0"/>
          <w:bottom w:val="nil"/>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2688">
    <w:name w:val="网格型 151"/>
    <w:basedOn w:val="88"/>
    <w:qFormat/>
    <w:uiPriority w:val="0"/>
    <w:pPr>
      <w:widowControl w:val="0"/>
      <w:jc w:val="both"/>
    </w:pPr>
    <w:rPr>
      <w:rFonts w:ascii="Times NewRoman" w:hAnsi="Times NewRoman" w:eastAsia="幼圆" w:cs="Times New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689">
    <w:name w:val="网格型1313"/>
    <w:basedOn w:val="88"/>
    <w:qFormat/>
    <w:uiPriority w:val="0"/>
    <w:pPr>
      <w:widowControl w:val="0"/>
      <w:spacing w:line="440" w:lineRule="exact"/>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0">
    <w:name w:val="灰度表格15112"/>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1">
    <w:name w:val="网格型110"/>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2">
    <w:name w:val="网格型5511"/>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3">
    <w:name w:val="灰度表格120"/>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4">
    <w:name w:val="网格型c16"/>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5">
    <w:name w:val="灰度表格144"/>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6">
    <w:name w:val="灰度表格212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7">
    <w:name w:val="网格型1417"/>
    <w:basedOn w:val="88"/>
    <w:qFormat/>
    <w:uiPriority w:val="0"/>
    <w:pPr>
      <w:widowControl w:val="0"/>
      <w:spacing w:line="360" w:lineRule="auto"/>
      <w:ind w:firstLine="48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8">
    <w:name w:val="灰度表格42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9">
    <w:name w:val="灰度表格51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0">
    <w:name w:val="灰度表格11118"/>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1">
    <w:name w:val="灰度表格511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2">
    <w:name w:val="网格型1454"/>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3">
    <w:name w:val="网格型c24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4">
    <w:name w:val="网格型22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5">
    <w:name w:val="灰度表格1343"/>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6">
    <w:name w:val="表格样式14"/>
    <w:basedOn w:val="88"/>
    <w:qFormat/>
    <w:uiPriority w:val="0"/>
    <w:pPr>
      <w:jc w:val="both"/>
    </w:pPr>
    <w:rPr>
      <w:rFonts w:cs="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vAlign w:val="center"/>
    </w:tcPr>
  </w:style>
  <w:style w:type="table" w:customStyle="1" w:styleId="2707">
    <w:name w:val="网格型c111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8">
    <w:name w:val="网格型5111"/>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9">
    <w:name w:val="灰度表格41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0">
    <w:name w:val="灰度表格72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1">
    <w:name w:val="网格型c12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2">
    <w:name w:val="灰度表格111212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3">
    <w:name w:val="灰度表格222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4">
    <w:name w:val="网格型13121"/>
    <w:basedOn w:val="88"/>
    <w:qFormat/>
    <w:uiPriority w:val="0"/>
    <w:pPr>
      <w:widowControl w:val="0"/>
      <w:spacing w:line="360" w:lineRule="auto"/>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5">
    <w:name w:val="灰度表格173"/>
    <w:basedOn w:val="88"/>
    <w:qFormat/>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6">
    <w:name w:val="灰度表格36"/>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7">
    <w:name w:val="网格型14114"/>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8">
    <w:name w:val="灰度表格71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9">
    <w:name w:val="网格型17"/>
    <w:basedOn w:val="88"/>
    <w:qFormat/>
    <w:uiPriority w:val="0"/>
    <w:pPr>
      <w:widowControl w:val="0"/>
      <w:spacing w:line="440" w:lineRule="exact"/>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20">
    <w:name w:val="网格型522"/>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21">
    <w:name w:val="网格型c1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22">
    <w:name w:val="灰度表格2131"/>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23">
    <w:name w:val="网格型118"/>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24">
    <w:name w:val="网格型911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25">
    <w:name w:val="灰度表格11111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26">
    <w:name w:val="网格型911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27">
    <w:name w:val="灰度表格221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28">
    <w:name w:val="网格型61"/>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29">
    <w:name w:val="灰度表格713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0">
    <w:name w:val="灰度表格1145"/>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1">
    <w:name w:val="灰度表格2211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2">
    <w:name w:val="灰度表格631"/>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3">
    <w:name w:val="灰度表格135"/>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4">
    <w:name w:val="灰度表格244"/>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5">
    <w:name w:val="灰度表格8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6">
    <w:name w:val="灰度表格1511"/>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7">
    <w:name w:val="灰度表格2232"/>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8">
    <w:name w:val="网格型103"/>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9">
    <w:name w:val="网格型41113"/>
    <w:basedOn w:val="88"/>
    <w:qFormat/>
    <w:uiPriority w:val="0"/>
    <w:pPr>
      <w:widowControl w:val="0"/>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40">
    <w:name w:val="灰度表格10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41">
    <w:name w:val="灰度表格1182"/>
    <w:basedOn w:val="88"/>
    <w:qFormat/>
    <w:uiPriority w:val="0"/>
    <w:pPr>
      <w:widowControl w:val="0"/>
      <w:spacing w:line="529" w:lineRule="exact"/>
      <w:ind w:firstLine="200" w:firstLineChars="20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42">
    <w:name w:val="简明型 13"/>
    <w:basedOn w:val="88"/>
    <w:qFormat/>
    <w:uiPriority w:val="0"/>
    <w:pPr>
      <w:widowControl w:val="0"/>
      <w:jc w:val="both"/>
    </w:pPr>
    <w:rPr>
      <w:rFonts w:cs="Calibri"/>
    </w:rPr>
    <w:tblPr>
      <w:tblBorders>
        <w:top w:val="single" w:color="008000" w:sz="12" w:space="0"/>
        <w:bottom w:val="single" w:color="008000" w:sz="12" w:space="0"/>
      </w:tblBorders>
    </w:tblPr>
    <w:tcPr>
      <w:shd w:val="clear" w:color="auto" w:fill="auto"/>
    </w:tcPr>
    <w:tblStylePr w:type="firstRow">
      <w:tcPr>
        <w:tcBorders>
          <w:top w:val="nil"/>
          <w:left w:val="single" w:color="008000" w:sz="6" w:space="0"/>
          <w:bottom w:val="nil"/>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2743">
    <w:name w:val="灰度表格1342"/>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44">
    <w:name w:val="网格型14141"/>
    <w:basedOn w:val="88"/>
    <w:qFormat/>
    <w:uiPriority w:val="0"/>
    <w:pPr>
      <w:widowControl w:val="0"/>
      <w:spacing w:line="360" w:lineRule="auto"/>
      <w:ind w:firstLine="480" w:firstLineChars="20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45">
    <w:name w:val="网格型 16"/>
    <w:basedOn w:val="88"/>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746">
    <w:name w:val="网格型45"/>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47">
    <w:name w:val="网格型552"/>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48">
    <w:name w:val="网格型1321"/>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49">
    <w:name w:val="网格型32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50">
    <w:name w:val="灰度表格86"/>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51">
    <w:name w:val="灰度表格811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52">
    <w:name w:val="灰度表格11711"/>
    <w:basedOn w:val="88"/>
    <w:qFormat/>
    <w:uiPriority w:val="0"/>
    <w:pPr>
      <w:widowControl w:val="0"/>
      <w:spacing w:line="360" w:lineRule="auto"/>
      <w:ind w:firstLine="200" w:firstLineChars="20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53">
    <w:name w:val="灰度表格1322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54">
    <w:name w:val="灰度表格432"/>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55">
    <w:name w:val="灰度表格15"/>
    <w:basedOn w:val="88"/>
    <w:qFormat/>
    <w:uiPriority w:val="0"/>
    <w:pPr>
      <w:widowControl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56">
    <w:name w:val="灰度表格133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57">
    <w:name w:val="灰度表格1341"/>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58">
    <w:name w:val="灰度表格1623"/>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59">
    <w:name w:val="灰度表格2314"/>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0">
    <w:name w:val="网格型c11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1">
    <w:name w:val="灰度表格96"/>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2">
    <w:name w:val="灰度表格222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3">
    <w:name w:val="网格型c8"/>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4">
    <w:name w:val="灰度表格1331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5">
    <w:name w:val="灰度表格11111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6">
    <w:name w:val="灰度表格101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7">
    <w:name w:val="灰度表格11128"/>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8">
    <w:name w:val="灰度表格1323"/>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9">
    <w:name w:val="网格型14513"/>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70">
    <w:name w:val="网格型c232"/>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71">
    <w:name w:val="灰度表格411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72">
    <w:name w:val="网格型534"/>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73">
    <w:name w:val="灰度表格151"/>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74">
    <w:name w:val="专业型112"/>
    <w:basedOn w:val="88"/>
    <w:qFormat/>
    <w:uiPriority w:val="0"/>
    <w:pPr>
      <w:widowControl w:val="0"/>
      <w:jc w:val="both"/>
    </w:pPr>
    <w:rPr>
      <w:rFonts w:cs="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2775">
    <w:name w:val="网格型1511"/>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76">
    <w:name w:val="网格型1114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77">
    <w:name w:val="灰度表格11116"/>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78">
    <w:name w:val="网格型7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79">
    <w:name w:val="灰度表格31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0">
    <w:name w:val="灰度表格121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1">
    <w:name w:val="灰度表格1325"/>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2">
    <w:name w:val="灰度表格5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3">
    <w:name w:val="网格型141114"/>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4">
    <w:name w:val="网格型 13"/>
    <w:basedOn w:val="88"/>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785">
    <w:name w:val="网格型832"/>
    <w:basedOn w:val="88"/>
    <w:qFormat/>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6">
    <w:name w:val="网格型313"/>
    <w:basedOn w:val="88"/>
    <w:qFormat/>
    <w:uiPriority w:val="0"/>
    <w:pPr>
      <w:widowControl w:val="0"/>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7">
    <w:name w:val="灰度表格15121"/>
    <w:basedOn w:val="88"/>
    <w:qFormat/>
    <w:uiPriority w:val="0"/>
    <w:pPr>
      <w:widowControl w:val="0"/>
      <w:spacing w:line="360" w:lineRule="auto"/>
      <w:ind w:firstLine="200" w:firstLineChars="20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8">
    <w:name w:val="灰度表格11122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9">
    <w:name w:val="灰度表格184"/>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0">
    <w:name w:val="网格型1116"/>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1">
    <w:name w:val="灰度表格1211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2">
    <w:name w:val="网格型10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3">
    <w:name w:val="典雅型13"/>
    <w:basedOn w:val="88"/>
    <w:qFormat/>
    <w:uiPriority w:val="0"/>
    <w:pPr>
      <w:widowControl w:val="0"/>
      <w:jc w:val="both"/>
    </w:pPr>
    <w:rPr>
      <w:rFonts w:cs="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2794">
    <w:name w:val="网格型c5"/>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5">
    <w:name w:val="网格型 731"/>
    <w:basedOn w:val="88"/>
    <w:qFormat/>
    <w:uiPriority w:val="0"/>
    <w:pPr>
      <w:widowControl w:val="0"/>
      <w:jc w:val="both"/>
    </w:pPr>
    <w:rPr>
      <w:rFonts w:cs="Calibri"/>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796">
    <w:name w:val="灰度表格13213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7">
    <w:name w:val="灰度表格1312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8">
    <w:name w:val="灰度表格1013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9">
    <w:name w:val="灰度表格234"/>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00">
    <w:name w:val="网格型124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01">
    <w:name w:val="灰度表格1631"/>
    <w:basedOn w:val="88"/>
    <w:qFormat/>
    <w:uiPriority w:val="0"/>
    <w:pPr>
      <w:widowControl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02">
    <w:name w:val="网格型c22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03">
    <w:name w:val="灰度表格21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04">
    <w:name w:val="专业型21"/>
    <w:basedOn w:val="88"/>
    <w:qFormat/>
    <w:uiPriority w:val="0"/>
    <w:pPr>
      <w:widowControl w:val="0"/>
      <w:jc w:val="both"/>
    </w:pPr>
    <w:rPr>
      <w:rFonts w:cs="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2805">
    <w:name w:val="网格型91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06">
    <w:name w:val="灰度表格312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07">
    <w:name w:val="网格型1461"/>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08">
    <w:name w:val="灰度表格64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09">
    <w:name w:val="灰度表格17111"/>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0">
    <w:name w:val="灰度表格1338"/>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1">
    <w:name w:val="灰度表格11110"/>
    <w:basedOn w:val="88"/>
    <w:qFormat/>
    <w:uiPriority w:val="0"/>
    <w:pPr>
      <w:widowControl w:val="0"/>
      <w:spacing w:line="529" w:lineRule="exact"/>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2">
    <w:name w:val="网格型c25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3">
    <w:name w:val="灰度表格10"/>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4">
    <w:name w:val="网格型513"/>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5">
    <w:name w:val="灰度表格11331"/>
    <w:basedOn w:val="88"/>
    <w:qFormat/>
    <w:uiPriority w:val="0"/>
    <w:pPr>
      <w:widowControl w:val="0"/>
      <w:spacing w:line="529" w:lineRule="exact"/>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6">
    <w:name w:val="网格型1712"/>
    <w:basedOn w:val="88"/>
    <w:qFormat/>
    <w:uiPriority w:val="0"/>
    <w:pPr>
      <w:widowControl w:val="0"/>
      <w:spacing w:line="440" w:lineRule="exact"/>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7">
    <w:name w:val="网格型1315"/>
    <w:basedOn w:val="88"/>
    <w:qFormat/>
    <w:uiPriority w:val="0"/>
    <w:pPr>
      <w:widowControl w:val="0"/>
      <w:spacing w:line="440" w:lineRule="exact"/>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8">
    <w:name w:val="专业型5"/>
    <w:basedOn w:val="88"/>
    <w:qFormat/>
    <w:uiPriority w:val="0"/>
    <w:pPr>
      <w:widowControl w:val="0"/>
      <w:jc w:val="both"/>
    </w:pPr>
    <w:rPr>
      <w:rFonts w:cs="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2819">
    <w:name w:val="灰度表格7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20">
    <w:name w:val="网格型63"/>
    <w:basedOn w:val="88"/>
    <w:qFormat/>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21">
    <w:name w:val="网格型531"/>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22">
    <w:name w:val="网格型94"/>
    <w:basedOn w:val="88"/>
    <w:unhideWhenUsed/>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23">
    <w:name w:val="网格型451"/>
    <w:basedOn w:val="88"/>
    <w:qFormat/>
    <w:uiPriority w:val="0"/>
    <w:pPr>
      <w:widowControl w:val="0"/>
      <w:spacing w:line="360" w:lineRule="auto"/>
      <w:ind w:firstLine="480" w:firstLineChars="20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24">
    <w:name w:val="灰度表格131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25">
    <w:name w:val="灰度表格11135"/>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26">
    <w:name w:val="灰度表格1122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27">
    <w:name w:val="灰度表格226"/>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28">
    <w:name w:val="网格型1813"/>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29">
    <w:name w:val="灰度表格121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30">
    <w:name w:val="网格型 5131"/>
    <w:basedOn w:val="88"/>
    <w:qFormat/>
    <w:uiPriority w:val="0"/>
    <w:pPr>
      <w:widowControl w:val="0"/>
      <w:jc w:val="both"/>
    </w:pPr>
    <w:rPr>
      <w:rFonts w:cs="Calibri"/>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831">
    <w:name w:val="网格型71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32">
    <w:name w:val="网格型533"/>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33">
    <w:name w:val="灰度表格1332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34">
    <w:name w:val="网格型 14"/>
    <w:basedOn w:val="88"/>
    <w:qFormat/>
    <w:uiPriority w:val="0"/>
    <w:pPr>
      <w:widowControl w:val="0"/>
      <w:jc w:val="both"/>
    </w:pPr>
    <w:rPr>
      <w:rFonts w:cs="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835">
    <w:name w:val="网格型182"/>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36">
    <w:name w:val="灰度表格12"/>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37">
    <w:name w:val="灰度表格11125"/>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38">
    <w:name w:val="网格型723"/>
    <w:basedOn w:val="88"/>
    <w:unhideWhenUsed/>
    <w:qFormat/>
    <w:uiPriority w:val="0"/>
    <w:pPr>
      <w:widowControl w:val="0"/>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39">
    <w:name w:val="灰度表格35"/>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0">
    <w:name w:val="灰度表格41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1">
    <w:name w:val="表格样式"/>
    <w:basedOn w:val="88"/>
    <w:qFormat/>
    <w:uiPriority w:val="0"/>
    <w:pPr>
      <w:jc w:val="center"/>
    </w:pPr>
    <w:rPr>
      <w:rFonts w:cs="Calibri"/>
    </w:rPr>
    <w:tblPr>
      <w:jc w:val="center"/>
      <w:tblBorders>
        <w:top w:val="single" w:color="auto" w:sz="12" w:space="0"/>
        <w:bottom w:val="single" w:color="auto" w:sz="12" w:space="0"/>
        <w:insideH w:val="single" w:color="auto" w:sz="4" w:space="0"/>
        <w:insideV w:val="single" w:color="auto" w:sz="4" w:space="0"/>
      </w:tblBorders>
    </w:tblPr>
    <w:trPr>
      <w:jc w:val="center"/>
    </w:trPr>
    <w:tcPr>
      <w:vAlign w:val="center"/>
    </w:tcPr>
  </w:style>
  <w:style w:type="table" w:customStyle="1" w:styleId="2842">
    <w:name w:val="网格型721"/>
    <w:basedOn w:val="88"/>
    <w:unhideWhenUsed/>
    <w:qFormat/>
    <w:uiPriority w:val="0"/>
    <w:pPr>
      <w:widowControl w:val="0"/>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3">
    <w:name w:val="网格型1314"/>
    <w:basedOn w:val="88"/>
    <w:qFormat/>
    <w:uiPriority w:val="0"/>
    <w:pPr>
      <w:widowControl w:val="0"/>
      <w:spacing w:line="440" w:lineRule="exact"/>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4">
    <w:name w:val="表格样式22"/>
    <w:basedOn w:val="88"/>
    <w:qFormat/>
    <w:uiPriority w:val="0"/>
    <w:pPr>
      <w:jc w:val="center"/>
    </w:pPr>
    <w:rPr>
      <w:rFonts w:cs="Calibri"/>
    </w:rPr>
    <w:tblPr>
      <w:jc w:val="center"/>
      <w:tblBorders>
        <w:top w:val="single" w:color="auto" w:sz="12" w:space="0"/>
        <w:bottom w:val="single" w:color="auto" w:sz="12" w:space="0"/>
        <w:insideH w:val="single" w:color="auto" w:sz="4" w:space="0"/>
        <w:insideV w:val="single" w:color="auto" w:sz="4" w:space="0"/>
      </w:tblBorders>
    </w:tblPr>
    <w:trPr>
      <w:jc w:val="center"/>
    </w:trPr>
    <w:tcPr>
      <w:vAlign w:val="center"/>
    </w:tcPr>
  </w:style>
  <w:style w:type="table" w:customStyle="1" w:styleId="2845">
    <w:name w:val="网格型 5112"/>
    <w:basedOn w:val="88"/>
    <w:qFormat/>
    <w:uiPriority w:val="0"/>
    <w:pPr>
      <w:widowControl w:val="0"/>
      <w:jc w:val="both"/>
    </w:pPr>
    <w:rPr>
      <w:rFonts w:cs="Calibri"/>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846">
    <w:name w:val="网格型713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7">
    <w:name w:val="网格型 11112"/>
    <w:basedOn w:val="88"/>
    <w:qFormat/>
    <w:uiPriority w:val="0"/>
    <w:pPr>
      <w:widowControl w:val="0"/>
      <w:jc w:val="both"/>
    </w:pPr>
    <w:rPr>
      <w:rFonts w:cs="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StylePr>
    <w:tblStylePr w:type="lastCol">
      <w:rPr>
        <w:i/>
        <w:iCs/>
      </w:r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848">
    <w:name w:val="网格型14131"/>
    <w:basedOn w:val="88"/>
    <w:qFormat/>
    <w:uiPriority w:val="0"/>
    <w:pPr>
      <w:widowControl w:val="0"/>
      <w:spacing w:line="360" w:lineRule="auto"/>
      <w:ind w:firstLine="480" w:firstLineChars="20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9">
    <w:name w:val="典雅型7"/>
    <w:basedOn w:val="8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2850">
    <w:name w:val="简明型 11211"/>
    <w:basedOn w:val="88"/>
    <w:qFormat/>
    <w:uiPriority w:val="0"/>
    <w:pPr>
      <w:widowControl w:val="0"/>
      <w:jc w:val="both"/>
    </w:pPr>
    <w:rPr>
      <w:rFonts w:ascii="Times NewRoman" w:hAnsi="Times NewRoman" w:eastAsia="幼圆" w:cs="Times NewRoman"/>
    </w:rPr>
    <w:tblPr>
      <w:tblBorders>
        <w:top w:val="single" w:color="008000" w:sz="12" w:space="0"/>
        <w:bottom w:val="single" w:color="008000" w:sz="12" w:space="0"/>
      </w:tblBorders>
    </w:tblPr>
    <w:tcPr>
      <w:shd w:val="clear" w:color="auto" w:fill="auto"/>
    </w:tcPr>
    <w:tblStylePr w:type="firstRow">
      <w:tcPr>
        <w:tcBorders>
          <w:top w:val="nil"/>
          <w:left w:val="single" w:color="008000" w:sz="6" w:space="0"/>
          <w:bottom w:val="nil"/>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2851">
    <w:name w:val="网格型4"/>
    <w:basedOn w:val="88"/>
    <w:qFormat/>
    <w:uiPriority w:val="0"/>
    <w:pPr>
      <w:widowControl w:val="0"/>
      <w:spacing w:line="360" w:lineRule="auto"/>
      <w:ind w:firstLine="48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52">
    <w:name w:val="灰度表格1321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53">
    <w:name w:val="网格型641"/>
    <w:basedOn w:val="88"/>
    <w:qFormat/>
    <w:uiPriority w:val="0"/>
    <w:pPr>
      <w:widowControl w:val="0"/>
      <w:spacing w:line="360" w:lineRule="auto"/>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54">
    <w:name w:val="网格型 141"/>
    <w:basedOn w:val="88"/>
    <w:qFormat/>
    <w:uiPriority w:val="0"/>
    <w:pPr>
      <w:widowControl w:val="0"/>
      <w:jc w:val="both"/>
    </w:pPr>
    <w:rPr>
      <w:rFonts w:ascii="Times NewRoman" w:hAnsi="Times NewRoman" w:eastAsia="幼圆" w:cs="Times New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855">
    <w:name w:val="灰度表格112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56">
    <w:name w:val="网格型3"/>
    <w:basedOn w:val="88"/>
    <w:qFormat/>
    <w:uiPriority w:val="0"/>
    <w:pPr>
      <w:widowControl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57">
    <w:name w:val="网格型c231"/>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58">
    <w:name w:val="典雅型6"/>
    <w:basedOn w:val="8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2859">
    <w:name w:val="灰度表格1011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0">
    <w:name w:val="灰度表格133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1">
    <w:name w:val="灰度表格11112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2">
    <w:name w:val="灰度表格11144"/>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3">
    <w:name w:val="网格型 53"/>
    <w:basedOn w:val="88"/>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864">
    <w:name w:val="网格型c21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5">
    <w:name w:val="灰度表格111213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6">
    <w:name w:val="灰度表格104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7">
    <w:name w:val="灰度表格9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8">
    <w:name w:val="表格样式2"/>
    <w:basedOn w:val="88"/>
    <w:qFormat/>
    <w:uiPriority w:val="0"/>
    <w:pPr>
      <w:jc w:val="center"/>
    </w:pPr>
    <w:rPr>
      <w:rFonts w:cs="Calibri"/>
    </w:rPr>
    <w:tblPr>
      <w:jc w:val="center"/>
      <w:tblBorders>
        <w:top w:val="single" w:color="auto" w:sz="12" w:space="0"/>
        <w:bottom w:val="single" w:color="auto" w:sz="12" w:space="0"/>
        <w:insideH w:val="single" w:color="auto" w:sz="4" w:space="0"/>
        <w:insideV w:val="single" w:color="auto" w:sz="4" w:space="0"/>
      </w:tblBorders>
    </w:tblPr>
    <w:trPr>
      <w:jc w:val="center"/>
    </w:trPr>
    <w:tcPr>
      <w:vAlign w:val="center"/>
    </w:tcPr>
  </w:style>
  <w:style w:type="table" w:customStyle="1" w:styleId="2869">
    <w:name w:val="网格型82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0">
    <w:name w:val="网格型6121"/>
    <w:basedOn w:val="88"/>
    <w:qFormat/>
    <w:uiPriority w:val="0"/>
    <w:pPr>
      <w:widowControl w:val="0"/>
      <w:spacing w:line="360" w:lineRule="auto"/>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1">
    <w:name w:val="灰度表格11321"/>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2">
    <w:name w:val="网格型11112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3">
    <w:name w:val="灰度表格51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4">
    <w:name w:val="网格型5141"/>
    <w:basedOn w:val="88"/>
    <w:qFormat/>
    <w:uiPriority w:val="0"/>
    <w:pPr>
      <w:widowControl w:val="0"/>
      <w:spacing w:line="360" w:lineRule="auto"/>
      <w:ind w:firstLine="480" w:firstLineChars="20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5">
    <w:name w:val="灰度表格1432"/>
    <w:basedOn w:val="88"/>
    <w:qFormat/>
    <w:uiPriority w:val="0"/>
    <w:pPr>
      <w:widowControl w:val="0"/>
      <w:spacing w:line="529" w:lineRule="exact"/>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6">
    <w:name w:val="灰度表格13232"/>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7">
    <w:name w:val="网格型40"/>
    <w:basedOn w:val="8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8">
    <w:name w:val="灰度表格225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9">
    <w:name w:val="灰度表格63"/>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80">
    <w:name w:val="网格型c41"/>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81">
    <w:name w:val="网格型c11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82">
    <w:name w:val="网格型5514"/>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83">
    <w:name w:val="灰度表格38"/>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84">
    <w:name w:val="网格型c25"/>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85">
    <w:name w:val="网格型2111"/>
    <w:basedOn w:val="88"/>
    <w:qFormat/>
    <w:uiPriority w:val="0"/>
    <w:pPr>
      <w:widowControl w:val="0"/>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86">
    <w:name w:val="网格型26"/>
    <w:basedOn w:val="88"/>
    <w:unhideWhenUsed/>
    <w:qFormat/>
    <w:uiPriority w:val="0"/>
    <w:pPr>
      <w:widowControl w:val="0"/>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87">
    <w:name w:val="网格型1112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88">
    <w:name w:val="灰度表格77"/>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89">
    <w:name w:val="灰度表格51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0">
    <w:name w:val="灰度表格1125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1">
    <w:name w:val="灰度表格911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2">
    <w:name w:val="灰度表格215"/>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3">
    <w:name w:val="专业型2"/>
    <w:basedOn w:val="88"/>
    <w:qFormat/>
    <w:uiPriority w:val="0"/>
    <w:pPr>
      <w:widowControl w:val="0"/>
      <w:jc w:val="both"/>
    </w:pPr>
    <w:rPr>
      <w:rFonts w:cs="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2894">
    <w:name w:val="灰度表格911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5">
    <w:name w:val="网格型 515"/>
    <w:basedOn w:val="88"/>
    <w:qFormat/>
    <w:uiPriority w:val="0"/>
    <w:pPr>
      <w:widowControl w:val="0"/>
      <w:jc w:val="both"/>
    </w:pPr>
    <w:rPr>
      <w:rFonts w:cs="Calibri"/>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896">
    <w:name w:val="网格型c1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7">
    <w:name w:val="简明型 1121"/>
    <w:basedOn w:val="88"/>
    <w:qFormat/>
    <w:uiPriority w:val="0"/>
    <w:pPr>
      <w:widowControl w:val="0"/>
      <w:jc w:val="both"/>
    </w:pPr>
    <w:rPr>
      <w:rFonts w:cs="Calibri"/>
    </w:r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2898">
    <w:name w:val="灰度表格632"/>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9">
    <w:name w:val="网格型18"/>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00">
    <w:name w:val="网格型c14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01">
    <w:name w:val="灰度表格932"/>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02">
    <w:name w:val="网格型43"/>
    <w:basedOn w:val="88"/>
    <w:qFormat/>
    <w:uiPriority w:val="0"/>
    <w:pPr>
      <w:widowControl w:val="0"/>
      <w:spacing w:line="360" w:lineRule="auto"/>
      <w:ind w:firstLine="48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03">
    <w:name w:val="灰度表格44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04">
    <w:name w:val="网格型86"/>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05">
    <w:name w:val="网格型74"/>
    <w:basedOn w:val="88"/>
    <w:unhideWhenUsed/>
    <w:qFormat/>
    <w:uiPriority w:val="0"/>
    <w:pPr>
      <w:widowControl w:val="0"/>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06">
    <w:name w:val="灰度表格12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07">
    <w:name w:val="网格型1151"/>
    <w:basedOn w:val="88"/>
    <w:qFormat/>
    <w:uiPriority w:val="0"/>
    <w:pPr>
      <w:widowControl w:val="0"/>
      <w:spacing w:line="360" w:lineRule="auto"/>
      <w:ind w:firstLine="48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08">
    <w:name w:val="网格型2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09">
    <w:name w:val="灰度表格145"/>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10">
    <w:name w:val="灰度表格33"/>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11">
    <w:name w:val="灰度表格1313"/>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12">
    <w:name w:val="灰度表格1512"/>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13">
    <w:name w:val="网格型5123"/>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14">
    <w:name w:val="灰度表格1712"/>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15">
    <w:name w:val="灰度表格311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16">
    <w:name w:val="网格型 51311"/>
    <w:basedOn w:val="88"/>
    <w:qFormat/>
    <w:uiPriority w:val="0"/>
    <w:pPr>
      <w:widowControl w:val="0"/>
      <w:jc w:val="both"/>
    </w:pPr>
    <w:rPr>
      <w:rFonts w:ascii="Times NewRoman" w:hAnsi="Times NewRoman" w:eastAsia="幼圆" w:cs="Times NewRoman"/>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917">
    <w:name w:val="灰度表格1231"/>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18">
    <w:name w:val="网格型 74"/>
    <w:basedOn w:val="88"/>
    <w:qFormat/>
    <w:uiPriority w:val="0"/>
    <w:pPr>
      <w:widowControl w:val="0"/>
      <w:jc w:val="both"/>
    </w:pPr>
    <w:rPr>
      <w:rFonts w:cs="Calibri"/>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919">
    <w:name w:val="网格型232"/>
    <w:basedOn w:val="88"/>
    <w:qFormat/>
    <w:uiPriority w:val="0"/>
    <w:pPr>
      <w:widowControl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20">
    <w:name w:val="灰度表格1117"/>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21">
    <w:name w:val="灰度表格13311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22">
    <w:name w:val="灰度表格14111"/>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23">
    <w:name w:val="灰度表格1332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24">
    <w:name w:val="灰度表格75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25">
    <w:name w:val="网格型1012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26">
    <w:name w:val="网格型1611"/>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27">
    <w:name w:val="网格型1121"/>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28">
    <w:name w:val="灰度表格13311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29">
    <w:name w:val="灰度表格1321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0">
    <w:name w:val="网格型2113"/>
    <w:basedOn w:val="88"/>
    <w:qFormat/>
    <w:uiPriority w:val="0"/>
    <w:pPr>
      <w:widowControl w:val="0"/>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1">
    <w:name w:val="灰度表格52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2">
    <w:name w:val="网格型c2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3">
    <w:name w:val="网格型2131"/>
    <w:basedOn w:val="88"/>
    <w:qFormat/>
    <w:uiPriority w:val="0"/>
    <w:pPr>
      <w:widowControl w:val="0"/>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4">
    <w:name w:val="灰度表格62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5">
    <w:name w:val="表格样式21"/>
    <w:basedOn w:val="88"/>
    <w:qFormat/>
    <w:uiPriority w:val="0"/>
    <w:pPr>
      <w:jc w:val="center"/>
    </w:pPr>
    <w:rPr>
      <w:rFonts w:cs="Calibri"/>
    </w:rPr>
    <w:tblPr>
      <w:jc w:val="center"/>
      <w:tblBorders>
        <w:top w:val="single" w:color="auto" w:sz="12" w:space="0"/>
        <w:bottom w:val="single" w:color="auto" w:sz="12" w:space="0"/>
        <w:insideH w:val="single" w:color="auto" w:sz="4" w:space="0"/>
        <w:insideV w:val="single" w:color="auto" w:sz="4" w:space="0"/>
      </w:tblBorders>
    </w:tblPr>
    <w:trPr>
      <w:jc w:val="center"/>
    </w:trPr>
    <w:tcPr>
      <w:vAlign w:val="center"/>
    </w:tcPr>
  </w:style>
  <w:style w:type="table" w:customStyle="1" w:styleId="2936">
    <w:name w:val="灰度表格166"/>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7">
    <w:name w:val="网格型921"/>
    <w:basedOn w:val="88"/>
    <w:unhideWhenUsed/>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8">
    <w:name w:val="灰度表格271"/>
    <w:basedOn w:val="88"/>
    <w:qFormat/>
    <w:uiPriority w:val="0"/>
    <w:pPr>
      <w:widowControl w:val="0"/>
      <w:spacing w:line="360" w:lineRule="auto"/>
      <w:ind w:firstLine="200" w:firstLineChars="20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9">
    <w:name w:val="灰度表格2213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40">
    <w:name w:val="灰度表格1412"/>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41">
    <w:name w:val="网格型102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42">
    <w:name w:val="灰度表格131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43">
    <w:name w:val="灰度表格11152"/>
    <w:basedOn w:val="88"/>
    <w:qFormat/>
    <w:uiPriority w:val="0"/>
    <w:pPr>
      <w:widowControl w:val="0"/>
      <w:spacing w:line="529" w:lineRule="exact"/>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44">
    <w:name w:val="灰度表格11314"/>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45">
    <w:name w:val="网格型252"/>
    <w:basedOn w:val="88"/>
    <w:qFormat/>
    <w:uiPriority w:val="0"/>
    <w:pPr>
      <w:widowControl w:val="0"/>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46">
    <w:name w:val="网格型c9"/>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47">
    <w:name w:val="网格型1341"/>
    <w:basedOn w:val="88"/>
    <w:qFormat/>
    <w:uiPriority w:val="0"/>
    <w:pPr>
      <w:widowControl w:val="0"/>
      <w:spacing w:line="360" w:lineRule="auto"/>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48">
    <w:name w:val="灰度表格1531"/>
    <w:basedOn w:val="88"/>
    <w:qFormat/>
    <w:uiPriority w:val="0"/>
    <w:pPr>
      <w:widowControl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49">
    <w:name w:val="网格型724"/>
    <w:basedOn w:val="88"/>
    <w:unhideWhenUsed/>
    <w:qFormat/>
    <w:uiPriority w:val="0"/>
    <w:pPr>
      <w:widowControl w:val="0"/>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0">
    <w:name w:val="网格型 533"/>
    <w:basedOn w:val="88"/>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951">
    <w:name w:val="表格主题13"/>
    <w:basedOn w:val="88"/>
    <w:qFormat/>
    <w:uiPriority w:val="0"/>
    <w:pPr>
      <w:widowControl w:val="0"/>
      <w:jc w:val="both"/>
    </w:pPr>
    <w:rPr>
      <w:rFonts w:cs="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vAlign w:val="center"/>
    </w:tcPr>
  </w:style>
  <w:style w:type="table" w:customStyle="1" w:styleId="2952">
    <w:name w:val="灰度表格2312"/>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3">
    <w:name w:val="灰度表格11121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4">
    <w:name w:val="网格型 57"/>
    <w:basedOn w:val="88"/>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955">
    <w:name w:val="灰度表格81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6">
    <w:name w:val="灰度表格313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7">
    <w:name w:val="灰度表格11215"/>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8">
    <w:name w:val="灰度表格1152"/>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9">
    <w:name w:val="专业型4"/>
    <w:basedOn w:val="88"/>
    <w:qFormat/>
    <w:uiPriority w:val="0"/>
    <w:pPr>
      <w:widowControl w:val="0"/>
      <w:jc w:val="both"/>
    </w:pPr>
    <w:rPr>
      <w:rFonts w:cs="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2960">
    <w:name w:val="网格型 711"/>
    <w:basedOn w:val="88"/>
    <w:qFormat/>
    <w:uiPriority w:val="0"/>
    <w:pPr>
      <w:widowControl w:val="0"/>
      <w:jc w:val="both"/>
    </w:pPr>
    <w:rPr>
      <w:rFonts w:cs="Calibri"/>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961">
    <w:name w:val="网格型111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2">
    <w:name w:val="网格型59"/>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3">
    <w:name w:val="灰度表格114"/>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4">
    <w:name w:val="灰度表格911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5">
    <w:name w:val="网格型 112"/>
    <w:basedOn w:val="88"/>
    <w:qFormat/>
    <w:uiPriority w:val="0"/>
    <w:pPr>
      <w:widowControl w:val="0"/>
      <w:jc w:val="both"/>
    </w:pPr>
    <w:rPr>
      <w:rFonts w:cs="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966">
    <w:name w:val="网格型71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7">
    <w:name w:val="网格型 72"/>
    <w:basedOn w:val="88"/>
    <w:qFormat/>
    <w:uiPriority w:val="0"/>
    <w:pPr>
      <w:widowControl w:val="0"/>
      <w:jc w:val="both"/>
    </w:pPr>
    <w:rPr>
      <w:rFonts w:cs="Calibri"/>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968">
    <w:name w:val="灰度表格111313"/>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9">
    <w:name w:val="网格型 1131"/>
    <w:basedOn w:val="88"/>
    <w:qFormat/>
    <w:uiPriority w:val="0"/>
    <w:pPr>
      <w:widowControl w:val="0"/>
      <w:jc w:val="both"/>
    </w:pPr>
    <w:rPr>
      <w:rFonts w:ascii="Times NewRoman" w:hAnsi="Times NewRoman" w:eastAsia="幼圆" w:cs="Times New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970">
    <w:name w:val="网格型62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71">
    <w:name w:val="网格型 115"/>
    <w:basedOn w:val="88"/>
    <w:qFormat/>
    <w:uiPriority w:val="0"/>
    <w:pPr>
      <w:widowControl w:val="0"/>
      <w:jc w:val="both"/>
    </w:pPr>
    <w:rPr>
      <w:rFonts w:cs="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972">
    <w:name w:val="网格型56"/>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73">
    <w:name w:val="灰度表格111232"/>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74">
    <w:name w:val="网格型1433"/>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75">
    <w:name w:val="灰度表格111111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76">
    <w:name w:val="灰度表格1741"/>
    <w:basedOn w:val="88"/>
    <w:qFormat/>
    <w:uiPriority w:val="0"/>
    <w:pPr>
      <w:widowControl w:val="0"/>
      <w:spacing w:line="360" w:lineRule="auto"/>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77">
    <w:name w:val="网格型87"/>
    <w:basedOn w:val="88"/>
    <w:qFormat/>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78">
    <w:name w:val="灰度表格2212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79">
    <w:name w:val="灰度表格17113"/>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0">
    <w:name w:val="灰度表格11232"/>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1">
    <w:name w:val="灰度表格512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2">
    <w:name w:val="网格型1117"/>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3">
    <w:name w:val="网格型8112"/>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4">
    <w:name w:val="网格型11111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5">
    <w:name w:val="网格型101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6">
    <w:name w:val="灰度表格11231"/>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7">
    <w:name w:val="网格型121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8">
    <w:name w:val="灰度表格56"/>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9">
    <w:name w:val="网格型 713"/>
    <w:basedOn w:val="88"/>
    <w:qFormat/>
    <w:uiPriority w:val="0"/>
    <w:pPr>
      <w:widowControl w:val="0"/>
      <w:jc w:val="both"/>
    </w:pPr>
    <w:rPr>
      <w:rFonts w:cs="Calibri"/>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990">
    <w:name w:val="灰度表格1811"/>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1">
    <w:name w:val="灰度表格13111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2">
    <w:name w:val="网格型1432"/>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3">
    <w:name w:val="灰度表格62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4">
    <w:name w:val="灰度表格243"/>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5">
    <w:name w:val="灰度表格29"/>
    <w:basedOn w:val="88"/>
    <w:qFormat/>
    <w:uiPriority w:val="0"/>
    <w:pPr>
      <w:widowControl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6">
    <w:name w:val="网格型 114"/>
    <w:basedOn w:val="88"/>
    <w:qFormat/>
    <w:uiPriority w:val="0"/>
    <w:pPr>
      <w:widowControl w:val="0"/>
      <w:jc w:val="both"/>
    </w:pPr>
    <w:rPr>
      <w:rFonts w:cs="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997">
    <w:name w:val="网格型c211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8">
    <w:name w:val="灰度表格1310"/>
    <w:basedOn w:val="88"/>
    <w:qFormat/>
    <w:uiPriority w:val="0"/>
    <w:pPr>
      <w:widowControl w:val="0"/>
      <w:spacing w:line="529" w:lineRule="exact"/>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9">
    <w:name w:val="灰度表格1311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00">
    <w:name w:val="网格型55"/>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01">
    <w:name w:val="灰度表格91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02">
    <w:name w:val="灰度表格831"/>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03">
    <w:name w:val="灰度表格172"/>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04">
    <w:name w:val="网格型92"/>
    <w:basedOn w:val="88"/>
    <w:unhideWhenUsed/>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05">
    <w:name w:val="灰度表格1113"/>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06">
    <w:name w:val="灰度表格41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07">
    <w:name w:val="网格型312"/>
    <w:basedOn w:val="88"/>
    <w:qFormat/>
    <w:uiPriority w:val="0"/>
    <w:pPr>
      <w:widowControl w:val="0"/>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08">
    <w:name w:val="灰度表格11113"/>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09">
    <w:name w:val="灰度表格134"/>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0">
    <w:name w:val="灰度表格1522"/>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1">
    <w:name w:val="网格型 523"/>
    <w:basedOn w:val="88"/>
    <w:qFormat/>
    <w:uiPriority w:val="0"/>
    <w:pPr>
      <w:widowControl w:val="0"/>
      <w:jc w:val="both"/>
    </w:pPr>
    <w:rPr>
      <w:rFonts w:cs="Calibri"/>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012">
    <w:name w:val="灰度表格55"/>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3">
    <w:name w:val="网格型14314"/>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4">
    <w:name w:val="灰度表格67"/>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5">
    <w:name w:val="网格型251"/>
    <w:basedOn w:val="8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6">
    <w:name w:val="网格型1131"/>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7">
    <w:name w:val="灰度表格156"/>
    <w:basedOn w:val="88"/>
    <w:qFormat/>
    <w:uiPriority w:val="0"/>
    <w:pPr>
      <w:widowControl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8">
    <w:name w:val="网格型6112"/>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9">
    <w:name w:val="灰度表格111132"/>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20">
    <w:name w:val="网格型1162"/>
    <w:basedOn w:val="88"/>
    <w:qFormat/>
    <w:uiPriority w:val="0"/>
    <w:pPr>
      <w:widowControl w:val="0"/>
      <w:spacing w:line="440" w:lineRule="exact"/>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21">
    <w:name w:val="网格型1122"/>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22">
    <w:name w:val="简明型 12"/>
    <w:basedOn w:val="88"/>
    <w:qFormat/>
    <w:uiPriority w:val="0"/>
    <w:pPr>
      <w:widowControl w:val="0"/>
      <w:jc w:val="both"/>
    </w:pPr>
    <w:rPr>
      <w:rFonts w:ascii="Times NewRoman" w:hAnsi="Times NewRoman" w:eastAsia="幼圆" w:cs="Times NewRoman"/>
    </w:rPr>
    <w:tblPr>
      <w:tblBorders>
        <w:top w:val="single" w:color="008000" w:sz="12" w:space="0"/>
        <w:bottom w:val="single" w:color="008000" w:sz="12" w:space="0"/>
      </w:tblBorders>
    </w:tblPr>
    <w:tcPr>
      <w:shd w:val="clear" w:color="auto" w:fill="auto"/>
    </w:tcPr>
    <w:tblStylePr w:type="firstRow">
      <w:tcPr>
        <w:tcBorders>
          <w:top w:val="nil"/>
          <w:left w:val="single" w:color="008000" w:sz="6" w:space="0"/>
          <w:bottom w:val="nil"/>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3023">
    <w:name w:val="灰度表格23"/>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24">
    <w:name w:val="灰度表格2133"/>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25">
    <w:name w:val="灰度表格21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26">
    <w:name w:val="灰度表格931"/>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27">
    <w:name w:val="灰度表格11211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28">
    <w:name w:val="灰度表格132"/>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29">
    <w:name w:val="灰度表格11141"/>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0">
    <w:name w:val="网格型8"/>
    <w:basedOn w:val="88"/>
    <w:qFormat/>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1">
    <w:name w:val="网格型4113"/>
    <w:basedOn w:val="88"/>
    <w:qFormat/>
    <w:uiPriority w:val="0"/>
    <w:pPr>
      <w:widowControl w:val="0"/>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2">
    <w:name w:val="灰度表格1514"/>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3">
    <w:name w:val="灰度表格191"/>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4">
    <w:name w:val="灰度表格13212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5">
    <w:name w:val="网格型174"/>
    <w:basedOn w:val="88"/>
    <w:qFormat/>
    <w:uiPriority w:val="0"/>
    <w:pPr>
      <w:widowControl w:val="0"/>
      <w:spacing w:line="440" w:lineRule="exact"/>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6">
    <w:name w:val="表格主题6"/>
    <w:basedOn w:val="88"/>
    <w:qFormat/>
    <w:uiPriority w:val="0"/>
    <w:pPr>
      <w:widowControl w:val="0"/>
      <w:autoSpaceDE w:val="0"/>
      <w:autoSpaceDN w:val="0"/>
      <w:adjustRightInd w:val="0"/>
      <w:spacing w:line="360" w:lineRule="auto"/>
      <w:jc w:val="both"/>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7">
    <w:name w:val="灰度表格142"/>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8">
    <w:name w:val="灰度表格11121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9">
    <w:name w:val="灰度表格143"/>
    <w:basedOn w:val="88"/>
    <w:qFormat/>
    <w:uiPriority w:val="0"/>
    <w:pPr>
      <w:widowControl w:val="0"/>
      <w:spacing w:line="529" w:lineRule="exact"/>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0">
    <w:name w:val="网格型 531"/>
    <w:basedOn w:val="88"/>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041">
    <w:name w:val="灰度表格811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2">
    <w:name w:val="网格型95"/>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3">
    <w:name w:val="网格型5211"/>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4">
    <w:name w:val="网格型c131"/>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5">
    <w:name w:val="网格型11231"/>
    <w:basedOn w:val="88"/>
    <w:qFormat/>
    <w:uiPriority w:val="0"/>
    <w:pPr>
      <w:widowControl w:val="0"/>
      <w:spacing w:line="360" w:lineRule="auto"/>
      <w:ind w:firstLine="480" w:firstLineChars="20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6">
    <w:name w:val="灰度表格11133"/>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7">
    <w:name w:val="灰度表格111111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8">
    <w:name w:val="灰度表格1333"/>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9">
    <w:name w:val="灰度表格165"/>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50">
    <w:name w:val="网格型1"/>
    <w:basedOn w:val="88"/>
    <w:qFormat/>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51">
    <w:name w:val="灰度表格11127"/>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52">
    <w:name w:val="灰度表格1335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53">
    <w:name w:val="网格型23"/>
    <w:basedOn w:val="88"/>
    <w:qFormat/>
    <w:uiPriority w:val="0"/>
    <w:pPr>
      <w:widowControl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54">
    <w:name w:val="网格型62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55">
    <w:name w:val="灰度表格1111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56">
    <w:name w:val="网格型11221"/>
    <w:basedOn w:val="88"/>
    <w:qFormat/>
    <w:uiPriority w:val="0"/>
    <w:pPr>
      <w:widowControl w:val="0"/>
      <w:spacing w:line="360" w:lineRule="auto"/>
      <w:ind w:firstLine="480" w:firstLineChars="20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57">
    <w:name w:val="灰度表格252"/>
    <w:basedOn w:val="88"/>
    <w:qFormat/>
    <w:uiPriority w:val="0"/>
    <w:pPr>
      <w:widowControl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58">
    <w:name w:val="灰度表格8"/>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59">
    <w:name w:val="灰度表格732"/>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0">
    <w:name w:val="灰度表格15111"/>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1">
    <w:name w:val="灰度表格11161"/>
    <w:basedOn w:val="88"/>
    <w:qFormat/>
    <w:uiPriority w:val="0"/>
    <w:pPr>
      <w:widowControl w:val="0"/>
      <w:spacing w:line="529" w:lineRule="exact"/>
      <w:ind w:firstLine="200" w:firstLineChars="20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2">
    <w:name w:val="灰度表格1336"/>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3">
    <w:name w:val="网格型1513"/>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4">
    <w:name w:val="网格型 5321"/>
    <w:basedOn w:val="88"/>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065">
    <w:name w:val="网格型3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6">
    <w:name w:val="网格型62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7">
    <w:name w:val="网格型11212"/>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8">
    <w:name w:val="网格型 541"/>
    <w:basedOn w:val="88"/>
    <w:qFormat/>
    <w:uiPriority w:val="0"/>
    <w:pPr>
      <w:widowControl w:val="0"/>
      <w:jc w:val="both"/>
    </w:pPr>
    <w:rPr>
      <w:rFonts w:cs="Calibri"/>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069">
    <w:name w:val="灰度表格11121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70">
    <w:name w:val="灰度表格1331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71">
    <w:name w:val="灰度表格45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72">
    <w:name w:val="网格型1411"/>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73">
    <w:name w:val="网格型141112"/>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74">
    <w:name w:val="网格型614"/>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75">
    <w:name w:val="网格型162"/>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76">
    <w:name w:val="网格型8131"/>
    <w:basedOn w:val="88"/>
    <w:qFormat/>
    <w:uiPriority w:val="0"/>
    <w:pPr>
      <w:widowControl w:val="0"/>
      <w:spacing w:line="360" w:lineRule="auto"/>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77">
    <w:name w:val="灰度表格11132"/>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78">
    <w:name w:val="网格型1472"/>
    <w:basedOn w:val="88"/>
    <w:qFormat/>
    <w:uiPriority w:val="0"/>
    <w:pPr>
      <w:widowControl w:val="0"/>
      <w:spacing w:line="360" w:lineRule="auto"/>
      <w:ind w:firstLine="48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79">
    <w:name w:val="典雅型4"/>
    <w:basedOn w:val="88"/>
    <w:qFormat/>
    <w:uiPriority w:val="0"/>
    <w:pPr>
      <w:widowControl w:val="0"/>
      <w:jc w:val="both"/>
    </w:pPr>
    <w:rPr>
      <w:rFonts w:cs="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3080">
    <w:name w:val="灰度表格13112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81">
    <w:name w:val="灰度表格129"/>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82">
    <w:name w:val="网格型28"/>
    <w:basedOn w:val="88"/>
    <w:qFormat/>
    <w:uiPriority w:val="0"/>
    <w:pPr>
      <w:widowControl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83">
    <w:name w:val="灰度表格32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84">
    <w:name w:val="灰度表格138"/>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85">
    <w:name w:val="表格样式12"/>
    <w:basedOn w:val="88"/>
    <w:qFormat/>
    <w:uiPriority w:val="0"/>
    <w:pPr>
      <w:jc w:val="both"/>
    </w:pPr>
    <w:rPr>
      <w:rFonts w:cs="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vAlign w:val="center"/>
    </w:tcPr>
  </w:style>
  <w:style w:type="table" w:customStyle="1" w:styleId="3086">
    <w:name w:val="网格型711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87">
    <w:name w:val="网格型1322"/>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88">
    <w:name w:val="简明型 11"/>
    <w:basedOn w:val="88"/>
    <w:qFormat/>
    <w:uiPriority w:val="0"/>
    <w:pPr>
      <w:widowControl w:val="0"/>
      <w:jc w:val="both"/>
    </w:pPr>
    <w:rPr>
      <w:rFonts w:cs="Calibri"/>
    </w:r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3089">
    <w:name w:val="灰度表格1624"/>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0">
    <w:name w:val="灰度表格154"/>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1">
    <w:name w:val="网格型332"/>
    <w:basedOn w:val="88"/>
    <w:qFormat/>
    <w:uiPriority w:val="0"/>
    <w:pPr>
      <w:widowControl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2">
    <w:name w:val="灰度表格122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3">
    <w:name w:val="网格型241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4">
    <w:name w:val="网格型831"/>
    <w:basedOn w:val="88"/>
    <w:qFormat/>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5">
    <w:name w:val="网格型1111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6">
    <w:name w:val="网格型101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7">
    <w:name w:val="灰度表格91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8">
    <w:name w:val="网格型c13"/>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9">
    <w:name w:val="灰度表格17"/>
    <w:basedOn w:val="88"/>
    <w:qFormat/>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0">
    <w:name w:val="网格型1171"/>
    <w:basedOn w:val="88"/>
    <w:qFormat/>
    <w:uiPriority w:val="0"/>
    <w:pPr>
      <w:widowControl w:val="0"/>
      <w:spacing w:line="360" w:lineRule="auto"/>
      <w:ind w:firstLine="480" w:firstLineChars="20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1">
    <w:name w:val="网格型5312"/>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2">
    <w:name w:val="灰度表格111314"/>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3">
    <w:name w:val="网格型5512"/>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4">
    <w:name w:val="灰度表格2321"/>
    <w:basedOn w:val="88"/>
    <w:qFormat/>
    <w:uiPriority w:val="0"/>
    <w:pPr>
      <w:widowControl w:val="0"/>
      <w:spacing w:line="360" w:lineRule="auto"/>
      <w:ind w:firstLine="200" w:firstLineChars="20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5">
    <w:name w:val="网格型12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6">
    <w:name w:val="灰度表格85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7">
    <w:name w:val="网格型1711"/>
    <w:basedOn w:val="88"/>
    <w:qFormat/>
    <w:uiPriority w:val="0"/>
    <w:pPr>
      <w:widowControl w:val="0"/>
      <w:spacing w:line="440" w:lineRule="exact"/>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8">
    <w:name w:val="灰度表格147"/>
    <w:basedOn w:val="88"/>
    <w:qFormat/>
    <w:uiPriority w:val="0"/>
    <w:pPr>
      <w:widowControl w:val="0"/>
      <w:spacing w:line="529" w:lineRule="exact"/>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9">
    <w:name w:val="网格型5412"/>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10">
    <w:name w:val="网格型1481"/>
    <w:basedOn w:val="88"/>
    <w:qFormat/>
    <w:uiPriority w:val="0"/>
    <w:pPr>
      <w:widowControl w:val="0"/>
      <w:spacing w:line="360" w:lineRule="auto"/>
      <w:ind w:firstLine="480" w:firstLineChars="20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11">
    <w:name w:val="网格型 5111"/>
    <w:basedOn w:val="88"/>
    <w:qFormat/>
    <w:uiPriority w:val="0"/>
    <w:pPr>
      <w:widowControl w:val="0"/>
      <w:jc w:val="both"/>
    </w:pPr>
    <w:rPr>
      <w:rFonts w:cs="Calibri"/>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112">
    <w:name w:val="网格型1434"/>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13">
    <w:name w:val="灰度表格1714"/>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14">
    <w:name w:val="灰度表格13313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15">
    <w:name w:val="网格型4112"/>
    <w:basedOn w:val="88"/>
    <w:qFormat/>
    <w:uiPriority w:val="0"/>
    <w:pPr>
      <w:widowControl w:val="0"/>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16">
    <w:name w:val="网格型412"/>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17">
    <w:name w:val="简明型 131"/>
    <w:basedOn w:val="88"/>
    <w:qFormat/>
    <w:uiPriority w:val="0"/>
    <w:pPr>
      <w:widowControl w:val="0"/>
      <w:jc w:val="both"/>
    </w:pPr>
    <w:rPr>
      <w:rFonts w:cs="Calibri"/>
    </w:r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3118">
    <w:name w:val="灰度表格1431"/>
    <w:basedOn w:val="88"/>
    <w:qFormat/>
    <w:uiPriority w:val="0"/>
    <w:pPr>
      <w:widowControl w:val="0"/>
      <w:spacing w:line="529" w:lineRule="exact"/>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19">
    <w:name w:val="网格型c26"/>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20">
    <w:name w:val="网格型c6"/>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21">
    <w:name w:val="灰度表格9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22">
    <w:name w:val="网格型14112"/>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23">
    <w:name w:val="网格型c12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24">
    <w:name w:val="灰度表格1122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25">
    <w:name w:val="灰度表格11126"/>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26">
    <w:name w:val="网格型4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27">
    <w:name w:val="网格型110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28">
    <w:name w:val="网格型13311"/>
    <w:basedOn w:val="88"/>
    <w:qFormat/>
    <w:uiPriority w:val="0"/>
    <w:pPr>
      <w:widowControl w:val="0"/>
      <w:spacing w:line="360" w:lineRule="auto"/>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29">
    <w:name w:val="灰度表格127"/>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30">
    <w:name w:val="灰度表格13"/>
    <w:basedOn w:val="88"/>
    <w:qFormat/>
    <w:uiPriority w:val="0"/>
    <w:pPr>
      <w:widowControl w:val="0"/>
      <w:spacing w:line="529" w:lineRule="exact"/>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31">
    <w:name w:val="灰度表格91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32">
    <w:name w:val="灰度表格121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33">
    <w:name w:val="网格型c22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34">
    <w:name w:val="网格型711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35">
    <w:name w:val="网格型105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36">
    <w:name w:val="网格型32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37">
    <w:name w:val="网格型632"/>
    <w:basedOn w:val="88"/>
    <w:qFormat/>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38">
    <w:name w:val="网格型14411"/>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39">
    <w:name w:val="网格型13"/>
    <w:basedOn w:val="88"/>
    <w:qFormat/>
    <w:uiPriority w:val="0"/>
    <w:pPr>
      <w:widowControl w:val="0"/>
      <w:spacing w:line="360" w:lineRule="auto"/>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40">
    <w:name w:val="灰度表格1112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41">
    <w:name w:val="网格型5121"/>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42">
    <w:name w:val="网格型c112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43">
    <w:name w:val="灰度表格15114"/>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44">
    <w:name w:val="灰度表格132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45">
    <w:name w:val="典雅型31"/>
    <w:basedOn w:val="8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3146">
    <w:name w:val="灰度表格225"/>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47">
    <w:name w:val="灰度表格48"/>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48">
    <w:name w:val="网格型6113"/>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49">
    <w:name w:val="灰度表格41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50">
    <w:name w:val="网格型14111"/>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51">
    <w:name w:val="灰度表格136"/>
    <w:basedOn w:val="88"/>
    <w:qFormat/>
    <w:uiPriority w:val="0"/>
    <w:pPr>
      <w:widowControl w:val="0"/>
      <w:spacing w:line="529" w:lineRule="exact"/>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52">
    <w:name w:val="表格主题121"/>
    <w:basedOn w:val="88"/>
    <w:qFormat/>
    <w:uiPriority w:val="0"/>
    <w:pPr>
      <w:widowControl w:val="0"/>
      <w:autoSpaceDE w:val="0"/>
      <w:autoSpaceDN w:val="0"/>
      <w:adjustRightInd w:val="0"/>
      <w:spacing w:line="360" w:lineRule="auto"/>
      <w:jc w:val="both"/>
      <w:textAlignment w:val="baseline"/>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53">
    <w:name w:val="网格型651"/>
    <w:basedOn w:val="88"/>
    <w:qFormat/>
    <w:uiPriority w:val="0"/>
    <w:pPr>
      <w:widowControl w:val="0"/>
      <w:spacing w:line="360" w:lineRule="auto"/>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54">
    <w:name w:val="灰度表格61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55">
    <w:name w:val="灰度表格1821"/>
    <w:basedOn w:val="88"/>
    <w:qFormat/>
    <w:uiPriority w:val="0"/>
    <w:pPr>
      <w:widowControl w:val="0"/>
      <w:spacing w:line="529" w:lineRule="exact"/>
      <w:ind w:firstLine="200" w:firstLineChars="20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56">
    <w:name w:val="灰度表格137"/>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57">
    <w:name w:val="灰度表格1011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58">
    <w:name w:val="灰度表格1118"/>
    <w:basedOn w:val="88"/>
    <w:qFormat/>
    <w:uiPriority w:val="0"/>
    <w:pPr>
      <w:widowControl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59">
    <w:name w:val="网格型143"/>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60">
    <w:name w:val="网格型115"/>
    <w:basedOn w:val="88"/>
    <w:qFormat/>
    <w:uiPriority w:val="0"/>
    <w:pPr>
      <w:widowControl w:val="0"/>
      <w:spacing w:line="360" w:lineRule="auto"/>
      <w:ind w:firstLine="48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61">
    <w:name w:val="网格型1221"/>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62">
    <w:name w:val="灰度表格11123"/>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63">
    <w:name w:val="网格型16"/>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64">
    <w:name w:val="典雅型21"/>
    <w:basedOn w:val="88"/>
    <w:qFormat/>
    <w:uiPriority w:val="0"/>
    <w:pPr>
      <w:widowControl w:val="0"/>
      <w:jc w:val="both"/>
    </w:pPr>
    <w:rPr>
      <w:rFonts w:cs="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3165">
    <w:name w:val="网格型141"/>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66">
    <w:name w:val="灰度表格111312"/>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67">
    <w:name w:val="表格主题2"/>
    <w:basedOn w:val="88"/>
    <w:qFormat/>
    <w:uiPriority w:val="0"/>
    <w:pPr>
      <w:widowControl w:val="0"/>
      <w:autoSpaceDE w:val="0"/>
      <w:autoSpaceDN w:val="0"/>
      <w:adjustRightInd w:val="0"/>
      <w:spacing w:line="360" w:lineRule="auto"/>
      <w:jc w:val="both"/>
      <w:textAlignment w:val="baseline"/>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68">
    <w:name w:val="网格型 1121"/>
    <w:basedOn w:val="88"/>
    <w:qFormat/>
    <w:uiPriority w:val="0"/>
    <w:pPr>
      <w:widowControl w:val="0"/>
      <w:jc w:val="both"/>
    </w:pPr>
    <w:rPr>
      <w:rFonts w:cs="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169">
    <w:name w:val="灰度表格141"/>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70">
    <w:name w:val="网格型11133"/>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71">
    <w:name w:val="网格型 111"/>
    <w:basedOn w:val="88"/>
    <w:qFormat/>
    <w:uiPriority w:val="0"/>
    <w:pPr>
      <w:widowControl w:val="0"/>
      <w:jc w:val="both"/>
    </w:pPr>
    <w:rPr>
      <w:rFonts w:cs="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StylePr>
    <w:tblStylePr w:type="lastCol">
      <w:rPr>
        <w:i/>
        <w:iCs/>
      </w:r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172">
    <w:name w:val="灰度表格241"/>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73">
    <w:name w:val="灰度表格1162"/>
    <w:basedOn w:val="88"/>
    <w:qFormat/>
    <w:uiPriority w:val="0"/>
    <w:pPr>
      <w:widowControl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74">
    <w:name w:val="网格型21"/>
    <w:basedOn w:val="88"/>
    <w:qFormat/>
    <w:uiPriority w:val="0"/>
    <w:pPr>
      <w:widowControl w:val="0"/>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75">
    <w:name w:val="灰度表格82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76">
    <w:name w:val="灰度表格3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77">
    <w:name w:val="网格型14311"/>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78">
    <w:name w:val="灰度表格1211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79">
    <w:name w:val="网格型1471"/>
    <w:basedOn w:val="88"/>
    <w:qFormat/>
    <w:uiPriority w:val="0"/>
    <w:pPr>
      <w:widowControl w:val="0"/>
      <w:spacing w:line="360" w:lineRule="auto"/>
      <w:ind w:firstLine="48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80">
    <w:name w:val="灰度表格11151"/>
    <w:basedOn w:val="88"/>
    <w:qFormat/>
    <w:uiPriority w:val="0"/>
    <w:pPr>
      <w:widowControl w:val="0"/>
      <w:spacing w:line="529" w:lineRule="exact"/>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81">
    <w:name w:val="网格型1424"/>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82">
    <w:name w:val="灰度表格11124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83">
    <w:name w:val="灰度表格511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84">
    <w:name w:val="网格型1111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85">
    <w:name w:val="灰度表格1211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86">
    <w:name w:val="简明型 111"/>
    <w:basedOn w:val="88"/>
    <w:qFormat/>
    <w:uiPriority w:val="0"/>
    <w:pPr>
      <w:widowControl w:val="0"/>
      <w:jc w:val="both"/>
    </w:pPr>
    <w:rPr>
      <w:rFonts w:cs="Calibri"/>
    </w:r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3187">
    <w:name w:val="简明型 1311"/>
    <w:basedOn w:val="88"/>
    <w:qFormat/>
    <w:uiPriority w:val="0"/>
    <w:pPr>
      <w:widowControl w:val="0"/>
      <w:jc w:val="both"/>
    </w:pPr>
    <w:rPr>
      <w:rFonts w:ascii="Times NewRoman" w:hAnsi="Times NewRoman" w:eastAsia="幼圆" w:cs="Times NewRoman"/>
    </w:rPr>
    <w:tblPr>
      <w:tblBorders>
        <w:top w:val="single" w:color="008000" w:sz="12" w:space="0"/>
        <w:bottom w:val="single" w:color="008000" w:sz="12" w:space="0"/>
      </w:tblBorders>
    </w:tblPr>
    <w:tcPr>
      <w:shd w:val="clear" w:color="auto" w:fill="auto"/>
    </w:tcPr>
    <w:tblStylePr w:type="firstRow">
      <w:tcPr>
        <w:tcBorders>
          <w:top w:val="nil"/>
          <w:left w:val="single" w:color="008000" w:sz="6" w:space="0"/>
          <w:bottom w:val="nil"/>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3188">
    <w:name w:val="灰度表格88"/>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89">
    <w:name w:val="灰度表格1622"/>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90">
    <w:name w:val="网格型11115"/>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91">
    <w:name w:val="灰度表格82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92">
    <w:name w:val="灰度表格62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93">
    <w:name w:val="灰度表格174"/>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94">
    <w:name w:val="网格型41111"/>
    <w:basedOn w:val="88"/>
    <w:qFormat/>
    <w:uiPriority w:val="0"/>
    <w:pPr>
      <w:widowControl w:val="0"/>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95">
    <w:name w:val="网格型553"/>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96">
    <w:name w:val="灰度表格42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97">
    <w:name w:val="灰度表格123"/>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98">
    <w:name w:val="灰度表格222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99">
    <w:name w:val="网格型41112"/>
    <w:basedOn w:val="88"/>
    <w:qFormat/>
    <w:uiPriority w:val="0"/>
    <w:pPr>
      <w:widowControl w:val="0"/>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00">
    <w:name w:val="网格型104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01">
    <w:name w:val="灰度表格176"/>
    <w:basedOn w:val="88"/>
    <w:qFormat/>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02">
    <w:name w:val="灰度表格22"/>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03">
    <w:name w:val="网格型231"/>
    <w:basedOn w:val="88"/>
    <w:qFormat/>
    <w:uiPriority w:val="0"/>
    <w:pPr>
      <w:widowControl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04">
    <w:name w:val="网格型1331"/>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05">
    <w:name w:val="灰度表格105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06">
    <w:name w:val="灰度表格11413"/>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07">
    <w:name w:val="灰度表格112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08">
    <w:name w:val="网格型341"/>
    <w:basedOn w:val="88"/>
    <w:qFormat/>
    <w:uiPriority w:val="0"/>
    <w:pPr>
      <w:widowControl w:val="0"/>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09">
    <w:name w:val="网格型4141"/>
    <w:basedOn w:val="88"/>
    <w:qFormat/>
    <w:uiPriority w:val="0"/>
    <w:pPr>
      <w:widowControl w:val="0"/>
      <w:spacing w:line="360" w:lineRule="auto"/>
      <w:ind w:firstLine="480" w:firstLineChars="20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10">
    <w:name w:val="灰度表格153"/>
    <w:basedOn w:val="88"/>
    <w:qFormat/>
    <w:uiPriority w:val="0"/>
    <w:pPr>
      <w:widowControl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11">
    <w:name w:val="灰度表格167"/>
    <w:basedOn w:val="88"/>
    <w:qFormat/>
    <w:uiPriority w:val="0"/>
    <w:pPr>
      <w:widowControl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12">
    <w:name w:val="网格型c22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13">
    <w:name w:val="专业型7"/>
    <w:basedOn w:val="88"/>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3214">
    <w:name w:val="网格型516"/>
    <w:basedOn w:val="88"/>
    <w:qFormat/>
    <w:uiPriority w:val="0"/>
    <w:pPr>
      <w:widowControl w:val="0"/>
      <w:spacing w:line="360" w:lineRule="auto"/>
      <w:ind w:firstLine="48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15">
    <w:name w:val="典雅型32"/>
    <w:basedOn w:val="8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3216">
    <w:name w:val="灰度表格16131"/>
    <w:basedOn w:val="88"/>
    <w:qFormat/>
    <w:uiPriority w:val="0"/>
    <w:pPr>
      <w:widowControl w:val="0"/>
      <w:spacing w:line="360" w:lineRule="auto"/>
      <w:ind w:firstLine="200" w:firstLineChars="20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17">
    <w:name w:val="网格型571"/>
    <w:basedOn w:val="88"/>
    <w:qFormat/>
    <w:uiPriority w:val="0"/>
    <w:pPr>
      <w:widowControl w:val="0"/>
      <w:spacing w:line="360" w:lineRule="auto"/>
      <w:ind w:firstLine="48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18">
    <w:name w:val="灰度表格183"/>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19">
    <w:name w:val="网格型2112"/>
    <w:basedOn w:val="88"/>
    <w:qFormat/>
    <w:uiPriority w:val="0"/>
    <w:pPr>
      <w:widowControl w:val="0"/>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20">
    <w:name w:val="网格型c15"/>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21">
    <w:name w:val="网格型42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22">
    <w:name w:val="网格型144"/>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23">
    <w:name w:val="网格型14212"/>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24">
    <w:name w:val="网格型71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25">
    <w:name w:val="灰度表格1213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26">
    <w:name w:val="网格型164"/>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27">
    <w:name w:val="网格型591"/>
    <w:basedOn w:val="88"/>
    <w:qFormat/>
    <w:uiPriority w:val="0"/>
    <w:pPr>
      <w:widowControl w:val="0"/>
      <w:spacing w:line="360" w:lineRule="auto"/>
      <w:ind w:firstLine="480" w:firstLineChars="20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28">
    <w:name w:val="灰度表格1144"/>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29">
    <w:name w:val="网格型14115"/>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30">
    <w:name w:val="网格型 133"/>
    <w:basedOn w:val="88"/>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231">
    <w:name w:val="灰度表格2313"/>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32">
    <w:name w:val="灰度表格11117"/>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33">
    <w:name w:val="网格型1311"/>
    <w:basedOn w:val="88"/>
    <w:qFormat/>
    <w:uiPriority w:val="0"/>
    <w:pPr>
      <w:widowControl w:val="0"/>
      <w:spacing w:line="440" w:lineRule="exact"/>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34">
    <w:name w:val="灰度表格91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35">
    <w:name w:val="灰度表格124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36">
    <w:name w:val="灰度表格128"/>
    <w:basedOn w:val="88"/>
    <w:qFormat/>
    <w:uiPriority w:val="0"/>
    <w:pPr>
      <w:widowControl w:val="0"/>
      <w:spacing w:line="529" w:lineRule="exact"/>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37">
    <w:name w:val="网格型74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38">
    <w:name w:val="网格型 1141"/>
    <w:basedOn w:val="88"/>
    <w:qFormat/>
    <w:uiPriority w:val="0"/>
    <w:pPr>
      <w:widowControl w:val="0"/>
      <w:jc w:val="both"/>
    </w:pPr>
    <w:rPr>
      <w:rFonts w:ascii="Times NewRoman" w:hAnsi="Times NewRoman" w:eastAsia="幼圆" w:cs="Times New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239">
    <w:name w:val="灰度表格122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40">
    <w:name w:val="网格型46"/>
    <w:basedOn w:val="88"/>
    <w:qFormat/>
    <w:uiPriority w:val="0"/>
    <w:pPr>
      <w:widowControl w:val="0"/>
      <w:spacing w:line="360" w:lineRule="auto"/>
      <w:ind w:firstLine="48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41">
    <w:name w:val="灰度表格18"/>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42">
    <w:name w:val="网格型14313"/>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43">
    <w:name w:val="网格型6"/>
    <w:basedOn w:val="88"/>
    <w:qFormat/>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44">
    <w:name w:val="灰度表格66"/>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45">
    <w:name w:val="灰度表格108"/>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46">
    <w:name w:val="灰度表格332"/>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47">
    <w:name w:val="网格型116"/>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48">
    <w:name w:val="灰度表格2111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49">
    <w:name w:val="灰度表格1102"/>
    <w:basedOn w:val="88"/>
    <w:qFormat/>
    <w:uiPriority w:val="0"/>
    <w:pPr>
      <w:widowControl w:val="0"/>
      <w:spacing w:line="529" w:lineRule="exact"/>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50">
    <w:name w:val="灰度表格111"/>
    <w:basedOn w:val="88"/>
    <w:qFormat/>
    <w:uiPriority w:val="0"/>
    <w:pPr>
      <w:widowControl w:val="0"/>
      <w:spacing w:line="529" w:lineRule="exact"/>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51">
    <w:name w:val="灰度表格913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52">
    <w:name w:val="网格型841"/>
    <w:basedOn w:val="88"/>
    <w:qFormat/>
    <w:uiPriority w:val="0"/>
    <w:pPr>
      <w:widowControl w:val="0"/>
      <w:spacing w:line="360" w:lineRule="auto"/>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53">
    <w:name w:val="灰度表格21"/>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54">
    <w:name w:val="表格主题21"/>
    <w:basedOn w:val="88"/>
    <w:qFormat/>
    <w:uiPriority w:val="0"/>
    <w:pPr>
      <w:widowControl w:val="0"/>
      <w:autoSpaceDE w:val="0"/>
      <w:autoSpaceDN w:val="0"/>
      <w:adjustRightInd w:val="0"/>
      <w:spacing w:line="360" w:lineRule="auto"/>
      <w:jc w:val="both"/>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55">
    <w:name w:val="网格型13111"/>
    <w:basedOn w:val="88"/>
    <w:qFormat/>
    <w:uiPriority w:val="0"/>
    <w:pPr>
      <w:widowControl w:val="0"/>
      <w:spacing w:line="440" w:lineRule="exact"/>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56">
    <w:name w:val="灰度表格113111"/>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57">
    <w:name w:val="网格型1115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58">
    <w:name w:val="专业型111"/>
    <w:basedOn w:val="88"/>
    <w:qFormat/>
    <w:uiPriority w:val="0"/>
    <w:pPr>
      <w:widowControl w:val="0"/>
      <w:jc w:val="both"/>
    </w:pPr>
    <w:rPr>
      <w:rFonts w:cs="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3259">
    <w:name w:val="灰度表格1731"/>
    <w:basedOn w:val="88"/>
    <w:qFormat/>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60">
    <w:name w:val="灰度表格115"/>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61">
    <w:name w:val="网格型1442"/>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62">
    <w:name w:val="灰度表格65"/>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63">
    <w:name w:val="专业型12"/>
    <w:basedOn w:val="88"/>
    <w:qFormat/>
    <w:uiPriority w:val="0"/>
    <w:pPr>
      <w:widowControl w:val="0"/>
      <w:jc w:val="both"/>
    </w:pPr>
    <w:rPr>
      <w:rFonts w:cs="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3264">
    <w:name w:val="网格型1462"/>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65">
    <w:name w:val="灰度表格87"/>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66">
    <w:name w:val="网格型242"/>
    <w:basedOn w:val="88"/>
    <w:qFormat/>
    <w:uiPriority w:val="0"/>
    <w:pPr>
      <w:widowControl w:val="0"/>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67">
    <w:name w:val="灰度表格43"/>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68">
    <w:name w:val="灰度表格1315"/>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69">
    <w:name w:val="灰度表格177"/>
    <w:basedOn w:val="88"/>
    <w:qFormat/>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70">
    <w:name w:val="典雅型41"/>
    <w:basedOn w:val="88"/>
    <w:qFormat/>
    <w:uiPriority w:val="0"/>
    <w:pPr>
      <w:widowControl w:val="0"/>
      <w:jc w:val="both"/>
    </w:pPr>
    <w:rPr>
      <w:rFonts w:ascii="Times NewRoman" w:hAnsi="Times NewRoman" w:eastAsia="幼圆" w:cs="Times NewRoman"/>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3271">
    <w:name w:val="网格型1414"/>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72">
    <w:name w:val="网格型c15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73">
    <w:name w:val="网格型13113"/>
    <w:basedOn w:val="88"/>
    <w:qFormat/>
    <w:uiPriority w:val="0"/>
    <w:pPr>
      <w:widowControl w:val="0"/>
      <w:spacing w:line="440" w:lineRule="exact"/>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74">
    <w:name w:val="灰度表格8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75">
    <w:name w:val="典雅型2"/>
    <w:basedOn w:val="88"/>
    <w:qFormat/>
    <w:uiPriority w:val="0"/>
    <w:pPr>
      <w:widowControl w:val="0"/>
      <w:jc w:val="both"/>
    </w:pPr>
    <w:rPr>
      <w:rFonts w:cs="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3276">
    <w:name w:val="网格型1410"/>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77">
    <w:name w:val="灰度表格175"/>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78">
    <w:name w:val="网格型114"/>
    <w:basedOn w:val="88"/>
    <w:qFormat/>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79">
    <w:name w:val="灰度表格1421"/>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80">
    <w:name w:val="网格型 1113"/>
    <w:basedOn w:val="88"/>
    <w:qFormat/>
    <w:uiPriority w:val="0"/>
    <w:pPr>
      <w:widowControl w:val="0"/>
      <w:jc w:val="both"/>
    </w:pPr>
    <w:rPr>
      <w:rFonts w:cs="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StylePr>
    <w:tblStylePr w:type="lastCol">
      <w:rPr>
        <w:i/>
        <w:iCs/>
      </w:r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281">
    <w:name w:val="灰度表格515"/>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82">
    <w:name w:val="灰度表格11341"/>
    <w:basedOn w:val="88"/>
    <w:qFormat/>
    <w:uiPriority w:val="0"/>
    <w:pPr>
      <w:widowControl w:val="0"/>
      <w:spacing w:line="529" w:lineRule="exact"/>
      <w:ind w:firstLine="200" w:firstLineChars="20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83">
    <w:name w:val="网格型1222"/>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84">
    <w:name w:val="典雅型112"/>
    <w:basedOn w:val="88"/>
    <w:qFormat/>
    <w:uiPriority w:val="0"/>
    <w:pPr>
      <w:widowControl w:val="0"/>
      <w:jc w:val="both"/>
    </w:pPr>
    <w:rPr>
      <w:rFonts w:cs="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3285">
    <w:name w:val="网格型71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86">
    <w:name w:val="典雅型121"/>
    <w:basedOn w:val="88"/>
    <w:qFormat/>
    <w:uiPriority w:val="0"/>
    <w:pPr>
      <w:widowControl w:val="0"/>
      <w:jc w:val="both"/>
    </w:pPr>
    <w:rPr>
      <w:rFonts w:ascii="Times NewRoman" w:hAnsi="Times NewRoman" w:eastAsia="幼圆" w:cs="Times NewRoman"/>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3287">
    <w:name w:val="网格型152"/>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88">
    <w:name w:val="灰度表格113113"/>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89">
    <w:name w:val="网格型535"/>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90">
    <w:name w:val="灰度表格912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91">
    <w:name w:val="网格型1463"/>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92">
    <w:name w:val="灰度表格2211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93">
    <w:name w:val="灰度表格1116"/>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94">
    <w:name w:val="灰度表格1121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95">
    <w:name w:val="灰度表格37"/>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96">
    <w:name w:val="网格型8111"/>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97">
    <w:name w:val="网格型1811"/>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98">
    <w:name w:val="表格样式112"/>
    <w:basedOn w:val="88"/>
    <w:qFormat/>
    <w:uiPriority w:val="0"/>
    <w:pPr>
      <w:jc w:val="both"/>
    </w:pPr>
    <w:rPr>
      <w:rFonts w:cs="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vAlign w:val="center"/>
    </w:tcPr>
  </w:style>
  <w:style w:type="table" w:customStyle="1" w:styleId="3299">
    <w:name w:val="灰度表格11122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00">
    <w:name w:val="表格样式24"/>
    <w:basedOn w:val="88"/>
    <w:qFormat/>
    <w:uiPriority w:val="0"/>
    <w:pPr>
      <w:jc w:val="center"/>
    </w:pPr>
    <w:rPr>
      <w:rFonts w:cs="Calibri"/>
    </w:rPr>
    <w:tblPr>
      <w:jc w:val="center"/>
      <w:tblBorders>
        <w:top w:val="single" w:color="auto" w:sz="12" w:space="0"/>
        <w:bottom w:val="single" w:color="auto" w:sz="12" w:space="0"/>
        <w:insideH w:val="single" w:color="auto" w:sz="4" w:space="0"/>
        <w:insideV w:val="single" w:color="auto" w:sz="4" w:space="0"/>
      </w:tblBorders>
    </w:tblPr>
    <w:trPr>
      <w:jc w:val="center"/>
    </w:trPr>
    <w:tcPr>
      <w:vAlign w:val="center"/>
    </w:tcPr>
  </w:style>
  <w:style w:type="table" w:customStyle="1" w:styleId="3301">
    <w:name w:val="网格型 11111"/>
    <w:basedOn w:val="88"/>
    <w:qFormat/>
    <w:uiPriority w:val="0"/>
    <w:pPr>
      <w:widowControl w:val="0"/>
      <w:jc w:val="both"/>
    </w:pPr>
    <w:rPr>
      <w:rFonts w:cs="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StylePr>
    <w:tblStylePr w:type="lastCol">
      <w:rPr>
        <w:i/>
        <w:iCs/>
      </w:r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302">
    <w:name w:val="灰度表格1112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03">
    <w:name w:val="网格型73"/>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04">
    <w:name w:val="灰度表格17114"/>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05">
    <w:name w:val="网格型5114"/>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06">
    <w:name w:val="灰度表格102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07">
    <w:name w:val="灰度表格613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08">
    <w:name w:val="网格型4131"/>
    <w:basedOn w:val="88"/>
    <w:qFormat/>
    <w:uiPriority w:val="0"/>
    <w:pPr>
      <w:widowControl w:val="0"/>
      <w:spacing w:line="360" w:lineRule="auto"/>
      <w:ind w:firstLine="480" w:firstLineChars="20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09">
    <w:name w:val="灰度表格6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10">
    <w:name w:val="网格型82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11">
    <w:name w:val="网格型1452"/>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12">
    <w:name w:val="网格型1112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13">
    <w:name w:val="网格型1213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14">
    <w:name w:val="灰度表格133"/>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15">
    <w:name w:val="网格型141113"/>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16">
    <w:name w:val="网格型1113"/>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17">
    <w:name w:val="灰度表格213"/>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18">
    <w:name w:val="表格主题3"/>
    <w:basedOn w:val="88"/>
    <w:qFormat/>
    <w:uiPriority w:val="0"/>
    <w:pPr>
      <w:widowControl w:val="0"/>
      <w:jc w:val="both"/>
    </w:pPr>
    <w:rPr>
      <w:rFonts w:cs="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vAlign w:val="center"/>
    </w:tcPr>
  </w:style>
  <w:style w:type="table" w:customStyle="1" w:styleId="3319">
    <w:name w:val="专业型3"/>
    <w:basedOn w:val="88"/>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3320">
    <w:name w:val="网格型1152"/>
    <w:basedOn w:val="88"/>
    <w:qFormat/>
    <w:uiPriority w:val="0"/>
    <w:pPr>
      <w:widowControl w:val="0"/>
      <w:spacing w:line="360" w:lineRule="auto"/>
      <w:ind w:firstLine="48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21">
    <w:name w:val="灰度表格105"/>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22">
    <w:name w:val="网格型 71"/>
    <w:basedOn w:val="88"/>
    <w:qFormat/>
    <w:uiPriority w:val="0"/>
    <w:pPr>
      <w:widowControl w:val="0"/>
      <w:jc w:val="both"/>
    </w:pPr>
    <w:rPr>
      <w:rFonts w:cs="Calibri"/>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323">
    <w:name w:val="网格型128"/>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24">
    <w:name w:val="灰度表格2113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25">
    <w:name w:val="灰度表格5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26">
    <w:name w:val="网格型c2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27">
    <w:name w:val="灰度表格1441"/>
    <w:basedOn w:val="88"/>
    <w:qFormat/>
    <w:uiPriority w:val="0"/>
    <w:pPr>
      <w:widowControl w:val="0"/>
      <w:spacing w:line="529" w:lineRule="exact"/>
      <w:ind w:firstLine="200" w:firstLineChars="20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28">
    <w:name w:val="表格主题7"/>
    <w:basedOn w:val="88"/>
    <w:qFormat/>
    <w:uiPriority w:val="0"/>
    <w:pPr>
      <w:widowControl w:val="0"/>
      <w:autoSpaceDE w:val="0"/>
      <w:autoSpaceDN w:val="0"/>
      <w:adjustRightInd w:val="0"/>
      <w:spacing w:line="360" w:lineRule="auto"/>
      <w:jc w:val="both"/>
      <w:textAlignment w:val="baseline"/>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29">
    <w:name w:val="网格型30"/>
    <w:basedOn w:val="88"/>
    <w:unhideWhenUsed/>
    <w:qFormat/>
    <w:uiPriority w:val="0"/>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30">
    <w:name w:val="灰度表格1318"/>
    <w:basedOn w:val="88"/>
    <w:qFormat/>
    <w:uiPriority w:val="0"/>
    <w:pPr>
      <w:widowControl w:val="0"/>
      <w:spacing w:line="529" w:lineRule="exact"/>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31">
    <w:name w:val="灰度表格111211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32">
    <w:name w:val="灰度表格75"/>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33">
    <w:name w:val="网格型1812"/>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34">
    <w:name w:val="灰度表格1032"/>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35">
    <w:name w:val="网格型1123"/>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36">
    <w:name w:val="灰度表格1334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37">
    <w:name w:val="网格型14412"/>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38">
    <w:name w:val="灰度表格227"/>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39">
    <w:name w:val="浅色底纹1"/>
    <w:basedOn w:val="88"/>
    <w:qFormat/>
    <w:uiPriority w:val="0"/>
    <w:rPr>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BFBFBF"/>
      </w:tcPr>
    </w:tblStylePr>
    <w:tblStylePr w:type="band1Horz">
      <w:tcPr>
        <w:tcBorders>
          <w:top w:val="nil"/>
          <w:left w:val="nil"/>
          <w:bottom w:val="nil"/>
          <w:right w:val="nil"/>
          <w:insideH w:val="nil"/>
          <w:insideV w:val="nil"/>
          <w:tl2br w:val="nil"/>
          <w:tr2bl w:val="nil"/>
        </w:tcBorders>
        <w:shd w:val="clear" w:color="auto" w:fill="BFBFBF"/>
      </w:tcPr>
    </w:tblStylePr>
  </w:style>
  <w:style w:type="table" w:customStyle="1" w:styleId="3340">
    <w:name w:val="灰度表格47"/>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41">
    <w:name w:val="网格型 551"/>
    <w:basedOn w:val="88"/>
    <w:qFormat/>
    <w:uiPriority w:val="0"/>
    <w:pPr>
      <w:widowControl w:val="0"/>
      <w:jc w:val="both"/>
    </w:pPr>
    <w:rPr>
      <w:rFonts w:ascii="Times NewRoman" w:hAnsi="Times NewRoman" w:eastAsia="幼圆" w:cs="Times NewRoman"/>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342">
    <w:name w:val="灰度表格13312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43">
    <w:name w:val="网格型732"/>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44">
    <w:name w:val="网格型731"/>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45">
    <w:name w:val="灰度表格111231"/>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46">
    <w:name w:val="灰度表格212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47">
    <w:name w:val="灰度表格1337"/>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48">
    <w:name w:val="网格型51113"/>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49">
    <w:name w:val="灰度表格13115"/>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50">
    <w:name w:val="网格型146"/>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51">
    <w:name w:val="灰度表格97"/>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52">
    <w:name w:val="网格型134"/>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53">
    <w:name w:val="灰度表格102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54">
    <w:name w:val="网格型14122"/>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55">
    <w:name w:val="灰度表格111131"/>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56">
    <w:name w:val="表格样式23"/>
    <w:basedOn w:val="88"/>
    <w:qFormat/>
    <w:uiPriority w:val="0"/>
    <w:pPr>
      <w:jc w:val="center"/>
    </w:pPr>
    <w:rPr>
      <w:rFonts w:cs="Calibri"/>
    </w:rPr>
    <w:tblPr>
      <w:jc w:val="center"/>
      <w:tblBorders>
        <w:top w:val="single" w:color="auto" w:sz="12" w:space="0"/>
        <w:bottom w:val="single" w:color="auto" w:sz="12" w:space="0"/>
        <w:insideH w:val="single" w:color="auto" w:sz="4" w:space="0"/>
        <w:insideV w:val="single" w:color="auto" w:sz="4" w:space="0"/>
      </w:tblBorders>
    </w:tblPr>
    <w:trPr>
      <w:jc w:val="center"/>
    </w:trPr>
    <w:tcPr>
      <w:vAlign w:val="center"/>
    </w:tcPr>
  </w:style>
  <w:style w:type="table" w:customStyle="1" w:styleId="3357">
    <w:name w:val="网格型 54"/>
    <w:basedOn w:val="88"/>
    <w:qFormat/>
    <w:uiPriority w:val="0"/>
    <w:pPr>
      <w:widowControl w:val="0"/>
      <w:jc w:val="both"/>
    </w:pPr>
    <w:rPr>
      <w:rFonts w:cs="Calibri"/>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358">
    <w:name w:val="灰度表格11131"/>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59">
    <w:name w:val="网格型c111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60">
    <w:name w:val="灰度表格218"/>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61">
    <w:name w:val="灰度表格1115"/>
    <w:basedOn w:val="88"/>
    <w:qFormat/>
    <w:uiPriority w:val="0"/>
    <w:pPr>
      <w:widowControl w:val="0"/>
      <w:spacing w:line="529" w:lineRule="exact"/>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62">
    <w:name w:val="灰度表格17121"/>
    <w:basedOn w:val="88"/>
    <w:qFormat/>
    <w:uiPriority w:val="0"/>
    <w:pPr>
      <w:widowControl w:val="0"/>
      <w:spacing w:line="360" w:lineRule="auto"/>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63">
    <w:name w:val="灰度表格11211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64">
    <w:name w:val="网格型51"/>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65">
    <w:name w:val="网格型511"/>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66">
    <w:name w:val="灰度表格1125"/>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67">
    <w:name w:val="网格型14511"/>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68">
    <w:name w:val="灰度表格1315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69">
    <w:name w:val="网格型3111"/>
    <w:basedOn w:val="88"/>
    <w:qFormat/>
    <w:uiPriority w:val="0"/>
    <w:pPr>
      <w:widowControl w:val="0"/>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70">
    <w:name w:val="网格型35"/>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71">
    <w:name w:val="灰度表格111211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72">
    <w:name w:val="灰度表格125"/>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73">
    <w:name w:val="灰度表格1201"/>
    <w:basedOn w:val="88"/>
    <w:qFormat/>
    <w:uiPriority w:val="0"/>
    <w:pPr>
      <w:widowControl w:val="0"/>
      <w:spacing w:line="529" w:lineRule="exact"/>
      <w:ind w:firstLine="200" w:firstLineChars="20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74">
    <w:name w:val="网格型1013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75">
    <w:name w:val="灰度表格1414"/>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76">
    <w:name w:val="典雅型51"/>
    <w:basedOn w:val="88"/>
    <w:qFormat/>
    <w:uiPriority w:val="0"/>
    <w:pPr>
      <w:widowControl w:val="0"/>
      <w:jc w:val="both"/>
    </w:pPr>
    <w:rPr>
      <w:rFonts w:ascii="Times NewRoman" w:hAnsi="Times NewRoman" w:eastAsia="幼圆" w:cs="Times NewRoman"/>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3377">
    <w:name w:val="网格型6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78">
    <w:name w:val="网格型82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79">
    <w:name w:val="专业型22"/>
    <w:basedOn w:val="88"/>
    <w:qFormat/>
    <w:uiPriority w:val="0"/>
    <w:pPr>
      <w:widowControl w:val="0"/>
      <w:jc w:val="both"/>
    </w:pPr>
    <w:rPr>
      <w:rFonts w:cs="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3380">
    <w:name w:val="网格型33"/>
    <w:basedOn w:val="88"/>
    <w:qFormat/>
    <w:uiPriority w:val="0"/>
    <w:pPr>
      <w:widowControl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81">
    <w:name w:val="灰度表格1311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82">
    <w:name w:val="网格型91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83">
    <w:name w:val="灰度表格106"/>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84">
    <w:name w:val="网格型5411"/>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85">
    <w:name w:val="灰度表格1114"/>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86">
    <w:name w:val="网格型19"/>
    <w:basedOn w:val="88"/>
    <w:unhideWhenUsed/>
    <w:qFormat/>
    <w:uiPriority w:val="0"/>
    <w:pPr>
      <w:widowControl w:val="0"/>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87">
    <w:name w:val="表格主题22"/>
    <w:basedOn w:val="88"/>
    <w:qFormat/>
    <w:uiPriority w:val="0"/>
    <w:pPr>
      <w:widowControl w:val="0"/>
      <w:autoSpaceDE w:val="0"/>
      <w:autoSpaceDN w:val="0"/>
      <w:adjustRightInd w:val="0"/>
      <w:spacing w:line="360" w:lineRule="auto"/>
      <w:jc w:val="both"/>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88">
    <w:name w:val="灰度表格1324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89">
    <w:name w:val="灰度表格182"/>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90">
    <w:name w:val="灰度表格13412"/>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91">
    <w:name w:val="灰度表格216"/>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92">
    <w:name w:val="灰度表格133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93">
    <w:name w:val="典雅型22"/>
    <w:basedOn w:val="88"/>
    <w:qFormat/>
    <w:uiPriority w:val="0"/>
    <w:pPr>
      <w:widowControl w:val="0"/>
      <w:jc w:val="both"/>
    </w:pPr>
    <w:rPr>
      <w:rFonts w:cs="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3394">
    <w:name w:val="网格型 51121"/>
    <w:basedOn w:val="88"/>
    <w:qFormat/>
    <w:uiPriority w:val="0"/>
    <w:pPr>
      <w:widowControl w:val="0"/>
      <w:jc w:val="both"/>
    </w:pPr>
    <w:rPr>
      <w:rFonts w:cs="Calibri"/>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395">
    <w:name w:val="网格型3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96">
    <w:name w:val="灰度表格168"/>
    <w:basedOn w:val="88"/>
    <w:qFormat/>
    <w:uiPriority w:val="0"/>
    <w:pPr>
      <w:widowControl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97">
    <w:name w:val="网格型173"/>
    <w:basedOn w:val="88"/>
    <w:qFormat/>
    <w:uiPriority w:val="0"/>
    <w:pPr>
      <w:widowControl w:val="0"/>
      <w:spacing w:line="440" w:lineRule="exact"/>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98">
    <w:name w:val="专业型131"/>
    <w:basedOn w:val="88"/>
    <w:qFormat/>
    <w:uiPriority w:val="0"/>
    <w:pPr>
      <w:widowControl w:val="0"/>
      <w:jc w:val="both"/>
    </w:pPr>
    <w:rPr>
      <w:rFonts w:ascii="Times NewRoman" w:hAnsi="Times NewRoman" w:eastAsia="幼圆" w:cs="Times New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3399">
    <w:name w:val="网格型9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00">
    <w:name w:val="灰度表格2211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01">
    <w:name w:val="灰度表格813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02">
    <w:name w:val="网格型411"/>
    <w:basedOn w:val="88"/>
    <w:qFormat/>
    <w:uiPriority w:val="0"/>
    <w:pPr>
      <w:widowControl w:val="0"/>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03">
    <w:name w:val="网格型3113"/>
    <w:basedOn w:val="88"/>
    <w:qFormat/>
    <w:uiPriority w:val="0"/>
    <w:pPr>
      <w:widowControl w:val="0"/>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04">
    <w:name w:val="网格型1514"/>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05">
    <w:name w:val="灰度表格132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06">
    <w:name w:val="灰度表格13315"/>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07">
    <w:name w:val="网格型148"/>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08">
    <w:name w:val="灰度表格4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09">
    <w:name w:val="灰度表格228"/>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10">
    <w:name w:val="简明型 121"/>
    <w:basedOn w:val="88"/>
    <w:qFormat/>
    <w:uiPriority w:val="0"/>
    <w:pPr>
      <w:widowControl w:val="0"/>
      <w:jc w:val="both"/>
    </w:pPr>
    <w:rPr>
      <w:rFonts w:cs="Calibri"/>
    </w:r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3411">
    <w:name w:val="灰度表格14114"/>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12">
    <w:name w:val="灰度表格14131"/>
    <w:basedOn w:val="88"/>
    <w:qFormat/>
    <w:uiPriority w:val="0"/>
    <w:pPr>
      <w:widowControl w:val="0"/>
      <w:spacing w:line="529" w:lineRule="exact"/>
      <w:ind w:firstLine="200" w:firstLineChars="20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13">
    <w:name w:val="网格型431"/>
    <w:basedOn w:val="88"/>
    <w:qFormat/>
    <w:uiPriority w:val="0"/>
    <w:pPr>
      <w:widowControl w:val="0"/>
      <w:spacing w:line="360" w:lineRule="auto"/>
      <w:ind w:firstLine="48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14">
    <w:name w:val="灰度表格61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15">
    <w:name w:val="灰度表格11212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16">
    <w:name w:val="网格型8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17">
    <w:name w:val="网格型1119"/>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18">
    <w:name w:val="网格型27"/>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19">
    <w:name w:val="灰度表格95"/>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20">
    <w:name w:val="网格型1444"/>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21">
    <w:name w:val="灰度表格11211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22">
    <w:name w:val="灰度表格1312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23">
    <w:name w:val="网格型c2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24">
    <w:name w:val="网格型c2"/>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25">
    <w:name w:val="网格型351"/>
    <w:basedOn w:val="88"/>
    <w:qFormat/>
    <w:uiPriority w:val="0"/>
    <w:pPr>
      <w:widowControl w:val="0"/>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26">
    <w:name w:val="网格型 1111"/>
    <w:basedOn w:val="88"/>
    <w:qFormat/>
    <w:uiPriority w:val="0"/>
    <w:pPr>
      <w:widowControl w:val="0"/>
      <w:jc w:val="both"/>
    </w:pPr>
    <w:rPr>
      <w:rFonts w:cs="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StylePr>
    <w:tblStylePr w:type="lastCol">
      <w:rPr>
        <w:i/>
        <w:iCs/>
      </w:r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427">
    <w:name w:val="灰度表格92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28">
    <w:name w:val="灰度表格74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29">
    <w:name w:val="灰度表格1111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30">
    <w:name w:val="灰度表格132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31">
    <w:name w:val="灰度表格117"/>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32">
    <w:name w:val="网格型67"/>
    <w:basedOn w:val="88"/>
    <w:qFormat/>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33">
    <w:name w:val="灰度表格612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34">
    <w:name w:val="灰度表格11125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35">
    <w:name w:val="灰度表格1122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36">
    <w:name w:val="网格型53"/>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37">
    <w:name w:val="网格型119"/>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38">
    <w:name w:val="网格型5513"/>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39">
    <w:name w:val="灰度表格411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40">
    <w:name w:val="网格型14113"/>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41">
    <w:name w:val="专业型6"/>
    <w:basedOn w:val="88"/>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3442">
    <w:name w:val="灰度表格1132"/>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43">
    <w:name w:val="灰度表格85"/>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44">
    <w:name w:val="网格型91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45">
    <w:name w:val="灰度表格78"/>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46">
    <w:name w:val="网格型102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47">
    <w:name w:val="网格型201"/>
    <w:basedOn w:val="8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48">
    <w:name w:val="网格型 121"/>
    <w:basedOn w:val="88"/>
    <w:qFormat/>
    <w:uiPriority w:val="0"/>
    <w:pPr>
      <w:widowControl w:val="0"/>
      <w:jc w:val="both"/>
    </w:pPr>
    <w:rPr>
      <w:rFonts w:cs="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449">
    <w:name w:val="网格型135"/>
    <w:basedOn w:val="88"/>
    <w:qFormat/>
    <w:uiPriority w:val="0"/>
    <w:pPr>
      <w:widowControl w:val="0"/>
      <w:spacing w:line="360" w:lineRule="auto"/>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50">
    <w:name w:val="灰度表格11323"/>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51">
    <w:name w:val="网格型611"/>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52">
    <w:name w:val="网格型 123"/>
    <w:basedOn w:val="88"/>
    <w:qFormat/>
    <w:uiPriority w:val="0"/>
    <w:pPr>
      <w:widowControl w:val="0"/>
      <w:jc w:val="both"/>
    </w:pPr>
    <w:rPr>
      <w:rFonts w:cs="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453">
    <w:name w:val="灰度表格1551"/>
    <w:basedOn w:val="88"/>
    <w:qFormat/>
    <w:uiPriority w:val="0"/>
    <w:pPr>
      <w:widowControl w:val="0"/>
      <w:spacing w:line="360" w:lineRule="auto"/>
      <w:ind w:firstLine="200" w:firstLineChars="20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54">
    <w:name w:val="网格型11113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55">
    <w:name w:val="灰度表格2231"/>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56">
    <w:name w:val="灰度表格17112"/>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57">
    <w:name w:val="简明型 113"/>
    <w:basedOn w:val="88"/>
    <w:qFormat/>
    <w:uiPriority w:val="0"/>
    <w:pPr>
      <w:widowControl w:val="0"/>
      <w:jc w:val="both"/>
    </w:pPr>
    <w:rPr>
      <w:rFonts w:cs="Calibri"/>
    </w:r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3458">
    <w:name w:val="灰度表格111112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59">
    <w:name w:val="灰度表格11142"/>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60">
    <w:name w:val="灰度表格13413"/>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61">
    <w:name w:val="网格型88"/>
    <w:basedOn w:val="88"/>
    <w:qFormat/>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62">
    <w:name w:val="网格型125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63">
    <w:name w:val="灰度表格2111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64">
    <w:name w:val="网格型1423"/>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65">
    <w:name w:val="灰度表格113121"/>
    <w:basedOn w:val="88"/>
    <w:qFormat/>
    <w:uiPriority w:val="0"/>
    <w:pPr>
      <w:widowControl w:val="0"/>
      <w:spacing w:line="529" w:lineRule="exact"/>
      <w:ind w:firstLine="200" w:firstLineChars="20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66">
    <w:name w:val="网格型161"/>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67">
    <w:name w:val="灰度表格531"/>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68">
    <w:name w:val="网格型1223"/>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69">
    <w:name w:val="灰度表格146"/>
    <w:basedOn w:val="88"/>
    <w:qFormat/>
    <w:uiPriority w:val="0"/>
    <w:pPr>
      <w:widowControl w:val="0"/>
      <w:spacing w:line="529" w:lineRule="exact"/>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70">
    <w:name w:val="网格型1011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71">
    <w:name w:val="灰度表格52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72">
    <w:name w:val="灰度表格1521"/>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73">
    <w:name w:val="灰度表格915"/>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74">
    <w:name w:val="灰度表格58"/>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75">
    <w:name w:val="灰度表格13421"/>
    <w:basedOn w:val="88"/>
    <w:qFormat/>
    <w:uiPriority w:val="0"/>
    <w:pPr>
      <w:widowControl w:val="0"/>
      <w:spacing w:line="529" w:lineRule="exact"/>
      <w:ind w:firstLine="200" w:firstLineChars="20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76">
    <w:name w:val="灰度表格1012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77">
    <w:name w:val="灰度表格2132"/>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78">
    <w:name w:val="网格型c21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79">
    <w:name w:val="灰度表格611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80">
    <w:name w:val="灰度表格214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81">
    <w:name w:val="灰度表格11411"/>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82">
    <w:name w:val="灰度表格1413"/>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83">
    <w:name w:val="网格型413"/>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84">
    <w:name w:val="网格型 11"/>
    <w:basedOn w:val="88"/>
    <w:qFormat/>
    <w:uiPriority w:val="0"/>
    <w:pPr>
      <w:widowControl w:val="0"/>
      <w:jc w:val="both"/>
    </w:pPr>
    <w:rPr>
      <w:rFonts w:cs="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485">
    <w:name w:val="网格型 11114"/>
    <w:basedOn w:val="88"/>
    <w:qFormat/>
    <w:uiPriority w:val="0"/>
    <w:pPr>
      <w:widowControl w:val="0"/>
      <w:jc w:val="both"/>
    </w:pPr>
    <w:rPr>
      <w:rFonts w:cs="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StylePr>
    <w:tblStylePr w:type="lastCol">
      <w:rPr>
        <w:i/>
        <w:iCs/>
      </w:r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486">
    <w:name w:val="灰度表格1119"/>
    <w:basedOn w:val="88"/>
    <w:qFormat/>
    <w:uiPriority w:val="0"/>
    <w:pPr>
      <w:widowControl w:val="0"/>
      <w:spacing w:line="529" w:lineRule="exact"/>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87">
    <w:name w:val="网格型36"/>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88">
    <w:name w:val="网格型1032"/>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89">
    <w:name w:val="灰度表格181"/>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90">
    <w:name w:val="网格型126"/>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91">
    <w:name w:val="灰度表格711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92">
    <w:name w:val="灰度表格15131"/>
    <w:basedOn w:val="88"/>
    <w:qFormat/>
    <w:uiPriority w:val="0"/>
    <w:pPr>
      <w:widowControl w:val="0"/>
      <w:spacing w:line="360" w:lineRule="auto"/>
      <w:ind w:firstLine="200" w:firstLineChars="20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93">
    <w:name w:val="灰度表格71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94">
    <w:name w:val="灰度表格21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95">
    <w:name w:val="网格型102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96">
    <w:name w:val="网格型1133"/>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97">
    <w:name w:val="表格主题12"/>
    <w:basedOn w:val="88"/>
    <w:qFormat/>
    <w:uiPriority w:val="0"/>
    <w:pPr>
      <w:widowControl w:val="0"/>
      <w:jc w:val="both"/>
    </w:pPr>
    <w:rPr>
      <w:rFonts w:cs="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vAlign w:val="center"/>
    </w:tcPr>
  </w:style>
  <w:style w:type="table" w:customStyle="1" w:styleId="3498">
    <w:name w:val="网格型3114"/>
    <w:basedOn w:val="88"/>
    <w:qFormat/>
    <w:uiPriority w:val="0"/>
    <w:pPr>
      <w:widowControl w:val="0"/>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99">
    <w:name w:val="网格型163"/>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00">
    <w:name w:val="灰度表格111115"/>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01">
    <w:name w:val="网格型1112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02">
    <w:name w:val="网格型554"/>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03">
    <w:name w:val="灰度表格26"/>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04">
    <w:name w:val="浅色底纹11"/>
    <w:basedOn w:val="88"/>
    <w:qFormat/>
    <w:uiPriority w:val="0"/>
    <w:rPr>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BFBFBF"/>
      </w:tcPr>
    </w:tblStylePr>
    <w:tblStylePr w:type="band1Horz">
      <w:tcPr>
        <w:tcBorders>
          <w:top w:val="nil"/>
          <w:left w:val="nil"/>
          <w:bottom w:val="nil"/>
          <w:right w:val="nil"/>
          <w:insideH w:val="nil"/>
          <w:insideV w:val="nil"/>
          <w:tl2br w:val="nil"/>
          <w:tr2bl w:val="nil"/>
        </w:tcBorders>
        <w:shd w:val="clear" w:color="auto" w:fill="BFBFBF"/>
      </w:tcPr>
    </w:tblStylePr>
  </w:style>
  <w:style w:type="table" w:customStyle="1" w:styleId="3505">
    <w:name w:val="灰度表格1143"/>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06">
    <w:name w:val="网格型 122"/>
    <w:basedOn w:val="88"/>
    <w:qFormat/>
    <w:uiPriority w:val="0"/>
    <w:pPr>
      <w:widowControl w:val="0"/>
      <w:jc w:val="both"/>
    </w:pPr>
    <w:rPr>
      <w:rFonts w:cs="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507">
    <w:name w:val="网格型314"/>
    <w:basedOn w:val="88"/>
    <w:qFormat/>
    <w:uiPriority w:val="0"/>
    <w:pPr>
      <w:widowControl w:val="0"/>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08">
    <w:name w:val="灰度表格2331"/>
    <w:basedOn w:val="88"/>
    <w:qFormat/>
    <w:uiPriority w:val="0"/>
    <w:pPr>
      <w:widowControl w:val="0"/>
      <w:spacing w:line="360" w:lineRule="auto"/>
      <w:ind w:firstLine="200" w:firstLineChars="20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09">
    <w:name w:val="网格型521"/>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10">
    <w:name w:val="网格型543"/>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11">
    <w:name w:val="灰度表格211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12">
    <w:name w:val="灰度表格10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13">
    <w:name w:val="灰度表格107"/>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14">
    <w:name w:val="灰度表格11122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15">
    <w:name w:val="灰度表格3"/>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16">
    <w:name w:val="灰度表格11111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17">
    <w:name w:val="表格样式13"/>
    <w:basedOn w:val="88"/>
    <w:qFormat/>
    <w:uiPriority w:val="0"/>
    <w:pPr>
      <w:jc w:val="both"/>
    </w:pPr>
    <w:rPr>
      <w:rFonts w:cs="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vAlign w:val="center"/>
    </w:tcPr>
  </w:style>
  <w:style w:type="table" w:customStyle="1" w:styleId="3518">
    <w:name w:val="灰度表格1101"/>
    <w:basedOn w:val="88"/>
    <w:qFormat/>
    <w:uiPriority w:val="0"/>
    <w:pPr>
      <w:widowControl w:val="0"/>
      <w:spacing w:line="529" w:lineRule="exact"/>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19">
    <w:name w:val="网格型175"/>
    <w:basedOn w:val="88"/>
    <w:qFormat/>
    <w:uiPriority w:val="0"/>
    <w:pPr>
      <w:widowControl w:val="0"/>
      <w:spacing w:line="440" w:lineRule="exact"/>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20">
    <w:name w:val="网格型514"/>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21">
    <w:name w:val="灰度表格125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22">
    <w:name w:val="网格型1142"/>
    <w:basedOn w:val="88"/>
    <w:qFormat/>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23">
    <w:name w:val="灰度表格1351"/>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24">
    <w:name w:val="网格型311"/>
    <w:basedOn w:val="88"/>
    <w:qFormat/>
    <w:uiPriority w:val="0"/>
    <w:pPr>
      <w:widowControl w:val="0"/>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25">
    <w:name w:val="灰度表格46"/>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26">
    <w:name w:val="网格型515"/>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27">
    <w:name w:val="典雅型11"/>
    <w:basedOn w:val="88"/>
    <w:qFormat/>
    <w:uiPriority w:val="0"/>
    <w:pPr>
      <w:widowControl w:val="0"/>
      <w:jc w:val="both"/>
    </w:pPr>
    <w:rPr>
      <w:rFonts w:cs="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3528">
    <w:name w:val="网格型1224"/>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29">
    <w:name w:val="网格型 514"/>
    <w:basedOn w:val="88"/>
    <w:qFormat/>
    <w:uiPriority w:val="0"/>
    <w:pPr>
      <w:widowControl w:val="0"/>
      <w:jc w:val="both"/>
    </w:pPr>
    <w:rPr>
      <w:rFonts w:cs="Calibri"/>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530">
    <w:name w:val="网格型25"/>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31">
    <w:name w:val="灰度表格253"/>
    <w:basedOn w:val="88"/>
    <w:qFormat/>
    <w:uiPriority w:val="0"/>
    <w:pPr>
      <w:widowControl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32">
    <w:name w:val="灰度表格1212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33">
    <w:name w:val="网格型124"/>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34">
    <w:name w:val="灰度表格1120"/>
    <w:basedOn w:val="88"/>
    <w:qFormat/>
    <w:uiPriority w:val="0"/>
    <w:pPr>
      <w:widowControl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35">
    <w:name w:val="灰度表格14121"/>
    <w:basedOn w:val="88"/>
    <w:qFormat/>
    <w:uiPriority w:val="0"/>
    <w:pPr>
      <w:widowControl w:val="0"/>
      <w:spacing w:line="529" w:lineRule="exact"/>
      <w:ind w:firstLine="200" w:firstLineChars="20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36">
    <w:name w:val="灰度表格11115"/>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37">
    <w:name w:val="网格型 532"/>
    <w:basedOn w:val="88"/>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538">
    <w:name w:val="网格型542"/>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39">
    <w:name w:val="灰度表格112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40">
    <w:name w:val="网格型1324"/>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41">
    <w:name w:val="网格型1412"/>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42">
    <w:name w:val="灰度表格72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43">
    <w:name w:val="灰度表格119"/>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44">
    <w:name w:val="灰度表格31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45">
    <w:name w:val="网格型149"/>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46">
    <w:name w:val="灰度表格411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47">
    <w:name w:val="灰度表格1513"/>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48">
    <w:name w:val="网格型1612"/>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49">
    <w:name w:val="专业型51"/>
    <w:basedOn w:val="88"/>
    <w:qFormat/>
    <w:uiPriority w:val="0"/>
    <w:pPr>
      <w:widowControl w:val="0"/>
      <w:jc w:val="both"/>
    </w:pPr>
    <w:rPr>
      <w:rFonts w:ascii="Times NewRoman" w:hAnsi="Times NewRoman" w:eastAsia="幼圆" w:cs="Times New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3550">
    <w:name w:val="灰度表格1124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51">
    <w:name w:val="网格型8121"/>
    <w:basedOn w:val="88"/>
    <w:qFormat/>
    <w:uiPriority w:val="0"/>
    <w:pPr>
      <w:widowControl w:val="0"/>
      <w:spacing w:line="360" w:lineRule="auto"/>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52">
    <w:name w:val="灰度表格1161"/>
    <w:basedOn w:val="88"/>
    <w:qFormat/>
    <w:uiPriority w:val="0"/>
    <w:pPr>
      <w:widowControl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53">
    <w:name w:val="网格型722"/>
    <w:basedOn w:val="88"/>
    <w:unhideWhenUsed/>
    <w:qFormat/>
    <w:uiPriority w:val="0"/>
    <w:pPr>
      <w:widowControl w:val="0"/>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54">
    <w:name w:val="灰度表格34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55">
    <w:name w:val="灰度表格1141"/>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56">
    <w:name w:val="网格型1111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57">
    <w:name w:val="网格型111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58">
    <w:name w:val="灰度表格1232"/>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59">
    <w:name w:val="灰度表格72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60">
    <w:name w:val="网格型562"/>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61">
    <w:name w:val="网格型121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62">
    <w:name w:val="灰度表格1110"/>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63">
    <w:name w:val="灰度表格1312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64">
    <w:name w:val="灰度表格412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65">
    <w:name w:val="灰度表格15113"/>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66">
    <w:name w:val="灰度表格251"/>
    <w:basedOn w:val="88"/>
    <w:qFormat/>
    <w:uiPriority w:val="0"/>
    <w:pPr>
      <w:widowControl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67">
    <w:name w:val="网格型315"/>
    <w:basedOn w:val="88"/>
    <w:qFormat/>
    <w:uiPriority w:val="0"/>
    <w:pPr>
      <w:widowControl w:val="0"/>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68">
    <w:name w:val="灰度表格711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69">
    <w:name w:val="网格型214"/>
    <w:basedOn w:val="88"/>
    <w:qFormat/>
    <w:uiPriority w:val="0"/>
    <w:pPr>
      <w:widowControl w:val="0"/>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70">
    <w:name w:val="灰度表格16"/>
    <w:basedOn w:val="88"/>
    <w:qFormat/>
    <w:uiPriority w:val="0"/>
    <w:pPr>
      <w:widowControl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71">
    <w:name w:val="网格型 51"/>
    <w:basedOn w:val="88"/>
    <w:qFormat/>
    <w:uiPriority w:val="0"/>
    <w:pPr>
      <w:widowControl w:val="0"/>
      <w:jc w:val="both"/>
    </w:pPr>
    <w:rPr>
      <w:rFonts w:cs="Calibri"/>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572">
    <w:name w:val="网格型1422"/>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73">
    <w:name w:val="灰度表格152"/>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74">
    <w:name w:val="灰度表格1112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75">
    <w:name w:val="灰度表格1317"/>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76">
    <w:name w:val="灰度表格12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77">
    <w:name w:val="表格主题11"/>
    <w:basedOn w:val="88"/>
    <w:qFormat/>
    <w:uiPriority w:val="0"/>
    <w:pPr>
      <w:widowControl w:val="0"/>
      <w:jc w:val="both"/>
    </w:pPr>
    <w:rPr>
      <w:rFonts w:cs="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vAlign w:val="center"/>
    </w:tcPr>
  </w:style>
  <w:style w:type="table" w:customStyle="1" w:styleId="3578">
    <w:name w:val="灰度表格4"/>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79">
    <w:name w:val="表格主题4"/>
    <w:basedOn w:val="88"/>
    <w:qFormat/>
    <w:uiPriority w:val="0"/>
    <w:pPr>
      <w:widowControl w:val="0"/>
      <w:jc w:val="both"/>
    </w:pPr>
    <w:rPr>
      <w:rFonts w:cs="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vAlign w:val="center"/>
    </w:tcPr>
  </w:style>
  <w:style w:type="table" w:customStyle="1" w:styleId="3580">
    <w:name w:val="灰度表格7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81">
    <w:name w:val="网格型7"/>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82">
    <w:name w:val="网格型 11113"/>
    <w:basedOn w:val="88"/>
    <w:qFormat/>
    <w:uiPriority w:val="0"/>
    <w:pPr>
      <w:widowControl w:val="0"/>
      <w:jc w:val="both"/>
    </w:pPr>
    <w:rPr>
      <w:rFonts w:cs="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StylePr>
    <w:tblStylePr w:type="lastCol">
      <w:rPr>
        <w:i/>
        <w:iCs/>
      </w:r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583">
    <w:name w:val="网格型11132"/>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84">
    <w:name w:val="网格型65"/>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85">
    <w:name w:val="网格型110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86">
    <w:name w:val="网格型10"/>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87">
    <w:name w:val="网格型125"/>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88">
    <w:name w:val="灰度表格1191"/>
    <w:basedOn w:val="88"/>
    <w:qFormat/>
    <w:uiPriority w:val="0"/>
    <w:pPr>
      <w:widowControl w:val="0"/>
      <w:spacing w:line="360" w:lineRule="auto"/>
      <w:ind w:firstLine="200" w:firstLineChars="20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89">
    <w:name w:val="灰度表格13431"/>
    <w:basedOn w:val="88"/>
    <w:qFormat/>
    <w:uiPriority w:val="0"/>
    <w:pPr>
      <w:widowControl w:val="0"/>
      <w:spacing w:line="529" w:lineRule="exact"/>
      <w:ind w:firstLine="200" w:firstLineChars="20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90">
    <w:name w:val="典雅型3"/>
    <w:basedOn w:val="8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3591">
    <w:name w:val="网格型181"/>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92">
    <w:name w:val="灰度表格1"/>
    <w:basedOn w:val="88"/>
    <w:qFormat/>
    <w:uiPriority w:val="0"/>
    <w:pPr>
      <w:widowControl w:val="0"/>
      <w:spacing w:line="529" w:lineRule="exact"/>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93">
    <w:name w:val="网格型563"/>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94">
    <w:name w:val="简明型 1211"/>
    <w:basedOn w:val="88"/>
    <w:qFormat/>
    <w:uiPriority w:val="0"/>
    <w:pPr>
      <w:widowControl w:val="0"/>
      <w:jc w:val="both"/>
    </w:pPr>
    <w:rPr>
      <w:rFonts w:ascii="Times NewRoman" w:hAnsi="Times NewRoman" w:eastAsia="幼圆" w:cs="Times NewRoman"/>
    </w:rPr>
    <w:tblPr>
      <w:tblBorders>
        <w:top w:val="single" w:color="008000" w:sz="12" w:space="0"/>
        <w:bottom w:val="single" w:color="008000" w:sz="12" w:space="0"/>
      </w:tblBorders>
    </w:tblPr>
    <w:tcPr>
      <w:shd w:val="clear" w:color="auto" w:fill="auto"/>
    </w:tcPr>
    <w:tblStylePr w:type="firstRow">
      <w:tcPr>
        <w:tcBorders>
          <w:top w:val="nil"/>
          <w:left w:val="single" w:color="008000" w:sz="6" w:space="0"/>
          <w:bottom w:val="nil"/>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3595">
    <w:name w:val="网格型10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96">
    <w:name w:val="网格型1312"/>
    <w:basedOn w:val="88"/>
    <w:qFormat/>
    <w:uiPriority w:val="0"/>
    <w:pPr>
      <w:widowControl w:val="0"/>
      <w:spacing w:line="440" w:lineRule="exact"/>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97">
    <w:name w:val="灰度表格1316"/>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98">
    <w:name w:val="灰度表格1632"/>
    <w:basedOn w:val="88"/>
    <w:qFormat/>
    <w:uiPriority w:val="0"/>
    <w:pPr>
      <w:widowControl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99">
    <w:name w:val="网格型c4"/>
    <w:basedOn w:val="88"/>
    <w:unhideWhenUsed/>
    <w:qFormat/>
    <w:uiPriority w:val="0"/>
    <w:pPr>
      <w:widowControl w:val="0"/>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00">
    <w:name w:val="灰度表格1332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01">
    <w:name w:val="灰度表格155"/>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02">
    <w:name w:val="网格型711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03">
    <w:name w:val="表格样式11"/>
    <w:basedOn w:val="88"/>
    <w:qFormat/>
    <w:uiPriority w:val="0"/>
    <w:pPr>
      <w:jc w:val="both"/>
    </w:pPr>
    <w:rPr>
      <w:rFonts w:cs="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vAlign w:val="center"/>
    </w:tcPr>
  </w:style>
  <w:style w:type="table" w:customStyle="1" w:styleId="3604">
    <w:name w:val="网格型5311"/>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05">
    <w:name w:val="典雅型12"/>
    <w:basedOn w:val="88"/>
    <w:qFormat/>
    <w:uiPriority w:val="0"/>
    <w:pPr>
      <w:widowControl w:val="0"/>
      <w:jc w:val="both"/>
    </w:pPr>
    <w:rPr>
      <w:rFonts w:cs="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3606">
    <w:name w:val="灰度表格73"/>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07">
    <w:name w:val="灰度表格1344"/>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08">
    <w:name w:val="表格主题14"/>
    <w:basedOn w:val="88"/>
    <w:qFormat/>
    <w:uiPriority w:val="0"/>
    <w:pPr>
      <w:widowControl w:val="0"/>
      <w:jc w:val="both"/>
    </w:pPr>
    <w:rPr>
      <w:rFonts w:cs="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vAlign w:val="center"/>
    </w:tcPr>
  </w:style>
  <w:style w:type="table" w:customStyle="1" w:styleId="3609">
    <w:name w:val="网格型c3"/>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10">
    <w:name w:val="灰度表格4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11">
    <w:name w:val="灰度表格1134"/>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12">
    <w:name w:val="网格型711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13">
    <w:name w:val="典雅型1"/>
    <w:basedOn w:val="88"/>
    <w:qFormat/>
    <w:uiPriority w:val="0"/>
    <w:pPr>
      <w:widowControl w:val="0"/>
      <w:jc w:val="both"/>
    </w:pPr>
    <w:rPr>
      <w:rFonts w:cs="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3614">
    <w:name w:val="灰度表格1131"/>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15">
    <w:name w:val="灰度表格1641"/>
    <w:basedOn w:val="88"/>
    <w:qFormat/>
    <w:uiPriority w:val="0"/>
    <w:pPr>
      <w:widowControl w:val="0"/>
      <w:spacing w:line="360" w:lineRule="auto"/>
      <w:ind w:firstLine="200" w:firstLineChars="20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16">
    <w:name w:val="网格型81"/>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17">
    <w:name w:val="网格型51114"/>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18">
    <w:name w:val="网格型14512"/>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19">
    <w:name w:val="灰度表格111211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20">
    <w:name w:val="灰度表格164"/>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21">
    <w:name w:val="灰度表格81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22">
    <w:name w:val="网格型 12"/>
    <w:basedOn w:val="88"/>
    <w:qFormat/>
    <w:uiPriority w:val="0"/>
    <w:pPr>
      <w:widowControl w:val="0"/>
      <w:jc w:val="both"/>
    </w:pPr>
    <w:rPr>
      <w:rFonts w:cs="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623">
    <w:name w:val="灰度表格95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24">
    <w:name w:val="典雅型131"/>
    <w:basedOn w:val="88"/>
    <w:qFormat/>
    <w:uiPriority w:val="0"/>
    <w:pPr>
      <w:widowControl w:val="0"/>
      <w:jc w:val="both"/>
    </w:pPr>
    <w:rPr>
      <w:rFonts w:ascii="Times NewRoman" w:hAnsi="Times NewRoman" w:eastAsia="幼圆" w:cs="Times NewRoman"/>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3625">
    <w:name w:val="网格型8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26">
    <w:name w:val="灰度表格14"/>
    <w:basedOn w:val="88"/>
    <w:qFormat/>
    <w:uiPriority w:val="0"/>
    <w:pPr>
      <w:widowControl w:val="0"/>
      <w:spacing w:line="529" w:lineRule="exact"/>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27">
    <w:name w:val="网格型192"/>
    <w:basedOn w:val="88"/>
    <w:unhideWhenUsed/>
    <w:qFormat/>
    <w:uiPriority w:val="0"/>
    <w:pPr>
      <w:widowControl w:val="0"/>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28">
    <w:name w:val="灰度表格5"/>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29">
    <w:name w:val="网格型1132"/>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30">
    <w:name w:val="网格型58"/>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31">
    <w:name w:val="灰度表格11"/>
    <w:basedOn w:val="88"/>
    <w:qFormat/>
    <w:uiPriority w:val="0"/>
    <w:pPr>
      <w:widowControl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32">
    <w:name w:val="网格型20"/>
    <w:basedOn w:val="8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33">
    <w:name w:val="灰度表格832"/>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34">
    <w:name w:val="表格样式3"/>
    <w:basedOn w:val="88"/>
    <w:qFormat/>
    <w:uiPriority w:val="0"/>
    <w:pPr>
      <w:jc w:val="center"/>
    </w:pPr>
    <w:rPr>
      <w:rFonts w:cs="Calibri"/>
    </w:rPr>
    <w:tblPr>
      <w:jc w:val="center"/>
      <w:tblBorders>
        <w:top w:val="single" w:color="auto" w:sz="12" w:space="0"/>
        <w:bottom w:val="single" w:color="auto" w:sz="12" w:space="0"/>
        <w:insideH w:val="single" w:color="auto" w:sz="4" w:space="0"/>
        <w:insideV w:val="single" w:color="auto" w:sz="4" w:space="0"/>
      </w:tblBorders>
    </w:tblPr>
    <w:trPr>
      <w:jc w:val="center"/>
    </w:trPr>
    <w:tcPr>
      <w:vAlign w:val="center"/>
    </w:tcPr>
  </w:style>
  <w:style w:type="table" w:customStyle="1" w:styleId="3635">
    <w:name w:val="灰度表格192"/>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36">
    <w:name w:val="灰度表格12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37">
    <w:name w:val="网格型1120"/>
    <w:basedOn w:val="88"/>
    <w:qFormat/>
    <w:uiPriority w:val="0"/>
    <w:pPr>
      <w:widowControl w:val="0"/>
      <w:spacing w:line="360" w:lineRule="auto"/>
      <w:ind w:firstLine="48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38">
    <w:name w:val="灰度表格1621"/>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39">
    <w:name w:val="灰度表格11121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40">
    <w:name w:val="网格型110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41">
    <w:name w:val="网格型52"/>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42">
    <w:name w:val="灰度表格14113"/>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43">
    <w:name w:val="灰度表格1812"/>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44">
    <w:name w:val="灰度表格81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45">
    <w:name w:val="灰度表格11134"/>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46">
    <w:name w:val="网格型172"/>
    <w:basedOn w:val="88"/>
    <w:qFormat/>
    <w:uiPriority w:val="0"/>
    <w:pPr>
      <w:widowControl w:val="0"/>
      <w:spacing w:line="440" w:lineRule="exact"/>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47">
    <w:name w:val="灰度表格1352"/>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48">
    <w:name w:val="灰度表格7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49">
    <w:name w:val="灰度表格1722"/>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50">
    <w:name w:val="网格型14211"/>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51">
    <w:name w:val="网格型 1114"/>
    <w:basedOn w:val="88"/>
    <w:qFormat/>
    <w:uiPriority w:val="0"/>
    <w:pPr>
      <w:widowControl w:val="0"/>
      <w:jc w:val="both"/>
    </w:pPr>
    <w:rPr>
      <w:rFonts w:cs="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StylePr>
    <w:tblStylePr w:type="lastCol">
      <w:rPr>
        <w:i/>
        <w:iCs/>
      </w:r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652">
    <w:name w:val="灰度表格55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53">
    <w:name w:val="网格型120"/>
    <w:basedOn w:val="88"/>
    <w:qFormat/>
    <w:uiPriority w:val="0"/>
    <w:pPr>
      <w:widowControl w:val="0"/>
      <w:spacing w:line="360" w:lineRule="auto"/>
      <w:ind w:firstLine="48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54">
    <w:name w:val="灰度表格126"/>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55">
    <w:name w:val="网格型1416"/>
    <w:basedOn w:val="88"/>
    <w:qFormat/>
    <w:uiPriority w:val="0"/>
    <w:pPr>
      <w:widowControl w:val="0"/>
      <w:spacing w:line="360" w:lineRule="auto"/>
      <w:ind w:firstLine="48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56">
    <w:name w:val="网格型1521"/>
    <w:basedOn w:val="88"/>
    <w:qFormat/>
    <w:uiPriority w:val="0"/>
    <w:pPr>
      <w:widowControl w:val="0"/>
      <w:spacing w:line="440" w:lineRule="exact"/>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57">
    <w:name w:val="网格型1443"/>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58">
    <w:name w:val="网格型c1"/>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59">
    <w:name w:val="网格型1431"/>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60">
    <w:name w:val="典雅型23"/>
    <w:basedOn w:val="88"/>
    <w:qFormat/>
    <w:uiPriority w:val="0"/>
    <w:pPr>
      <w:widowControl w:val="0"/>
      <w:jc w:val="both"/>
    </w:pPr>
    <w:rPr>
      <w:rFonts w:cs="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3661">
    <w:name w:val="灰度表格102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62">
    <w:name w:val="网格型165"/>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63">
    <w:name w:val="灰度表格13331"/>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64">
    <w:name w:val="灰度表格1112"/>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65">
    <w:name w:val="灰度表格16112"/>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66">
    <w:name w:val="网格型191"/>
    <w:basedOn w:val="88"/>
    <w:unhideWhenUsed/>
    <w:qFormat/>
    <w:uiPriority w:val="0"/>
    <w:pPr>
      <w:widowControl w:val="0"/>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67">
    <w:name w:val="网格型c21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68">
    <w:name w:val="网格型c113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69">
    <w:name w:val="灰度表格2111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70">
    <w:name w:val="灰度表格712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71">
    <w:name w:val="灰度表格1422"/>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72">
    <w:name w:val="灰度表格210"/>
    <w:basedOn w:val="88"/>
    <w:qFormat/>
    <w:uiPriority w:val="0"/>
    <w:pPr>
      <w:widowControl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73">
    <w:name w:val="网格型 712"/>
    <w:basedOn w:val="88"/>
    <w:qFormat/>
    <w:uiPriority w:val="0"/>
    <w:pPr>
      <w:widowControl w:val="0"/>
      <w:jc w:val="both"/>
    </w:pPr>
    <w:rPr>
      <w:rFonts w:cs="Calibri"/>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674">
    <w:name w:val="网格型1115"/>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75">
    <w:name w:val="网格型133"/>
    <w:basedOn w:val="88"/>
    <w:qFormat/>
    <w:uiPriority w:val="0"/>
    <w:pPr>
      <w:widowControl w:val="0"/>
      <w:spacing w:line="360" w:lineRule="auto"/>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76">
    <w:name w:val="灰度表格1411"/>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77">
    <w:name w:val="网格型1181"/>
    <w:basedOn w:val="88"/>
    <w:qFormat/>
    <w:uiPriority w:val="0"/>
    <w:pPr>
      <w:widowControl w:val="0"/>
      <w:spacing w:line="440" w:lineRule="exact"/>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78">
    <w:name w:val="灰度表格82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79">
    <w:name w:val="简明型 1111"/>
    <w:basedOn w:val="88"/>
    <w:qFormat/>
    <w:uiPriority w:val="0"/>
    <w:pPr>
      <w:widowControl w:val="0"/>
      <w:jc w:val="both"/>
    </w:pPr>
    <w:rPr>
      <w:rFonts w:ascii="Times NewRoman" w:hAnsi="Times NewRoman" w:eastAsia="幼圆" w:cs="Times NewRoman"/>
    </w:rPr>
    <w:tblPr>
      <w:tblBorders>
        <w:top w:val="single" w:color="008000" w:sz="12" w:space="0"/>
        <w:bottom w:val="single" w:color="008000" w:sz="12" w:space="0"/>
      </w:tblBorders>
    </w:tblPr>
    <w:tcPr>
      <w:shd w:val="clear" w:color="auto" w:fill="auto"/>
    </w:tcPr>
    <w:tblStylePr w:type="firstRow">
      <w:tcPr>
        <w:tcBorders>
          <w:top w:val="nil"/>
          <w:left w:val="single" w:color="008000" w:sz="6" w:space="0"/>
          <w:bottom w:val="nil"/>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3680">
    <w:name w:val="网格型111"/>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81">
    <w:name w:val="网格型37"/>
    <w:basedOn w:val="88"/>
    <w:qFormat/>
    <w:uiPriority w:val="0"/>
    <w:pPr>
      <w:widowControl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82">
    <w:name w:val="灰度表格7"/>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83">
    <w:name w:val="网格型122"/>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84">
    <w:name w:val="网格型2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85">
    <w:name w:val="网格型68"/>
    <w:basedOn w:val="88"/>
    <w:qFormat/>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86">
    <w:name w:val="网格型1111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87">
    <w:name w:val="灰度表格224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88">
    <w:name w:val="网格型1212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89">
    <w:name w:val="网格型1215"/>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90">
    <w:name w:val="网格型1211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91">
    <w:name w:val="网格型127"/>
    <w:basedOn w:val="88"/>
    <w:qFormat/>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92">
    <w:name w:val="网格型3131"/>
    <w:basedOn w:val="88"/>
    <w:qFormat/>
    <w:uiPriority w:val="0"/>
    <w:pPr>
      <w:widowControl w:val="0"/>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93">
    <w:name w:val="灰度表格1322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94">
    <w:name w:val="网格型75"/>
    <w:basedOn w:val="88"/>
    <w:unhideWhenUsed/>
    <w:qFormat/>
    <w:uiPriority w:val="0"/>
    <w:pPr>
      <w:widowControl w:val="0"/>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95">
    <w:name w:val="网格型241"/>
    <w:basedOn w:val="88"/>
    <w:unhideWhenUsed/>
    <w:qFormat/>
    <w:uiPriority w:val="0"/>
    <w:pPr>
      <w:widowControl w:val="0"/>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96">
    <w:name w:val="灰度表格31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97">
    <w:name w:val="灰度表格1111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98">
    <w:name w:val="网格型31"/>
    <w:basedOn w:val="88"/>
    <w:qFormat/>
    <w:uiPriority w:val="0"/>
    <w:pPr>
      <w:widowControl w:val="0"/>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99">
    <w:name w:val="典雅型111"/>
    <w:basedOn w:val="88"/>
    <w:qFormat/>
    <w:uiPriority w:val="0"/>
    <w:pPr>
      <w:widowControl w:val="0"/>
      <w:jc w:val="both"/>
    </w:pPr>
    <w:rPr>
      <w:rFonts w:cs="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3700">
    <w:name w:val="灰度表格1314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01">
    <w:name w:val="灰度表格11311"/>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02">
    <w:name w:val="灰度表格9"/>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03">
    <w:name w:val="网格型82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04">
    <w:name w:val="灰度表格1122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05">
    <w:name w:val="灰度表格13131"/>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06">
    <w:name w:val="网格型512"/>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07">
    <w:name w:val="灰度表格103"/>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08">
    <w:name w:val="灰度表格811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09">
    <w:name w:val="网格型1118"/>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10">
    <w:name w:val="网格型922"/>
    <w:basedOn w:val="88"/>
    <w:unhideWhenUsed/>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11">
    <w:name w:val="网格型1011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12">
    <w:name w:val="网格型923"/>
    <w:basedOn w:val="88"/>
    <w:unhideWhenUsed/>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13">
    <w:name w:val="灰度表格111331"/>
    <w:basedOn w:val="88"/>
    <w:qFormat/>
    <w:uiPriority w:val="0"/>
    <w:pPr>
      <w:widowControl w:val="0"/>
      <w:spacing w:line="529" w:lineRule="exact"/>
      <w:ind w:firstLine="200" w:firstLineChars="20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14">
    <w:name w:val="灰度表格53"/>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15">
    <w:name w:val="网格型1425"/>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16">
    <w:name w:val="专业型32"/>
    <w:basedOn w:val="88"/>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3717">
    <w:name w:val="灰度表格1326"/>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18">
    <w:name w:val="网格型14"/>
    <w:basedOn w:val="88"/>
    <w:qFormat/>
    <w:uiPriority w:val="0"/>
    <w:pPr>
      <w:widowControl w:val="0"/>
      <w:spacing w:line="360" w:lineRule="auto"/>
      <w:ind w:firstLine="48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19">
    <w:name w:val="灰度表格1121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20">
    <w:name w:val="灰度表格1732"/>
    <w:basedOn w:val="88"/>
    <w:qFormat/>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21">
    <w:name w:val="灰度表格25"/>
    <w:basedOn w:val="88"/>
    <w:qFormat/>
    <w:uiPriority w:val="0"/>
    <w:pPr>
      <w:widowControl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22">
    <w:name w:val="灰度表格1331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23">
    <w:name w:val="网格型631"/>
    <w:basedOn w:val="88"/>
    <w:qFormat/>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24">
    <w:name w:val="灰度表格1135"/>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25">
    <w:name w:val="灰度表格24"/>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26">
    <w:name w:val="网格型121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27">
    <w:name w:val="灰度表格13231"/>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28">
    <w:name w:val="灰度表格11143"/>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29">
    <w:name w:val="灰度表格11332"/>
    <w:basedOn w:val="88"/>
    <w:qFormat/>
    <w:uiPriority w:val="0"/>
    <w:pPr>
      <w:widowControl w:val="0"/>
      <w:spacing w:line="529" w:lineRule="exact"/>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30">
    <w:name w:val="网格型c11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31">
    <w:name w:val="灰度表格2311"/>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32">
    <w:name w:val="灰度表格811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33">
    <w:name w:val="专业型121"/>
    <w:basedOn w:val="88"/>
    <w:qFormat/>
    <w:uiPriority w:val="0"/>
    <w:pPr>
      <w:widowControl w:val="0"/>
      <w:jc w:val="both"/>
    </w:pPr>
    <w:rPr>
      <w:rFonts w:ascii="Times NewRoman" w:hAnsi="Times NewRoman" w:eastAsia="幼圆" w:cs="Times New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3734">
    <w:name w:val="灰度表格242"/>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35">
    <w:name w:val="网格型6131"/>
    <w:basedOn w:val="88"/>
    <w:qFormat/>
    <w:uiPriority w:val="0"/>
    <w:pPr>
      <w:widowControl w:val="0"/>
      <w:spacing w:line="360" w:lineRule="auto"/>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36">
    <w:name w:val="灰度表格13311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37">
    <w:name w:val="网格型c12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38">
    <w:name w:val="灰度表格221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39">
    <w:name w:val="灰度表格1651"/>
    <w:basedOn w:val="88"/>
    <w:qFormat/>
    <w:uiPriority w:val="0"/>
    <w:pPr>
      <w:widowControl w:val="0"/>
      <w:spacing w:line="360" w:lineRule="auto"/>
      <w:ind w:firstLine="200" w:firstLineChars="20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40">
    <w:name w:val="网格型116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41">
    <w:name w:val="灰度表格1136"/>
    <w:basedOn w:val="88"/>
    <w:qFormat/>
    <w:uiPriority w:val="0"/>
    <w:pPr>
      <w:widowControl w:val="0"/>
      <w:spacing w:line="529" w:lineRule="exact"/>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42">
    <w:name w:val="网格型441"/>
    <w:basedOn w:val="88"/>
    <w:qFormat/>
    <w:uiPriority w:val="0"/>
    <w:pPr>
      <w:widowControl w:val="0"/>
      <w:spacing w:line="360" w:lineRule="auto"/>
      <w:ind w:firstLine="480" w:firstLineChars="20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43">
    <w:name w:val="网格型4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44">
    <w:name w:val="网格型111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45">
    <w:name w:val="专业型1"/>
    <w:basedOn w:val="88"/>
    <w:qFormat/>
    <w:uiPriority w:val="0"/>
    <w:pPr>
      <w:widowControl w:val="0"/>
      <w:jc w:val="both"/>
    </w:pPr>
    <w:rPr>
      <w:rFonts w:cs="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3746">
    <w:name w:val="网格型75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47">
    <w:name w:val="表格样式111"/>
    <w:basedOn w:val="88"/>
    <w:qFormat/>
    <w:uiPriority w:val="0"/>
    <w:pPr>
      <w:jc w:val="both"/>
    </w:pPr>
    <w:rPr>
      <w:rFonts w:cs="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vAlign w:val="center"/>
    </w:tcPr>
  </w:style>
  <w:style w:type="table" w:customStyle="1" w:styleId="3748">
    <w:name w:val="浅色底纹12"/>
    <w:basedOn w:val="88"/>
    <w:qFormat/>
    <w:uiPriority w:val="0"/>
    <w:rPr>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BFBFBF"/>
      </w:tcPr>
    </w:tblStylePr>
    <w:tblStylePr w:type="band1Horz">
      <w:tcPr>
        <w:tcBorders>
          <w:top w:val="nil"/>
          <w:left w:val="nil"/>
          <w:bottom w:val="nil"/>
          <w:right w:val="nil"/>
          <w:insideH w:val="nil"/>
          <w:insideV w:val="nil"/>
          <w:tl2br w:val="nil"/>
          <w:tr2bl w:val="nil"/>
        </w:tcBorders>
        <w:shd w:val="clear" w:color="auto" w:fill="BFBFBF"/>
      </w:tcPr>
    </w:tblStylePr>
  </w:style>
  <w:style w:type="table" w:customStyle="1" w:styleId="3749">
    <w:name w:val="灰度表格111113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50">
    <w:name w:val="网格型1141"/>
    <w:basedOn w:val="88"/>
    <w:qFormat/>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51">
    <w:name w:val="网格型117"/>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52">
    <w:name w:val="典雅型15"/>
    <w:basedOn w:val="88"/>
    <w:qFormat/>
    <w:uiPriority w:val="0"/>
    <w:pPr>
      <w:widowControl w:val="0"/>
      <w:jc w:val="both"/>
    </w:pPr>
    <w:rPr>
      <w:rFonts w:cs="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3753">
    <w:name w:val="网格型3121"/>
    <w:basedOn w:val="88"/>
    <w:qFormat/>
    <w:uiPriority w:val="0"/>
    <w:pPr>
      <w:widowControl w:val="0"/>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54">
    <w:name w:val="灰度表格10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55">
    <w:name w:val="网格型 5121"/>
    <w:basedOn w:val="88"/>
    <w:qFormat/>
    <w:uiPriority w:val="0"/>
    <w:pPr>
      <w:widowControl w:val="0"/>
      <w:jc w:val="both"/>
    </w:pPr>
    <w:rPr>
      <w:rFonts w:ascii="Times NewRoman" w:hAnsi="Times NewRoman" w:eastAsia="幼圆" w:cs="Times NewRoman"/>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756">
    <w:name w:val="网格型c31"/>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57">
    <w:name w:val="网格型9"/>
    <w:basedOn w:val="88"/>
    <w:unhideWhenUsed/>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58">
    <w:name w:val="网格型5122"/>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59">
    <w:name w:val="网格型11213"/>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60">
    <w:name w:val="网格型 1122"/>
    <w:basedOn w:val="88"/>
    <w:qFormat/>
    <w:uiPriority w:val="0"/>
    <w:pPr>
      <w:widowControl w:val="0"/>
      <w:jc w:val="both"/>
    </w:pPr>
    <w:rPr>
      <w:rFonts w:cs="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761">
    <w:name w:val="灰度表格11122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62">
    <w:name w:val="表格主题5"/>
    <w:basedOn w:val="88"/>
    <w:qFormat/>
    <w:uiPriority w:val="0"/>
    <w:pPr>
      <w:widowControl w:val="0"/>
      <w:jc w:val="both"/>
    </w:pPr>
    <w:rPr>
      <w:rFonts w:cs="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vAlign w:val="center"/>
    </w:tcPr>
  </w:style>
  <w:style w:type="table" w:customStyle="1" w:styleId="3763">
    <w:name w:val="网格型57"/>
    <w:basedOn w:val="88"/>
    <w:qFormat/>
    <w:uiPriority w:val="0"/>
    <w:pPr>
      <w:widowControl w:val="0"/>
      <w:spacing w:line="360" w:lineRule="auto"/>
      <w:ind w:firstLine="48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64">
    <w:name w:val="网格型612"/>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65">
    <w:name w:val="灰度表格112"/>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66">
    <w:name w:val="灰度表格83"/>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67">
    <w:name w:val="灰度表格1311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68">
    <w:name w:val="网格型42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69">
    <w:name w:val="网格型 15"/>
    <w:basedOn w:val="88"/>
    <w:qFormat/>
    <w:uiPriority w:val="0"/>
    <w:pPr>
      <w:widowControl w:val="0"/>
      <w:jc w:val="both"/>
    </w:pPr>
    <w:rPr>
      <w:rFonts w:cs="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770">
    <w:name w:val="网格型5"/>
    <w:basedOn w:val="88"/>
    <w:qFormat/>
    <w:uiPriority w:val="0"/>
    <w:pPr>
      <w:widowControl w:val="0"/>
      <w:spacing w:line="360" w:lineRule="auto"/>
      <w:ind w:firstLine="48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71">
    <w:name w:val="网格型38"/>
    <w:basedOn w:val="88"/>
    <w:qFormat/>
    <w:uiPriority w:val="0"/>
    <w:pPr>
      <w:widowControl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72">
    <w:name w:val="网格型1211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73">
    <w:name w:val="网格型c212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74">
    <w:name w:val="网格型555"/>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75">
    <w:name w:val="灰度表格32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76">
    <w:name w:val="灰度表格111215"/>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77">
    <w:name w:val="网格型54"/>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78">
    <w:name w:val="灰度表格11312"/>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79">
    <w:name w:val="网格型 17"/>
    <w:basedOn w:val="88"/>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780">
    <w:name w:val="灰度表格1751"/>
    <w:basedOn w:val="88"/>
    <w:qFormat/>
    <w:uiPriority w:val="0"/>
    <w:pPr>
      <w:widowControl w:val="0"/>
      <w:spacing w:line="360" w:lineRule="auto"/>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81">
    <w:name w:val="灰度表格222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82">
    <w:name w:val="灰度表格13211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83">
    <w:name w:val="表格主题1"/>
    <w:basedOn w:val="88"/>
    <w:qFormat/>
    <w:uiPriority w:val="0"/>
    <w:pPr>
      <w:widowControl w:val="0"/>
      <w:jc w:val="both"/>
    </w:pPr>
    <w:rPr>
      <w:rFonts w:cs="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vAlign w:val="center"/>
    </w:tcPr>
  </w:style>
  <w:style w:type="table" w:customStyle="1" w:styleId="3784">
    <w:name w:val="网格型814"/>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85">
    <w:name w:val="网格型 1112"/>
    <w:basedOn w:val="88"/>
    <w:qFormat/>
    <w:uiPriority w:val="0"/>
    <w:pPr>
      <w:widowControl w:val="0"/>
      <w:jc w:val="both"/>
    </w:pPr>
    <w:rPr>
      <w:rFonts w:cs="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StylePr>
    <w:tblStylePr w:type="lastCol">
      <w:rPr>
        <w:i/>
        <w:iCs/>
      </w:r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786">
    <w:name w:val="灰度表格1354"/>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87">
    <w:name w:val="灰度表格1353"/>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88">
    <w:name w:val="网格型564"/>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89">
    <w:name w:val="网格型c17"/>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90">
    <w:name w:val="网格型432"/>
    <w:basedOn w:val="88"/>
    <w:qFormat/>
    <w:uiPriority w:val="0"/>
    <w:pPr>
      <w:widowControl w:val="0"/>
      <w:spacing w:line="360" w:lineRule="auto"/>
      <w:ind w:firstLine="48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91">
    <w:name w:val="网格型93"/>
    <w:basedOn w:val="88"/>
    <w:unhideWhenUsed/>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92">
    <w:name w:val="典雅型24"/>
    <w:basedOn w:val="88"/>
    <w:qFormat/>
    <w:uiPriority w:val="0"/>
    <w:pPr>
      <w:widowControl w:val="0"/>
      <w:jc w:val="both"/>
    </w:pPr>
    <w:rPr>
      <w:rFonts w:cs="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3793">
    <w:name w:val="网格型8113"/>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94">
    <w:name w:val="灰度表格6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95">
    <w:name w:val="灰度表格101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96">
    <w:name w:val="网格型1614"/>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97">
    <w:name w:val="灰度表格1532"/>
    <w:basedOn w:val="88"/>
    <w:qFormat/>
    <w:uiPriority w:val="0"/>
    <w:pPr>
      <w:widowControl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98">
    <w:name w:val="网格型 113"/>
    <w:basedOn w:val="88"/>
    <w:qFormat/>
    <w:uiPriority w:val="0"/>
    <w:pPr>
      <w:widowControl w:val="0"/>
      <w:jc w:val="both"/>
    </w:pPr>
    <w:rPr>
      <w:rFonts w:cs="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799">
    <w:name w:val="网格型14121"/>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00">
    <w:name w:val="网格型11214"/>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01">
    <w:name w:val="灰度表格102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02">
    <w:name w:val="网格型212"/>
    <w:basedOn w:val="88"/>
    <w:qFormat/>
    <w:uiPriority w:val="0"/>
    <w:pPr>
      <w:widowControl w:val="0"/>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03">
    <w:name w:val="网格型911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04">
    <w:name w:val="网格型541"/>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05">
    <w:name w:val="灰度表格84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06">
    <w:name w:val="专业型23"/>
    <w:basedOn w:val="88"/>
    <w:qFormat/>
    <w:uiPriority w:val="0"/>
    <w:pPr>
      <w:widowControl w:val="0"/>
      <w:jc w:val="both"/>
    </w:pPr>
    <w:rPr>
      <w:rFonts w:cs="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3807">
    <w:name w:val="网格型5213"/>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08">
    <w:name w:val="灰度表格11313"/>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09">
    <w:name w:val="网格型 5411"/>
    <w:basedOn w:val="88"/>
    <w:qFormat/>
    <w:uiPriority w:val="0"/>
    <w:pPr>
      <w:widowControl w:val="0"/>
      <w:jc w:val="both"/>
    </w:pPr>
    <w:rPr>
      <w:rFonts w:ascii="Times NewRoman" w:hAnsi="Times NewRoman" w:eastAsia="幼圆" w:cs="Times NewRoman"/>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810">
    <w:name w:val="网格型 521"/>
    <w:basedOn w:val="88"/>
    <w:qFormat/>
    <w:uiPriority w:val="0"/>
    <w:pPr>
      <w:widowControl w:val="0"/>
      <w:jc w:val="both"/>
    </w:pPr>
    <w:rPr>
      <w:rFonts w:cs="Calibri"/>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811">
    <w:name w:val="网格型712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12">
    <w:name w:val="灰度表格116"/>
    <w:basedOn w:val="88"/>
    <w:qFormat/>
    <w:uiPriority w:val="0"/>
    <w:pPr>
      <w:widowControl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13">
    <w:name w:val="灰度表格6"/>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14">
    <w:name w:val="网格型545"/>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15">
    <w:name w:val="灰度表格94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16">
    <w:name w:val="灰度表格111111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17">
    <w:name w:val="灰度表格11115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18">
    <w:name w:val="网格型1231"/>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19">
    <w:name w:val="灰度表格13311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20">
    <w:name w:val="灰度表格11322"/>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21">
    <w:name w:val="网格型813"/>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22">
    <w:name w:val="网格型211"/>
    <w:basedOn w:val="88"/>
    <w:qFormat/>
    <w:uiPriority w:val="0"/>
    <w:pPr>
      <w:widowControl w:val="0"/>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23">
    <w:name w:val="灰度表格11412"/>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24">
    <w:name w:val="网格型6111"/>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25">
    <w:name w:val="网格型331"/>
    <w:basedOn w:val="88"/>
    <w:qFormat/>
    <w:uiPriority w:val="0"/>
    <w:pPr>
      <w:widowControl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26">
    <w:name w:val="网格型 56"/>
    <w:basedOn w:val="88"/>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827">
    <w:name w:val="灰度表格1181"/>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28">
    <w:name w:val="网格型6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29">
    <w:name w:val="网格型39"/>
    <w:basedOn w:val="88"/>
    <w:unhideWhenUsed/>
    <w:qFormat/>
    <w:uiPriority w:val="0"/>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30">
    <w:name w:val="网格型1512"/>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31">
    <w:name w:val="灰度表格212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32">
    <w:name w:val="灰度表格111321"/>
    <w:basedOn w:val="88"/>
    <w:qFormat/>
    <w:uiPriority w:val="0"/>
    <w:pPr>
      <w:widowControl w:val="0"/>
      <w:spacing w:line="529" w:lineRule="exact"/>
      <w:ind w:firstLine="200" w:firstLineChars="20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33">
    <w:name w:val="灰度表格121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34">
    <w:name w:val="专业型41"/>
    <w:basedOn w:val="88"/>
    <w:qFormat/>
    <w:uiPriority w:val="0"/>
    <w:pPr>
      <w:widowControl w:val="0"/>
      <w:jc w:val="both"/>
    </w:pPr>
    <w:rPr>
      <w:rFonts w:ascii="Times NewRoman" w:hAnsi="Times NewRoman" w:eastAsia="幼圆" w:cs="Times New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3835">
    <w:name w:val="灰度表格110"/>
    <w:basedOn w:val="88"/>
    <w:qFormat/>
    <w:uiPriority w:val="0"/>
    <w:pPr>
      <w:widowControl w:val="0"/>
      <w:spacing w:line="529" w:lineRule="exact"/>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36">
    <w:name w:val="灰度表格1362"/>
    <w:basedOn w:val="88"/>
    <w:qFormat/>
    <w:uiPriority w:val="0"/>
    <w:pPr>
      <w:widowControl w:val="0"/>
      <w:spacing w:line="529" w:lineRule="exact"/>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37">
    <w:name w:val="网格型10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38">
    <w:name w:val="网格型22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39">
    <w:name w:val="网格型121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40">
    <w:name w:val="表格样式4"/>
    <w:basedOn w:val="88"/>
    <w:qFormat/>
    <w:uiPriority w:val="0"/>
    <w:pPr>
      <w:jc w:val="center"/>
    </w:pPr>
    <w:rPr>
      <w:rFonts w:cs="Calibri"/>
    </w:rPr>
    <w:tblPr>
      <w:jc w:val="center"/>
      <w:tblBorders>
        <w:top w:val="single" w:color="auto" w:sz="12" w:space="0"/>
        <w:bottom w:val="single" w:color="auto" w:sz="12" w:space="0"/>
        <w:insideH w:val="single" w:color="auto" w:sz="4" w:space="0"/>
        <w:insideV w:val="single" w:color="auto" w:sz="4" w:space="0"/>
      </w:tblBorders>
    </w:tblPr>
    <w:trPr>
      <w:jc w:val="center"/>
    </w:trPr>
    <w:tcPr>
      <w:vAlign w:val="center"/>
    </w:tcPr>
  </w:style>
  <w:style w:type="table" w:customStyle="1" w:styleId="3841">
    <w:name w:val="灰度表格261"/>
    <w:basedOn w:val="88"/>
    <w:qFormat/>
    <w:uiPriority w:val="0"/>
    <w:pPr>
      <w:widowControl w:val="0"/>
      <w:spacing w:line="360" w:lineRule="auto"/>
      <w:ind w:firstLine="200" w:firstLineChars="20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42">
    <w:name w:val="网格型 522"/>
    <w:basedOn w:val="88"/>
    <w:qFormat/>
    <w:uiPriority w:val="0"/>
    <w:pPr>
      <w:widowControl w:val="0"/>
      <w:jc w:val="both"/>
    </w:pPr>
    <w:rPr>
      <w:rFonts w:cs="Calibri"/>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843">
    <w:name w:val="灰度表格45"/>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44">
    <w:name w:val="灰度表格217"/>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45">
    <w:name w:val="网格型83"/>
    <w:basedOn w:val="88"/>
    <w:qFormat/>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46">
    <w:name w:val="专业型15"/>
    <w:basedOn w:val="88"/>
    <w:qFormat/>
    <w:uiPriority w:val="0"/>
    <w:pPr>
      <w:widowControl w:val="0"/>
      <w:jc w:val="both"/>
    </w:pPr>
    <w:rPr>
      <w:rFonts w:cs="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3847">
    <w:name w:val="网格型77"/>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48">
    <w:name w:val="灰度表格22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49">
    <w:name w:val="灰度表格211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50">
    <w:name w:val="网格型51112"/>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51">
    <w:name w:val="灰度表格163"/>
    <w:basedOn w:val="88"/>
    <w:qFormat/>
    <w:uiPriority w:val="0"/>
    <w:pPr>
      <w:widowControl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52">
    <w:name w:val="灰度表格1031"/>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53">
    <w:name w:val="灰度表格3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54">
    <w:name w:val="专业型11"/>
    <w:basedOn w:val="88"/>
    <w:qFormat/>
    <w:uiPriority w:val="0"/>
    <w:pPr>
      <w:widowControl w:val="0"/>
      <w:jc w:val="both"/>
    </w:pPr>
    <w:rPr>
      <w:rFonts w:cs="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3855">
    <w:name w:val="灰度表格1451"/>
    <w:basedOn w:val="88"/>
    <w:qFormat/>
    <w:uiPriority w:val="0"/>
    <w:pPr>
      <w:widowControl w:val="0"/>
      <w:spacing w:line="529" w:lineRule="exact"/>
      <w:ind w:firstLine="200" w:firstLineChars="20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56">
    <w:name w:val="网格型c32"/>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57">
    <w:name w:val="灰度表格139"/>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58">
    <w:name w:val="网格型 7121"/>
    <w:basedOn w:val="88"/>
    <w:qFormat/>
    <w:uiPriority w:val="0"/>
    <w:pPr>
      <w:widowControl w:val="0"/>
      <w:jc w:val="both"/>
    </w:pPr>
    <w:rPr>
      <w:rFonts w:cs="Calibri"/>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859">
    <w:name w:val="专业型24"/>
    <w:basedOn w:val="88"/>
    <w:qFormat/>
    <w:uiPriority w:val="0"/>
    <w:pPr>
      <w:widowControl w:val="0"/>
      <w:jc w:val="both"/>
    </w:pPr>
    <w:rPr>
      <w:rFonts w:cs="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3860">
    <w:name w:val="网格型145"/>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61">
    <w:name w:val="网格型1031"/>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62">
    <w:name w:val="网格型1441"/>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63">
    <w:name w:val="灰度表格311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64">
    <w:name w:val="网格型151"/>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65">
    <w:name w:val="网格型523"/>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66">
    <w:name w:val="灰度表格13113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67">
    <w:name w:val="网格型c21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68">
    <w:name w:val="网格型544"/>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69">
    <w:name w:val="灰度表格2"/>
    <w:basedOn w:val="88"/>
    <w:qFormat/>
    <w:uiPriority w:val="0"/>
    <w:pPr>
      <w:widowControl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70">
    <w:name w:val="网格型110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71">
    <w:name w:val="灰度表格82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72">
    <w:name w:val="灰度表格1721"/>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73">
    <w:name w:val="灰度表格1111"/>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74">
    <w:name w:val="网格型4114"/>
    <w:basedOn w:val="88"/>
    <w:qFormat/>
    <w:uiPriority w:val="0"/>
    <w:pPr>
      <w:widowControl w:val="0"/>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75">
    <w:name w:val="灰度表格4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76">
    <w:name w:val="灰度表格31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77">
    <w:name w:val="网格型1211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78">
    <w:name w:val="网格型915"/>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79">
    <w:name w:val="典雅型5"/>
    <w:basedOn w:val="88"/>
    <w:qFormat/>
    <w:uiPriority w:val="0"/>
    <w:pPr>
      <w:widowControl w:val="0"/>
      <w:jc w:val="both"/>
    </w:pPr>
    <w:rPr>
      <w:rFonts w:cs="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3880">
    <w:name w:val="灰度表格1711"/>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81">
    <w:name w:val="网格型c12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82">
    <w:name w:val="网格型22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83">
    <w:name w:val="灰度表格157"/>
    <w:basedOn w:val="88"/>
    <w:qFormat/>
    <w:uiPriority w:val="0"/>
    <w:pPr>
      <w:widowControl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84">
    <w:name w:val="灰度表格27"/>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85">
    <w:name w:val="灰度表格1311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86">
    <w:name w:val="网格型141111"/>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87">
    <w:name w:val="灰度表格711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88">
    <w:name w:val="灰度表格1321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89">
    <w:name w:val="灰度表格1612"/>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90">
    <w:name w:val="灰度表格1171"/>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91">
    <w:name w:val="网格型11"/>
    <w:basedOn w:val="88"/>
    <w:qFormat/>
    <w:uiPriority w:val="0"/>
    <w:pPr>
      <w:widowControl w:val="0"/>
      <w:spacing w:line="360" w:lineRule="auto"/>
      <w:ind w:firstLine="48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92">
    <w:name w:val="灰度表格93"/>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93">
    <w:name w:val="网格型1413"/>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94">
    <w:name w:val="灰度表格162"/>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95">
    <w:name w:val="灰度表格71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96">
    <w:name w:val="典雅型14"/>
    <w:basedOn w:val="88"/>
    <w:qFormat/>
    <w:uiPriority w:val="0"/>
    <w:pPr>
      <w:widowControl w:val="0"/>
      <w:jc w:val="both"/>
    </w:pPr>
    <w:rPr>
      <w:rFonts w:cs="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3897">
    <w:name w:val="灰度表格113"/>
    <w:basedOn w:val="88"/>
    <w:qFormat/>
    <w:uiPriority w:val="0"/>
    <w:pPr>
      <w:widowControl w:val="0"/>
      <w:spacing w:line="529" w:lineRule="exact"/>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98">
    <w:name w:val="网格型 73"/>
    <w:basedOn w:val="88"/>
    <w:qFormat/>
    <w:uiPriority w:val="0"/>
    <w:pPr>
      <w:widowControl w:val="0"/>
      <w:jc w:val="both"/>
    </w:pPr>
    <w:rPr>
      <w:rFonts w:cs="Calibri"/>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899">
    <w:name w:val="网格型c211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00">
    <w:name w:val="灰度表格61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01">
    <w:name w:val="网格型213"/>
    <w:basedOn w:val="88"/>
    <w:qFormat/>
    <w:uiPriority w:val="0"/>
    <w:pPr>
      <w:widowControl w:val="0"/>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02">
    <w:name w:val="网格型5212"/>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03">
    <w:name w:val="灰度表格19"/>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04">
    <w:name w:val="网格型5214"/>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05">
    <w:name w:val="表格样式6"/>
    <w:basedOn w:val="88"/>
    <w:qFormat/>
    <w:uiPriority w:val="0"/>
    <w:pPr>
      <w:jc w:val="center"/>
    </w:pPr>
    <w:rPr>
      <w:rFonts w:cs="Calibri"/>
    </w:rPr>
    <w:tblPr>
      <w:jc w:val="center"/>
      <w:tblBorders>
        <w:top w:val="single" w:color="auto" w:sz="12" w:space="0"/>
        <w:bottom w:val="single" w:color="auto" w:sz="12" w:space="0"/>
        <w:insideH w:val="single" w:color="auto" w:sz="4" w:space="0"/>
        <w:insideV w:val="single" w:color="auto" w:sz="4" w:space="0"/>
      </w:tblBorders>
    </w:tblPr>
    <w:trPr>
      <w:jc w:val="center"/>
    </w:trPr>
    <w:tcPr>
      <w:vAlign w:val="center"/>
    </w:tcPr>
  </w:style>
  <w:style w:type="table" w:customStyle="1" w:styleId="3906">
    <w:name w:val="灰度表格532"/>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07">
    <w:name w:val="网格型105"/>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08">
    <w:name w:val="网格型76"/>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09">
    <w:name w:val="灰度表格9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10">
    <w:name w:val="网格型102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11">
    <w:name w:val="网格型1415"/>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12">
    <w:name w:val="灰度表格13132"/>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13">
    <w:name w:val="网格型c111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14">
    <w:name w:val="灰度表格22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15">
    <w:name w:val="专业型31"/>
    <w:basedOn w:val="88"/>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3916">
    <w:name w:val="网格型1613"/>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17">
    <w:name w:val="表格样式1"/>
    <w:basedOn w:val="88"/>
    <w:qFormat/>
    <w:uiPriority w:val="0"/>
    <w:pPr>
      <w:jc w:val="both"/>
    </w:pPr>
    <w:rPr>
      <w:rFonts w:cs="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vAlign w:val="center"/>
    </w:tcPr>
  </w:style>
  <w:style w:type="table" w:customStyle="1" w:styleId="3918">
    <w:name w:val="网格型215"/>
    <w:basedOn w:val="88"/>
    <w:qFormat/>
    <w:uiPriority w:val="0"/>
    <w:pPr>
      <w:widowControl w:val="0"/>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19">
    <w:name w:val="专业型14"/>
    <w:basedOn w:val="88"/>
    <w:qFormat/>
    <w:uiPriority w:val="0"/>
    <w:pPr>
      <w:widowControl w:val="0"/>
      <w:jc w:val="both"/>
    </w:pPr>
    <w:rPr>
      <w:rFonts w:cs="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3920">
    <w:name w:val="网格型72"/>
    <w:basedOn w:val="88"/>
    <w:unhideWhenUsed/>
    <w:qFormat/>
    <w:uiPriority w:val="0"/>
    <w:pPr>
      <w:widowControl w:val="0"/>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21">
    <w:name w:val="灰度表格92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22">
    <w:name w:val="网格型811"/>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23">
    <w:name w:val="网格型131"/>
    <w:basedOn w:val="88"/>
    <w:qFormat/>
    <w:uiPriority w:val="0"/>
    <w:pPr>
      <w:widowControl w:val="0"/>
      <w:spacing w:line="440" w:lineRule="exact"/>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24">
    <w:name w:val="灰度表格1121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25">
    <w:name w:val="灰度表格1381"/>
    <w:basedOn w:val="88"/>
    <w:qFormat/>
    <w:uiPriority w:val="0"/>
    <w:pPr>
      <w:widowControl w:val="0"/>
      <w:spacing w:line="529" w:lineRule="exact"/>
      <w:ind w:firstLine="200" w:firstLineChars="20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26">
    <w:name w:val="灰度表格13332"/>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27">
    <w:name w:val="网格型581"/>
    <w:basedOn w:val="88"/>
    <w:qFormat/>
    <w:uiPriority w:val="0"/>
    <w:pPr>
      <w:widowControl w:val="0"/>
      <w:spacing w:line="360" w:lineRule="auto"/>
      <w:ind w:firstLine="480" w:firstLineChars="20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28">
    <w:name w:val="灰度表格1011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29">
    <w:name w:val="灰度表格13111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30">
    <w:name w:val="灰度表格17131"/>
    <w:basedOn w:val="88"/>
    <w:qFormat/>
    <w:uiPriority w:val="0"/>
    <w:pPr>
      <w:widowControl w:val="0"/>
      <w:spacing w:line="360" w:lineRule="auto"/>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31">
    <w:name w:val="网格型c213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32">
    <w:name w:val="灰度表格57"/>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33">
    <w:name w:val="网格型132"/>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34">
    <w:name w:val="网格型c28"/>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35">
    <w:name w:val="表格主题111"/>
    <w:basedOn w:val="88"/>
    <w:qFormat/>
    <w:uiPriority w:val="0"/>
    <w:pPr>
      <w:widowControl w:val="0"/>
      <w:autoSpaceDE w:val="0"/>
      <w:autoSpaceDN w:val="0"/>
      <w:adjustRightInd w:val="0"/>
      <w:spacing w:line="360" w:lineRule="auto"/>
      <w:jc w:val="both"/>
      <w:textAlignment w:val="baseline"/>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36">
    <w:name w:val="网格型32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37">
    <w:name w:val="灰度表格11211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38">
    <w:name w:val="网格型1124"/>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39">
    <w:name w:val="网格型510"/>
    <w:basedOn w:val="88"/>
    <w:qFormat/>
    <w:uiPriority w:val="0"/>
    <w:pPr>
      <w:widowControl w:val="0"/>
      <w:spacing w:line="360" w:lineRule="auto"/>
      <w:ind w:firstLine="48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40">
    <w:name w:val="灰度表格11421"/>
    <w:basedOn w:val="88"/>
    <w:qFormat/>
    <w:uiPriority w:val="0"/>
    <w:pPr>
      <w:widowControl w:val="0"/>
      <w:spacing w:line="360" w:lineRule="auto"/>
      <w:ind w:firstLine="200" w:firstLineChars="20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41">
    <w:name w:val="灰度表格42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42">
    <w:name w:val="灰度表格331"/>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43">
    <w:name w:val="表格主题41"/>
    <w:basedOn w:val="88"/>
    <w:qFormat/>
    <w:uiPriority w:val="0"/>
    <w:pPr>
      <w:widowControl w:val="0"/>
      <w:autoSpaceDE w:val="0"/>
      <w:autoSpaceDN w:val="0"/>
      <w:adjustRightInd w:val="0"/>
      <w:spacing w:line="360" w:lineRule="auto"/>
      <w:jc w:val="both"/>
      <w:textAlignment w:val="baseline"/>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44">
    <w:name w:val="灰度表格6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45">
    <w:name w:val="灰度表格11114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46">
    <w:name w:val="网格型 52"/>
    <w:basedOn w:val="88"/>
    <w:qFormat/>
    <w:uiPriority w:val="0"/>
    <w:pPr>
      <w:widowControl w:val="0"/>
      <w:jc w:val="both"/>
    </w:pPr>
    <w:rPr>
      <w:rFonts w:cs="Calibri"/>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947">
    <w:name w:val="网格型91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48">
    <w:name w:val="网格型14312"/>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49">
    <w:name w:val="灰度表格611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50">
    <w:name w:val="灰度表格1321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51">
    <w:name w:val="网格型11131"/>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52">
    <w:name w:val="网格型107"/>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53">
    <w:name w:val="简明型 14"/>
    <w:basedOn w:val="88"/>
    <w:qFormat/>
    <w:uiPriority w:val="0"/>
    <w:pPr>
      <w:widowControl w:val="0"/>
      <w:jc w:val="both"/>
    </w:pPr>
    <w:rPr>
      <w:rFonts w:ascii="Times NewRoman" w:hAnsi="Times NewRoman" w:eastAsia="幼圆" w:cs="Times NewRoman"/>
    </w:rPr>
    <w:tblPr>
      <w:tblBorders>
        <w:top w:val="single" w:color="008000" w:sz="12" w:space="0"/>
        <w:bottom w:val="single" w:color="008000" w:sz="12" w:space="0"/>
      </w:tblBorders>
    </w:tblPr>
    <w:tcPr>
      <w:shd w:val="clear" w:color="auto" w:fill="auto"/>
    </w:tcPr>
    <w:tblStylePr w:type="firstRow">
      <w:tcPr>
        <w:tcBorders>
          <w:top w:val="nil"/>
          <w:left w:val="single" w:color="008000" w:sz="6" w:space="0"/>
          <w:bottom w:val="nil"/>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3954">
    <w:name w:val="灰度表格211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55">
    <w:name w:val="网格型2"/>
    <w:basedOn w:val="88"/>
    <w:qFormat/>
    <w:uiPriority w:val="0"/>
    <w:pPr>
      <w:widowControl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56">
    <w:name w:val="灰度表格11112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57">
    <w:name w:val="灰度表格8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58">
    <w:name w:val="灰度表格35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59">
    <w:name w:val="灰度表格13211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60">
    <w:name w:val="网格型1451"/>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61">
    <w:name w:val="灰度表格1331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62">
    <w:name w:val="灰度表格118"/>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63">
    <w:name w:val="灰度表格81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64">
    <w:name w:val="灰度表格1128"/>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65">
    <w:name w:val="灰度表格14112"/>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66">
    <w:name w:val="灰度表格11213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67">
    <w:name w:val="网格型 511"/>
    <w:basedOn w:val="88"/>
    <w:qFormat/>
    <w:uiPriority w:val="0"/>
    <w:pPr>
      <w:widowControl w:val="0"/>
      <w:jc w:val="both"/>
    </w:pPr>
    <w:rPr>
      <w:rFonts w:cs="Calibri"/>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968">
    <w:name w:val="灰度表格1541"/>
    <w:basedOn w:val="88"/>
    <w:qFormat/>
    <w:uiPriority w:val="0"/>
    <w:pPr>
      <w:widowControl w:val="0"/>
      <w:spacing w:line="360" w:lineRule="auto"/>
      <w:ind w:firstLine="200" w:firstLineChars="20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69">
    <w:name w:val="灰度表格1142"/>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70">
    <w:name w:val="网格型c132"/>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71">
    <w:name w:val="网格型11211"/>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72">
    <w:name w:val="灰度表格1613"/>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73">
    <w:name w:val="灰度表格131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74">
    <w:name w:val="网格型517"/>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75">
    <w:name w:val="灰度表格11351"/>
    <w:basedOn w:val="88"/>
    <w:qFormat/>
    <w:uiPriority w:val="0"/>
    <w:pPr>
      <w:widowControl w:val="0"/>
      <w:spacing w:line="529" w:lineRule="exact"/>
      <w:ind w:firstLine="200" w:firstLineChars="20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76">
    <w:name w:val="网格型51111"/>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77">
    <w:name w:val="灰度表格431"/>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78">
    <w:name w:val="灰度表格1327"/>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79">
    <w:name w:val="网格型615"/>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80">
    <w:name w:val="网格型4121"/>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81">
    <w:name w:val="灰度表格413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82">
    <w:name w:val="灰度表格1151"/>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83">
    <w:name w:val="网格型1455"/>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84">
    <w:name w:val="灰度表格11171"/>
    <w:basedOn w:val="88"/>
    <w:qFormat/>
    <w:uiPriority w:val="0"/>
    <w:pPr>
      <w:widowControl w:val="0"/>
      <w:spacing w:line="529" w:lineRule="exact"/>
      <w:ind w:firstLine="200" w:firstLineChars="20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85">
    <w:name w:val="灰度表格235"/>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86">
    <w:name w:val="网格型66"/>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87">
    <w:name w:val="灰度表格161"/>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88">
    <w:name w:val="灰度表格223"/>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89">
    <w:name w:val="网格型29"/>
    <w:basedOn w:val="88"/>
    <w:qFormat/>
    <w:uiPriority w:val="0"/>
    <w:pPr>
      <w:widowControl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90">
    <w:name w:val="灰度表格11431"/>
    <w:basedOn w:val="88"/>
    <w:qFormat/>
    <w:uiPriority w:val="0"/>
    <w:pPr>
      <w:widowControl w:val="0"/>
      <w:spacing w:line="360" w:lineRule="auto"/>
      <w:ind w:firstLine="200" w:firstLineChars="20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91">
    <w:name w:val="灰度表格1121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92">
    <w:name w:val="网格型c27"/>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93">
    <w:name w:val="网格型147"/>
    <w:basedOn w:val="88"/>
    <w:qFormat/>
    <w:uiPriority w:val="0"/>
    <w:pPr>
      <w:widowControl w:val="0"/>
      <w:spacing w:line="360" w:lineRule="auto"/>
      <w:ind w:firstLine="48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94">
    <w:name w:val="网格型62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95">
    <w:name w:val="专业型13"/>
    <w:basedOn w:val="88"/>
    <w:qFormat/>
    <w:uiPriority w:val="0"/>
    <w:pPr>
      <w:widowControl w:val="0"/>
      <w:jc w:val="both"/>
    </w:pPr>
    <w:rPr>
      <w:rFonts w:cs="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3996">
    <w:name w:val="灰度表格513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97">
    <w:name w:val="网格型85"/>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98">
    <w:name w:val="网格型142"/>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99">
    <w:name w:val="网格型812"/>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00">
    <w:name w:val="灰度表格111111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01">
    <w:name w:val="网格型15"/>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02">
    <w:name w:val="网格型1191"/>
    <w:basedOn w:val="88"/>
    <w:qFormat/>
    <w:uiPriority w:val="0"/>
    <w:pPr>
      <w:widowControl w:val="0"/>
      <w:spacing w:line="360" w:lineRule="auto"/>
      <w:ind w:firstLine="480" w:firstLineChars="20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03">
    <w:name w:val="网格型 132"/>
    <w:basedOn w:val="88"/>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004">
    <w:name w:val="网格型112"/>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05">
    <w:name w:val="灰度表格16113"/>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06">
    <w:name w:val="灰度表格1137"/>
    <w:basedOn w:val="88"/>
    <w:qFormat/>
    <w:uiPriority w:val="0"/>
    <w:pPr>
      <w:widowControl w:val="0"/>
      <w:spacing w:line="529" w:lineRule="exact"/>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07">
    <w:name w:val="灰度表格42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08">
    <w:name w:val="灰度表格130"/>
    <w:basedOn w:val="88"/>
    <w:qFormat/>
    <w:uiPriority w:val="0"/>
    <w:pPr>
      <w:widowControl w:val="0"/>
      <w:spacing w:line="529" w:lineRule="exact"/>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09">
    <w:name w:val="灰度表格2211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10">
    <w:name w:val="灰度表格1415"/>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11">
    <w:name w:val="灰度表格122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12">
    <w:name w:val="网格型1232"/>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13">
    <w:name w:val="网格型1323"/>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14">
    <w:name w:val="网格型47"/>
    <w:basedOn w:val="88"/>
    <w:qFormat/>
    <w:uiPriority w:val="0"/>
    <w:pPr>
      <w:widowControl w:val="0"/>
      <w:spacing w:line="360" w:lineRule="auto"/>
      <w:ind w:firstLine="48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15">
    <w:name w:val="灰度表格28"/>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16">
    <w:name w:val="灰度表格221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17">
    <w:name w:val="网格型11111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18">
    <w:name w:val="网格型!1"/>
    <w:basedOn w:val="88"/>
    <w:qFormat/>
    <w:uiPriority w:val="0"/>
    <w:pPr>
      <w:widowControl w:val="0"/>
      <w:jc w:val="center"/>
    </w:p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vAlign w:val="center"/>
    </w:tcPr>
  </w:style>
  <w:style w:type="table" w:customStyle="1" w:styleId="4019">
    <w:name w:val="网格型c23"/>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20">
    <w:name w:val="灰度表格113112"/>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21">
    <w:name w:val="表格主题31"/>
    <w:basedOn w:val="88"/>
    <w:qFormat/>
    <w:uiPriority w:val="0"/>
    <w:pPr>
      <w:widowControl w:val="0"/>
      <w:autoSpaceDE w:val="0"/>
      <w:autoSpaceDN w:val="0"/>
      <w:adjustRightInd w:val="0"/>
      <w:spacing w:line="360" w:lineRule="auto"/>
      <w:jc w:val="both"/>
      <w:textAlignment w:val="baseline"/>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22">
    <w:name w:val="灰度表格221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23">
    <w:name w:val="网格型 513"/>
    <w:basedOn w:val="88"/>
    <w:qFormat/>
    <w:uiPriority w:val="0"/>
    <w:pPr>
      <w:widowControl w:val="0"/>
      <w:jc w:val="both"/>
    </w:pPr>
    <w:rPr>
      <w:rFonts w:cs="Calibri"/>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024">
    <w:name w:val="网格型4122"/>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25">
    <w:name w:val="网格型101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26">
    <w:name w:val="网格型5131"/>
    <w:basedOn w:val="88"/>
    <w:qFormat/>
    <w:uiPriority w:val="0"/>
    <w:pPr>
      <w:widowControl w:val="0"/>
      <w:spacing w:line="360" w:lineRule="auto"/>
      <w:ind w:firstLine="480" w:firstLineChars="20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27">
    <w:name w:val="网格型183"/>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28">
    <w:name w:val="网格型561"/>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29">
    <w:name w:val="灰度表格171"/>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30">
    <w:name w:val="灰度表格1133"/>
    <w:basedOn w:val="88"/>
    <w:qFormat/>
    <w:uiPriority w:val="0"/>
    <w:pPr>
      <w:widowControl w:val="0"/>
      <w:spacing w:line="529" w:lineRule="exact"/>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31">
    <w:name w:val="灰度表格71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32">
    <w:name w:val="网格型153"/>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33">
    <w:name w:val="网格型13112"/>
    <w:basedOn w:val="88"/>
    <w:qFormat/>
    <w:uiPriority w:val="0"/>
    <w:pPr>
      <w:widowControl w:val="0"/>
      <w:spacing w:line="440" w:lineRule="exact"/>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34">
    <w:name w:val="网格型 131"/>
    <w:basedOn w:val="88"/>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035">
    <w:name w:val="网格型 5221"/>
    <w:basedOn w:val="88"/>
    <w:qFormat/>
    <w:uiPriority w:val="0"/>
    <w:pPr>
      <w:widowControl w:val="0"/>
      <w:jc w:val="both"/>
    </w:pPr>
    <w:rPr>
      <w:rFonts w:cs="Calibri"/>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036">
    <w:name w:val="网格型106"/>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37">
    <w:name w:val="灰度表格1713"/>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38">
    <w:name w:val="网格型3112"/>
    <w:basedOn w:val="88"/>
    <w:qFormat/>
    <w:uiPriority w:val="0"/>
    <w:pPr>
      <w:widowControl w:val="0"/>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39">
    <w:name w:val="灰度表格411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40">
    <w:name w:val="网格型5113"/>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41">
    <w:name w:val="灰度表格1127"/>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42">
    <w:name w:val="灰度表格1831"/>
    <w:basedOn w:val="88"/>
    <w:qFormat/>
    <w:uiPriority w:val="0"/>
    <w:pPr>
      <w:widowControl w:val="0"/>
      <w:spacing w:line="529" w:lineRule="exact"/>
      <w:ind w:firstLine="200" w:firstLineChars="20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43">
    <w:name w:val="灰度表格1335"/>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44">
    <w:name w:val="灰度表格1361"/>
    <w:basedOn w:val="88"/>
    <w:qFormat/>
    <w:uiPriority w:val="0"/>
    <w:pPr>
      <w:widowControl w:val="0"/>
      <w:spacing w:line="529" w:lineRule="exact"/>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45">
    <w:name w:val="灰度表格233"/>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46">
    <w:name w:val="专业型33"/>
    <w:basedOn w:val="88"/>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4047">
    <w:name w:val="灰度表格51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48">
    <w:name w:val="灰度表格111311"/>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49">
    <w:name w:val="网格型2121"/>
    <w:basedOn w:val="88"/>
    <w:qFormat/>
    <w:uiPriority w:val="0"/>
    <w:pPr>
      <w:widowControl w:val="0"/>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50">
    <w:name w:val="灰度表格1211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51">
    <w:name w:val="网格型c1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52">
    <w:name w:val="灰度表格16111"/>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53">
    <w:name w:val="网格型1421"/>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54">
    <w:name w:val="网格型c11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55">
    <w:name w:val="网格型551"/>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56">
    <w:name w:val="网格型c311"/>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57">
    <w:name w:val="网格型1211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58">
    <w:name w:val="灰度表格1611"/>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59">
    <w:name w:val="网格型851"/>
    <w:basedOn w:val="88"/>
    <w:qFormat/>
    <w:uiPriority w:val="0"/>
    <w:pPr>
      <w:widowControl w:val="0"/>
      <w:spacing w:line="360" w:lineRule="auto"/>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60">
    <w:name w:val="灰度表格54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61">
    <w:name w:val="灰度表格1723"/>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62">
    <w:name w:val="网格型1531"/>
    <w:basedOn w:val="88"/>
    <w:qFormat/>
    <w:uiPriority w:val="0"/>
    <w:pPr>
      <w:widowControl w:val="0"/>
      <w:spacing w:line="440" w:lineRule="exact"/>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063">
    <w:name w:val="正正文 字符"/>
    <w:link w:val="4064"/>
    <w:qFormat/>
    <w:uiPriority w:val="0"/>
    <w:rPr>
      <w:rFonts w:ascii="Times New Roman" w:hAnsi="Times New Roman"/>
      <w:sz w:val="21"/>
      <w:szCs w:val="21"/>
    </w:rPr>
  </w:style>
  <w:style w:type="paragraph" w:customStyle="1" w:styleId="4064">
    <w:name w:val="正正文"/>
    <w:basedOn w:val="1"/>
    <w:link w:val="4063"/>
    <w:qFormat/>
    <w:uiPriority w:val="0"/>
    <w:pPr>
      <w:spacing w:line="360" w:lineRule="exact"/>
      <w:ind w:firstLine="200" w:firstLineChars="200"/>
      <w:jc w:val="left"/>
    </w:pPr>
    <w:rPr>
      <w:rFonts w:ascii="Times New Roman" w:hAnsi="Times New Roman"/>
      <w:kern w:val="0"/>
      <w:szCs w:val="21"/>
    </w:rPr>
  </w:style>
  <w:style w:type="paragraph" w:customStyle="1" w:styleId="4065">
    <w:name w:val="+正文"/>
    <w:basedOn w:val="1"/>
    <w:qFormat/>
    <w:uiPriority w:val="0"/>
    <w:pPr>
      <w:tabs>
        <w:tab w:val="left" w:pos="480"/>
      </w:tabs>
      <w:autoSpaceDE w:val="0"/>
      <w:autoSpaceDN w:val="0"/>
      <w:adjustRightInd w:val="0"/>
      <w:snapToGrid w:val="0"/>
      <w:spacing w:line="420" w:lineRule="exact"/>
      <w:ind w:firstLine="200" w:firstLineChars="200"/>
    </w:pPr>
    <w:rPr>
      <w:rFonts w:ascii="Times New Roman" w:hAnsi="Times New Roman"/>
      <w:color w:val="000000"/>
      <w:kern w:val="0"/>
      <w:sz w:val="28"/>
      <w:szCs w:val="28"/>
      <w:lang w:val="en-GB"/>
    </w:rPr>
  </w:style>
  <w:style w:type="character" w:customStyle="1" w:styleId="4066">
    <w:name w:val="表格内容 Char"/>
    <w:qFormat/>
    <w:uiPriority w:val="0"/>
    <w:rPr>
      <w:rFonts w:ascii="Times New Roman" w:hAnsi="Times New Roman" w:eastAsia="宋体"/>
      <w:sz w:val="21"/>
      <w:szCs w:val="21"/>
      <w:lang w:bidi="ar-SA"/>
    </w:rPr>
  </w:style>
  <w:style w:type="paragraph" w:customStyle="1" w:styleId="4067">
    <w:name w:val="0正文"/>
    <w:basedOn w:val="35"/>
    <w:unhideWhenUsed/>
    <w:qFormat/>
    <w:uiPriority w:val="0"/>
    <w:pPr>
      <w:tabs>
        <w:tab w:val="left" w:pos="720"/>
        <w:tab w:val="left" w:pos="1360"/>
        <w:tab w:val="left" w:pos="1720"/>
      </w:tabs>
      <w:adjustRightInd w:val="0"/>
      <w:snapToGrid w:val="0"/>
      <w:spacing w:after="120" w:line="360" w:lineRule="auto"/>
      <w:ind w:left="420" w:leftChars="200" w:firstLine="720"/>
    </w:pPr>
    <w:rPr>
      <w:rFonts w:ascii="幼圆" w:hAnsi="Times New Roman" w:eastAsia="幼圆"/>
      <w:szCs w:val="22"/>
    </w:rPr>
  </w:style>
  <w:style w:type="paragraph" w:customStyle="1" w:styleId="4068">
    <w:name w:val="新6级标题 图名"/>
    <w:basedOn w:val="965"/>
    <w:link w:val="4069"/>
    <w:qFormat/>
    <w:uiPriority w:val="0"/>
    <w:pPr>
      <w:widowControl w:val="0"/>
      <w:numPr>
        <w:ilvl w:val="5"/>
        <w:numId w:val="2"/>
      </w:numPr>
      <w:adjustRightInd w:val="0"/>
      <w:snapToGrid w:val="0"/>
      <w:spacing w:before="0" w:beforeLines="0"/>
      <w:outlineLvl w:val="5"/>
    </w:pPr>
    <w:rPr>
      <w:rFonts w:ascii="Times New Roman" w:hAnsi="Times New Roman" w:eastAsia="宋体"/>
      <w:color w:val="000000"/>
      <w:szCs w:val="21"/>
    </w:rPr>
  </w:style>
  <w:style w:type="character" w:customStyle="1" w:styleId="4069">
    <w:name w:val="新6级标题 图名 Char"/>
    <w:link w:val="4068"/>
    <w:qFormat/>
    <w:uiPriority w:val="0"/>
    <w:rPr>
      <w:rFonts w:ascii="Times New Roman" w:hAnsi="Times New Roman"/>
      <w:b/>
      <w:color w:val="000000"/>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10.jpeg"/><Relationship Id="rId31" Type="http://schemas.openxmlformats.org/officeDocument/2006/relationships/image" Target="media/image9.png"/><Relationship Id="rId30" Type="http://schemas.openxmlformats.org/officeDocument/2006/relationships/image" Target="media/image8.jpeg"/><Relationship Id="rId3" Type="http://schemas.openxmlformats.org/officeDocument/2006/relationships/header" Target="header1.xml"/><Relationship Id="rId29" Type="http://schemas.openxmlformats.org/officeDocument/2006/relationships/image" Target="media/image7.wmf"/><Relationship Id="rId28" Type="http://schemas.openxmlformats.org/officeDocument/2006/relationships/oleObject" Target="embeddings/oleObject4.bin"/><Relationship Id="rId27" Type="http://schemas.openxmlformats.org/officeDocument/2006/relationships/image" Target="media/image6.wmf"/><Relationship Id="rId26" Type="http://schemas.openxmlformats.org/officeDocument/2006/relationships/image" Target="media/image5.wmf"/><Relationship Id="rId25" Type="http://schemas.openxmlformats.org/officeDocument/2006/relationships/image" Target="media/image4.wmf"/><Relationship Id="rId24" Type="http://schemas.openxmlformats.org/officeDocument/2006/relationships/oleObject" Target="embeddings/oleObject3.bin"/><Relationship Id="rId23" Type="http://schemas.openxmlformats.org/officeDocument/2006/relationships/image" Target="media/image3.wmf"/><Relationship Id="rId22" Type="http://schemas.openxmlformats.org/officeDocument/2006/relationships/oleObject" Target="embeddings/oleObject2.bin"/><Relationship Id="rId21" Type="http://schemas.openxmlformats.org/officeDocument/2006/relationships/image" Target="media/image2.jpeg"/><Relationship Id="rId20" Type="http://schemas.openxmlformats.org/officeDocument/2006/relationships/image" Target="media/image1.e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theme" Target="theme/theme1.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190</Pages>
  <Words>18134</Words>
  <Characters>19501</Characters>
  <Lines>1111</Lines>
  <Paragraphs>312</Paragraphs>
  <TotalTime>29</TotalTime>
  <ScaleCrop>false</ScaleCrop>
  <LinksUpToDate>false</LinksUpToDate>
  <CharactersWithSpaces>19737</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2025-04-02T02:21:00Z</dcterms:created>
  <dc:creator>Users</dc:creator>
  <cp:lastModifiedBy>岁月如歌</cp:lastModifiedBy>
  <cp:lastPrinted>2025-04-02T02:22:00Z</cp:lastPrinted>
  <dcterms:modified xsi:type="dcterms:W3CDTF">2025-04-02T07:04:25Z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6D6DBF06E38441148B48D9EB95087A83_13</vt:lpwstr>
  </property>
  <property fmtid="{D5CDD505-2E9C-101B-9397-08002B2CF9AE}" pid="4" name="KSOTemplateDocerSaveRecord">
    <vt:lpwstr>eyJoZGlkIjoiN2I4YzVlMmUyMjc0YjZhY2E1YmJiMWRiMWI0YzAwNTIiLCJ1c2VySWQiOiIxMDM3NjMxMjY0In0=</vt:lpwstr>
  </property>
</Properties>
</file>